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5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4220"/>
        <w:spacing w:after="0"/>
        <w:tabs>
          <w:tab w:leader="none" w:pos="68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81915</wp:posOffset>
            </wp:positionV>
            <wp:extent cx="12858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SOTERA HEALTH COMPANY</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00" w:type="dxa"/>
            <w:vAlign w:val="bottom"/>
          </w:tcPr>
          <w:p>
            <w:pPr>
              <w:spacing w:after="0"/>
              <w:rPr>
                <w:sz w:val="18"/>
                <w:szCs w:val="18"/>
                <w:color w:val="auto"/>
              </w:rPr>
            </w:pPr>
          </w:p>
        </w:tc>
        <w:tc>
          <w:tcPr>
            <w:tcW w:w="4440" w:type="dxa"/>
            <w:vAlign w:val="bottom"/>
          </w:tcPr>
          <w:p>
            <w:pPr>
              <w:jc w:val="right"/>
              <w:ind w:right="2239"/>
              <w:spacing w:after="0"/>
              <w:rPr>
                <w:sz w:val="20"/>
                <w:szCs w:val="20"/>
                <w:color w:val="auto"/>
              </w:rPr>
            </w:pPr>
            <w:r>
              <w:rPr>
                <w:rFonts w:ascii="Times New Roman" w:cs="Times New Roman" w:eastAsia="Times New Roman" w:hAnsi="Times New Roman"/>
                <w:sz w:val="16"/>
                <w:szCs w:val="16"/>
                <w:b w:val="1"/>
                <w:bCs w:val="1"/>
                <w:color w:val="auto"/>
              </w:rPr>
              <w:t>47-3531161</w:t>
            </w:r>
          </w:p>
        </w:tc>
      </w:tr>
      <w:tr>
        <w:trPr>
          <w:trHeight w:val="243"/>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00" w:type="dxa"/>
            <w:vAlign w:val="bottom"/>
          </w:tcPr>
          <w:p>
            <w:pPr>
              <w:spacing w:after="0"/>
              <w:rPr>
                <w:sz w:val="21"/>
                <w:szCs w:val="21"/>
                <w:color w:val="auto"/>
              </w:rPr>
            </w:pPr>
          </w:p>
        </w:tc>
        <w:tc>
          <w:tcPr>
            <w:tcW w:w="4440" w:type="dxa"/>
            <w:vAlign w:val="bottom"/>
          </w:tcPr>
          <w:p>
            <w:pPr>
              <w:jc w:val="center"/>
              <w:ind w:right="8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65"/>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9100 South Hills Blvd, Suite 300</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Broadview Heights, Ohio</w:t>
            </w:r>
          </w:p>
        </w:tc>
        <w:tc>
          <w:tcPr>
            <w:tcW w:w="2000" w:type="dxa"/>
            <w:vAlign w:val="bottom"/>
          </w:tcPr>
          <w:p>
            <w:pPr>
              <w:spacing w:after="0"/>
              <w:rPr>
                <w:sz w:val="21"/>
                <w:szCs w:val="21"/>
                <w:color w:val="auto"/>
              </w:rPr>
            </w:pPr>
          </w:p>
        </w:tc>
        <w:tc>
          <w:tcPr>
            <w:tcW w:w="4440" w:type="dxa"/>
            <w:vAlign w:val="bottom"/>
          </w:tcPr>
          <w:p>
            <w:pPr>
              <w:jc w:val="right"/>
              <w:ind w:right="2419"/>
              <w:spacing w:after="0"/>
              <w:rPr>
                <w:sz w:val="20"/>
                <w:szCs w:val="20"/>
                <w:color w:val="auto"/>
              </w:rPr>
            </w:pPr>
            <w:r>
              <w:rPr>
                <w:rFonts w:ascii="Times New Roman" w:cs="Times New Roman" w:eastAsia="Times New Roman" w:hAnsi="Times New Roman"/>
                <w:sz w:val="16"/>
                <w:szCs w:val="16"/>
                <w:b w:val="1"/>
                <w:bCs w:val="1"/>
                <w:color w:val="auto"/>
              </w:rPr>
              <w:t>44147</w:t>
            </w:r>
          </w:p>
        </w:tc>
      </w:tr>
      <w:tr>
        <w:trPr>
          <w:trHeight w:val="243"/>
        </w:trPr>
        <w:tc>
          <w:tcPr>
            <w:tcW w:w="47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000" w:type="dxa"/>
            <w:vAlign w:val="bottom"/>
          </w:tcPr>
          <w:p>
            <w:pPr>
              <w:spacing w:after="0"/>
              <w:rPr>
                <w:sz w:val="21"/>
                <w:szCs w:val="21"/>
                <w:color w:val="auto"/>
              </w:rPr>
            </w:pPr>
          </w:p>
        </w:tc>
        <w:tc>
          <w:tcPr>
            <w:tcW w:w="444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(Zip Code)</w:t>
            </w:r>
          </w:p>
        </w:tc>
      </w:tr>
      <w:tr>
        <w:trPr>
          <w:trHeight w:val="365"/>
        </w:trPr>
        <w:tc>
          <w:tcPr>
            <w:tcW w:w="4780" w:type="dxa"/>
            <w:vAlign w:val="bottom"/>
          </w:tcPr>
          <w:p>
            <w:pPr>
              <w:spacing w:after="0"/>
              <w:rPr>
                <w:sz w:val="24"/>
                <w:szCs w:val="24"/>
                <w:color w:val="auto"/>
              </w:rPr>
            </w:pPr>
          </w:p>
        </w:tc>
        <w:tc>
          <w:tcPr>
            <w:tcW w:w="20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(440) 262-1410</w:t>
            </w:r>
          </w:p>
        </w:tc>
        <w:tc>
          <w:tcPr>
            <w:tcW w:w="4440" w:type="dxa"/>
            <w:vAlign w:val="bottom"/>
          </w:tcPr>
          <w:p>
            <w:pPr>
              <w:spacing w:after="0"/>
              <w:rPr>
                <w:sz w:val="24"/>
                <w:szCs w:val="24"/>
                <w:color w:val="auto"/>
              </w:rPr>
            </w:pPr>
          </w:p>
        </w:tc>
      </w:tr>
      <w:tr>
        <w:trPr>
          <w:trHeight w:val="243"/>
        </w:trPr>
        <w:tc>
          <w:tcPr>
            <w:tcW w:w="1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18"/>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7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47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20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7"/>
              </w:rPr>
              <w:t>SHC</w:t>
            </w:r>
          </w:p>
        </w:tc>
        <w:tc>
          <w:tcPr>
            <w:tcW w:w="4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76"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w:t>
      </w:r>
    </w:p>
    <w:p>
      <w:pPr>
        <w:spacing w:after="0" w:line="182"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42"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50"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29, 2024, there were 283,214,342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10260" w:type="dxa"/>
            <w:vAlign w:val="bottom"/>
            <w:gridSpan w:val="1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1400" w:type="dxa"/>
            <w:vAlign w:val="bottom"/>
            <w:tcBorders>
              <w:bottom w:val="single" w:sz="8" w:color="0000FF"/>
            </w:tcBorders>
            <w:gridSpan w:val="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bottom w:val="single" w:sz="8" w:color="0000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920" w:type="dxa"/>
            <w:vAlign w:val="bottom"/>
            <w:tcBorders>
              <w:bottom w:val="single" w:sz="8" w:color="CCEEFF"/>
            </w:tcBorders>
            <w:gridSpan w:val="8"/>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1026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shd w:val="clear" w:color="auto" w:fill="CCEEFF"/>
          </w:tcPr>
          <w:p>
            <w:pPr>
              <w:spacing w:after="0"/>
              <w:rPr>
                <w:sz w:val="21"/>
                <w:szCs w:val="21"/>
                <w:color w:val="auto"/>
              </w:rPr>
            </w:pPr>
          </w:p>
        </w:tc>
      </w:tr>
      <w:tr>
        <w:trPr>
          <w:trHeight w:val="1019"/>
        </w:trPr>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37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87" w:lineRule="exact"/>
        <w:rPr>
          <w:sz w:val="20"/>
          <w:szCs w:val="20"/>
          <w:color w:val="auto"/>
        </w:rPr>
      </w:pPr>
    </w:p>
    <w:p>
      <w:pPr>
        <w:ind w:left="980" w:right="120" w:hanging="324"/>
        <w:spacing w:after="0" w:line="257"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and/or the European Union;</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9" w:lineRule="exact"/>
        <w:rPr>
          <w:rFonts w:ascii="Times New Roman" w:cs="Times New Roman" w:eastAsia="Times New Roman" w:hAnsi="Times New Roman"/>
          <w:sz w:val="18"/>
          <w:szCs w:val="18"/>
          <w:color w:val="auto"/>
        </w:rPr>
      </w:pPr>
    </w:p>
    <w:p>
      <w:pPr>
        <w:ind w:left="980" w:right="2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9"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9" w:lineRule="exact"/>
        <w:rPr>
          <w:rFonts w:ascii="Times New Roman" w:cs="Times New Roman" w:eastAsia="Times New Roman" w:hAnsi="Times New Roman"/>
          <w:sz w:val="18"/>
          <w:szCs w:val="18"/>
          <w:color w:val="auto"/>
        </w:rPr>
      </w:pPr>
    </w:p>
    <w:p>
      <w:pPr>
        <w:ind w:left="980" w:right="3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laws and sometimes inconsistent laws and regulations in multiple jurisdictions;</w:t>
      </w:r>
    </w:p>
    <w:p>
      <w:pPr>
        <w:ind w:left="980" w:right="1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and our dependence on information technology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9" w:lineRule="exact"/>
        <w:rPr>
          <w:rFonts w:ascii="Times New Roman" w:cs="Times New Roman" w:eastAsia="Times New Roman" w:hAnsi="Times New Roman"/>
          <w:sz w:val="18"/>
          <w:szCs w:val="18"/>
          <w:color w:val="auto"/>
        </w:rPr>
      </w:pPr>
    </w:p>
    <w:p>
      <w:pPr>
        <w:ind w:left="980" w:right="26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ind w:left="980" w:right="64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9" w:lineRule="exact"/>
        <w:rPr>
          <w:rFonts w:ascii="Times New Roman" w:cs="Times New Roman" w:eastAsia="Times New Roman" w:hAnsi="Times New Roman"/>
          <w:sz w:val="18"/>
          <w:szCs w:val="18"/>
          <w:color w:val="auto"/>
        </w:rPr>
      </w:pPr>
    </w:p>
    <w:p>
      <w:pPr>
        <w:ind w:left="980" w:right="34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ind w:left="980" w:right="40" w:hanging="324"/>
        <w:spacing w:after="0" w:line="253"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2023 (the “2023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Quarterly Report on Form 10-Q refer to Sotera Health Company, a Delaware corporation, and, where appropriate, its subsidiaries on a consolidated basis.</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9"/>
                <w:szCs w:val="19"/>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246,084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296,407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 short-term</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 for uncollectible accounts of $3,111 and $4,689,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123,659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147,696</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57,872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48,316</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56,652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53,846</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497,677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557,244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994,614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946,914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24,272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30,721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39,541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367,938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416,318</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1,098,306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1,111,190</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3,057,818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3,130,420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64,487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71,039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69,054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122,471</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11,092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8,771</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169,633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230,654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2,213,518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2,223,674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less current portion</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93,518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63,793</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obligations, less current portion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 retirement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48,096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lease income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54,084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64,454</w:t>
            </w: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2,635,054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2,686,686</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See Commitments and contingencies note</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with $0.01 par value, 1,200,000 shares authorized; 286,037 shares issued at June 30, 2024 and December 31, 2023</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80"/>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with $0.01 par value, 120,000 authorized; no shares issued at June 30, 2024 and</w:t>
            </w:r>
          </w:p>
        </w:tc>
        <w:tc>
          <w:tcPr>
            <w:tcW w:w="200" w:type="dxa"/>
            <w:vAlign w:val="bottom"/>
          </w:tcPr>
          <w:p>
            <w:pPr>
              <w:spacing w:after="0"/>
              <w:rPr>
                <w:sz w:val="15"/>
                <w:szCs w:val="15"/>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at cost (2,823 and 3,207 shares at June 30, 2024 and December 31, 2023,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(24,764)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(27,182)</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1,229,428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1,215,178</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deficit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(639,363)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(654,440)</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(145,397)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(92,682)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422,764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443,734</w:t>
            </w:r>
          </w:p>
        </w:tc>
        <w:tc>
          <w:tcPr>
            <w:tcW w:w="0" w:type="dxa"/>
            <w:vAlign w:val="bottom"/>
          </w:tcPr>
          <w:p>
            <w:pPr>
              <w:spacing w:after="0"/>
              <w:rPr>
                <w:sz w:val="1"/>
                <w:szCs w:val="1"/>
                <w:color w:val="auto"/>
              </w:rPr>
            </w:pPr>
          </w:p>
        </w:tc>
      </w:tr>
      <w:tr>
        <w:trPr>
          <w:trHeight w:val="21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3,057,818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3,130,420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240"/>
          </w:cols>
          <w:pgMar w:left="320" w:top="157" w:right="339" w:bottom="1159"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15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Service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237,756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226,050</w:t>
            </w:r>
          </w:p>
        </w:tc>
        <w:tc>
          <w:tcPr>
            <w:tcW w:w="16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464,237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440,560</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38,838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29,232</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60,533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35,312</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276,594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255,282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524,770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475,872</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Service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219,988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208,110</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14,667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24,876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16,671</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123,803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115,694</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244,864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224,781</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152,791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139,588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279,906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251,091</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118,784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122,197</w:t>
            </w:r>
          </w:p>
        </w:tc>
        <w:tc>
          <w:tcPr>
            <w:tcW w:w="0" w:type="dxa"/>
            <w:vAlign w:val="bottom"/>
          </w:tcPr>
          <w:p>
            <w:pPr>
              <w:spacing w:after="0"/>
              <w:rPr>
                <w:sz w:val="1"/>
                <w:szCs w:val="1"/>
                <w:color w:val="auto"/>
              </w:rPr>
            </w:pPr>
          </w:p>
        </w:tc>
      </w:tr>
      <w:tr>
        <w:trPr>
          <w:trHeight w:val="236"/>
        </w:trPr>
        <w:tc>
          <w:tcPr>
            <w:tcW w:w="6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15,417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16,097</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31,149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32,324</w:t>
            </w:r>
          </w:p>
        </w:tc>
        <w:tc>
          <w:tcPr>
            <w:tcW w:w="0" w:type="dxa"/>
            <w:vAlign w:val="bottom"/>
          </w:tcPr>
          <w:p>
            <w:pPr>
              <w:spacing w:after="0"/>
              <w:rPr>
                <w:sz w:val="1"/>
                <w:szCs w:val="1"/>
                <w:color w:val="auto"/>
              </w:rPr>
            </w:pPr>
          </w:p>
        </w:tc>
      </w:tr>
      <w:tr>
        <w:trPr>
          <w:trHeight w:val="23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75,992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76,384</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149,933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154,521</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76,799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129,973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96,570</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82,159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59,598</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refinancing of debt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3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(3,727)</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15,142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39,887</w:t>
            </w:r>
          </w:p>
        </w:tc>
        <w:tc>
          <w:tcPr>
            <w:tcW w:w="0" w:type="dxa"/>
            <w:vAlign w:val="bottom"/>
          </w:tcPr>
          <w:p>
            <w:pPr>
              <w:spacing w:after="0"/>
              <w:rPr>
                <w:sz w:val="1"/>
                <w:szCs w:val="1"/>
                <w:color w:val="auto"/>
              </w:rPr>
            </w:pPr>
          </w:p>
        </w:tc>
      </w:tr>
      <w:tr>
        <w:trPr>
          <w:trHeight w:val="23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6,388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10,972</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11,079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13,532</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8,754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15,077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26,355</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Pension and post-retirement benefits (net of taxes of $10, $6, $47, and $(11),</w:t>
            </w:r>
          </w:p>
        </w:tc>
        <w:tc>
          <w:tcPr>
            <w:tcW w:w="2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rate derivatives (net of taxes of $(857), $1,036, $(711) and $(2,360),</w:t>
            </w:r>
          </w:p>
        </w:tc>
        <w:tc>
          <w:tcPr>
            <w:tcW w:w="2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(23,110)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21,374</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(50,816)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32,631</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(16,787)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48,907</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(37,638)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53,704</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282,894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280,893</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282,403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280,793</w:t>
            </w:r>
          </w:p>
        </w:tc>
        <w:tc>
          <w:tcPr>
            <w:tcW w:w="0" w:type="dxa"/>
            <w:vAlign w:val="bottom"/>
          </w:tcPr>
          <w:p>
            <w:pPr>
              <w:spacing w:after="0"/>
              <w:rPr>
                <w:sz w:val="1"/>
                <w:szCs w:val="1"/>
                <w:color w:val="auto"/>
              </w:rPr>
            </w:pPr>
          </w:p>
        </w:tc>
      </w:tr>
      <w:tr>
        <w:trPr>
          <w:trHeight w:val="223"/>
        </w:trPr>
        <w:tc>
          <w:tcPr>
            <w:tcW w:w="6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283,147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283,040</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15,077</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40,381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39,879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41,108</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refinancing of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24,090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(8,099)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15,661</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foreign exchange (gains) losses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(loss) on derivatives not designated as hedging instruments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22,261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(11,084)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(18,585)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22,273</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Illinois EO litigation settlement</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(407,712)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Georgia EO litigation settlement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 / receivable,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long-term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70,994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(302,704)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(76,811)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(98,134)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(76,774)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(98,102)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2,259,350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revolving credit facility</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debt issuance costs and debt discount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(30,204)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on long-term borrowings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(2,260,600)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Buyout of leased facility</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(41,362)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273,206</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 including restricted cash</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(53,896)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(125,804)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beginning of period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301,654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396,294</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247,758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270,490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111,169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78,352</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income taxes, net of tax refunds received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27,714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w:t>
            </w:r>
          </w:p>
        </w:tc>
        <w:tc>
          <w:tcPr>
            <w:tcW w:w="0" w:type="dxa"/>
            <w:vAlign w:val="bottom"/>
          </w:tcPr>
          <w:p>
            <w:pPr>
              <w:spacing w:after="0"/>
              <w:rPr>
                <w:sz w:val="1"/>
                <w:szCs w:val="1"/>
                <w:color w:val="auto"/>
              </w:rPr>
            </w:pPr>
          </w:p>
        </w:tc>
      </w:tr>
      <w:tr>
        <w:trPr>
          <w:trHeight w:val="37"/>
        </w:trPr>
        <w:tc>
          <w:tcPr>
            <w:tcW w:w="82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21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760" w:type="dxa"/>
            <w:vAlign w:val="bottom"/>
          </w:tcPr>
          <w:p>
            <w:pPr>
              <w:spacing w:after="0"/>
              <w:rPr>
                <w:sz w:val="4"/>
                <w:szCs w:val="4"/>
                <w:color w:val="auto"/>
              </w:rPr>
            </w:pPr>
          </w:p>
        </w:tc>
        <w:tc>
          <w:tcPr>
            <w:tcW w:w="214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00"/>
              <w:spacing w:after="0" w:line="91" w:lineRule="exact"/>
              <w:rPr>
                <w:sz w:val="20"/>
                <w:szCs w:val="20"/>
                <w:color w:val="auto"/>
              </w:rPr>
            </w:pPr>
            <w:r>
              <w:rPr>
                <w:rFonts w:ascii="Times New Roman" w:cs="Times New Roman" w:eastAsia="Times New Roman" w:hAnsi="Times New Roman"/>
                <w:sz w:val="10"/>
                <w:szCs w:val="10"/>
                <w:b w:val="1"/>
                <w:bCs w:val="1"/>
                <w:color w:val="auto"/>
              </w:rPr>
              <w:t>Earnings /</w:t>
            </w: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91" w:lineRule="exact"/>
              <w:rPr>
                <w:sz w:val="20"/>
                <w:szCs w:val="20"/>
                <w:color w:val="auto"/>
              </w:rPr>
            </w:pPr>
            <w:r>
              <w:rPr>
                <w:rFonts w:ascii="Times New Roman" w:cs="Times New Roman" w:eastAsia="Times New Roman" w:hAnsi="Times New Roman"/>
                <w:sz w:val="10"/>
                <w:szCs w:val="10"/>
                <w:b w:val="1"/>
                <w:bCs w:val="1"/>
                <w:color w:val="auto"/>
              </w:rPr>
              <w:t>Other</w:t>
            </w: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7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3760" w:type="dxa"/>
            <w:vAlign w:val="bottom"/>
          </w:tcPr>
          <w:p>
            <w:pPr>
              <w:spacing w:after="0"/>
              <w:rPr>
                <w:sz w:val="9"/>
                <w:szCs w:val="9"/>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9"/>
                <w:szCs w:val="9"/>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9"/>
                <w:szCs w:val="9"/>
                <w:color w:val="auto"/>
              </w:rPr>
            </w:pPr>
          </w:p>
        </w:tc>
        <w:tc>
          <w:tcPr>
            <w:tcW w:w="10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9"/>
                <w:szCs w:val="9"/>
                <w:color w:val="auto"/>
              </w:rPr>
            </w:pPr>
          </w:p>
        </w:tc>
        <w:tc>
          <w:tcPr>
            <w:tcW w:w="780" w:type="dxa"/>
            <w:vAlign w:val="bottom"/>
          </w:tcPr>
          <w:p>
            <w:pPr>
              <w:jc w:val="center"/>
              <w:ind w:right="152"/>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3"/>
                <w:szCs w:val="13"/>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3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283,071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(26,042)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1,220,547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(648,117)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(119,856)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429,392</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10,159</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(23,110)</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(2,461)</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8,754</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283,214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(24,764)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1,229,428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(639,363)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(145,397)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422,764</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2"/>
        </w:trPr>
        <w:tc>
          <w:tcPr>
            <w:tcW w:w="3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9"/>
                <w:szCs w:val="9"/>
                <w:color w:val="auto"/>
              </w:rPr>
            </w:pPr>
          </w:p>
        </w:tc>
        <w:tc>
          <w:tcPr>
            <w:tcW w:w="102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760" w:type="dxa"/>
            <w:vAlign w:val="bottom"/>
          </w:tcPr>
          <w:p>
            <w:pPr>
              <w:spacing w:after="0"/>
              <w:rPr>
                <w:sz w:val="9"/>
                <w:szCs w:val="9"/>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9"/>
                <w:szCs w:val="9"/>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9"/>
                <w:szCs w:val="9"/>
                <w:color w:val="auto"/>
              </w:rPr>
            </w:pPr>
          </w:p>
        </w:tc>
        <w:tc>
          <w:tcPr>
            <w:tcW w:w="10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9"/>
                <w:szCs w:val="9"/>
                <w:color w:val="auto"/>
              </w:rPr>
            </w:pPr>
          </w:p>
        </w:tc>
        <w:tc>
          <w:tcPr>
            <w:tcW w:w="780" w:type="dxa"/>
            <w:vAlign w:val="bottom"/>
          </w:tcPr>
          <w:p>
            <w:pPr>
              <w:jc w:val="center"/>
              <w:ind w:right="152"/>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2"/>
                <w:szCs w:val="12"/>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36"/>
        </w:trPr>
        <w:tc>
          <w:tcPr>
            <w:tcW w:w="3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282,830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(27,182)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1,215,178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(654,440)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(92,682)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443,734</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16,668</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(50,816)</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(2,042)</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15,077</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283,214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(24,764)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1,229,428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(639,363)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(145,397)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422,764</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3780" w:type="dxa"/>
            <w:vAlign w:val="bottom"/>
          </w:tcPr>
          <w:p>
            <w:pPr>
              <w:spacing w:after="0"/>
              <w:rPr>
                <w:sz w:val="22"/>
                <w:szCs w:val="22"/>
                <w:color w:val="auto"/>
              </w:rPr>
            </w:pPr>
          </w:p>
        </w:tc>
        <w:tc>
          <w:tcPr>
            <w:tcW w:w="2140" w:type="dxa"/>
            <w:vAlign w:val="bottom"/>
            <w:gridSpan w:val="5"/>
          </w:tcPr>
          <w:p>
            <w:pPr>
              <w:ind w:left="6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22"/>
                <w:szCs w:val="2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20" w:type="dxa"/>
            <w:vAlign w:val="bottom"/>
          </w:tcPr>
          <w:p>
            <w:pPr>
              <w:spacing w:after="0"/>
              <w:rPr>
                <w:sz w:val="22"/>
                <w:szCs w:val="2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37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0"/>
                <w:szCs w:val="10"/>
                <w:color w:val="auto"/>
              </w:rPr>
            </w:pPr>
          </w:p>
        </w:tc>
        <w:tc>
          <w:tcPr>
            <w:tcW w:w="78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(Loss) Income</w:t>
            </w:r>
          </w:p>
        </w:tc>
        <w:tc>
          <w:tcPr>
            <w:tcW w:w="200" w:type="dxa"/>
            <w:vAlign w:val="bottom"/>
          </w:tcPr>
          <w:p>
            <w:pPr>
              <w:spacing w:after="0"/>
              <w:rPr>
                <w:sz w:val="13"/>
                <w:szCs w:val="13"/>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(702,974)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(104,698)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361,125</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21,374</w:t>
            </w:r>
          </w:p>
        </w:tc>
        <w:tc>
          <w:tcPr>
            <w:tcW w:w="0" w:type="dxa"/>
            <w:vAlign w:val="bottom"/>
          </w:tcPr>
          <w:p>
            <w:pPr>
              <w:spacing w:after="0"/>
              <w:rPr>
                <w:sz w:val="1"/>
                <w:szCs w:val="1"/>
                <w:color w:val="auto"/>
              </w:rPr>
            </w:pPr>
          </w:p>
        </w:tc>
      </w:tr>
      <w:tr>
        <w:trPr>
          <w:trHeight w:val="193"/>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23,513</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282,544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1,202,972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(679,461)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418,367</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3780" w:type="dxa"/>
            <w:vAlign w:val="bottom"/>
          </w:tcPr>
          <w:p>
            <w:pPr>
              <w:spacing w:after="0"/>
              <w:rPr>
                <w:sz w:val="24"/>
                <w:szCs w:val="24"/>
                <w:color w:val="auto"/>
              </w:rPr>
            </w:pPr>
          </w:p>
        </w:tc>
        <w:tc>
          <w:tcPr>
            <w:tcW w:w="2140" w:type="dxa"/>
            <w:vAlign w:val="bottom"/>
            <w:gridSpan w:val="5"/>
          </w:tcPr>
          <w:p>
            <w:pPr>
              <w:ind w:left="6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78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80" w:type="dxa"/>
            <w:vAlign w:val="bottom"/>
          </w:tcPr>
          <w:p>
            <w:pPr>
              <w:spacing w:after="0"/>
              <w:rPr>
                <w:sz w:val="6"/>
                <w:szCs w:val="6"/>
                <w:color w:val="auto"/>
              </w:rPr>
            </w:pPr>
          </w:p>
        </w:tc>
        <w:tc>
          <w:tcPr>
            <w:tcW w:w="90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6"/>
                <w:szCs w:val="6"/>
                <w:color w:val="auto"/>
              </w:rPr>
            </w:pPr>
          </w:p>
        </w:tc>
        <w:tc>
          <w:tcPr>
            <w:tcW w:w="9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Earnings /</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80" w:type="dxa"/>
            <w:vAlign w:val="bottom"/>
          </w:tcPr>
          <w:p>
            <w:pPr>
              <w:spacing w:after="0"/>
              <w:rPr>
                <w:sz w:val="11"/>
                <w:szCs w:val="11"/>
                <w:color w:val="auto"/>
              </w:rPr>
            </w:pP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(Loss) Income</w:t>
            </w:r>
          </w:p>
        </w:tc>
        <w:tc>
          <w:tcPr>
            <w:tcW w:w="200" w:type="dxa"/>
            <w:vAlign w:val="bottom"/>
          </w:tcPr>
          <w:p>
            <w:pPr>
              <w:spacing w:after="0"/>
              <w:rPr>
                <w:sz w:val="12"/>
                <w:szCs w:val="12"/>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5"/>
        </w:trPr>
        <w:tc>
          <w:tcPr>
            <w:tcW w:w="37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282,421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1,189,622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350,238</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14,425</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32,631</w:t>
            </w:r>
          </w:p>
        </w:tc>
        <w:tc>
          <w:tcPr>
            <w:tcW w:w="0" w:type="dxa"/>
            <w:vAlign w:val="bottom"/>
          </w:tcPr>
          <w:p>
            <w:pPr>
              <w:spacing w:after="0"/>
              <w:rPr>
                <w:sz w:val="1"/>
                <w:szCs w:val="1"/>
                <w:color w:val="auto"/>
              </w:rPr>
            </w:pPr>
          </w:p>
        </w:tc>
      </w:tr>
      <w:tr>
        <w:trPr>
          <w:trHeight w:val="193"/>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26,355</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282,544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1,202,972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(679,461)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418,367</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Sotera Health Company (also referred to herein as the “Company,” “we,” “our,” “us” or “its”),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end-to-end sterilization solutions, lab testing and advisory services for the healthcare industry with operations primarily in the Americas, Europe and Asia.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report in three segments, Sterigenics, Nordion and Nelson Labs. We describe our reportable segments in Note 16, “Segment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5"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In preparing our consolidated financial statements in conformity with U.S. Generally Accepted Accounting Principles (“GAAP”),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Interim Financial Statements </w:t>
      </w:r>
      <w:r>
        <w:rPr>
          <w:rFonts w:ascii="Times New Roman" w:cs="Times New Roman" w:eastAsia="Times New Roman" w:hAnsi="Times New Roman"/>
          <w:sz w:val="18"/>
          <w:szCs w:val="18"/>
          <w:color w:val="auto"/>
        </w:rPr>
        <w:t>– The accompanying consolidated financial statements include the assets, liabilities, operating results, and cash flows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wholly owned subsidiaries. These financial statements are prepared in accordance with GAAP for interim financial information, the instructions to the Quarterly Report on Form 10-Q and Rule 10-01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2023 10-K.</w:t>
      </w:r>
    </w:p>
    <w:p>
      <w:pPr>
        <w:spacing w:after="0" w:line="28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 Updates (“ASU”) Issued But Not Yet Adopted</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2023-07-Segment Reporting (Topic 280): Improvements to Reportable Segment Disclosures. The amendments in ASU 2023-07 require an entity to provide enhanced disclosures about significant segment expenses. The amendments in this ASU are effective for fiscal years beginning after December 15, 2023, and interim periods within fiscal years beginning after December 15, 2024. Early adoption is permitted. The Company is in the process of evaluating the impact of this standard on our consolidated financial statements and disclosures.</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The Company is in the process of evaluating the impact of this standard on our consolidated financial statements and disclosures.</w:t>
      </w:r>
    </w:p>
    <w:p>
      <w:pPr>
        <w:spacing w:after="0" w:line="29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three and six months ended June 30,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217,328</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59,266</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176,354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58,996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3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500" w:type="dxa"/>
            <w:vAlign w:val="bottom"/>
          </w:tcPr>
          <w:p>
            <w:pPr>
              <w:spacing w:after="0"/>
              <w:rPr>
                <w:sz w:val="13"/>
                <w:szCs w:val="13"/>
                <w:color w:val="auto"/>
              </w:rPr>
            </w:pPr>
          </w:p>
        </w:tc>
      </w:tr>
      <w:tr>
        <w:trPr>
          <w:trHeight w:val="48"/>
        </w:trPr>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186"/>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4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5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Consolidated</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197,243</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58,039</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31,975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56,717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406,876</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117,894</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342,851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116,668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364,828</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111,044</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326,587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40,526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108,759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475,872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totaled $13.0 million and $13.5 million at June 30, 2024 and December 31, 2023, respectively. We recognize deferred revenue after we have transferred control of the goods or services to the customer and all revenue recognition criteria are met.</w:t>
      </w:r>
    </w:p>
    <w:p>
      <w:pPr>
        <w:spacing w:after="0" w:line="28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20"/>
                <w:szCs w:val="20"/>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2720" w:type="dxa"/>
            <w:vAlign w:val="bottom"/>
            <w:tcBorders>
              <w:bottom w:val="single" w:sz="8" w:color="CCEEFF"/>
            </w:tcBorders>
          </w:tcPr>
          <w:p>
            <w:pPr>
              <w:spacing w:after="0"/>
              <w:rPr>
                <w:sz w:val="3"/>
                <w:szCs w:val="3"/>
                <w:color w:val="auto"/>
              </w:rPr>
            </w:pPr>
          </w:p>
        </w:tc>
        <w:tc>
          <w:tcPr>
            <w:tcW w:w="3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7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58,101</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3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4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57,872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8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720" w:type="dxa"/>
            <w:vAlign w:val="bottom"/>
            <w:tcBorders>
              <w:bottom w:val="single" w:sz="8" w:color="9A9A9A"/>
            </w:tcBorders>
          </w:tcPr>
          <w:p>
            <w:pPr>
              <w:spacing w:after="0"/>
              <w:rPr>
                <w:sz w:val="13"/>
                <w:szCs w:val="13"/>
                <w:color w:val="auto"/>
              </w:rPr>
            </w:pPr>
          </w:p>
        </w:tc>
        <w:tc>
          <w:tcPr>
            <w:tcW w:w="34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contract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21,599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56,652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0" w:type="dxa"/>
            <w:vAlign w:val="bottom"/>
          </w:tcPr>
          <w:p>
            <w:pPr>
              <w:spacing w:after="0"/>
              <w:rPr>
                <w:sz w:val="1"/>
                <w:szCs w:val="1"/>
                <w:color w:val="auto"/>
              </w:rPr>
            </w:pPr>
          </w:p>
        </w:tc>
      </w:tr>
      <w:tr>
        <w:trPr>
          <w:trHeight w:val="21"/>
        </w:trPr>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Changes to goodwill during the six months ended June 30, 2024 were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80" w:type="dxa"/>
            <w:vAlign w:val="bottom"/>
          </w:tcPr>
          <w:p>
            <w:pPr>
              <w:spacing w:after="0"/>
              <w:rPr>
                <w:sz w:val="24"/>
                <w:szCs w:val="24"/>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8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Goodwill at December 31, 2023</w:t>
            </w: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3"/>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659,888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276,929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174,373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Goodwill at June 30, 2024</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656,577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268,347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173,382</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1,098,306</w:t>
            </w: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52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652,688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511,941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75,453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4,448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946,063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680,045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2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76,229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101,920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1,047,983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76"/>
        </w:trPr>
        <w:tc>
          <w:tcPr>
            <w:tcW w:w="20" w:type="dxa"/>
            <w:vAlign w:val="bottom"/>
          </w:tcPr>
          <w:p>
            <w:pPr>
              <w:spacing w:after="0"/>
              <w:rPr>
                <w:sz w:val="15"/>
                <w:szCs w:val="15"/>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67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657,673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485,188</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56,846</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107,561</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r>
      <w:tr>
        <w:trPr>
          <w:trHeight w:val="237"/>
        </w:trPr>
        <w:tc>
          <w:tcPr>
            <w:tcW w:w="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967,350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655,562</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78,684</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1,071,880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655,562</w:t>
            </w: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60" w:hanging="332"/>
        <w:spacing w:after="0" w:line="241" w:lineRule="auto"/>
        <w:tabs>
          <w:tab w:leader="none" w:pos="33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10-year license period as Nordion has demonstrated over its 75 years of history.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225"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$19.8 million and $20.5 million for the three months ended June 30, 2024 and 2023, respectively. $15.4 million and $16.1 million was included in “Amortization of intangible assets” in the Consolidated Statements of Operations and Comprehensive Income (Loss) for the three months ended June 30, 2024 and 2023, respectively, whereas the remainder was included in “Cost of revenues.”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$39.9 million and $41.1 million for the six months ended June 30, 2024 and 2023, respectively. $31.1 million and $32.3 million was included in “Amortization of intangible assets” in the Consolidated Statements of Operations and Comprehensive Income (Loss) for the three and six months ended June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2024</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39,468</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42,138</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22,039</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20,962</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20,414</w:t>
            </w:r>
          </w:p>
        </w:tc>
      </w:tr>
      <w:tr>
        <w:trPr>
          <w:trHeight w:val="243"/>
        </w:trPr>
        <w:tc>
          <w:tcPr>
            <w:tcW w:w="2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120,997</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266,018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useful life of the finite-lived intangible assets was approximately nine years as of June 30, 2024.</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20"/>
                <w:szCs w:val="20"/>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EO litigation settlement reserve</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EO litigation settlement reserve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legal reserves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122,471</w:t>
            </w:r>
          </w:p>
        </w:tc>
        <w:tc>
          <w:tcPr>
            <w:tcW w:w="0" w:type="dxa"/>
            <w:vAlign w:val="bottom"/>
          </w:tcPr>
          <w:p>
            <w:pPr>
              <w:spacing w:after="0"/>
              <w:rPr>
                <w:sz w:val="1"/>
                <w:szCs w:val="1"/>
                <w:color w:val="auto"/>
              </w:rPr>
            </w:pPr>
          </w:p>
        </w:tc>
      </w:tr>
      <w:tr>
        <w:trPr>
          <w:trHeight w:val="21"/>
        </w:trPr>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7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7"/>
                <w:szCs w:val="17"/>
                <w:color w:val="auto"/>
              </w:rPr>
            </w:pP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7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 due 2031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due 2031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1,509,350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1,478,606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2,259,350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2,248,030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(23,565)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6"/>
                <w:szCs w:val="16"/>
                <w:color w:val="auto"/>
              </w:rPr>
            </w:pP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7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due 2026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B, due 2026</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477,275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2,255,600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total borrowing capacity under the Revolving Credit Facility is $423.8 million. The Senior Secured Credit Facilities also provide SHH the right at any time and under certain conditions to request</w:t>
      </w:r>
    </w:p>
    <w:p>
      <w:pPr>
        <w:sectPr>
          <w:pgSz w:w="11900" w:h="16838" w:orient="portrait"/>
          <w:cols w:equalWidth="0" w:num="1">
            <w:col w:w="11240"/>
          </w:cols>
          <w:pgMar w:left="320" w:top="130" w:right="339" w:bottom="1149"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149"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term loans or incremental revolving credit commitments based on a formula defined in the Senior Secured Credit Facilities.</w:t>
      </w:r>
    </w:p>
    <w:p>
      <w:pPr>
        <w:spacing w:after="0" w:line="2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30, 2024, the Company and SHH entered into Amendment No. 4 (“Amendment No. 4”) to the Senior Secured Credit Facilities. Among other changes, Amendment No. 4 provides for term loans (the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are also subject to a “soft call” premium of 1.00% for certain repricing transactions with respect to the Refinancing Term Loans that occur within the six-month period after the effective date of Amendment No. 4. The Refinancing Term Loans amortize at a rate of 1.00% per annum and mature on May 30, 2031. The weighted average interest rate on borrowings under the Refinancing Term Loans for the three months ended June 30, 2024 was 8.58%.</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30, 2024, SHH, the Company and certain subsidiaries of the Company (the “Guarantors”), and Wilmington Trust, National Association, as trustee, paying agent, registrar, transfer agent and notes collateral agent, entered into an indenture (the “Indenture”) governing SHH’s newly issued $750.0 million aggregate principal amount of 7.375% senior secured notes due 2031 (the “Secured Notes”). The Secured Notes will pay interest semiannually in arrears on June 1 and December 1 of each year, beginning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after the issue date, at a redemption price equal to 103% of the aggregate principal amount thereof, plus accrued and unpaid interest, if any, thereon to, but excluding, the redemption date.</w:t>
      </w:r>
    </w:p>
    <w:p>
      <w:pPr>
        <w:spacing w:after="0" w:line="22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obligations under the Indenture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used the combined net proceeds from the Refinancing Terms Loans and Secured Notes, along with cash on hand, to refinance its existing $1,763.1 million Term Loan due 2026 and $496.3 million Term Loan B due 2026.</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March 1, 2024, the Company and SHH entered into Amendment No. 3 (“Amendment No. 3”) to the Revolving Credit Facility. Among other changes, Amendment No. 3 provides (i) for new commitments under the existing Revolving Credit Facility to replace the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 June 30, 2024, we were in compliance with all of the covenants under the Senior Secured Credit Facilities and the Indenture.</w:t>
      </w:r>
    </w:p>
    <w:p>
      <w:pPr>
        <w:spacing w:after="0" w:line="18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and the Indenture are unconditionally guaranteed by the Company and each existing and subsequently acquired or organized direct or indirect wholly 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the borrower and guarantors, subject to permitted liens and other exceptions and exclusions, as outlined in the Senior Secured Credit Facilities, the Indenture and the Security Agreement.</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June 30, 2024, the Company had $23.7 million of letters of credit issued against the Revolving Credit Facility, resulting in total availability under the Revolving Credit Facility of $400.1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Interest Rate Risk Management</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rFonts w:ascii="Times New Roman" w:cs="Times New Roman" w:eastAsia="Times New Roman" w:hAnsi="Times New Roman"/>
          <w:sz w:val="18"/>
          <w:szCs w:val="18"/>
          <w:i w:val="1"/>
          <w:iCs w:val="1"/>
          <w:color w:val="auto"/>
        </w:rPr>
        <w:t>“Derivative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Maturities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the Company’s long-term debt, excluding debt discounts, as of June 30, 2024,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2,195,201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2,259,350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Our effective tax rates were 42.2% and 42.4% for the three and six months ended June 30, 2024, respectively, compared to 31.8% and 33.9% for the three and six months ended June 30, 2023, respectively.</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Income tax expense for the three and six months ended June 30, 2024 differed from the statutory rate primarily due to the valuation allowance attributable to the limitation on the deductibility of interest expense and the impact of the foreign rate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differential, partially offset by a benefit for state income taxes. Income tax expense for the three and six months ended June 30, 2023 differed from the statutory rate primarily due to a net increase in the valuation allowance attributable to the limitation on the deductibility of interest expense, the impact of the foreign rate differential, and global intangible low-tax income (“GILTI”). Income tax expense for the six months ended June 30, 2023 was also favorably impacted by a benefit for state income taxes.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11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following defined benefit pension plan disclosure relates to Nordion. Certain immaterial foreign defined benefit pension plans have been excluded from the table below. The interest cost, expected return on plan assets and amortization of net actuarial gain are recorded in “Other income, net” and the service cost component is included in the same financial statement line item as the applicable employee’s wages in the Consolidated Statements of Operations and Comprehensive Income (Loss). The components of net periodic pension benefit for the defined benefit plan for the three and six months ended June 30, 2024 and 2023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 plans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but one non-pension post-employment benefit plans are unfunded. The components of net periodic benefit cost for the other benefit plans for the three and six months ended June 30, 2024 and 2023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5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100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currently has no funding requirements as the Nordion pension plan has a going concern surplus as defined by Canadian federal regulation, which requires solvency testing on defined benefit pension plans on an annual basis.</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may obtain a qualifying letter of credit for solvency payments, up to 15% of the market value of solvency liabilities as determined on the valuation date, instead of paying cash into the pension fund. As of June 30, 2024 and December 31, 2023, we had letters of credit outstanding relating to the defined benefit plans totaling $15.9 million and $16.0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Comprehensive Income (Loss)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Amounts in accumulated other comprehensive income (loss) are presented net of the related tax. Foreign currency translation is not adjusted for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applicable tax,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40" w:type="dxa"/>
            <w:vAlign w:val="bottom"/>
          </w:tcPr>
          <w:p>
            <w:pPr>
              <w:spacing w:after="0"/>
              <w:rPr>
                <w:sz w:val="17"/>
                <w:szCs w:val="17"/>
                <w:color w:val="auto"/>
              </w:rPr>
            </w:pPr>
          </w:p>
        </w:tc>
        <w:tc>
          <w:tcPr>
            <w:tcW w:w="1060" w:type="dxa"/>
            <w:vAlign w:val="bottom"/>
            <w:gridSpan w:val="2"/>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300" w:type="dxa"/>
            <w:vAlign w:val="bottom"/>
          </w:tcPr>
          <w:p>
            <w:pPr>
              <w:spacing w:after="0"/>
              <w:rPr>
                <w:sz w:val="17"/>
                <w:szCs w:val="17"/>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700"/>
              <w:spacing w:after="0" w:line="145" w:lineRule="exact"/>
              <w:rPr>
                <w:sz w:val="20"/>
                <w:szCs w:val="20"/>
                <w:color w:val="auto"/>
              </w:rPr>
            </w:pPr>
            <w:r>
              <w:rPr>
                <w:rFonts w:ascii="Times New Roman" w:cs="Times New Roman" w:eastAsia="Times New Roman" w:hAnsi="Times New Roman"/>
                <w:sz w:val="16"/>
                <w:szCs w:val="16"/>
                <w:b w:val="1"/>
                <w:bCs w:val="1"/>
                <w:color w:val="auto"/>
              </w:rPr>
              <w:t>Plans</w:t>
            </w:r>
          </w:p>
        </w:tc>
        <w:tc>
          <w:tcPr>
            <w:tcW w:w="240" w:type="dxa"/>
            <w:vAlign w:val="bottom"/>
          </w:tcPr>
          <w:p>
            <w:pPr>
              <w:spacing w:after="0"/>
              <w:rPr>
                <w:sz w:val="14"/>
                <w:szCs w:val="14"/>
                <w:color w:val="auto"/>
              </w:rPr>
            </w:pPr>
          </w:p>
        </w:tc>
        <w:tc>
          <w:tcPr>
            <w:tcW w:w="10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April 1, 2024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(7,184)</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(118,737)</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6,065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(119,856)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(23,110)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restart"/>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1,177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(21,870)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3"/>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1"/>
                <w:szCs w:val="11"/>
                <w:color w:val="auto"/>
              </w:rPr>
              <w:t>(a)</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(3,638) </w:t>
            </w:r>
            <w:r>
              <w:rPr>
                <w:rFonts w:ascii="Times New Roman" w:cs="Times New Roman" w:eastAsia="Times New Roman" w:hAnsi="Times New Roman"/>
                <w:sz w:val="11"/>
                <w:szCs w:val="11"/>
                <w:color w:val="auto"/>
              </w:rPr>
              <w:t>(b)</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(3,671)</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vMerge w:val="continue"/>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(23,110)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rPr>
              <w:t>(2,461)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(25,541)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June 30,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(7,154)</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(141,847)</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3,604</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2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(91,031)</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5,646</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(92,682)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restart"/>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5,228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(45,379)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3"/>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1"/>
                <w:szCs w:val="11"/>
                <w:color w:val="auto"/>
              </w:rPr>
              <w:t>(a)</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(7,270) </w:t>
            </w:r>
            <w:r>
              <w:rPr>
                <w:rFonts w:ascii="Times New Roman" w:cs="Times New Roman" w:eastAsia="Times New Roman" w:hAnsi="Times New Roman"/>
                <w:sz w:val="11"/>
                <w:szCs w:val="11"/>
                <w:color w:val="auto"/>
              </w:rPr>
              <w:t>(b)</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(7,336)</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vMerge w:val="continue"/>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(50,816)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rPr>
              <w:t>(2,042)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June 30,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(7,154)</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(141,847)</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3,604</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Plans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32"/>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April 1, 2023</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21,374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1"/>
                <w:szCs w:val="11"/>
                <w:color w:val="auto"/>
              </w:rPr>
              <w:t>(a)</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21,374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June 30, 2023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2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2023</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32,631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1"/>
                <w:szCs w:val="11"/>
                <w:color w:val="auto"/>
              </w:rPr>
              <w:t>(a)</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32,631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June 30, 2023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right="240" w:hanging="492"/>
        <w:spacing w:after="0" w:line="282" w:lineRule="auto"/>
        <w:tabs>
          <w:tab w:leader="none" w:pos="4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defined benefit pension plans, amounts reclassified from accumulated other comprehensive income (loss) are recorded to “Other income, net” within the Consolidated Statements of Operations and Comprehensive Income (Loss).</w:t>
      </w:r>
    </w:p>
    <w:p>
      <w:pPr>
        <w:spacing w:after="0" w:line="53" w:lineRule="exact"/>
        <w:rPr>
          <w:rFonts w:ascii="Times New Roman" w:cs="Times New Roman" w:eastAsia="Times New Roman" w:hAnsi="Times New Roman"/>
          <w:sz w:val="18"/>
          <w:szCs w:val="18"/>
          <w:color w:val="auto"/>
        </w:rPr>
      </w:pPr>
    </w:p>
    <w:p>
      <w:pPr>
        <w:ind w:left="500" w:right="500" w:hanging="492"/>
        <w:spacing w:after="0" w:line="282" w:lineRule="auto"/>
        <w:tabs>
          <w:tab w:leader="none" w:pos="4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derivatives, amounts reclassified from accumulated other comprehensive income (loss) are recorded to “Interest expense, net” within the Consolidated Statements of Operations and Comprehensive Income (Loss).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Pre-IPO Awards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vest as of the date of consummation of such change in control, subject to the grantee’s continued services through the consummation of the change in control.</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Restricted stock distributed in respect of pre-IPO Class B-2 Units were considered performance vesting units. The required performance threshold for the vesting of B-2 restricted stock is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20%, subject to such grantee’s continued services through such date. Both performance thresholds were satisfied on March 4, 2024 and, as a result, all outstanding B-2 Units fully vested as of that date. Stock based compensation expense attributed to the pre-IPO Class B-2 awards was recorded in the fourth quarter of 2020 as the related performance conditions were considered probable of achievement and the implied service conditions were met.</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recognized $0.4 million and $0.5 million of share-based compensation expense related to the pre-IPO Class B-1 awards for the three months ended June 30, 2024 and 2023, respectively, and $0.8 million and $1.0 million for the six months ended June 30, 2024 and 2023, respectively.</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summary of the activity for the six months ended June 30, 2024 related to the restricted stock awards distributed in respect of the pre-IPO awards (Class B-1 and B-2 Units) is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r>
      <w:tr>
        <w:trPr>
          <w:trHeight w:val="176"/>
        </w:trPr>
        <w:tc>
          <w:tcPr>
            <w:tcW w:w="82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 Pre-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 Pre-</w:t>
            </w:r>
          </w:p>
        </w:tc>
      </w:tr>
      <w:tr>
        <w:trPr>
          <w:trHeight w:val="190"/>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IPO B-1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IPO B-2</w:t>
            </w: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352,447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987,111</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(144,795)</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(987,111)</w:t>
            </w:r>
          </w:p>
        </w:tc>
      </w:tr>
      <w:tr>
        <w:trPr>
          <w:trHeight w:val="26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2024</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205,002</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Omnibus Incentive Plan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recognized $9.8 million ($4.6 million for stock options and $5.2 million for RSUs) and $7.9 million ($3.7 million for stock options and $4.2 million for RSUs) of share-based compensation expense for these awards for the three months ended June 30, 2024 and 2023, respectively. We recognized $18.1 million ($8.6 million for stock options and $9.5 million for RSUs) and $14.7 million ($6.8 million for stock options and $7.9 million for RSUs) for the six months ended June 30, 2024 and 2023, respectively, in our Consolidated Statements of Operations and Comprehensive Income (Loss), in “Selling,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six months ended June 30, 2024:</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786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4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37"/>
        </w:trPr>
        <w:tc>
          <w:tcPr>
            <w:tcW w:w="786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7"/>
        </w:trPr>
        <w:tc>
          <w:tcPr>
            <w:tcW w:w="7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6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8,478,579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r>
      <w:tr>
        <w:trPr>
          <w:trHeight w:val="20"/>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were 4.2 million vested and exercisable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RSUs generally vest ratably over a period of one to four years and are valued based on our market price on the date of grant. The following table summarizes our unvested RSUs activity for the six months ended June 30,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2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0"/>
        </w:trPr>
        <w:tc>
          <w:tcPr>
            <w:tcW w:w="74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20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50"/>
        </w:trPr>
        <w:tc>
          <w:tcPr>
            <w:tcW w:w="744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43"/>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7"/>
        </w:trPr>
        <w:tc>
          <w:tcPr>
            <w:tcW w:w="7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43"/>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7"/>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2,893,635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As of March 4, 2024, the performance threshold applicable to all Class B-2 restricted stock awards were fully satisfied, thereby releasing the vesting and forfeiture restrictions on these common shares. Beginning on that date, B-2 restricted stock was not included in the earnings allocation. Diluted earnings per share is computed using the more dilutive of (a) the two-class method, or (b) treasury stock method, as applicable, to the potentially dilutive instruments.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basic and diluted earnings per common share are calculated as follows: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9"/>
                <w:szCs w:val="19"/>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9"/>
                <w:szCs w:val="19"/>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of U.S. dollars and share amounts (except per share amounts)</w:t>
            </w:r>
          </w:p>
        </w:tc>
        <w:tc>
          <w:tcPr>
            <w:tcW w:w="200" w:type="dxa"/>
            <w:vAlign w:val="bottom"/>
          </w:tcPr>
          <w:p>
            <w:pPr>
              <w:spacing w:after="0"/>
              <w:rPr>
                <w:sz w:val="13"/>
                <w:szCs w:val="13"/>
                <w:color w:val="auto"/>
              </w:rPr>
            </w:pPr>
          </w:p>
        </w:tc>
        <w:tc>
          <w:tcPr>
            <w:tcW w:w="900" w:type="dxa"/>
            <w:vAlign w:val="bottom"/>
            <w:gridSpan w:val="2"/>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348"/>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3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23,513</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15,077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Allocation to participating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attributable to Sotera Health Company common shareholders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23,376</w:t>
            </w: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15,044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282,894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280,893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282,403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280,793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effect of potential common shares</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2,254</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1,861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284,541</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283,147</w:t>
            </w: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284,264</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283,040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attributable to Sotera Health Company common</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shareholders - basic</w:t>
            </w:r>
          </w:p>
        </w:tc>
        <w:tc>
          <w:tcPr>
            <w:tcW w:w="20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attributable to Sotera Health Company common</w:t>
            </w:r>
          </w:p>
        </w:tc>
        <w:tc>
          <w:tcPr>
            <w:tcW w:w="20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shareholders - diluted</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 does not consider the following potential common shares as the effect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share amounts</w:t>
            </w:r>
          </w:p>
        </w:tc>
        <w:tc>
          <w:tcPr>
            <w:tcW w:w="13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760" w:type="dxa"/>
            <w:vAlign w:val="bottom"/>
            <w:tcBorders>
              <w:top w:val="single" w:sz="8" w:color="auto"/>
              <w:bottom w:val="single" w:sz="8" w:color="CCEEFF"/>
            </w:tcBorders>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3,928</w:t>
            </w:r>
          </w:p>
        </w:tc>
      </w:tr>
      <w:tr>
        <w:trPr>
          <w:trHeight w:val="243"/>
        </w:trPr>
        <w:tc>
          <w:tcPr>
            <w:tcW w:w="2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1,138</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securities</w:t>
            </w:r>
          </w:p>
        </w:tc>
        <w:tc>
          <w:tcPr>
            <w:tcW w:w="130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Oxide Tort Litigation</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approximately 40 lawsuits in Illinois in which plaintiffs allege personal injuries or wrongful death resulting from purported emissions and releases of EO from Sterigenics’ former Willowbrook facility (the “Willowbrook Cases”). The Willowbrook Cases are pending in the Circuit Court of Cook County and have been assigned to a single judge for coordinated discovery and pretrial proceedings.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vigorously defend the Willowbrook Cases.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Georgia</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lawsuits in Georgia in which plaintiffs allege personal injuries, wrongful death and property devaluation resulting from use, emissions and releases of EO from or at Sterigenics’ Atlanta facility (the “Atlanta Cases”).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Approximately 280 personal injury and wrongful death claims are pending in the State Court of Cobb County and have been consolidated for pretrial purposes (the “Consolidated Personal Injury Cases”). The Consolidated Personal Injury Cases are proceeding under a case management order pursuant to which a “pool” of eight cases will proceed to judicial determination of general causation issues in Phase 1 and specific causation issues in Phase 2; the first trial of any “pool” case that survives Phases 1 and 2 is not expected to begin before September 2025. The remaining Consolidated Personal Injury Cases (including nine cases that include both personal injury and property claims) are stayed. Two additional personal injury lawsuits pending in Cobb County have not been consolidated. The parties have jointly asked the court to stay one of these cases along with the stayed cases in the Consolidated Personal Injury Cases. In the other case, employees of a sterilization customer of Sterigenics allege they were injured while working at the customer’s distribution facility by exposure to residual EO allegedly emanating from products of the customer that had been sterilized at Sterigenics’ Atlanta facility; discovery is underway and, pursuant to the customer’s contract with Sterigenics, the customer is indemnifying Sterigenics against this lawsuit.</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Subsidiaries of the Company are also defendants in approximately 365 property devaluation lawsuits pending in the State Court of Cobb County that have been consolidated for pretrial purposes (the “Consolidated Property Cases”). Nine of the Consolidated Property Cases are proceeding under case management orders and the remaining cases are stayed.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vigorously defend the Atlanta Cases.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two lawsuits in Los Angeles County Superior Court in which plaintiffs allege personal injuries and wrongful death resulting from emissions and releases of EO from Sterigenics’ Vernon facilities (the “Vernon Cases”). The lawsuits remain in preliminary stages.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vigorously defend the Vernon Cases.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Mexico</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and certain subsidiaries are defendants in a lawsuit in the Third Judicial District Court, Doña Ana County, New Mexico in which the New Mexico Attorney General ( “NMAG”) alleges that emissions and releases of EO from Sterigenics’ facility in Santa Teresa have deteriorated the air quality in surrounding communities and materially contributed to increased health risks for residents of those communities. In April 2024, the Court of Appeals of the State of New Mexico denied the NMAG’s petition for leave to file an interlocutory appeal of the August 2023 order granting Sterigenics’ motion for summary</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judgment on strict liability, the Unfair Practices Act claim, and the claims for decreased property values, increased healthcare costs and medical monitoring costs. The case has been remanded to the District Court of Doña Ana County for further proceedings on the remaining claims. The case is set for trial in July 2026. A defense motion challenging the Court’s jurisdiction over Sotera Health Company and another defendant remains pending.</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Sterigenics and certain other subsidiaries are also defendants in a lawsuit pending in the United States District Court for the District of New Mexico alleging wrongful death resulting from purported exposure to EO used, emitted and released from Sterigenics’ facility in Santa Teresa while the decedent was working at a different company’s facility approximately one mile away. The case is set for trial in October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vigorously defend the lawsuits relating to the Santa Teresa facility.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 EO tort lawsuits may be filed in the future against the Company and/or its subsidiaries relating to Sterigenics’ Willowbrook, Atlanta, Santa Teresa, Vernon or other EO facilities. Based on our view of the strength of the science and related evidence that emissions of EO from Sterigenics’ operations have not caused and could not have caused the harms alleged in such lawsuits, we believe that losses in the remaining or future EO cases are not probable. Although the Company intends to defend itself vigorously on the merits, future settlements of EO tort lawsuits are reasonably possible. The Willowbrook and Atlanta Settlements (as previously defined in Note 20, Commitments and Contingencies of our 2023 10-K) were driven by dynamics unique to the cases that were settled and thus should not give rise to presumptions that the Company will settle additional EO tort lawsuits and/or that any such settlements will be for comparable amounts.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Potential trial and settlement outcomes can vary widely based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Insurance Coverage for Environmental Liabilities</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 environmental liability insurance policy under which we have received coverage for the EO tort lawsuits in Illinois, Georgia and New Mexico described above had limits of $10.0 million per occurrence and $20.0 million in the aggregate. Those per occurrence and aggregate limits were fully utilized in the defense of the Illinois, Georgia and New Mexico litigation. Our insurance for future alleged environmental liabilities excludes coverage for EO claims.</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pursuing additional insurance coverage for our legal expenses related to EO tort lawsuits like the Illinois, Georgia, California and New Mexico matters described above. In 2021, Sterigenics filed an insurance coverage lawsuit in the U.S. District Court for the Northern District of Illinois relating to two commercial general liability policies issued in the 1980s (the “Northern District of Illinois Coverage Lawsuit”). The court issued an order declaring that the defendant insurer owes Sterigenics and another insured party a duty to defend the Willowbrook Cases (the “Duty to Defend Order”) and entered judgment for Sterigenics in January 2024 in the amount of $110.2 million for certain defense costs incurred in the Willowbrook Cases as of August 2022 (the “Defense Costs Judgment”). The defendant insurer has appealed the Duty to Defend Order and Defense Costs Judgment. Sterigenics is also a party in insurance coverage lawsuits pending in the Circuit Court of Cook County, Illinois and the Delaware Superior Court relating to insurance coverage from various historical commercial general liability policies for certain EO litigation settlement amounts and defense costs that the insurer in the Northern District of Illinois Coverage Lawsuit may fail to fund. The Delaware Superior Court case is stayed pending resolution of the coverage lawsuit in the Circuit Court of Cook County, Illinois. It is not possible to predict how much, if any, of the insurance proceeds sought will ultimately be recovered.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Sotera Health Company Securities Litigation &amp; Related Matters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2023, a stockholder class action was filed in the U.S. District Court for the Northern District of Ohio 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or between November 20, 2020 and September 19, 2022 (the “Proposed Class”). The Michigan Funds allege that statements made regarding the safety of the Company’s use of EO and/or its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Defendants have moved to dismiss the Amended Complaint and that motion remains pending.</w:t>
      </w:r>
    </w:p>
    <w:p>
      <w:pPr>
        <w:spacing w:after="0" w:line="1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has also received demands pursuant to 8 Del. C. §220 for inspections of its books and records (“220 Demands”) from shareholders purporting to investigate potential wrongdoing by Company fiduciaries and other issues. The Company has produced documents in response to the 220 Demands and may produce additional documents.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a stockholder derivative lawsuit was filed in the Court of Chancery of the State of Delaware for the benefit of the Company as the nominal defendant (“the May 2024 Derivative Litigation”). The May 2024 Derivative Litigation plaintiffs allege breaches of fiduciary duties, insider trading, unjust enrichment and other violations by certain past and present directors and senior executives of the Company and the Company’s private equity stockholders. On June 25, 2024, the court stayed the May 2024 Derivative Litigation pending a ruling on the merits on the motion to dismiss the Amended Complaint in the Michigan Funds Litigation.</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believes that the allegations and claims in the Michigan Funds Litigation, 220 Demands and May 2024 Derivative Litigation are without merit, and plans to vigorously defend the Michigan Funds Litigation and May 2024 Derivative Litigation.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 and Financial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in Hedge Relationships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2023, we entered into an interest rate swap agreement with a notional amount of $400.0 million. The interest rate swap was effective on August 23, 2023 and expires on August 23, 2025. We have designated the interest rate swap as a cash flow hedge designed to hedge the variability of cash flows attributable to changes in the SOFR benchmark interest rate of our variable rate borrowings. We receive interest at the one-month Term SOFR rate and pay a fixed interest rate under the terms of the swap agreement.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May 2022, we entered into two interest rate cap agreements with a combined notional amount of $1,000.0 million for a total option premium of $4.1 million. The interest rate caps became effective as of July 31, 2023 and expired on July 31, 2024. We designated these interest rate caps as cash flow hedges designed to hedge the variability of cash flows attributable to changes in the benchmark interest rate of our variable rate borrowings. Accordingly, the interest rate cap agreements hedged the variability of cash flows attributable to changes in SOFR by limiting our cash flow exposure related to Term SOFR under a portion of our variable rate borrowings to 3.5%.</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in Hedge Relationships</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the value recorded in “Interest expense, net” in the Consolidated Statements of Operations and Comprehensive Income (Loss).</w:t>
      </w:r>
    </w:p>
    <w:p>
      <w:pPr>
        <w:spacing w:after="0" w:line="20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expense (income), net” in the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notional and fair values of our derivative instruments: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U.S. Dollars; notional in millions, fair value in thousands)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ind w:left="660"/>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jc w:val="right"/>
              <w:ind w:right="713"/>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48"/>
        </w:trPr>
        <w:tc>
          <w:tcPr>
            <w:tcW w:w="2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4"/>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12"/>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33"/>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caps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1,528</w:t>
            </w:r>
          </w:p>
        </w:tc>
        <w:tc>
          <w:tcPr>
            <w:tcW w:w="2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8,763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3,817</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1,487</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20" w:type="dxa"/>
            <w:vAlign w:val="bottom"/>
          </w:tcPr>
          <w:p>
            <w:pPr>
              <w:spacing w:after="0"/>
              <w:rPr>
                <w:sz w:val="21"/>
                <w:szCs w:val="21"/>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Embedded derivatives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136.7</w:t>
            </w:r>
          </w:p>
        </w:tc>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1,571</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3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1,741.1</w:t>
            </w:r>
          </w:p>
        </w:tc>
        <w:tc>
          <w:tcPr>
            <w:tcW w:w="2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11,624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Represents the total notional amounts for certain of the Company’s supply and sales contracts accounted for as embedded derivatives.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Embedded derivative assets/liabilities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respectively, on the Consolidated Balance Sheets depending upon their position at period end.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of our derivative instruments for the periods presented, and the line item in which they are recorded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3"/>
                <w:szCs w:val="13"/>
                <w:color w:val="auto"/>
              </w:rPr>
            </w:pPr>
          </w:p>
        </w:tc>
        <w:tc>
          <w:tcPr>
            <w:tcW w:w="20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interest rate derivatives recorded in interest expense, net</w:t>
            </w:r>
            <w:r>
              <w:rPr>
                <w:rFonts w:ascii="Times New Roman" w:cs="Times New Roman" w:eastAsia="Times New Roman" w:hAnsi="Times New Roman"/>
                <w:sz w:val="23"/>
                <w:szCs w:val="23"/>
                <w:color w:val="auto"/>
                <w:vertAlign w:val="superscript"/>
              </w:rPr>
              <w:t>(a)</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(4,906)</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(9,802)</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(18,571)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(gain) on embedded derivatives recorded in other expense (income),</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1,750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w:t>
            </w: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(gain) on foreign currency forward contracts recorded in foreign</w:t>
            </w:r>
          </w:p>
        </w:tc>
        <w:tc>
          <w:tcPr>
            <w:tcW w:w="1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1,499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5,507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(gain) loss</w:t>
            </w: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(gain) on foreign currency forward contracts recorded in foreign</w:t>
            </w:r>
          </w:p>
        </w:tc>
        <w:tc>
          <w:tcPr>
            <w:tcW w:w="1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653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exchange (gain) loss</w:t>
            </w: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Amounts primarily represent quarterly settlement of interest rate caps and swaps.</w:t>
      </w:r>
    </w:p>
    <w:p>
      <w:pPr>
        <w:spacing w:after="0" w:line="23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expect to reclassify approximately $4.8 million of pre-tax net gains on derivative instruments from accumulated other comprehensive income (loss) to income during the next 12 months associated with our cash flow hedges. Refer to Note 11, “Other Comprehensive Income (Loss)” for unrealized gains on interest rate derivatives, net of applicable tax, recorded in other comprehensive income (loss) and amounts reclassified from accumulated other comprehensive income to interest expense, net of applicable tax, during the three and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June 30, 2024 and December 31, 2023, accounts receivable was net of an allowance for uncollectible accounts of $3.1 million and $4.7 million, respectively.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the fair value of our financial assets and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3"/>
                <w:szCs w:val="13"/>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Senior secured notes, due 2031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749,100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1,494,285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96,285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96,285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Foreign currency forward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Term loan B, due 2026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Term loan, due 2026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B, due 2026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00" w:right="200" w:hanging="492"/>
        <w:spacing w:after="0" w:line="257" w:lineRule="auto"/>
        <w:tabs>
          <w:tab w:leader="none" w:pos="4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and yield curves.</w:t>
      </w:r>
    </w:p>
    <w:p>
      <w:pPr>
        <w:spacing w:after="0" w:line="1" w:lineRule="exact"/>
        <w:rPr>
          <w:rFonts w:ascii="Times New Roman" w:cs="Times New Roman" w:eastAsia="Times New Roman" w:hAnsi="Times New Roman"/>
          <w:sz w:val="18"/>
          <w:szCs w:val="18"/>
          <w:color w:val="auto"/>
        </w:rPr>
      </w:pPr>
    </w:p>
    <w:p>
      <w:pPr>
        <w:ind w:left="500" w:right="40" w:hanging="492"/>
        <w:spacing w:after="0" w:line="250" w:lineRule="auto"/>
        <w:tabs>
          <w:tab w:leader="none" w:pos="4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that are not designated as hedging instruments are measured at fair value with gains or losses recognized immediately in the Consolidated Statements of Operations and Comprehensive Income (Loss). Embedded derivatives are valued using internally developed models that rely on observable market inputs, including foreign currency forward curves. Foreign currency forward contracts are valued by reference to changes in the foreign currency exchange rate over the life of the contract.</w:t>
      </w:r>
    </w:p>
    <w:p>
      <w:pPr>
        <w:spacing w:after="0" w:line="1" w:lineRule="exact"/>
        <w:rPr>
          <w:rFonts w:ascii="Times New Roman" w:cs="Times New Roman" w:eastAsia="Times New Roman" w:hAnsi="Times New Roman"/>
          <w:sz w:val="18"/>
          <w:szCs w:val="18"/>
          <w:color w:val="auto"/>
        </w:rPr>
      </w:pPr>
    </w:p>
    <w:p>
      <w:pPr>
        <w:ind w:left="500" w:right="60" w:hanging="492"/>
        <w:spacing w:after="0" w:line="250" w:lineRule="auto"/>
        <w:tabs>
          <w:tab w:leader="none" w:pos="4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of current portion of long-term debt and long-term debt instruments are reported net of discounts and debt issuance costs. The estimated fair value of these instruments are based upon quoted prices for each Term Loan and the Secured Notes in inactive markets as provided by an independent fixed income security pricing service.</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approximates carrying value.</w:t>
      </w:r>
    </w:p>
    <w:p>
      <w:pPr>
        <w:sectPr>
          <w:pgSz w:w="11900" w:h="16838" w:orient="portrait"/>
          <w:cols w:equalWidth="0" w:num="1">
            <w:col w:w="11240"/>
          </w:cols>
          <w:pgMar w:left="320" w:top="130" w:right="339" w:bottom="81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812"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decision-maker evaluates performance and allocates resources based on net revenues and segment income after the elimination of intercompany activities. The accounting policies of our reportable segments are the same as those described in Note 1, “Significant Accounting Policies” of the Company’s annual consolidated financial statements and accompanying notes in our 2023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pharmaceutical industries.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three customers reported within the Nordion segment individually represented 10% or more of the segment’s total net revenues. These customers represented 20.6%, 17.0% and 10.5% of the total segment’s external net revenues for the three months ended June 30, 2024. For the three months ended June 30, 2023, five customers reported within the Nordion segment individually represented 10% or more of the segment’s total net revenues. These customers represented 31.3%, 13.4%, 12.5%, 10.7% and 10.7% of the total segment’s external net revenues for the three months ended June 30, 2023.</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four customers reported within the Nordion segment individually represented 10% or more of the segment’s total net revenues. These customers represented 20.0%, 12.8%, 12.4% and 10.0% of the total segment’s external net revenues for the six months ended June 30, 2024. For the six months ended June 30, 2023, four customers reported within the Nordion segment individually represented 10% or more of the segment’s total net revenues. These customers represented 26.3%, 17.5%, 10.7% and 10.1% of the total segment's external net revenues for the six months ended June 30, 2023.</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each of our segments is presented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7"/>
                <w:szCs w:val="17"/>
                <w:color w:val="auto"/>
              </w:rPr>
            </w:pPr>
          </w:p>
        </w:tc>
        <w:tc>
          <w:tcPr>
            <w:tcW w:w="126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b w:val="1"/>
                <w:bCs w:val="1"/>
                <w:color w:val="auto"/>
              </w:rPr>
              <w:t>Segment revenues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176,354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166,590</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342,851</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65,251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116,668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276,594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255,282</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524,770</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line="257" w:lineRule="exact"/>
              <w:rPr>
                <w:sz w:val="20"/>
                <w:szCs w:val="20"/>
                <w:color w:val="auto"/>
              </w:rPr>
            </w:pPr>
            <w:r>
              <w:rPr>
                <w:rFonts w:ascii="Times New Roman" w:cs="Times New Roman" w:eastAsia="Times New Roman" w:hAnsi="Times New Roman"/>
                <w:sz w:val="18"/>
                <w:szCs w:val="18"/>
                <w:b w:val="1"/>
                <w:bCs w:val="1"/>
                <w:color w:val="auto"/>
              </w:rPr>
              <w:t>Segment income</w:t>
            </w:r>
            <w:r>
              <w:rPr>
                <w:rFonts w:ascii="Times New Roman" w:cs="Times New Roman" w:eastAsia="Times New Roman" w:hAnsi="Times New Roman"/>
                <w:sz w:val="23"/>
                <w:szCs w:val="23"/>
                <w:color w:val="auto"/>
                <w:vertAlign w:val="superscript"/>
              </w:rPr>
              <w:t>(b)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182,596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34,205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32,478</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128,485</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249,279</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100" w:hanging="492"/>
        <w:spacing w:after="0" w:line="255"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reported net of intersegment sales. Our Nordion segment recognized $17.9 million and $14.7 million in revenues from sales to our Sterigenics segment for the three months ended June 30, 2024 and 2023, respectively, and $27.9 million and $17.6 million in revenues from sales to our Sterigenics segment for the six months ended June 30, 2024 and 2023, respectively, that is not reflected in net revenues in the table above. Intersegment sales for Sterigenics and Nelson Labs are immaterial for these periods.</w:t>
      </w:r>
    </w:p>
    <w:p>
      <w:pPr>
        <w:spacing w:after="0" w:line="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income is only provided on a net basis to the chief operating decision-maker and is reported net of intersegment profits.</w:t>
      </w:r>
    </w:p>
    <w:p>
      <w:pPr>
        <w:spacing w:after="0" w:line="207"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by segment for the six months ended June 30, 2024 and 2023 were as follows:</w:t>
      </w:r>
    </w:p>
    <w:p>
      <w:pPr>
        <w:spacing w:after="0" w:line="282"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30480</wp:posOffset>
            </wp:positionV>
            <wp:extent cx="2451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3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Sterigenics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53,798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73,725</w:t>
            </w:r>
          </w:p>
        </w:tc>
      </w:tr>
      <w:tr>
        <w:trPr>
          <w:trHeight w:val="243"/>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Nordion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19,463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16,283</w:t>
            </w:r>
          </w:p>
        </w:tc>
      </w:tr>
      <w:tr>
        <w:trPr>
          <w:trHeight w:val="27"/>
        </w:trPr>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Nelson Labs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3,550</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r>
      <w:tr>
        <w:trPr>
          <w:trHeight w:val="26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76,811</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98,134</w:t>
            </w: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chief operating decision-maker.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before taxes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9"/>
                <w:szCs w:val="19"/>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24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3"/>
        </w:trPr>
        <w:tc>
          <w:tcPr>
            <w:tcW w:w="56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6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226,953</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p>
      <w:pPr>
        <w:spacing w:after="0" w:line="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43" w:lineRule="exact"/>
        <w:rPr>
          <w:sz w:val="20"/>
          <w:szCs w:val="20"/>
          <w:color w:val="auto"/>
        </w:rPr>
      </w:pPr>
    </w:p>
    <w:p>
      <w:pPr>
        <w:ind w:left="180" w:right="240"/>
        <w:spacing w:after="0" w:line="283" w:lineRule="auto"/>
        <w:rPr>
          <w:sz w:val="20"/>
          <w:szCs w:val="20"/>
          <w:color w:val="auto"/>
        </w:rPr>
      </w:pPr>
      <w:r>
        <w:rPr>
          <w:rFonts w:ascii="Times New Roman" w:cs="Times New Roman" w:eastAsia="Times New Roman" w:hAnsi="Times New Roman"/>
          <w:sz w:val="18"/>
          <w:szCs w:val="18"/>
          <w:color w:val="auto"/>
        </w:rPr>
        <w:t>(Gain) loss on foreign currency and derivatives not designated as hedging instruments, net</w:t>
      </w:r>
      <w:r>
        <w:rPr>
          <w:rFonts w:ascii="Times New Roman" w:cs="Times New Roman" w:eastAsia="Times New Roman" w:hAnsi="Times New Roman"/>
          <w:sz w:val="23"/>
          <w:szCs w:val="23"/>
          <w:color w:val="auto"/>
          <w:vertAlign w:val="superscript"/>
        </w:rPr>
        <w:t>(e)</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(g)</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Secondary offering costs</w:t>
      </w:r>
      <w:r>
        <w:rPr>
          <w:rFonts w:ascii="Times New Roman" w:cs="Times New Roman" w:eastAsia="Times New Roman" w:hAnsi="Times New Roman"/>
          <w:sz w:val="23"/>
          <w:szCs w:val="23"/>
          <w:color w:val="auto"/>
          <w:vertAlign w:val="superscript"/>
        </w:rPr>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(i)</w:t>
      </w:r>
    </w:p>
    <w:p>
      <w:pPr>
        <w:spacing w:after="0" w:line="5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Consolidated income before taxes</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40,388</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59,598</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39,830</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39,490</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80,260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79,028</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10,206</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18,863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0" w:type="dxa"/>
            <w:vAlign w:val="bottom"/>
          </w:tcPr>
          <w:p>
            <w:pPr>
              <w:spacing w:after="0"/>
              <w:rPr>
                <w:sz w:val="1"/>
                <w:szCs w:val="1"/>
                <w:color w:val="auto"/>
              </w:rPr>
            </w:pP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23,400</w:t>
            </w:r>
          </w:p>
        </w:tc>
        <w:tc>
          <w:tcPr>
            <w:tcW w:w="4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24,090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7"/>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(698)</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593</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7,818</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14,157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w:t>
            </w:r>
          </w:p>
        </w:tc>
        <w:tc>
          <w:tcPr>
            <w:tcW w:w="0" w:type="dxa"/>
            <w:vAlign w:val="bottom"/>
          </w:tcPr>
          <w:p>
            <w:pPr>
              <w:spacing w:after="0"/>
              <w:rPr>
                <w:sz w:val="1"/>
                <w:szCs w:val="1"/>
                <w:color w:val="auto"/>
              </w:rPr>
            </w:pPr>
          </w:p>
        </w:tc>
      </w:tr>
      <w:tr>
        <w:trPr>
          <w:trHeight w:val="311"/>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w:t>
            </w:r>
          </w:p>
        </w:tc>
        <w:tc>
          <w:tcPr>
            <w:tcW w:w="4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636</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7"/>
        </w:trPr>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15,142</w:t>
            </w: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34,485</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26,156</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-33655</wp:posOffset>
            </wp:positionV>
            <wp:extent cx="8312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-8255</wp:posOffset>
            </wp:positionV>
            <wp:extent cx="831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-213995</wp:posOffset>
            </wp:positionV>
            <wp:extent cx="831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740" w:space="620"/>
            <w:col w:w="4880"/>
          </w:cols>
          <w:pgMar w:left="320" w:top="130" w:right="339" w:bottom="1440" w:gutter="0" w:footer="0" w:header="0"/>
          <w:type w:val="continuous"/>
        </w:sectPr>
      </w:pPr>
    </w:p>
    <w:p>
      <w:pPr>
        <w:ind w:left="500" w:right="280" w:hanging="492"/>
        <w:spacing w:after="0" w:line="257" w:lineRule="auto"/>
        <w:tabs>
          <w:tab w:leader="none" w:pos="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presented in this reconciliation for the three and six months ended June 30, 2023 has been adjusted to conform to the current year presentation to include interest expense, net on Term Loan B due 2026 attributable to the loan proceeds that were used to fund the $408.0 million Illinois EO litigation settlement.</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employees and Non-Employee Directors.</w:t>
      </w:r>
    </w:p>
    <w:p>
      <w:pPr>
        <w:spacing w:after="0" w:line="9" w:lineRule="exact"/>
        <w:rPr>
          <w:rFonts w:ascii="Times New Roman" w:cs="Times New Roman" w:eastAsia="Times New Roman" w:hAnsi="Times New Roman"/>
          <w:sz w:val="18"/>
          <w:szCs w:val="18"/>
          <w:color w:val="auto"/>
        </w:rPr>
      </w:pPr>
    </w:p>
    <w:p>
      <w:pPr>
        <w:ind w:left="500" w:right="260" w:hanging="492"/>
        <w:spacing w:after="0" w:line="250"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and the Secured Notes. The six months ended June 30, 2024 includes $0.7 million of debt refinancing costs related to Amendment No. 3 to the Senior Secured Credit Facilities.</w:t>
      </w:r>
    </w:p>
    <w:p>
      <w:pPr>
        <w:spacing w:after="0" w:line="1" w:lineRule="exact"/>
        <w:rPr>
          <w:rFonts w:ascii="Times New Roman" w:cs="Times New Roman" w:eastAsia="Times New Roman" w:hAnsi="Times New Roman"/>
          <w:sz w:val="18"/>
          <w:szCs w:val="18"/>
          <w:color w:val="auto"/>
        </w:rPr>
      </w:pPr>
    </w:p>
    <w:p>
      <w:pPr>
        <w:ind w:left="500" w:right="120" w:hanging="492"/>
        <w:spacing w:after="0" w:line="250" w:lineRule="auto"/>
        <w:tabs>
          <w:tab w:leader="none" w:pos="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ind w:left="500" w:right="140" w:hanging="492"/>
        <w:spacing w:after="0" w:line="265" w:lineRule="auto"/>
        <w:tabs>
          <w:tab w:leader="none" w:pos="49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six months ended June 30, 2023 includes a $1.0 million cancellation fee received from a tenant in connection with the termination of an office space lease at the Nordion facility.</w:t>
      </w:r>
    </w:p>
    <w:p>
      <w:pPr>
        <w:ind w:left="500" w:right="20" w:hanging="492"/>
        <w:spacing w:after="0" w:line="250"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 Amounts presented for the three and six months ended June 30, 2023 have been adjusted to exclude interest expense, net associated with Term Loan B due 2026 attributable to the loan proceeds that were used to fund the $408.0 million Illinois EO litigation settlement.</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the secondary offering of our common stock that closed on March 4, 2024.</w:t>
      </w:r>
    </w:p>
    <w:p>
      <w:pPr>
        <w:spacing w:after="0" w:line="9" w:lineRule="exact"/>
        <w:rPr>
          <w:rFonts w:ascii="Times New Roman" w:cs="Times New Roman" w:eastAsia="Times New Roman" w:hAnsi="Times New Roman"/>
          <w:sz w:val="18"/>
          <w:szCs w:val="18"/>
          <w:color w:val="auto"/>
        </w:rPr>
      </w:pPr>
    </w:p>
    <w:p>
      <w:pPr>
        <w:ind w:left="500" w:right="260" w:hanging="492"/>
        <w:spacing w:after="0" w:line="260"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2023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2023 10-K.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respectively, we recorded net revenues of $276.6 million and $524.8 million, net income of $8.8 million and $15.1 million, Adjusted Net Income of $55.2 million and $90.8 million, and Adjusted EBITDA of $137.3 million and $249.3 million. For the definition of Adjusted Net Income and Adjusted EBITDA and the reconciliation of these non-GAAP measures from net income, please see “Non-GAAP Financial Measures.”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DEVELOPMENTS AND KEY FACTORS AFFECTING OUR RESULTS OF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summarizes strategic developments and key factors that impacted our operating results for the three and six months ended June 30, 2024 and may continue to affect our performance and financial condition in future periods.</w:t>
      </w:r>
    </w:p>
    <w:p>
      <w:pPr>
        <w:spacing w:after="0" w:line="50" w:lineRule="exact"/>
        <w:rPr>
          <w:sz w:val="20"/>
          <w:szCs w:val="20"/>
          <w:color w:val="auto"/>
        </w:rPr>
      </w:pPr>
    </w:p>
    <w:p>
      <w:pPr>
        <w:ind w:left="660" w:right="22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and market conditions</w:t>
      </w:r>
      <w:r>
        <w:rPr>
          <w:rFonts w:ascii="Times New Roman" w:cs="Times New Roman" w:eastAsia="Times New Roman" w:hAnsi="Times New Roman"/>
          <w:sz w:val="18"/>
          <w:szCs w:val="18"/>
          <w:color w:val="auto"/>
        </w:rPr>
        <w:t>. Consolidated net revenues for the three months ended June 30, 2024 increased 8.3% from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mainly driven by improved volumes and sustained favorability in pricing across all segments.</w:t>
      </w:r>
    </w:p>
    <w:p>
      <w:pPr>
        <w:spacing w:after="0" w:line="50" w:lineRule="exact"/>
        <w:rPr>
          <w:rFonts w:ascii="Times New Roman" w:cs="Times New Roman" w:eastAsia="Times New Roman" w:hAnsi="Times New Roman"/>
          <w:sz w:val="18"/>
          <w:szCs w:val="18"/>
          <w:color w:val="auto"/>
        </w:rPr>
      </w:pPr>
    </w:p>
    <w:p>
      <w:pPr>
        <w:ind w:left="6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revenues for the six months ended June 30, 2024 increased 10.3% from the same period of the prior year, due to higher volumes in the Nordion and Nelson Labs segments and favorable pricing across all segments.</w:t>
      </w:r>
    </w:p>
    <w:p>
      <w:pPr>
        <w:spacing w:after="0" w:line="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more detail in our 2023 10-K, a portion of our supply of Co-60 is generated by Russian nuclear</w:t>
      </w:r>
    </w:p>
    <w:p>
      <w:pPr>
        <w:spacing w:after="0" w:line="27" w:lineRule="exact"/>
        <w:rPr>
          <w:rFonts w:ascii="Times New Roman" w:cs="Times New Roman" w:eastAsia="Times New Roman" w:hAnsi="Times New Roman"/>
          <w:sz w:val="18"/>
          <w:szCs w:val="18"/>
          <w:color w:val="auto"/>
        </w:rPr>
      </w:pPr>
    </w:p>
    <w:p>
      <w:pPr>
        <w:ind w:left="66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reactors. We continue to monitor the potential for disruption in the supply of Co-60 from Russian nuclear reactors. There was no impact to our supply or revenue during the three and six months ended June 30, 2024.</w:t>
      </w:r>
    </w:p>
    <w:p>
      <w:pPr>
        <w:spacing w:after="0" w:line="69"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initiatives. </w:t>
      </w:r>
      <w:r>
        <w:rPr>
          <w:rFonts w:ascii="Times New Roman" w:cs="Times New Roman" w:eastAsia="Times New Roman" w:hAnsi="Times New Roman"/>
          <w:sz w:val="18"/>
          <w:szCs w:val="18"/>
          <w:color w:val="auto"/>
        </w:rPr>
        <w:t>We continue to advance our growth-related investments, including our three active capacity expansion projects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Sterigenics segment and Co-60 development projects in the Nordion segment. In addition, Nelson Labs has progressed with expansion efforts to support pharma testing services alongside enhancements to its lab information management system.</w:t>
      </w:r>
    </w:p>
    <w:p>
      <w:pPr>
        <w:spacing w:after="0" w:line="62" w:lineRule="exact"/>
        <w:rPr>
          <w:rFonts w:ascii="Times New Roman" w:cs="Times New Roman" w:eastAsia="Times New Roman" w:hAnsi="Times New Roman"/>
          <w:sz w:val="18"/>
          <w:szCs w:val="18"/>
          <w:color w:val="auto"/>
        </w:rPr>
      </w:pPr>
    </w:p>
    <w:p>
      <w:pPr>
        <w:ind w:left="660" w:right="52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Disciplined and strategic M&amp;A activity</w:t>
      </w:r>
      <w:r>
        <w:rPr>
          <w:rFonts w:ascii="Times New Roman" w:cs="Times New Roman" w:eastAsia="Times New Roman" w:hAnsi="Times New Roman"/>
          <w:sz w:val="18"/>
          <w:szCs w:val="18"/>
          <w:color w:val="auto"/>
        </w:rPr>
        <w:t>. We remain committed to our highly disciplined acquisition strategy and continue to seek suitable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targets.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ind w:left="660" w:right="20" w:hanging="328"/>
        <w:spacing w:after="0" w:line="25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 costs</w:t>
      </w:r>
      <w:r>
        <w:rPr>
          <w:rFonts w:ascii="Times New Roman" w:cs="Times New Roman" w:eastAsia="Times New Roman" w:hAnsi="Times New Roman"/>
          <w:sz w:val="18"/>
          <w:szCs w:val="18"/>
          <w:color w:val="auto"/>
        </w:rPr>
        <w:t>. We are currently the subject of tort lawsuits alleging injury by purported exposure to EO used, emitted or released by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in Atlanta, Georgia, Santa Teresa, New Mexico, and Los Angeles, California and our former facility in Willowbrook, Illinois. In addition, we are defendants in a lawsuit brought by the State of New Mexico Attorney General alleging that emissions of EO from our Santa Teresa facility negatively impacted Santa Teresa and surrounding communities. We maintain that these facilities did not pose and do not pose any safety risk to their surrounding communities. We deny the allegations in these lawsuits and are vigorously defending against these claims. See Part II, Item 1, “Legal Proceedings” and Note 14, “Commitments and Contingencies” to our consolidated financial statements.</w:t>
      </w:r>
    </w:p>
    <w:p>
      <w:pPr>
        <w:spacing w:after="0" w:line="21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we recorded costs of $7.8 million and $14.2 million, respectively, representing professional fees and other expenses related to litigation associated with our EO sterilization facilities.</w:t>
      </w:r>
    </w:p>
    <w:p>
      <w:pPr>
        <w:spacing w:after="0" w:line="49" w:lineRule="exact"/>
        <w:rPr>
          <w:rFonts w:ascii="Times New Roman" w:cs="Times New Roman" w:eastAsia="Times New Roman" w:hAnsi="Times New Roman"/>
          <w:sz w:val="18"/>
          <w:szCs w:val="18"/>
          <w:color w:val="auto"/>
        </w:rPr>
      </w:pPr>
    </w:p>
    <w:p>
      <w:pPr>
        <w:ind w:left="660" w:right="160" w:hanging="328"/>
        <w:spacing w:after="0" w:line="259"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Borrowings and financial leverage</w:t>
      </w:r>
      <w:r>
        <w:rPr>
          <w:rFonts w:ascii="Times New Roman" w:cs="Times New Roman" w:eastAsia="Times New Roman" w:hAnsi="Times New Roman"/>
          <w:sz w:val="18"/>
          <w:szCs w:val="18"/>
          <w:color w:val="auto"/>
        </w:rPr>
        <w:t>. On May 30, 2024, the Company and SHH entered into Amendment No. 4 to the Senior Secured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which provided for the issuance of term loans to the Company in an aggregate principal amount of $1.5 billion maturing on May 30, 2031. On the same date, the Company issued Secured Notes in an aggregate principal amount of $750.0 million, which bear interest at an annual rate of 7.375% and mature on June 1, 2031. The proceeds from the Refinancing Term Loans and the issuance of the Secured Notes, along with cash on the balance sheet, were used to refinance all of the Company’s outstanding existing term loans due December 2026.</w:t>
      </w:r>
    </w:p>
    <w:p>
      <w:pPr>
        <w:spacing w:after="0" w:line="75" w:lineRule="exact"/>
        <w:rPr>
          <w:rFonts w:ascii="Times New Roman" w:cs="Times New Roman" w:eastAsia="Times New Roman" w:hAnsi="Times New Roman"/>
          <w:sz w:val="18"/>
          <w:szCs w:val="18"/>
          <w:b w:val="1"/>
          <w:bCs w:val="1"/>
          <w:i w:val="1"/>
          <w:iCs w:val="1"/>
          <w:color w:val="auto"/>
        </w:rPr>
      </w:pPr>
    </w:p>
    <w:p>
      <w:pPr>
        <w:ind w:left="660" w:right="2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March 21, 2024, the Company entered into Amendment No. 3 to the Senior Secured Credit Facilities. Among other changes, the Amendment provides (i) for new commitments under the existing Revolving Credit Facility to replace existing revolving commitments in an aggregate principal amount of $83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 Amendment No. 3 does not give effect to any other material changes to the terms and conditions of the Credit Agreement, including with respect to the amount of commitments under the Revolving Credit Facility Amendment, which remains $423.8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as compared to Three Months Ended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three months ended June 30, 2024 and 2023.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76,799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55,187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(a)</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137,335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500" w:right="200" w:hanging="492"/>
        <w:spacing w:after="0" w:line="239" w:lineRule="auto"/>
        <w:tabs>
          <w:tab w:leader="none" w:pos="49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three months ended June 30, 2024 to the three months ended June 30, 2023.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three months ended June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237,756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7"/>
        </w:trPr>
        <w:tc>
          <w:tcPr>
            <w:tcW w:w="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276,594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255,282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Net revenues were $276.6 million in the three months ended June 30, 2024, an increase of $21.3 million, or 8.3%, as compared with the three months ended June 30, 2023. Excluding the impact of foreign currency exchange rates, net revenues in the three months ended June 30, 2024 increased approximately 8.8% compared with the three months ended June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Service revenues increased $11.7 million, or 5.2%, to $237.8 million in the three months ended June 30, 2024 as compared to $226.1 million in the three months ended June 30, 2023. The growth in net service revenues was primarily driven by favorable pricing of $8.0 million and $1.7 million in the Sterigenics and Nelson Labs segments, respectively. Sterigenics and Nelson Labs also benefited from a favorable increase in volume and mix of $2.4 million and $0.8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Product revenues increased $9.6 million, or 32.9%, to $38.8 million in the three months ended June 30, 2024 as compared to $29.2 million in the three months ended June 30, 2023. The timing of reactor harvest schedules was a primary driver for improvements in volume and mix of $8.7 million at Nordion. In addition, Nordion benefited from favorable pricing impacts of $1.2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three months ended June 30, 2024 to the three months ended June 30,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three months ended June 30,</w:t>
            </w: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26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7"/>
        </w:trPr>
        <w:tc>
          <w:tcPr>
            <w:tcW w:w="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44.8% and 45.3% of our consolidated net revenues for the three months ended June 30,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Cost of service revenues increased $5.2 million, or 5.0%, for the three months ended June 30, 2024 as compared to the three months ended June 30, 2023. The growth in cost of service revenues was partially driven by a $4.5 million increase in employee compensation costs and $1.1 million of depreciation related to capital assets recently placed in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product revenues increased $2.9 million, or 24.4%, for the three months ended June 30, 2024 as compared to the three months ended June 30, 2023. The increase was primarily a result of higher volumes of Co-60 shipments, which resulted in increases in direct material and transportation costs of $2.9 million.</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three months ended June 30, 2024 to the three months ended June 30, 2023: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 for the three months ended June 30,</w:t>
            </w:r>
          </w:p>
        </w:tc>
        <w:tc>
          <w:tcPr>
            <w:tcW w:w="340" w:type="dxa"/>
            <w:vAlign w:val="bottom"/>
          </w:tcPr>
          <w:p>
            <w:pPr>
              <w:spacing w:after="0"/>
              <w:rPr>
                <w:sz w:val="24"/>
                <w:szCs w:val="24"/>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460" w:type="dxa"/>
            <w:vAlign w:val="bottom"/>
            <w:tcBorders>
              <w:top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(“SG&amp;A”)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center"/>
              <w:ind w:left="595"/>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27.5% and 29.9% of our consolidated net revenues for the three months ended June 30,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1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SG&amp;A expenses increased $0.3 million, or 0.5%, for the three months ended June 30, 2024 as compared to the three months ended June 30, 2023. The increase was primarily driven by a $1.8 million increase in share-based compensation expense and a $1.4 million increase in other incremental SG&amp;A compensation-related costs. The increase was partially offset by a $2.3 million decline in legal and other professional services expenses.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$0.7 million to $15.4 million, or 4.2%, for the three months ended June 30, 2024 as compared to the three months ended June 30, 2023 due mainly to changes in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expense, net increased $9.7 million, or 31.4%, for the three months ended June 30, 2024 as compared to the three months ended June 30, 2023. The main drivers of the increase in interest expense, net were a $5.3 million decline in interest income and a $4.5 million decline in favorable impacts from interest rate derivative activity. The weighted average interest rate on our outstanding debt was 8.19% and 8.20% at June 30,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Refinancing of Debt</w:t>
      </w:r>
    </w:p>
    <w:p>
      <w:pPr>
        <w:spacing w:after="0" w:line="229"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Loss on refinancing of debt for the three months ended June 30, 2024 was $23.4 million and occurred in connection with the refinancing of our capital structure in May 2024. The refinancing activity resulted in the write off of certain unamortized debt issuance costs and discounts on the Term Loans due 2026. In addition, certain new debt issuance costs and discounts were expensed upon the issuance of the Refinancing Term Loans and Secured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Foreign exchange gain was $0.6 million for the three months ended June 30, 2024 as compared to a loss of $0.5 million in the three months ended June 30, 2023. The change in foreign exchange (gain) loss in our Consolidated Statements of Operations and Comprehensive Income (Loss) mainly relates to short-term losses (offset by short-term gains) on sales denominated in currencies other than the functional currency of our operating entities. As described in Note 15, “Financial Instruments and Financial Risk”, we enter into monthly U.S. dollar-denominated foreign currency forward contracts to manage foreign currency exchange rate risk related to our international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income, net was $1.5 million for the three months ended June 30, 2024 compared to $2.5 million for the three months ended June 30, 2023. The majority of the variance stemmed from a net decrease in the fair value of Nordion’s embedded derivative assets, resulting in a decrease in other income of $0.9 million from the three months ended June 30, 2024 compared to the same period of the prior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Provision for income tax decreased $4.6 million to a net provision of $6.4 million for the three months ended June 30, 2024 as compared to $11.0 million in the three months ended June 30, 2023. The change was primarily attributable to lower pre-tax income for the three months ended June 30, 2024 compared to the three months ended June 30, 2023, partially offset by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the valuation allowance against our excess interest expense carryforward balance.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three months ended June 30, 2024 differed from the statutory rate primarily due to the impact of the valuation allowance attributable to the limitation on the deductibility of interest expense and the foreign rate differential, partially offset by a benefit for state income taxes. Provision for income taxes for the three months ended June 30, 2023 differed from the statutory rate primarily due to a net increase in the valuation allowance attributable to the limitation on the deductibility of interest expense, the impact of the foreign rate differential, and GILTI.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June 30, 2024 was $8.8 million, as compared to net income of $23.5 million for the three months ended June 30, 2023 due to the factors described above. Adjusted Net Income was $55.2 million for the three months ended June 30, 2024, as compared to $55.5 million for the three months ended June 30, 2023, and Adjusted EBITDA was $137.3 million for the three months ended June 30, 2024, as compared to $128.5 million for the three months ended June 30, 2023. Please see “Non-GAAP Financial Measures” below for a reconciliation of Adjusted Net Income and Adjusted EBITDA to their most directly comparable financial measure calculated and presented in accordance with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as compared to Six Months Ended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six months ended June 30, 2024 and 2023.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244,864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129,973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90,816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(a)</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249,279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500" w:right="200" w:hanging="492"/>
        <w:spacing w:after="0" w:line="239" w:lineRule="auto"/>
        <w:tabs>
          <w:tab w:leader="none" w:pos="495"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six months ended June 30, 2024 to the six months ended June 30,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six months ended June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464,237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r>
      <w:tr>
        <w:trPr>
          <w:trHeight w:val="27"/>
        </w:trPr>
        <w:tc>
          <w:tcPr>
            <w:tcW w:w="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524,770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revenues were $524.8 million in the six months ended June 30, 2024, an increase of $48.9 million, or 10.3%, as compared with the six months ended June 30, 2023. Excluding the impact of foreign currency exchange rates, net revenues in the six months ended June 30, 2024 increased approximately 10.2% compared with the six months ended June 30, 2023.</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Service revenues increased $23.7 million, or 5.4%, to $464.2 million in the six months ended June 30, 2024 as compared to $440.6 million in the six months ended June 30, 2023. The growth in net service revenues was primarily driven by favorable pricing of $15.9 million and $3.3 million in the Sterigenics and Nelson Labs segments, respectively, a favorable change in service revenue volume and mix of $4.7 million in the Nelson Labs segment and a benefit from changes in foreign currency exchange rates of $0.6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 revenues increased $25.2 million, or 71.4%, to $60.5 million in the six months ended June 30, 2024 as compared to $35.3 million in the six months ended June 30, 2023. The timing of reactor harvest schedules was a primary driver for the improvements in volume and mix of $24.3 million at Nordion. In addition, Nordion benefited from favorable pricing impacts of $1.3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six months ended June 30, 2024 to the six months ended June 30, 2023.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six months ended June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12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219,988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7"/>
        </w:trPr>
        <w:tc>
          <w:tcPr>
            <w:tcW w:w="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244,864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46.7% and 47.2% of our consolidated net revenues for the six months ended June 30,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 of service revenues increased $11.9 million, or 5.7%, for the six months ended June 30, 2024 as compared to the six months ended June 30, 2023. The growth in cost of service revenues was primarily driven by higher employee compensation costs of $8.1 million, a $2.2 million increase in depreciation related to capital assets recently placed in service, and a $1.4 million increase in certain facility repairs and maintenance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Cost of product revenues increased $8.2 million, or 49.2%, for the six months ended June 30, 2024 as compared to the six months ended June 30, 2023. The increase was primarily a result of higher volumes of Co-60 shipments, which resulted in increases in direct material and transportation costs of $7.8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six months ended June 30, 2024 to the six months ended June 30,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 for the six months ended June 30,</w:t>
            </w:r>
          </w:p>
        </w:tc>
        <w:tc>
          <w:tcPr>
            <w:tcW w:w="32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300" w:type="dxa"/>
            <w:vAlign w:val="bottom"/>
            <w:tcBorders>
              <w:top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149,933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28.6% and 32.5% of our consolidated net revenues for the six months ended June 30, 2024 and 2023, respectively.</w:t>
      </w:r>
    </w:p>
    <w:p>
      <w:pPr>
        <w:sectPr>
          <w:pgSz w:w="11900" w:h="16838" w:orient="portrait"/>
          <w:cols w:equalWidth="0" w:num="1">
            <w:col w:w="11240"/>
          </w:cols>
          <w:pgMar w:left="320" w:top="114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1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SG&amp;A expenses decreased $3.4 million, or 2.8%, for the six months ended June 30, 2024 as compared to the six months ended June 30, 2023. The decrease was driven primarily by a $9.6 million decline in legal and other professional services expenses. This decrease was partially offset by a $3.1 million increase in share-based compensation expense and $3.1 million of other incremental SG&amp;A compensation-related costs.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$1.2 million to $31.1 million, or 3.6%, for the six months ended June 30, 2024 as compared to the three months ended June 30, 2023 due mainly to changes in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$22.6 million, or 37.9%, for the six months ended June 30, 2024 as compared to the six months ended June 30, 2023.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was mainly driven by an increase in the interest rate on variable rate borrowings over the course of the first half of 2024, which contributed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million increase interest expense. The variance was also the result of an $8.8 million decline in favorable impacts from interest rate derivative activity,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$6.2 million decline in interest income and $0.6 million increase in debt issuance cost and debt discount amortization. Partially offsetting these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 $3.3 million increase in capitalized interest. The weighted average interest rate on our outstanding debt was 8.19% and 8.20% at June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Refinancing of Debt</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Loss on refinancing of debt for the six months ended June 30, 2024 was $24.1 million and occurred primarily in connection with the refinancing our of our capital structure in May 2024. The refinancing activity resulted in the write off of certain unamortized debt issuance costs and discounts on the Term Loans due 2026. In addition, certain new debt issuance costs and discounts were expensed upon the issuance of the Term Loan and Secured Notes due 2031. Loss on refinancing of debt for the six months ended June 30, 2024 also included the write off of $0.7 million of unamortized debt issuance costs attributable to the Revolving Credit Facility in connection with Amendment No. 3 to the Revolving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Foreign exchange gain was $1.2 million for the six months ended June 30, 2024 as compared to a $0.8 million loss in the six months ended June 30, 2023. The change in foreign exchange loss in our Consolidated Statements of Operations and Comprehensive Income (Loss) mainly relates to short-term losses (offset by short-term gains) on sales denominated in currencies other than the functional currency of our operating entities. As described in Note 15, “Financial Instruments and Financial Risk”, we enter into monthly U.S. dollar-denominated foreign currency forward contracts to manage foreign currency exchange rate risk related to our international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Other income, net was $1.2 million for the six months ended June 30, 2024 compared to $3.7 million for the six months ended June 30, 2023. The majority of the variance stemmed from a decline in the fair value of Nordion’s embedded derivatives in the six months ended June 30, 2024, resulting in a decrease in other income of $2.5 million compared to the same the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Provision for income taxes decreased $2.5 million to a net provision of $11.1 million for the six months ended June 30, 2024 as compared to $13.5 million in the six months ended June 30, 2023. The change was primarily attributable to lower pre-tax income for the six months ended June 30, 2024 compared to the six months ended June 30, 2023, partially offset by an increase in the valuation allowance against our excess interest expense carryforward balance.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six months ended June 30, 2024 differed from the statutory rate due to the impact of the valuation allowance attributable to the limitation on the deductibility of interest expense and the foreign rate differential, partially offset by a benefit for state income taxes. Provision for income taxes for the six months ended June 30, 2023 differed from the statutory rate primarily due to a net increase in the foreign differential and GILTI.</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for the six months ended June 30, 2024 was $15.1 million, as compared to net income of $26.4 million for the six months ended June 30, 2023 due to the factors described above. Adjusted Net Income was $90.8 million for the six months ended June 30, 2024, as compared to $91.4 million for the six months ended June 30, 2023, and Adjusted EBITDA was $249.3 million for the six months ended June 30, 2024, as compared to $227.0 million for the six months ended June 30, 2023. Please see “Non-GAAP Financial Measures” below for a reconciliation of Adjusted Net Income and Adjusted EBITDA to their most directly comparable financial measure calculated and presented in accordance with GAAP.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w:t>
      </w:r>
    </w:p>
    <w:p>
      <w:pPr>
        <w:spacing w:after="0" w:line="68" w:lineRule="exact"/>
        <w:rPr>
          <w:sz w:val="20"/>
          <w:szCs w:val="20"/>
          <w:color w:val="auto"/>
        </w:rPr>
      </w:pPr>
    </w:p>
    <w:p>
      <w:pPr>
        <w:ind w:left="660" w:right="40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of acquiring and integrating businesses, which will continue to be a part of our growth strategy;</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impairment charges on long-lived assets, intangible assets and investments accounted for under the equity method;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refinancing of debt incurred in connection with refinancing or early extinguishment of long-term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secondary offering of our common stock;</w:t>
      </w:r>
    </w:p>
    <w:p>
      <w:pPr>
        <w:spacing w:after="0" w:line="11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and charges related to the litigation, settlement agreements, and other activities associated with our EO sterilization facilities, including those related to Willowbrook, Illinois, Atlanta, Georgia, Santa Teresa, New Mexico and Los Angeles, California, even though that litigation remains ongoing;</w:t>
      </w:r>
    </w:p>
    <w:p>
      <w:pPr>
        <w:spacing w:after="0" w:line="67" w:lineRule="exact"/>
        <w:rPr>
          <w:rFonts w:ascii="Times New Roman" w:cs="Times New Roman" w:eastAsia="Times New Roman" w:hAnsi="Times New Roman"/>
          <w:sz w:val="18"/>
          <w:szCs w:val="18"/>
          <w:color w:val="231F20"/>
        </w:rPr>
      </w:pPr>
    </w:p>
    <w:p>
      <w:pPr>
        <w:ind w:left="660" w:right="98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Adjusted EBITDA, interest expense or the cash requirements necessary to service interest or principal payments on our indebtedness; and</w:t>
      </w:r>
    </w:p>
    <w:p>
      <w:pPr>
        <w:spacing w:after="0" w:line="53" w:lineRule="exact"/>
        <w:rPr>
          <w:rFonts w:ascii="Times New Roman" w:cs="Times New Roman" w:eastAsia="Times New Roman" w:hAnsi="Times New Roman"/>
          <w:sz w:val="18"/>
          <w:szCs w:val="18"/>
          <w:color w:val="231F20"/>
        </w:rPr>
      </w:pPr>
    </w:p>
    <w:p>
      <w:pPr>
        <w:ind w:left="660" w:right="4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share-based compensation expense, which has been, and will continue to be for the foreseeable future, a significant recurring expense and an important part of our compensation strategy.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8" w:name="page39"/>
    <w:bookmarkEnd w:id="38"/>
    <w:p>
      <w:pPr>
        <w:ind w:right="100"/>
        <w:spacing w:after="0" w:line="261" w:lineRule="auto"/>
        <w:rPr>
          <w:sz w:val="20"/>
          <w:szCs w:val="20"/>
          <w:color w:val="auto"/>
        </w:rPr>
      </w:pPr>
      <w:r>
        <w:rPr>
          <w:rFonts w:ascii="Times New Roman" w:cs="Times New Roman" w:eastAsia="Times New Roman" w:hAnsi="Times New Roman"/>
          <w:sz w:val="18"/>
          <w:szCs w:val="18"/>
          <w:color w:val="231F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the most directly comparable financial measure calculated and presented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GAAP to Adjusted Net Income and Adjusted EBITDA, for each of the periods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6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r>
      <w:tr>
        <w:trPr>
          <w:trHeight w:val="243"/>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41,109</w:t>
            </w:r>
          </w:p>
        </w:tc>
      </w:tr>
      <w:tr>
        <w:trPr>
          <w:trHeight w:val="27"/>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51"/>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w:t>
            </w:r>
          </w:p>
        </w:tc>
      </w:tr>
      <w:tr>
        <w:trPr>
          <w:trHeight w:val="270"/>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(b)</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92"/>
        </w:trPr>
        <w:tc>
          <w:tcPr>
            <w:tcW w:w="6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(c)</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51"/>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(d)</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r>
      <w:tr>
        <w:trPr>
          <w:trHeight w:val="351"/>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(e)</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w:t>
            </w:r>
          </w:p>
        </w:tc>
      </w:tr>
      <w:tr>
        <w:trPr>
          <w:trHeight w:val="270"/>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Secondary offering costs</w:t>
            </w:r>
            <w:r>
              <w:rPr>
                <w:rFonts w:ascii="Times New Roman" w:cs="Times New Roman" w:eastAsia="Times New Roman" w:hAnsi="Times New Roman"/>
                <w:sz w:val="23"/>
                <w:szCs w:val="23"/>
                <w:color w:val="auto"/>
                <w:vertAlign w:val="superscript"/>
              </w:rPr>
              <w:t>(f)</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obligations</w:t>
            </w:r>
            <w:r>
              <w:rPr>
                <w:rFonts w:ascii="Times New Roman" w:cs="Times New Roman" w:eastAsia="Times New Roman" w:hAnsi="Times New Roman"/>
                <w:sz w:val="23"/>
                <w:szCs w:val="23"/>
                <w:color w:val="auto"/>
                <w:vertAlign w:val="superscript"/>
              </w:rPr>
              <w:t>(g)</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351"/>
        </w:trPr>
        <w:tc>
          <w:tcPr>
            <w:tcW w:w="6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benefit associated with pre-tax adjustments</w:t>
            </w:r>
            <w:r>
              <w:rPr>
                <w:rFonts w:ascii="Times New Roman" w:cs="Times New Roman" w:eastAsia="Times New Roman" w:hAnsi="Times New Roman"/>
                <w:sz w:val="23"/>
                <w:szCs w:val="23"/>
                <w:color w:val="auto"/>
                <w:vertAlign w:val="superscript"/>
              </w:rPr>
              <w:t>(h)</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(24,844)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(24,530)</w:t>
            </w:r>
          </w:p>
        </w:tc>
      </w:tr>
      <w:tr>
        <w:trPr>
          <w:trHeight w:val="26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91,374</w:t>
            </w:r>
          </w:p>
        </w:tc>
      </w:tr>
      <w:tr>
        <w:trPr>
          <w:trHeight w:val="263"/>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(i)</w:t>
            </w: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40,388</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30,728</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82,159</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59,598</w:t>
            </w:r>
          </w:p>
        </w:tc>
      </w:tr>
      <w:tr>
        <w:trPr>
          <w:trHeight w:val="351"/>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23"/>
                <w:szCs w:val="23"/>
                <w:color w:val="auto"/>
                <w:vertAlign w:val="superscript"/>
              </w:rPr>
              <w:t>(j)</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37,919</w:t>
            </w:r>
          </w:p>
        </w:tc>
      </w:tr>
      <w:tr>
        <w:trPr>
          <w:trHeight w:val="351"/>
        </w:trPr>
        <w:tc>
          <w:tcPr>
            <w:tcW w:w="6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provision applicable to Adjusted Net Income</w:t>
            </w:r>
            <w:r>
              <w:rPr>
                <w:rFonts w:ascii="Times New Roman" w:cs="Times New Roman" w:eastAsia="Times New Roman" w:hAnsi="Times New Roman"/>
                <w:sz w:val="23"/>
                <w:szCs w:val="23"/>
                <w:color w:val="auto"/>
                <w:vertAlign w:val="superscript"/>
              </w:rPr>
              <w:t>(k)</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21,685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35,923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38,062</w:t>
            </w:r>
          </w:p>
        </w:tc>
      </w:tr>
      <w:tr>
        <w:trPr>
          <w:trHeight w:val="28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137,335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249,279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employees and Non-Employee Directors.</w:t>
      </w:r>
    </w:p>
    <w:p>
      <w:pPr>
        <w:spacing w:after="0" w:line="63"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and the Secured Notes. The six months ended June 30, 2024 includes $0.7 million of debt refinancing costs related to Amendment No. 3 to the Senior Secured Credit Facilities.</w:t>
      </w:r>
    </w:p>
    <w:p>
      <w:pPr>
        <w:spacing w:after="0" w:line="13" w:lineRule="exact"/>
        <w:rPr>
          <w:rFonts w:ascii="Times New Roman" w:cs="Times New Roman" w:eastAsia="Times New Roman" w:hAnsi="Times New Roman"/>
          <w:sz w:val="18"/>
          <w:szCs w:val="18"/>
          <w:color w:val="auto"/>
        </w:rPr>
      </w:pPr>
    </w:p>
    <w:p>
      <w:pPr>
        <w:ind w:left="660" w:right="220" w:hanging="652"/>
        <w:spacing w:after="0" w:line="281" w:lineRule="auto"/>
        <w:tabs>
          <w:tab w:leader="none" w:pos="3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8"/>
          <w:szCs w:val="18"/>
          <w:color w:val="auto"/>
        </w:rPr>
      </w:pPr>
    </w:p>
    <w:p>
      <w:pPr>
        <w:ind w:left="660" w:right="40" w:hanging="652"/>
        <w:spacing w:after="0" w:line="255"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six months ended June 30, 2023 includes a $1.0 million cancellation fee received from a tenant in connection with the termination of an office space lease at the Nordion facility.</w:t>
      </w:r>
    </w:p>
    <w:p>
      <w:pPr>
        <w:spacing w:after="0" w:line="26"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3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 Amounts presented for the three and six months ended June 30, 2023 have been adjusted to exclude interest expense, net associated with Term Loan B due 2026 attributable to the loan proceeds that were used to fund the $408.0 million Illinois EO litigation settlement.</w:t>
      </w:r>
    </w:p>
    <w:p>
      <w:pPr>
        <w:spacing w:after="0" w:line="1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the secondary offering of our common stock that closed on March 4, 2024.</w:t>
      </w:r>
    </w:p>
    <w:p>
      <w:pPr>
        <w:spacing w:after="0" w:line="63" w:lineRule="exact"/>
        <w:rPr>
          <w:rFonts w:ascii="Times New Roman" w:cs="Times New Roman" w:eastAsia="Times New Roman" w:hAnsi="Times New Roman"/>
          <w:sz w:val="18"/>
          <w:szCs w:val="18"/>
          <w:color w:val="auto"/>
        </w:rPr>
      </w:pPr>
    </w:p>
    <w:p>
      <w:pPr>
        <w:ind w:left="660" w:right="360" w:hanging="652"/>
        <w:spacing w:after="0" w:line="281"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9" w:name="page40"/>
    <w:bookmarkEnd w:id="39"/>
    <w:p>
      <w:pPr>
        <w:ind w:left="660" w:right="60" w:hanging="652"/>
        <w:spacing w:after="0" w:line="266" w:lineRule="auto"/>
        <w:tabs>
          <w:tab w:leader="none" w:pos="3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presented in this reconciliation for the three and six months ended June 30, 2023 has been adjusted to conform to the current year presentation to include interest expense, net on Term Loan B due 2026 attributable to the loan proceeds that were used to fund the $408.0 million Illinois EO litigation settlement.</w:t>
      </w:r>
    </w:p>
    <w:p>
      <w:pPr>
        <w:spacing w:after="0" w:line="1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Includes depreciation of Co-60 held at gamma irradiation sites.</w:t>
      </w:r>
    </w:p>
    <w:p>
      <w:pPr>
        <w:spacing w:after="0" w:line="63" w:lineRule="exact"/>
        <w:rPr>
          <w:rFonts w:ascii="Times New Roman" w:cs="Times New Roman" w:eastAsia="Times New Roman" w:hAnsi="Times New Roman"/>
          <w:sz w:val="18"/>
          <w:szCs w:val="18"/>
          <w:color w:val="auto"/>
        </w:rPr>
      </w:pPr>
    </w:p>
    <w:p>
      <w:pPr>
        <w:ind w:left="660" w:hanging="652"/>
        <w:spacing w:after="0" w:line="273" w:lineRule="auto"/>
        <w:tabs>
          <w:tab w:leader="none" w:pos="402"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the difference between income tax provision or benefit as determined under U.S. GAAP and the income tax provision or benefit associated with pre-tax adjustments described in footnote (h).</w:t>
      </w:r>
    </w:p>
    <w:p>
      <w:pPr>
        <w:spacing w:after="0" w:line="1" w:lineRule="exact"/>
        <w:rPr>
          <w:rFonts w:ascii="Times New Roman" w:cs="Times New Roman" w:eastAsia="Times New Roman" w:hAnsi="Times New Roman"/>
          <w:sz w:val="18"/>
          <w:szCs w:val="18"/>
          <w:color w:val="231F20"/>
        </w:rPr>
      </w:pPr>
    </w:p>
    <w:p>
      <w:pPr>
        <w:ind w:left="660" w:right="120" w:hanging="652"/>
        <w:spacing w:after="0" w:line="250" w:lineRule="auto"/>
        <w:tabs>
          <w:tab w:leader="none" w:pos="3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 million and $24.4 million of the adjustments for the three months ended June 30, 2024 and 2023, respectively, and $47.2 million of the adjustments for the six months ended June 30, 2024 and 2023, are included in cost of revenues, primarily consisting of amortization of intangible assets, depreciation, and accretion of asset retirement obligations.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three reportable segments: Sterigenics, Nordion and Nelson Labs. Our chief operating decision-maker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our Nordion segment are also impacted by Co-60 mix, harvest schedules, as well as customer, product and service mix.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pharmaceutical industries.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our reportable segments, please refer to Note 16, “Segment Information” to our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Segment Results for the Three Months Ended June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three months ended June 30, 2024 to the three months ended June 30,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7"/>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60" w:type="dxa"/>
            <w:vAlign w:val="bottom"/>
          </w:tcPr>
          <w:p>
            <w:pPr>
              <w:spacing w:after="0"/>
              <w:rPr>
                <w:sz w:val="23"/>
                <w:szCs w:val="23"/>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176,354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166,590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8"/>
              </w:rPr>
              <w:t>9,764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41,244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31,975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8"/>
              </w:rPr>
              <w:t>9,269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58,996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56,717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8"/>
              </w:rPr>
              <w:t>2,279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96,778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91,450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8"/>
              </w:rPr>
              <w:t>5,328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23,420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17,784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8"/>
              </w:rPr>
              <w:t>5,636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17,137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19,251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8"/>
              </w:rPr>
              <w:t>(2,114)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290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29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29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 by Segment</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Sterigenics net revenues were $176.4 million for the three months ended June 30, 2024, an increase of $9.8 million, or 5.9%, as compared to the three months ended June 30, 2023. The increase reflects favorable impacts from pricing of 4.9% as well as higher volume and changes in mix of 1.4%, partially offset by 0.4% due to unfavorable changes in foreign currency exchange rates.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Nordion net revenues were $41.2 million for the three months ended June 30, 2024, an increase of $9.3 million, or 29.0%, as compared to the three months ended June 30, 2023. The timing of reactor harvest schedules resulted in favorable volume and mix of 26.5%, which was a primary driver for net revenue, and favorable pricing of 3.8% also drove improvement. Partially offsetting this increase was an unfavorable impact of 1.3% from changes in foreign currency exchange rates.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Nelson Labs net revenues were $59.0 million for the three months ended June 30, 2024, an increase of $2.3 million, or 4.0%, as compared to the three months ended June 30, 2023. The increase was attributable to favorable pricing impacts of 3.0% as well as volume improvements and changes in mix of 1.4%. Partially offsetting this increase was an unfavorable impact from foreign currency exchange rates of 0.4%.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Sterigenics segment income was $96.8 million for the three months ended June 30, 2024, an increase of $5.3 million, or 5.8%, as compared to the three months ended June 30, 2023. The increase in segment income was primarily a result of favorable customer pricing, volume and changes in mix, partially offset by inflation.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Nordion segment income was $23.4 million for the three months ended June 30, 2024, an increase of $5.6 million, or 31.7%, as compared to the three months ended June 30, 2023. The timing of reactor harvest schedules was a primary driver for the increase in segment income and segment income margin, as well as favorable pricing.</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Nelson Labs segment income was $17.1 million for the three months ended June 30, 2024, a decrease of $2.1 million, or 11.0%, as compared to the three months ended June 30, 2023. The decrease in segment income and segment income margin was primarily due to the impacts of volume and mix, as well as higher labor costs, partially offset by favorable pricing.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Segment Results for the Six Months Ended June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six months ended June 30, 2024 to the six months ended June 30,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7"/>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60" w:type="dxa"/>
            <w:vAlign w:val="bottom"/>
          </w:tcPr>
          <w:p>
            <w:pPr>
              <w:spacing w:after="0"/>
              <w:rPr>
                <w:sz w:val="23"/>
                <w:szCs w:val="23"/>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342,851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326,587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65,251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40,526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116,668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108,759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182,596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174,290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34,205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19,310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32,478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33,353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290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29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29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 by Segment</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Sterigenics net revenues were $342.9 million for the six months ended June 30, 2024, an increase of $16.3 million, or 5.0%, as compared to the six months ended June 30, 2023. The increase was primarily attributable to favorable impacts from pricing of 4.9% and changes in foreign currency exchange rates of 0.2%.</w:t>
      </w:r>
    </w:p>
    <w:p>
      <w:pPr>
        <w:spacing w:after="0" w:line="17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Nordion net revenues were $65.3 million for the six months ended June 30, 2024, an increase of $24.7 million, or 61.0%, as compared to the six months ended June 30, 2023. The timing of reactor harvest schedules resulted in favorable volumes and changes in mix of 58.8%, and a favorable impact from pricing of 3.2% also drove improvement. Partially offsetting these factors was an unfavorable impact of 1.0% from changes in foreign exchange rates.</w:t>
      </w:r>
    </w:p>
    <w:p>
      <w:pPr>
        <w:spacing w:after="0" w:line="1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Nelson Labs net revenues were $116.7 million for the six months ended June 30, 2024, an increase of $7.9 million, or 7.3%, as compared to the six months ended June 30, 2023. The change was attributable to increases in volume and changes in mix of 4.3% coupled with a favorable impact from pricing of 3.0%.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Sterigenics segment income was $182.6 million for the six months ended June 30, 2024, an increase of $8.3 million, or 4.8%, as compared to the six months ended June 30, 2023. The increase in segment income was driven primarily by favorable customer pricing, partially offset by inflation.</w:t>
      </w:r>
    </w:p>
    <w:p>
      <w:pPr>
        <w:spacing w:after="0" w:line="1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Nordion segment income was $34.2 million for the six months ended June 30, 2024, an increase of $14.9 million, or 77.1%, as compared to the six months ended June 30, 2023. The timing of reactor harvest schedules was a primary driver for the increase in segment income and segment income margin.</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Nelson Labs segment income was $32.5 million for the six months ended June 30, 2024, a decrease of $0.9 million, or 2.6%, as compared to the six months ended June 30, 2023. The decrease in segment income and segment income margin was primarily due to the impact of volume and mix, as well as higher labor costs, partially offset by favorable pricing.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primary sources of liquidity for our business are cash flows from operations and borrowings under our credit facilities. As of June 30, 2024, we had $246.1 million of unrestricted cash and cash equivalents. This is a decrease of $50.3 million from the balance at December 31, 2023. The decrease in unrestricted cash and cash equivalents is mainly attributable to the $35.0 million</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42" w:name="page43"/>
    <w:bookmarkEnd w:id="42"/>
    <w:p>
      <w:pPr>
        <w:ind w:right="60"/>
        <w:spacing w:after="0" w:line="261" w:lineRule="auto"/>
        <w:rPr>
          <w:sz w:val="20"/>
          <w:szCs w:val="20"/>
          <w:color w:val="auto"/>
        </w:rPr>
      </w:pPr>
      <w:r>
        <w:rPr>
          <w:rFonts w:ascii="Times New Roman" w:cs="Times New Roman" w:eastAsia="Times New Roman" w:hAnsi="Times New Roman"/>
          <w:sz w:val="18"/>
          <w:szCs w:val="18"/>
          <w:color w:val="auto"/>
        </w:rPr>
        <w:t>payment of the Atlanta settlement in January 2024 and the $30.2 million payment in debt issuance costs and discounts associated with the issuance of the Refinancing Term Loans and Secured Notes in May 2024. Our foreign subsidiaries held cash of approximately $238.1 million at June 30, 2024 and $224.1 million at December 31, 2023. No material restrictions exist to accessing cash held by our foreign subsidiaries notwithstanding any potential tax consequences.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described in more detail below, on March 1, 2024, the Company and SHH entered into Amendment No. 3 to the Revolving Credit Facility. Amendment No. 3 did not materially change to the terms and conditions of the Credit Agreement, including with respect to the amount of commitments under the Revolving Credit Facility, which remains $423.8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below, on May 30, 2024 the Company and SHH closed on the Refinancing Term Loans in an aggregate principal amount of $1,509.4 million as well as an issuance of Secured Notes in an aggregate principal amount of $750.0 million (collectively, the “Financings”), both of which mature in 2031. The Company used the net proceeds from the Financings, along with cash on hand, to refinance its existing $1,763.1 million Term Loan and $496.3 million Term Loan due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Uses of Cash</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Our primary long-term liquidity requirements beyond the next 12 months will be to service our debt, make capital expenditures, and fund suitable business acquisitions. As of June 30, 2024,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June 30, 2024, our interest rate derivatives limit our cash flow exposure of our variable rate borrowings under the Term Loans. Refer to Note 15, “Financial Instruments and Financial Risk”, “Derivative Instruments” for additional information about changes in interest rate risk.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six months ended June 30, 2024, our capital expenditures amounted to $76.8 million, compared to $98.1 million for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 w:type="dxa"/>
            <w:vAlign w:val="bottom"/>
          </w:tcPr>
          <w:p>
            <w:pPr>
              <w:spacing w:after="0"/>
              <w:rPr>
                <w:sz w:val="13"/>
                <w:szCs w:val="13"/>
                <w:color w:val="auto"/>
              </w:rPr>
            </w:pPr>
          </w:p>
        </w:tc>
        <w:tc>
          <w:tcPr>
            <w:tcW w:w="224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6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(302,704)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(98,102)</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273,206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64"/>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including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(53,896)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(125,804)</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increased $373.7 million to net cash provided of $71.0 million in the six months ended June 30, 2024 compared to $302.7 million of net cash used in operating activities for the six months ended June 30, 2023. The change in overall cash flows from operating activities was primarily due to the timing of the release of the $407.7 million Illinois settlement funds on June 30, 2023 and the release of the $35.0 million Atlanta settlement funds in January 2024.</w:t>
      </w:r>
    </w:p>
    <w:p>
      <w:pPr>
        <w:sectPr>
          <w:pgSz w:w="11900" w:h="16838" w:orient="portrait"/>
          <w:cols w:equalWidth="0" w:num="1">
            <w:col w:w="11220"/>
          </w:cols>
          <w:pgMar w:left="320" w:top="1147"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used by investing activities decreased $21.3 million to net cash used of $76.8 million in the six months ended June 30, 2024 compared to $98.1 million for the six months ended June 30, 2024. The variance was primarily driven by a decrease in cash paid for capital expenditures of $21.3 million in the six months ended June 30, 2024 compared to the six months ended June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$41.4 million for the six months ended June 30, 2024 compared to $273.2 million of cash provided by financing activities for the six months ended June 30, 2023. The difference was mainly attributable to $500.0 million in proceeds from the issuance of Term Loan B due 2026 on February 23, 2023, partially offset by the $200.0 million paydown of the outstanding balance on the Revolving Credit Facility concurrent with the issuance of Term Loan B due 2026. Additionally, in the six months ended June 30, 2024, the Company paid $6.7 million to acquire certain facilities through the settlement of a finance lease and paid $5.5 million of incremental debt issuance costs as compared to the comparable period of the prior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13, 2019, SHH, our wholly-owned subsidiary, entered into the Senior Secured Credit Facilities, consisting of both the Term Loan and the Revolving Credit Facility pursuant to the Credit Agreement.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30, 2024, the Company and SHH entered into Amendment No. 4 to the Senior Secured Credit Facilities. Among other changes, Amendment No. 4 provides for the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are also subject to a “soft call” premium of 1.00% for certain repricing transactions with respect to the Refinancing Term Loans that occur within the six-month period after the effective date of Amendment No. 4. The Refinancing Term Loans amortize at a rate of 1.00% per annum and mature on May 30, 2031. The weighted average interest rate on borrowings under the Refinancing Term Loans for the three months ended June 30, 2024 was 8.58%.</w:t>
      </w:r>
    </w:p>
    <w:p>
      <w:pPr>
        <w:spacing w:after="0" w:line="2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May 30, 2024, SHH, the Company, the Guarantors, and Wilmington Trust, National Association, as trustee, paying agent, registrar, transfer agent and notes collateral agent, entered into the Indenture governing SHH’s newly issued $750.0 million aggregate principal amount of 7.375% Secured Notes. The Secured Notes will pay interest semiannually in arrears on June 1 and December 1 of each year, beginning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after the issue date, at a redemption price equal to 103% of the aggregate principal amount thereof, plus accrued and unpaid interest, if any, thereon to, but excluding, the redemption date.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4" w:name="page45"/>
    <w:bookmarkEnd w:id="44"/>
    <w:p>
      <w:pPr>
        <w:ind w:right="200"/>
        <w:spacing w:after="0" w:line="266" w:lineRule="auto"/>
        <w:rPr>
          <w:sz w:val="20"/>
          <w:szCs w:val="20"/>
          <w:color w:val="auto"/>
        </w:rPr>
      </w:pPr>
      <w:r>
        <w:rPr>
          <w:rFonts w:ascii="Times New Roman" w:cs="Times New Roman" w:eastAsia="Times New Roman" w:hAnsi="Times New Roman"/>
          <w:sz w:val="18"/>
          <w:szCs w:val="18"/>
          <w:color w:val="auto"/>
        </w:rPr>
        <w:t>The obligations under the Indenture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used the combined net proceeds from the Refinancing Terms Loans and Secured Notes, along with cash on hand, to refinance its existing $1,763.1 million Term Loan due 2026 and $496.3 million Term Loan B due 2026.</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1, 2024, the Company and SHH entered into Amendment No. 3 to the Revolving Credit Facility. Among other changes, Amendment No. 3 provides (i) for new commitments under the existing Revolving Credit Facility to replace the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 June 30, 2024, we were in compliance with all of the covenants under the Senior Secured Credit Facilities and the Indenture.</w:t>
      </w:r>
    </w:p>
    <w:p>
      <w:pPr>
        <w:spacing w:after="0" w:line="18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and the Indenture are unconditionally guaranteed by the Company and each existing and subsequently acquired or organized direct or indirect wholly 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the borrower and guarantors, subject to permitted liens and other exceptions and exclusions, as outlined in the Senior Secured Credit Facilities, the Indenture and the Security Agreement.</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June 30, 2024, the Company had $23.7 million of letters of credit issued against the Revolving Credit Facility, resulting in total availability under the Revolving Credit Facility of $400.1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comprehensive discussion of the Company’s critical accounting policies and management estimates made in connection with the preparation of the financial statements is included in Item 7 of 2023 10-K. There have been no significant changes in critical accounting policies, management estimates or accounting policies since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applicable to our business, see Note 2, “Recent Accounting Standards” to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Market risks are described within “Quantitative and Qualitative Disclosures About Market Risk” in Part II, Item 7A of our 2023 10-K. These market risks have not materially changed for the three and six months ended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has evaluated the effectiveness of the Company’s “disclosure controls and procedures,” (as defined in Rules 13a-15(e) and 15d-15(e) under the Securities Exchange Act of 1934, as amended (“Exchange Act”)). Based upon their evaluation, the CEO and CFO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our business, including claims relating to personal injury, property damage, workers’ compensation, employee safety, corporate governance and our disclosures as a Nasdaq-listed, publicly traded company.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material legal proceedings is included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Described in Note 14 “Commitments and Contingencies” of Our Consolidated Financial Statements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Note 14, “Commitments and Contingencies” to our consolidated financial statements for the three and six months ended June 30, 2024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14 “Commitments and Contingencies” for information regarding the following legal proceedings, which information is incorporated into this item by reference:</w:t>
      </w:r>
    </w:p>
    <w:p>
      <w:pPr>
        <w:spacing w:after="0" w:line="18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Ethylene Oxide Tort Litigation – Illinois, Georgia, California and New Mexico;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for Environmental Liabilities;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Sotera Health Company Securities Litigation and Related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That Are Not Described in Note 14 “Commitments and Contingencies” to Our Consolidated Financial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matters that are identified in Note 14 “Commitments and Contingencies” to our consolidated financial statements for the three and six months ended June 30, 2024 contained in this Quarterly Report on Form 10-Q, and incorporated into this item by reference, the following matters also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Effective January 1, 2024, except for the previously disclosed Notices of Violation issued to Sterigenics’ facilities in Queensbury, New York, Los Angeles, California and Ontario, California, the Company uses a threshold of $1.0 million to determine whether the disclosure of any such proceedings is required because we believe matters under this threshold are not material to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Violation at Queensbury, New York Ethylene Oxide Sterilization Facility</w:t>
      </w:r>
    </w:p>
    <w:p>
      <w:pPr>
        <w:spacing w:after="0" w:line="2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May 2023, Sterigenics received a Notice of Violation (“NOV”) from the New York State Department of Environmental Conservation (“DEC”) relating to a May 2023 power outage at Sterigenics’ Queensbury, New York facility that resulted in a failure to restart the facility’s scrubber system. On June 10, 2024, Sterigenics and DEC entered into an Administrative Order on Consent pursuant to which Sterigenics agreed to implement additional remedial measures and pay a civil penalty, none of which resulted in a material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Notices of Violation at Vernon and Ontario, California Ethylene Oxide Sterilization Facilities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2022, the South Coast Air Quality Management District (“SCAQMD”) in Southern California initiated an investigation into EO sterilization facilities located in the SCAQMD region, including Sterigenics’ facilities in Vernon and Ontario, California. In connection with this investigation, SCAQMD issued NOVs to the Vernon and Ontario facilities alleging violations of SCAQMD operational, maintenance, permitting and reporting requirements and that levels of ambient EO detected by SCAQMD during 2022 caused a public nuisance for off-site workers around the facilities in violation of general prohibitions on emissions. Sterigenics disputes the allegations and expects to be able to resolve the NOVs for an immaterial amount.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“Risk Factors,” of our 2023 10-K filed with the SEC on February 27, 2024, and Part II, Item 1A,“Risk Factors,” of our Quarterly Report on Form 10-Q for the quarterly period ended March 31, 2024, filed with the SEC on May 2,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Plans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Quarterly Report on Form 10-Q.</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Furnished/Filed</w:t>
            </w:r>
          </w:p>
        </w:tc>
        <w:tc>
          <w:tcPr>
            <w:tcW w:w="0" w:type="dxa"/>
            <w:vAlign w:val="bottom"/>
          </w:tcPr>
          <w:p>
            <w:pPr>
              <w:spacing w:after="0"/>
              <w:rPr>
                <w:sz w:val="1"/>
                <w:szCs w:val="1"/>
                <w:color w:val="auto"/>
              </w:rPr>
            </w:pPr>
          </w:p>
        </w:tc>
      </w:tr>
      <w:tr>
        <w:trPr>
          <w:trHeight w:val="239"/>
        </w:trPr>
        <w:tc>
          <w:tcPr>
            <w:tcW w:w="65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No Description of Exhibits</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3"/>
        </w:trPr>
        <w:tc>
          <w:tcPr>
            <w:tcW w:w="8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5060" w:type="dxa"/>
            <w:vAlign w:val="bottom"/>
            <w:tcBorders>
              <w:bottom w:val="single" w:sz="8" w:color="0000FF"/>
            </w:tcBorders>
            <w:gridSpan w:val="3"/>
          </w:tcPr>
          <w:p>
            <w:pPr>
              <w:spacing w:after="0" w:line="202"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Certificate of Amendment to the Amended and Restated Certificate of</w:t>
              </w:r>
            </w:hyperlink>
          </w:p>
        </w:tc>
        <w:tc>
          <w:tcPr>
            <w:tcW w:w="660" w:type="dxa"/>
            <w:vAlign w:val="bottom"/>
            <w:gridSpan w:val="3"/>
          </w:tcPr>
          <w:p>
            <w:pPr>
              <w:spacing w:after="0"/>
              <w:rPr>
                <w:sz w:val="17"/>
                <w:szCs w:val="1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001-39729</w:t>
            </w:r>
          </w:p>
        </w:tc>
        <w:tc>
          <w:tcPr>
            <w:tcW w:w="78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2024-05-24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20" w:type="dxa"/>
            <w:vAlign w:val="bottom"/>
            <w:vMerge w:val="restart"/>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Incorporation of Sotera, dated May 23, 2024</w:t>
              </w:r>
            </w:hyperlink>
          </w:p>
        </w:tc>
        <w:tc>
          <w:tcPr>
            <w:tcW w:w="2500" w:type="dxa"/>
            <w:vAlign w:val="bottom"/>
            <w:gridSpan w:val="5"/>
            <w:vMerge w:val="restart"/>
          </w:tcPr>
          <w:p>
            <w:pPr>
              <w:spacing w:after="0"/>
              <w:rPr>
                <w:sz w:val="11"/>
                <w:szCs w:val="11"/>
                <w:color w:val="auto"/>
              </w:rPr>
            </w:pPr>
          </w:p>
        </w:tc>
        <w:tc>
          <w:tcPr>
            <w:tcW w:w="6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20" w:type="dxa"/>
            <w:vAlign w:val="bottom"/>
          </w:tcPr>
          <w:p>
            <w:pPr>
              <w:spacing w:after="0"/>
              <w:rPr>
                <w:sz w:val="5"/>
                <w:szCs w:val="5"/>
                <w:color w:val="auto"/>
              </w:rPr>
            </w:pPr>
          </w:p>
        </w:tc>
        <w:tc>
          <w:tcPr>
            <w:tcW w:w="3220" w:type="dxa"/>
            <w:vAlign w:val="bottom"/>
            <w:tcBorders>
              <w:bottom w:val="single" w:sz="8" w:color="0000FF"/>
            </w:tcBorders>
            <w:vMerge w:val="continue"/>
          </w:tcPr>
          <w:p>
            <w:pPr>
              <w:spacing w:after="0"/>
              <w:rPr>
                <w:sz w:val="5"/>
                <w:szCs w:val="5"/>
                <w:color w:val="auto"/>
              </w:rPr>
            </w:pPr>
          </w:p>
        </w:tc>
        <w:tc>
          <w:tcPr>
            <w:tcW w:w="25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Indenture dated as of May 30, 2024, among Sotera Health Holdings, LLC, as</w:t>
            </w: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Issuer of the Notes, Sotera Health Company, as Holdings, and the Guarantors</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56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party hereto and Wilmington Trust, National Association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sectPr>
          <w:pgSz w:w="11900" w:h="16838" w:orient="portrait"/>
          <w:cols w:equalWidth="0" w:num="1">
            <w:col w:w="11240"/>
          </w:cols>
          <w:pgMar w:left="320" w:top="125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of 7.375% Senior Secured Notes due 2031 (included as Exhibit A to</w:t>
            </w:r>
          </w:p>
        </w:tc>
        <w:tc>
          <w:tcPr>
            <w:tcW w:w="34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 4.1)</w:t>
            </w:r>
          </w:p>
        </w:tc>
      </w:tr>
      <w:tr>
        <w:trPr>
          <w:trHeight w:val="20"/>
        </w:trPr>
        <w:tc>
          <w:tcPr>
            <w:tcW w:w="8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Security Agreement, dated as of May 30, 2024, among Sotera Health</w:t>
            </w:r>
          </w:p>
        </w:tc>
        <w:tc>
          <w:tcPr>
            <w:tcW w:w="260" w:type="dxa"/>
            <w:vAlign w:val="bottom"/>
            <w:gridSpan w:val="6"/>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5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Holdings, LLC, Sotera Health Company, the other Grantors party thereto, and</w:t>
            </w:r>
          </w:p>
        </w:tc>
      </w:tr>
      <w:tr>
        <w:trPr>
          <w:trHeight w:val="196"/>
        </w:trPr>
        <w:tc>
          <w:tcPr>
            <w:tcW w:w="800" w:type="dxa"/>
            <w:vAlign w:val="bottom"/>
          </w:tcPr>
          <w:p>
            <w:pPr>
              <w:spacing w:after="0"/>
              <w:rPr>
                <w:sz w:val="17"/>
                <w:szCs w:val="17"/>
                <w:color w:val="auto"/>
              </w:rPr>
            </w:pPr>
          </w:p>
        </w:tc>
        <w:tc>
          <w:tcPr>
            <w:tcW w:w="560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Wilmington Trust, National Association</w:t>
            </w:r>
          </w:p>
        </w:tc>
        <w:tc>
          <w:tcPr>
            <w:tcW w:w="10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Amendment No. 4 to First Lien Credit Agreement, dated as of May 30, 2024,</w:t>
            </w:r>
          </w:p>
        </w:tc>
        <w:tc>
          <w:tcPr>
            <w:tcW w:w="120" w:type="dxa"/>
            <w:vAlign w:val="bottom"/>
            <w:gridSpan w:val="3"/>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5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among Sotera Health Company, Sotera Health Holdings, LLC, each Term and</w:t>
            </w:r>
          </w:p>
        </w:tc>
      </w:tr>
      <w:tr>
        <w:trPr>
          <w:trHeight w:val="196"/>
        </w:trPr>
        <w:tc>
          <w:tcPr>
            <w:tcW w:w="800" w:type="dxa"/>
            <w:vAlign w:val="bottom"/>
          </w:tcPr>
          <w:p>
            <w:pPr>
              <w:spacing w:after="0"/>
              <w:rPr>
                <w:sz w:val="17"/>
                <w:szCs w:val="17"/>
                <w:color w:val="auto"/>
              </w:rPr>
            </w:pPr>
          </w:p>
        </w:tc>
        <w:tc>
          <w:tcPr>
            <w:tcW w:w="560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Revolving Lender party and JPMorgan Chase Bank, N.A., as First Lien</w:t>
            </w:r>
          </w:p>
        </w:tc>
        <w:tc>
          <w:tcPr>
            <w:tcW w:w="10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1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Administrative Agent</w:t>
            </w:r>
          </w:p>
        </w:tc>
        <w:tc>
          <w:tcPr>
            <w:tcW w:w="560" w:type="dxa"/>
            <w:vAlign w:val="bottom"/>
            <w:gridSpan w:val="8"/>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Rules</w:t>
            </w:r>
          </w:p>
        </w:tc>
        <w:tc>
          <w:tcPr>
            <w:tcW w:w="200" w:type="dxa"/>
            <w:vAlign w:val="bottom"/>
            <w:gridSpan w:val="4"/>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55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as adopted pursuant to Section 302 of the Sarbanes-</w:t>
            </w:r>
          </w:p>
        </w:tc>
        <w:tc>
          <w:tcPr>
            <w:tcW w:w="12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w:t>
            </w:r>
          </w:p>
        </w:tc>
      </w:tr>
      <w:tr>
        <w:trPr>
          <w:trHeight w:val="20"/>
        </w:trPr>
        <w:tc>
          <w:tcPr>
            <w:tcW w:w="80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5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as adopted pursuant to Section 302 of the Sarbanes-</w:t>
            </w:r>
          </w:p>
        </w:tc>
        <w:tc>
          <w:tcPr>
            <w:tcW w:w="12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Certifications of Principal Executive Officer and Principal Financial Officer</w:t>
            </w:r>
          </w:p>
        </w:tc>
        <w:tc>
          <w:tcPr>
            <w:tcW w:w="220" w:type="dxa"/>
            <w:vAlign w:val="bottom"/>
            <w:gridSpan w:val="5"/>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56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 pursuant to Section 906 of the</w:t>
            </w:r>
          </w:p>
        </w:tc>
        <w:tc>
          <w:tcPr>
            <w:tcW w:w="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640" w:type="dxa"/>
            <w:vAlign w:val="bottom"/>
            <w:gridSpan w:val="10"/>
          </w:tcPr>
          <w:p>
            <w:pPr>
              <w:spacing w:after="0"/>
              <w:rPr>
                <w:sz w:val="17"/>
                <w:szCs w:val="17"/>
                <w:color w:val="auto"/>
              </w:rPr>
            </w:pPr>
          </w:p>
        </w:tc>
      </w:tr>
      <w:tr>
        <w:trPr>
          <w:trHeight w:val="27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w:t>
            </w:r>
          </w:p>
        </w:tc>
      </w:tr>
      <w:tr>
        <w:trPr>
          <w:trHeight w:val="216"/>
        </w:trPr>
        <w:tc>
          <w:tcPr>
            <w:tcW w:w="800" w:type="dxa"/>
            <w:vAlign w:val="bottom"/>
          </w:tcPr>
          <w:p>
            <w:pPr>
              <w:spacing w:after="0"/>
              <w:rPr>
                <w:sz w:val="18"/>
                <w:szCs w:val="18"/>
                <w:color w:val="auto"/>
              </w:rPr>
            </w:pP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appear in the Interactive Data File because its XBRL tags are embedded within</w:t>
            </w:r>
          </w:p>
        </w:tc>
      </w:tr>
      <w:tr>
        <w:trPr>
          <w:trHeight w:val="234"/>
        </w:trPr>
        <w:tc>
          <w:tcPr>
            <w:tcW w:w="800" w:type="dxa"/>
            <w:vAlign w:val="bottom"/>
          </w:tcPr>
          <w:p>
            <w:pPr>
              <w:spacing w:after="0"/>
              <w:rPr>
                <w:sz w:val="20"/>
                <w:szCs w:val="20"/>
                <w:color w:val="auto"/>
              </w:rPr>
            </w:pP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36" w:lineRule="exact"/>
        <w:rPr>
          <w:sz w:val="20"/>
          <w:szCs w:val="20"/>
          <w:color w:val="auto"/>
        </w:rPr>
      </w:pPr>
    </w:p>
    <w:p>
      <w:pPr>
        <w:ind w:left="820" w:right="3440" w:hanging="794"/>
        <w:spacing w:after="0" w:line="199" w:lineRule="auto"/>
        <w:tabs>
          <w:tab w:leader="none" w:pos="820" w:val="left"/>
        </w:tabs>
        <w:numPr>
          <w:ilvl w:val="1"/>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5"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29"/>
          <w:szCs w:val="29"/>
          <w:color w:val="auto"/>
          <w:vertAlign w:val="superscript"/>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Portions of this exhibit have been omitted pursuant to Item 601(a)(5) of Regulation S-K.</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1136" w:lineRule="exact"/>
        <w:rPr>
          <w:sz w:val="20"/>
          <w:szCs w:val="20"/>
          <w:color w:val="auto"/>
        </w:rPr>
      </w:pPr>
    </w:p>
    <w:p>
      <w:pPr>
        <w:sectPr>
          <w:pgSz w:w="11900" w:h="16838" w:orient="portrait"/>
          <w:cols w:equalWidth="0" w:num="2">
            <w:col w:w="9840" w:space="720"/>
            <w:col w:w="680"/>
          </w:cols>
          <w:pgMar w:left="320" w:top="1251" w:right="33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320"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M. Lyons</w:t>
            </w:r>
          </w:p>
        </w:tc>
      </w:tr>
      <w:tr>
        <w:trPr>
          <w:trHeight w:val="27"/>
        </w:trPr>
        <w:tc>
          <w:tcPr>
            <w:tcW w:w="7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 Lyons</w:t>
            </w:r>
          </w:p>
        </w:tc>
      </w:tr>
      <w:tr>
        <w:trPr>
          <w:trHeight w:val="27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76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5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67" w:lineRule="exact"/>
        <w:rPr>
          <w:sz w:val="20"/>
          <w:szCs w:val="20"/>
          <w:color w:val="auto"/>
        </w:rPr>
      </w:pPr>
    </w:p>
    <w:p>
      <w:pPr>
        <w:ind w:right="20" w:firstLine="8"/>
        <w:spacing w:after="0" w:line="308" w:lineRule="auto"/>
        <w:tabs>
          <w:tab w:leader="none" w:pos="348" w:val="left"/>
        </w:tabs>
        <w:numPr>
          <w:ilvl w:val="0"/>
          <w:numId w:val="2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Indicates that certain information in this exhibit has been excluded because it is both (i) not material and (ii) is the type that the registrant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INDENTURE</w:t>
      </w:r>
    </w:p>
    <w:p>
      <w:pPr>
        <w:spacing w:after="0" w:line="3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Dated as of May 30, 2024 Among</w:t>
      </w:r>
    </w:p>
    <w:p>
      <w:pPr>
        <w:spacing w:after="0" w:line="1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SOTERA HEALTH HOLDINGS, LLC,</w:t>
      </w:r>
    </w:p>
    <w:p>
      <w:pPr>
        <w:spacing w:after="0" w:line="2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as Issuer of the Notes</w:t>
      </w: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SOTERA HEALTH COMPANY</w:t>
      </w:r>
    </w:p>
    <w:p>
      <w:pPr>
        <w:spacing w:after="0" w:line="2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as Holdings</w:t>
      </w: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and</w:t>
      </w: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the Guarantors party hereto and</w:t>
      </w:r>
    </w:p>
    <w:p>
      <w:pPr>
        <w:spacing w:after="0" w:line="11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as Trustee, Paying Agent, Registrar, Transfer Agent and Notes Collateral Agent</w:t>
      </w: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7.375% SENIOR SECURED NOTES DUE 2031</w:t>
      </w:r>
    </w:p>
    <w:p>
      <w:pPr>
        <w:sectPr>
          <w:pgSz w:w="11900" w:h="16838" w:orient="portrait"/>
          <w:cols w:equalWidth="0" w:num="1">
            <w:col w:w="11020"/>
          </w:cols>
          <w:pgMar w:left="320" w:top="734" w:right="5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CONTENTS</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Page</w:t>
      </w:r>
    </w:p>
    <w:p>
      <w:pPr>
        <w:spacing w:after="0" w:line="214" w:lineRule="exact"/>
        <w:rPr>
          <w:sz w:val="20"/>
          <w:szCs w:val="20"/>
          <w:color w:val="auto"/>
        </w:rPr>
      </w:pPr>
    </w:p>
    <w:p>
      <w:pPr>
        <w:ind w:left="20"/>
        <w:spacing w:after="0"/>
        <w:tabs>
          <w:tab w:leader="none" w:pos="5800" w:val="left"/>
        </w:tabs>
        <w:rPr>
          <w:sz w:val="20"/>
          <w:szCs w:val="20"/>
          <w:color w:val="auto"/>
        </w:rPr>
      </w:pPr>
      <w:r>
        <w:rPr>
          <w:rFonts w:ascii="Times New Roman" w:cs="Times New Roman" w:eastAsia="Times New Roman" w:hAnsi="Times New Roman"/>
          <w:sz w:val="19"/>
          <w:szCs w:val="19"/>
          <w:color w:val="auto"/>
        </w:rPr>
        <w:t>ARTICLE 1 DEFINITIONS AND INCORPORATION BY REFERENCE</w:t>
        <w:tab/>
        <w:t>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1.01</w:t>
            </w:r>
          </w:p>
        </w:tc>
        <w:tc>
          <w:tcPr>
            <w:tcW w:w="11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Definitions</w:t>
            </w:r>
          </w:p>
        </w:tc>
        <w:tc>
          <w:tcPr>
            <w:tcW w:w="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1.02</w:t>
            </w:r>
          </w:p>
        </w:tc>
        <w:tc>
          <w:tcPr>
            <w:tcW w:w="1580" w:type="dxa"/>
            <w:vAlign w:val="bottom"/>
            <w:gridSpan w:val="3"/>
          </w:tcPr>
          <w:p>
            <w:pPr>
              <w:ind w:left="100"/>
              <w:spacing w:after="0" w:line="203" w:lineRule="exact"/>
              <w:rPr>
                <w:sz w:val="20"/>
                <w:szCs w:val="20"/>
                <w:color w:val="auto"/>
              </w:rPr>
            </w:pPr>
            <w:r>
              <w:rPr>
                <w:rFonts w:ascii="Times New Roman" w:cs="Times New Roman" w:eastAsia="Times New Roman" w:hAnsi="Times New Roman"/>
                <w:sz w:val="19"/>
                <w:szCs w:val="19"/>
                <w:color w:val="auto"/>
              </w:rPr>
              <w:t>Other Definitions</w:t>
            </w:r>
          </w:p>
        </w:tc>
        <w:tc>
          <w:tcPr>
            <w:tcW w:w="320" w:type="dxa"/>
            <w:vAlign w:val="bottom"/>
          </w:tcPr>
          <w:p>
            <w:pPr>
              <w:jc w:val="right"/>
              <w:ind w:right="6"/>
              <w:spacing w:after="0" w:line="203" w:lineRule="exact"/>
              <w:rPr>
                <w:sz w:val="20"/>
                <w:szCs w:val="20"/>
                <w:color w:val="auto"/>
              </w:rPr>
            </w:pPr>
            <w:r>
              <w:rPr>
                <w:rFonts w:ascii="Times New Roman" w:cs="Times New Roman" w:eastAsia="Times New Roman" w:hAnsi="Times New Roman"/>
                <w:sz w:val="19"/>
                <w:szCs w:val="19"/>
                <w:color w:val="auto"/>
              </w:rPr>
              <w:t>55</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1.03</w:t>
            </w:r>
          </w:p>
        </w:tc>
        <w:tc>
          <w:tcPr>
            <w:tcW w:w="11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[Reserved]</w:t>
            </w:r>
          </w:p>
        </w:tc>
        <w:tc>
          <w:tcPr>
            <w:tcW w:w="26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rPr>
              <w:t>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1.04</w:t>
            </w:r>
          </w:p>
        </w:tc>
        <w:tc>
          <w:tcPr>
            <w:tcW w:w="1900" w:type="dxa"/>
            <w:vAlign w:val="bottom"/>
            <w:gridSpan w:val="4"/>
          </w:tcPr>
          <w:p>
            <w:pPr>
              <w:ind w:left="100"/>
              <w:spacing w:after="0" w:line="203" w:lineRule="exact"/>
              <w:rPr>
                <w:sz w:val="20"/>
                <w:szCs w:val="20"/>
                <w:color w:val="auto"/>
              </w:rPr>
            </w:pPr>
            <w:r>
              <w:rPr>
                <w:rFonts w:ascii="Times New Roman" w:cs="Times New Roman" w:eastAsia="Times New Roman" w:hAnsi="Times New Roman"/>
                <w:sz w:val="19"/>
                <w:szCs w:val="19"/>
                <w:color w:val="auto"/>
              </w:rPr>
              <w:t>Rules of Construction</w:t>
            </w:r>
          </w:p>
        </w:tc>
        <w:tc>
          <w:tcPr>
            <w:tcW w:w="380" w:type="dxa"/>
            <w:vAlign w:val="bottom"/>
          </w:tcPr>
          <w:p>
            <w:pPr>
              <w:jc w:val="right"/>
              <w:ind w:right="46"/>
              <w:spacing w:after="0" w:line="203" w:lineRule="exact"/>
              <w:rPr>
                <w:sz w:val="20"/>
                <w:szCs w:val="20"/>
                <w:color w:val="auto"/>
              </w:rPr>
            </w:pPr>
            <w:r>
              <w:rPr>
                <w:rFonts w:ascii="Times New Roman" w:cs="Times New Roman" w:eastAsia="Times New Roman" w:hAnsi="Times New Roman"/>
                <w:sz w:val="19"/>
                <w:szCs w:val="19"/>
                <w:color w:val="auto"/>
              </w:rPr>
              <w:t>56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1.05</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Acts of Holders</w:t>
            </w:r>
          </w:p>
        </w:tc>
        <w:tc>
          <w:tcPr>
            <w:tcW w:w="540" w:type="dxa"/>
            <w:vAlign w:val="bottom"/>
            <w:gridSpan w:val="2"/>
          </w:tcPr>
          <w:p>
            <w:pPr>
              <w:jc w:val="right"/>
              <w:ind w:right="146"/>
              <w:spacing w:after="0"/>
              <w:rPr>
                <w:sz w:val="20"/>
                <w:szCs w:val="20"/>
                <w:color w:val="auto"/>
              </w:rPr>
            </w:pPr>
            <w:r>
              <w:rPr>
                <w:rFonts w:ascii="Times New Roman" w:cs="Times New Roman" w:eastAsia="Times New Roman" w:hAnsi="Times New Roman"/>
                <w:sz w:val="19"/>
                <w:szCs w:val="19"/>
                <w:color w:val="auto"/>
              </w:rPr>
              <w:t>57</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ARTICLE 2 THE NOTES</w:t>
            </w:r>
          </w:p>
        </w:tc>
        <w:tc>
          <w:tcPr>
            <w:tcW w:w="26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94"/>
              </w:rPr>
              <w:t>58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2.01</w:t>
            </w:r>
          </w:p>
        </w:tc>
        <w:tc>
          <w:tcPr>
            <w:tcW w:w="2520" w:type="dxa"/>
            <w:vAlign w:val="bottom"/>
            <w:gridSpan w:val="6"/>
          </w:tcPr>
          <w:p>
            <w:pPr>
              <w:ind w:left="100"/>
              <w:spacing w:after="0"/>
              <w:rPr>
                <w:sz w:val="20"/>
                <w:szCs w:val="20"/>
                <w:color w:val="auto"/>
              </w:rPr>
            </w:pPr>
            <w:r>
              <w:rPr>
                <w:rFonts w:ascii="Times New Roman" w:cs="Times New Roman" w:eastAsia="Times New Roman" w:hAnsi="Times New Roman"/>
                <w:sz w:val="19"/>
                <w:szCs w:val="19"/>
                <w:color w:val="auto"/>
              </w:rPr>
              <w:t>Form and Dating; Terms  58</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2.02</w:t>
            </w:r>
          </w:p>
        </w:tc>
        <w:tc>
          <w:tcPr>
            <w:tcW w:w="2520" w:type="dxa"/>
            <w:vAlign w:val="bottom"/>
            <w:gridSpan w:val="6"/>
          </w:tcPr>
          <w:p>
            <w:pPr>
              <w:ind w:left="100"/>
              <w:spacing w:after="0" w:line="216" w:lineRule="exact"/>
              <w:rPr>
                <w:sz w:val="20"/>
                <w:szCs w:val="20"/>
                <w:color w:val="auto"/>
              </w:rPr>
            </w:pPr>
            <w:r>
              <w:rPr>
                <w:rFonts w:ascii="Times New Roman" w:cs="Times New Roman" w:eastAsia="Times New Roman" w:hAnsi="Times New Roman"/>
                <w:sz w:val="19"/>
                <w:szCs w:val="19"/>
                <w:color w:val="auto"/>
              </w:rPr>
              <w:t>Execution and Authentication</w:t>
            </w:r>
          </w:p>
        </w:tc>
        <w:tc>
          <w:tcPr>
            <w:tcW w:w="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2.03</w:t>
            </w:r>
          </w:p>
        </w:tc>
        <w:tc>
          <w:tcPr>
            <w:tcW w:w="2280" w:type="dxa"/>
            <w:vAlign w:val="bottom"/>
            <w:gridSpan w:val="5"/>
          </w:tcPr>
          <w:p>
            <w:pPr>
              <w:ind w:left="100"/>
              <w:spacing w:after="0" w:line="216" w:lineRule="exact"/>
              <w:rPr>
                <w:sz w:val="20"/>
                <w:szCs w:val="20"/>
                <w:color w:val="auto"/>
              </w:rPr>
            </w:pPr>
            <w:r>
              <w:rPr>
                <w:rFonts w:ascii="Times New Roman" w:cs="Times New Roman" w:eastAsia="Times New Roman" w:hAnsi="Times New Roman"/>
                <w:sz w:val="19"/>
                <w:szCs w:val="19"/>
                <w:color w:val="auto"/>
              </w:rPr>
              <w:t>Registrar and Paying Agent</w:t>
            </w:r>
          </w:p>
        </w:tc>
        <w:tc>
          <w:tcPr>
            <w:tcW w:w="540" w:type="dxa"/>
            <w:vAlign w:val="bottom"/>
            <w:gridSpan w:val="2"/>
          </w:tcPr>
          <w:p>
            <w:pPr>
              <w:jc w:val="right"/>
              <w:ind w:right="166"/>
              <w:spacing w:after="0" w:line="216" w:lineRule="exact"/>
              <w:rPr>
                <w:sz w:val="20"/>
                <w:szCs w:val="20"/>
                <w:color w:val="auto"/>
              </w:rPr>
            </w:pPr>
            <w:r>
              <w:rPr>
                <w:rFonts w:ascii="Times New Roman" w:cs="Times New Roman" w:eastAsia="Times New Roman" w:hAnsi="Times New Roman"/>
                <w:sz w:val="19"/>
                <w:szCs w:val="19"/>
                <w:color w:val="auto"/>
              </w:rPr>
              <w:t>60</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2.04</w:t>
            </w:r>
          </w:p>
        </w:tc>
        <w:tc>
          <w:tcPr>
            <w:tcW w:w="3120" w:type="dxa"/>
            <w:vAlign w:val="bottom"/>
            <w:gridSpan w:val="8"/>
          </w:tcPr>
          <w:p>
            <w:pPr>
              <w:ind w:left="100"/>
              <w:spacing w:after="0" w:line="189" w:lineRule="exact"/>
              <w:rPr>
                <w:sz w:val="20"/>
                <w:szCs w:val="20"/>
                <w:color w:val="auto"/>
              </w:rPr>
            </w:pPr>
            <w:r>
              <w:rPr>
                <w:rFonts w:ascii="Times New Roman" w:cs="Times New Roman" w:eastAsia="Times New Roman" w:hAnsi="Times New Roman"/>
                <w:sz w:val="19"/>
                <w:szCs w:val="19"/>
                <w:color w:val="auto"/>
              </w:rPr>
              <w:t>Paying Agent to Hold Money in Trust</w:t>
            </w:r>
          </w:p>
        </w:tc>
        <w:tc>
          <w:tcPr>
            <w:tcW w:w="3060" w:type="dxa"/>
            <w:vAlign w:val="bottom"/>
          </w:tcPr>
          <w:p>
            <w:pPr>
              <w:jc w:val="right"/>
              <w:ind w:right="2746"/>
              <w:spacing w:after="0" w:line="189" w:lineRule="exact"/>
              <w:rPr>
                <w:sz w:val="20"/>
                <w:szCs w:val="20"/>
                <w:color w:val="auto"/>
              </w:rPr>
            </w:pPr>
            <w:r>
              <w:rPr>
                <w:rFonts w:ascii="Times New Roman" w:cs="Times New Roman" w:eastAsia="Times New Roman" w:hAnsi="Times New Roman"/>
                <w:sz w:val="19"/>
                <w:szCs w:val="19"/>
                <w:color w:val="auto"/>
              </w:rPr>
              <w:t>60</w:t>
            </w: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2.05</w:t>
            </w:r>
          </w:p>
        </w:tc>
        <w:tc>
          <w:tcPr>
            <w:tcW w:w="11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Holder Lists</w:t>
            </w:r>
          </w:p>
        </w:tc>
        <w:tc>
          <w:tcPr>
            <w:tcW w:w="4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9"/>
                <w:szCs w:val="19"/>
                <w:color w:val="auto"/>
              </w:rPr>
              <w:t>60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2.06</w:t>
            </w:r>
          </w:p>
        </w:tc>
        <w:tc>
          <w:tcPr>
            <w:tcW w:w="1900" w:type="dxa"/>
            <w:vAlign w:val="bottom"/>
            <w:gridSpan w:val="4"/>
          </w:tcPr>
          <w:p>
            <w:pPr>
              <w:ind w:left="100"/>
              <w:spacing w:after="0" w:line="203" w:lineRule="exact"/>
              <w:rPr>
                <w:sz w:val="20"/>
                <w:szCs w:val="20"/>
                <w:color w:val="auto"/>
              </w:rPr>
            </w:pPr>
            <w:r>
              <w:rPr>
                <w:rFonts w:ascii="Times New Roman" w:cs="Times New Roman" w:eastAsia="Times New Roman" w:hAnsi="Times New Roman"/>
                <w:sz w:val="19"/>
                <w:szCs w:val="19"/>
                <w:color w:val="auto"/>
              </w:rPr>
              <w:t>Transfer and Exchange</w:t>
            </w: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60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2.07</w:t>
            </w:r>
          </w:p>
        </w:tc>
        <w:tc>
          <w:tcPr>
            <w:tcW w:w="2280" w:type="dxa"/>
            <w:vAlign w:val="bottom"/>
            <w:gridSpan w:val="5"/>
          </w:tcPr>
          <w:p>
            <w:pPr>
              <w:ind w:left="100"/>
              <w:spacing w:after="0" w:line="216" w:lineRule="exact"/>
              <w:rPr>
                <w:sz w:val="20"/>
                <w:szCs w:val="20"/>
                <w:color w:val="auto"/>
              </w:rPr>
            </w:pPr>
            <w:r>
              <w:rPr>
                <w:rFonts w:ascii="Times New Roman" w:cs="Times New Roman" w:eastAsia="Times New Roman" w:hAnsi="Times New Roman"/>
                <w:sz w:val="19"/>
                <w:szCs w:val="19"/>
                <w:color w:val="auto"/>
              </w:rPr>
              <w:t>Repla cement Notes  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2.08</w:t>
            </w:r>
          </w:p>
        </w:tc>
        <w:tc>
          <w:tcPr>
            <w:tcW w:w="1580" w:type="dxa"/>
            <w:vAlign w:val="bottom"/>
            <w:gridSpan w:val="3"/>
          </w:tcPr>
          <w:p>
            <w:pPr>
              <w:ind w:left="100"/>
              <w:spacing w:after="0" w:line="203" w:lineRule="exact"/>
              <w:rPr>
                <w:sz w:val="20"/>
                <w:szCs w:val="20"/>
                <w:color w:val="auto"/>
              </w:rPr>
            </w:pPr>
            <w:r>
              <w:rPr>
                <w:rFonts w:ascii="Times New Roman" w:cs="Times New Roman" w:eastAsia="Times New Roman" w:hAnsi="Times New Roman"/>
                <w:sz w:val="19"/>
                <w:szCs w:val="19"/>
                <w:color w:val="auto"/>
              </w:rPr>
              <w:t>Outstanding Notes</w:t>
            </w:r>
          </w:p>
        </w:tc>
        <w:tc>
          <w:tcPr>
            <w:tcW w:w="32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70</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2.09</w:t>
            </w:r>
          </w:p>
        </w:tc>
        <w:tc>
          <w:tcPr>
            <w:tcW w:w="136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9"/>
                <w:szCs w:val="19"/>
                <w:color w:val="auto"/>
              </w:rPr>
              <w:t>Treasury Notes</w:t>
            </w:r>
          </w:p>
        </w:tc>
        <w:tc>
          <w:tcPr>
            <w:tcW w:w="540" w:type="dxa"/>
            <w:vAlign w:val="bottom"/>
            <w:gridSpan w:val="2"/>
          </w:tcPr>
          <w:p>
            <w:pPr>
              <w:jc w:val="right"/>
              <w:ind w:right="186"/>
              <w:spacing w:after="0" w:line="203" w:lineRule="exact"/>
              <w:rPr>
                <w:sz w:val="20"/>
                <w:szCs w:val="20"/>
                <w:color w:val="auto"/>
              </w:rPr>
            </w:pPr>
            <w:r>
              <w:rPr>
                <w:rFonts w:ascii="Times New Roman" w:cs="Times New Roman" w:eastAsia="Times New Roman" w:hAnsi="Times New Roman"/>
                <w:sz w:val="19"/>
                <w:szCs w:val="19"/>
                <w:color w:val="auto"/>
              </w:rPr>
              <w:t>70</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2.10</w:t>
            </w:r>
          </w:p>
        </w:tc>
        <w:tc>
          <w:tcPr>
            <w:tcW w:w="15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9"/>
                <w:szCs w:val="19"/>
                <w:color w:val="auto"/>
              </w:rPr>
              <w:t>Temporary Notes</w:t>
            </w:r>
          </w:p>
        </w:tc>
        <w:tc>
          <w:tcPr>
            <w:tcW w:w="3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4"/>
              </w:rPr>
              <w:t>71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2.11</w:t>
            </w:r>
          </w:p>
        </w:tc>
        <w:tc>
          <w:tcPr>
            <w:tcW w:w="110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Cancellation</w:t>
            </w:r>
          </w:p>
        </w:tc>
        <w:tc>
          <w:tcPr>
            <w:tcW w:w="48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9"/>
                <w:szCs w:val="19"/>
                <w:color w:val="auto"/>
              </w:rPr>
              <w:t>71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2.12</w:t>
            </w:r>
          </w:p>
        </w:tc>
        <w:tc>
          <w:tcPr>
            <w:tcW w:w="1580" w:type="dxa"/>
            <w:vAlign w:val="bottom"/>
            <w:gridSpan w:val="3"/>
          </w:tcPr>
          <w:p>
            <w:pPr>
              <w:ind w:left="100"/>
              <w:spacing w:after="0" w:line="203" w:lineRule="exact"/>
              <w:rPr>
                <w:sz w:val="20"/>
                <w:szCs w:val="20"/>
                <w:color w:val="auto"/>
              </w:rPr>
            </w:pPr>
            <w:r>
              <w:rPr>
                <w:rFonts w:ascii="Times New Roman" w:cs="Times New Roman" w:eastAsia="Times New Roman" w:hAnsi="Times New Roman"/>
                <w:sz w:val="19"/>
                <w:szCs w:val="19"/>
                <w:color w:val="auto"/>
              </w:rPr>
              <w:t>Defaulted Interest</w:t>
            </w:r>
          </w:p>
        </w:tc>
        <w:tc>
          <w:tcPr>
            <w:tcW w:w="32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71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2.13</w:t>
            </w:r>
          </w:p>
        </w:tc>
        <w:tc>
          <w:tcPr>
            <w:tcW w:w="2280" w:type="dxa"/>
            <w:vAlign w:val="bottom"/>
            <w:gridSpan w:val="5"/>
          </w:tcPr>
          <w:p>
            <w:pPr>
              <w:ind w:left="100"/>
              <w:spacing w:after="0" w:line="216" w:lineRule="exact"/>
              <w:rPr>
                <w:sz w:val="20"/>
                <w:szCs w:val="20"/>
                <w:color w:val="auto"/>
              </w:rPr>
            </w:pPr>
            <w:r>
              <w:rPr>
                <w:rFonts w:ascii="Times New Roman" w:cs="Times New Roman" w:eastAsia="Times New Roman" w:hAnsi="Times New Roman"/>
                <w:sz w:val="19"/>
                <w:szCs w:val="19"/>
                <w:color w:val="auto"/>
              </w:rPr>
              <w:t>CUSIP and ISIN Numbers</w:t>
            </w:r>
          </w:p>
        </w:tc>
        <w:tc>
          <w:tcPr>
            <w:tcW w:w="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w w:val="94"/>
              </w:rPr>
              <w:t>71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2.14</w:t>
            </w:r>
          </w:p>
        </w:tc>
        <w:tc>
          <w:tcPr>
            <w:tcW w:w="1580" w:type="dxa"/>
            <w:vAlign w:val="bottom"/>
            <w:gridSpan w:val="3"/>
          </w:tcPr>
          <w:p>
            <w:pPr>
              <w:ind w:left="100"/>
              <w:spacing w:after="0" w:line="203" w:lineRule="exact"/>
              <w:rPr>
                <w:sz w:val="20"/>
                <w:szCs w:val="20"/>
                <w:color w:val="auto"/>
              </w:rPr>
            </w:pPr>
            <w:r>
              <w:rPr>
                <w:rFonts w:ascii="Times New Roman" w:cs="Times New Roman" w:eastAsia="Times New Roman" w:hAnsi="Times New Roman"/>
                <w:sz w:val="19"/>
                <w:szCs w:val="19"/>
                <w:color w:val="auto"/>
              </w:rPr>
              <w:t>Deposit of Moneys</w:t>
            </w:r>
          </w:p>
        </w:tc>
        <w:tc>
          <w:tcPr>
            <w:tcW w:w="700" w:type="dxa"/>
            <w:vAlign w:val="bottom"/>
            <w:gridSpan w:val="2"/>
          </w:tcPr>
          <w:p>
            <w:pPr>
              <w:jc w:val="right"/>
              <w:ind w:right="266"/>
              <w:spacing w:after="0" w:line="203" w:lineRule="exact"/>
              <w:rPr>
                <w:sz w:val="20"/>
                <w:szCs w:val="20"/>
                <w:color w:val="auto"/>
              </w:rPr>
            </w:pPr>
            <w:r>
              <w:rPr>
                <w:rFonts w:ascii="Times New Roman" w:cs="Times New Roman" w:eastAsia="Times New Roman" w:hAnsi="Times New Roman"/>
                <w:sz w:val="19"/>
                <w:szCs w:val="19"/>
                <w:color w:val="auto"/>
              </w:rPr>
              <w:t>72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2.15</w:t>
            </w:r>
          </w:p>
        </w:tc>
        <w:tc>
          <w:tcPr>
            <w:tcW w:w="11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Agents  72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ARTICLE 3 REDEMPTION</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72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3.01</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Notices to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2"/>
            <w:vMerge w:val="restart"/>
          </w:tcPr>
          <w:p>
            <w:pPr>
              <w:jc w:val="right"/>
              <w:ind w:right="2926"/>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3.02</w:t>
            </w:r>
          </w:p>
        </w:tc>
        <w:tc>
          <w:tcPr>
            <w:tcW w:w="2820" w:type="dxa"/>
            <w:vAlign w:val="bottom"/>
            <w:gridSpan w:val="7"/>
          </w:tcPr>
          <w:p>
            <w:pPr>
              <w:ind w:left="100"/>
              <w:spacing w:after="0" w:line="216" w:lineRule="exact"/>
              <w:rPr>
                <w:sz w:val="20"/>
                <w:szCs w:val="20"/>
                <w:color w:val="auto"/>
              </w:rPr>
            </w:pPr>
            <w:r>
              <w:rPr>
                <w:rFonts w:ascii="Times New Roman" w:cs="Times New Roman" w:eastAsia="Times New Roman" w:hAnsi="Times New Roman"/>
                <w:sz w:val="19"/>
                <w:szCs w:val="19"/>
                <w:color w:val="auto"/>
                <w:w w:val="99"/>
              </w:rPr>
              <w:t>Selection of Notes to Be Redeemed</w:t>
            </w:r>
          </w:p>
        </w:tc>
        <w:tc>
          <w:tcPr>
            <w:tcW w:w="3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3.03</w:t>
            </w:r>
          </w:p>
        </w:tc>
        <w:tc>
          <w:tcPr>
            <w:tcW w:w="1900" w:type="dxa"/>
            <w:vAlign w:val="bottom"/>
            <w:gridSpan w:val="4"/>
          </w:tcPr>
          <w:p>
            <w:pPr>
              <w:ind w:left="100"/>
              <w:spacing w:after="0" w:line="203" w:lineRule="exact"/>
              <w:rPr>
                <w:sz w:val="20"/>
                <w:szCs w:val="20"/>
                <w:color w:val="auto"/>
              </w:rPr>
            </w:pPr>
            <w:r>
              <w:rPr>
                <w:rFonts w:ascii="Times New Roman" w:cs="Times New Roman" w:eastAsia="Times New Roman" w:hAnsi="Times New Roman"/>
                <w:sz w:val="19"/>
                <w:szCs w:val="19"/>
                <w:color w:val="auto"/>
              </w:rPr>
              <w:t>Notice of Redemption</w:t>
            </w:r>
          </w:p>
        </w:tc>
        <w:tc>
          <w:tcPr>
            <w:tcW w:w="380" w:type="dxa"/>
            <w:vAlign w:val="bottom"/>
          </w:tcPr>
          <w:p>
            <w:pPr>
              <w:jc w:val="right"/>
              <w:ind w:right="26"/>
              <w:spacing w:after="0" w:line="203" w:lineRule="exact"/>
              <w:rPr>
                <w:sz w:val="20"/>
                <w:szCs w:val="20"/>
                <w:color w:val="auto"/>
              </w:rPr>
            </w:pPr>
            <w:r>
              <w:rPr>
                <w:rFonts w:ascii="Times New Roman" w:cs="Times New Roman" w:eastAsia="Times New Roman" w:hAnsi="Times New Roman"/>
                <w:sz w:val="19"/>
                <w:szCs w:val="19"/>
                <w:color w:val="auto"/>
              </w:rPr>
              <w:t>73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3.04</w:t>
            </w:r>
          </w:p>
        </w:tc>
        <w:tc>
          <w:tcPr>
            <w:tcW w:w="2520" w:type="dxa"/>
            <w:vAlign w:val="bottom"/>
            <w:gridSpan w:val="6"/>
          </w:tcPr>
          <w:p>
            <w:pPr>
              <w:ind w:left="100"/>
              <w:spacing w:after="0" w:line="203" w:lineRule="exact"/>
              <w:rPr>
                <w:sz w:val="20"/>
                <w:szCs w:val="20"/>
                <w:color w:val="auto"/>
              </w:rPr>
            </w:pPr>
            <w:r>
              <w:rPr>
                <w:rFonts w:ascii="Times New Roman" w:cs="Times New Roman" w:eastAsia="Times New Roman" w:hAnsi="Times New Roman"/>
                <w:sz w:val="19"/>
                <w:szCs w:val="19"/>
                <w:color w:val="auto"/>
                <w:w w:val="99"/>
              </w:rPr>
              <w:t>Effect of Notice of Redemption</w:t>
            </w:r>
          </w:p>
        </w:tc>
        <w:tc>
          <w:tcPr>
            <w:tcW w:w="600" w:type="dxa"/>
            <w:vAlign w:val="bottom"/>
            <w:gridSpan w:val="2"/>
          </w:tcPr>
          <w:p>
            <w:pPr>
              <w:jc w:val="right"/>
              <w:ind w:right="166"/>
              <w:spacing w:after="0" w:line="203" w:lineRule="exact"/>
              <w:rPr>
                <w:sz w:val="20"/>
                <w:szCs w:val="20"/>
                <w:color w:val="auto"/>
              </w:rPr>
            </w:pPr>
            <w:r>
              <w:rPr>
                <w:rFonts w:ascii="Times New Roman" w:cs="Times New Roman" w:eastAsia="Times New Roman" w:hAnsi="Times New Roman"/>
                <w:sz w:val="19"/>
                <w:szCs w:val="19"/>
                <w:color w:val="auto"/>
              </w:rPr>
              <w:t>74</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3.05</w:t>
            </w:r>
          </w:p>
        </w:tc>
        <w:tc>
          <w:tcPr>
            <w:tcW w:w="6180" w:type="dxa"/>
            <w:vAlign w:val="bottom"/>
            <w:gridSpan w:val="9"/>
          </w:tcPr>
          <w:p>
            <w:pPr>
              <w:ind w:left="100"/>
              <w:spacing w:after="0" w:line="216" w:lineRule="exact"/>
              <w:rPr>
                <w:sz w:val="20"/>
                <w:szCs w:val="20"/>
                <w:color w:val="auto"/>
              </w:rPr>
            </w:pPr>
            <w:r>
              <w:rPr>
                <w:rFonts w:ascii="Times New Roman" w:cs="Times New Roman" w:eastAsia="Times New Roman" w:hAnsi="Times New Roman"/>
                <w:sz w:val="19"/>
                <w:szCs w:val="19"/>
                <w:color w:val="auto"/>
              </w:rPr>
              <w:t>Deposit of Redemption or Purchase Price  74</w:t>
            </w: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3.06</w:t>
            </w:r>
          </w:p>
        </w:tc>
        <w:tc>
          <w:tcPr>
            <w:tcW w:w="3120" w:type="dxa"/>
            <w:vAlign w:val="bottom"/>
            <w:gridSpan w:val="8"/>
          </w:tcPr>
          <w:p>
            <w:pPr>
              <w:ind w:left="100"/>
              <w:spacing w:after="0" w:line="203" w:lineRule="exact"/>
              <w:rPr>
                <w:sz w:val="20"/>
                <w:szCs w:val="20"/>
                <w:color w:val="auto"/>
              </w:rPr>
            </w:pPr>
            <w:r>
              <w:rPr>
                <w:rFonts w:ascii="Times New Roman" w:cs="Times New Roman" w:eastAsia="Times New Roman" w:hAnsi="Times New Roman"/>
                <w:sz w:val="19"/>
                <w:szCs w:val="19"/>
                <w:color w:val="auto"/>
              </w:rPr>
              <w:t>Notes Redeemed or Purchased in Pa rt</w:t>
            </w:r>
          </w:p>
        </w:tc>
        <w:tc>
          <w:tcPr>
            <w:tcW w:w="3060" w:type="dxa"/>
            <w:vAlign w:val="bottom"/>
          </w:tcPr>
          <w:p>
            <w:pPr>
              <w:jc w:val="right"/>
              <w:ind w:right="2706"/>
              <w:spacing w:after="0" w:line="203" w:lineRule="exact"/>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3.07</w:t>
            </w:r>
          </w:p>
        </w:tc>
        <w:tc>
          <w:tcPr>
            <w:tcW w:w="1900" w:type="dxa"/>
            <w:vAlign w:val="bottom"/>
            <w:gridSpan w:val="4"/>
          </w:tcPr>
          <w:p>
            <w:pPr>
              <w:ind w:left="100"/>
              <w:spacing w:after="0" w:line="216" w:lineRule="exact"/>
              <w:rPr>
                <w:sz w:val="20"/>
                <w:szCs w:val="20"/>
                <w:color w:val="auto"/>
              </w:rPr>
            </w:pPr>
            <w:r>
              <w:rPr>
                <w:rFonts w:ascii="Times New Roman" w:cs="Times New Roman" w:eastAsia="Times New Roman" w:hAnsi="Times New Roman"/>
                <w:sz w:val="19"/>
                <w:szCs w:val="19"/>
                <w:color w:val="auto"/>
              </w:rPr>
              <w:t>Optional Redemption</w:t>
            </w:r>
          </w:p>
        </w:tc>
        <w:tc>
          <w:tcPr>
            <w:tcW w:w="380" w:type="dxa"/>
            <w:vAlign w:val="bottom"/>
          </w:tcPr>
          <w:p>
            <w:pPr>
              <w:jc w:val="right"/>
              <w:ind w:right="86"/>
              <w:spacing w:after="0" w:line="216" w:lineRule="exact"/>
              <w:rPr>
                <w:sz w:val="20"/>
                <w:szCs w:val="20"/>
                <w:color w:val="auto"/>
              </w:rPr>
            </w:pPr>
            <w:r>
              <w:rPr>
                <w:rFonts w:ascii="Times New Roman" w:cs="Times New Roman" w:eastAsia="Times New Roman" w:hAnsi="Times New Roman"/>
                <w:sz w:val="19"/>
                <w:szCs w:val="19"/>
                <w:color w:val="auto"/>
                <w:w w:val="94"/>
              </w:rPr>
              <w:t>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3.08</w:t>
            </w:r>
          </w:p>
        </w:tc>
        <w:tc>
          <w:tcPr>
            <w:tcW w:w="1900" w:type="dxa"/>
            <w:vAlign w:val="bottom"/>
            <w:gridSpan w:val="4"/>
          </w:tcPr>
          <w:p>
            <w:pPr>
              <w:ind w:left="100"/>
              <w:spacing w:after="0" w:line="203" w:lineRule="exact"/>
              <w:rPr>
                <w:sz w:val="20"/>
                <w:szCs w:val="20"/>
                <w:color w:val="auto"/>
              </w:rPr>
            </w:pPr>
            <w:r>
              <w:rPr>
                <w:rFonts w:ascii="Times New Roman" w:cs="Times New Roman" w:eastAsia="Times New Roman" w:hAnsi="Times New Roman"/>
                <w:sz w:val="19"/>
                <w:szCs w:val="19"/>
                <w:color w:val="auto"/>
                <w:w w:val="98"/>
              </w:rPr>
              <w:t>Mandatory Redemption</w:t>
            </w: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76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3.09</w:t>
            </w:r>
          </w:p>
        </w:tc>
        <w:tc>
          <w:tcPr>
            <w:tcW w:w="6180" w:type="dxa"/>
            <w:vAlign w:val="bottom"/>
            <w:gridSpan w:val="9"/>
          </w:tcPr>
          <w:p>
            <w:pPr>
              <w:ind w:left="100"/>
              <w:spacing w:after="0"/>
              <w:rPr>
                <w:sz w:val="20"/>
                <w:szCs w:val="20"/>
                <w:color w:val="auto"/>
              </w:rPr>
            </w:pPr>
            <w:r>
              <w:rPr>
                <w:rFonts w:ascii="Times New Roman" w:cs="Times New Roman" w:eastAsia="Times New Roman" w:hAnsi="Times New Roman"/>
                <w:sz w:val="19"/>
                <w:szCs w:val="19"/>
                <w:color w:val="auto"/>
              </w:rPr>
              <w:t>Offers to Repurchase by Application of Excess Proceeds  76</w:t>
            </w:r>
          </w:p>
        </w:tc>
        <w:tc>
          <w:tcPr>
            <w:tcW w:w="0" w:type="dxa"/>
            <w:vAlign w:val="bottom"/>
          </w:tcPr>
          <w:p>
            <w:pPr>
              <w:spacing w:after="0"/>
              <w:rPr>
                <w:sz w:val="1"/>
                <w:szCs w:val="1"/>
                <w:color w:val="auto"/>
              </w:rPr>
            </w:pPr>
          </w:p>
        </w:tc>
      </w:tr>
      <w:tr>
        <w:trPr>
          <w:trHeight w:val="432"/>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w w:val="97"/>
              </w:rPr>
              <w:t>ARTICLE 4 COVENANTS</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78</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4.01</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Payment of Notes</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4.02</w:t>
            </w:r>
          </w:p>
        </w:tc>
        <w:tc>
          <w:tcPr>
            <w:tcW w:w="2820" w:type="dxa"/>
            <w:vAlign w:val="bottom"/>
            <w:gridSpan w:val="7"/>
          </w:tcPr>
          <w:p>
            <w:pPr>
              <w:ind w:left="100"/>
              <w:spacing w:after="0" w:line="189" w:lineRule="exact"/>
              <w:rPr>
                <w:sz w:val="20"/>
                <w:szCs w:val="20"/>
                <w:color w:val="auto"/>
              </w:rPr>
            </w:pPr>
            <w:r>
              <w:rPr>
                <w:rFonts w:ascii="Times New Roman" w:cs="Times New Roman" w:eastAsia="Times New Roman" w:hAnsi="Times New Roman"/>
                <w:sz w:val="19"/>
                <w:szCs w:val="19"/>
                <w:color w:val="auto"/>
              </w:rPr>
              <w:t>Maintenance of Office or Agency</w:t>
            </w:r>
          </w:p>
        </w:tc>
        <w:tc>
          <w:tcPr>
            <w:tcW w:w="300" w:type="dxa"/>
            <w:vAlign w:val="bottom"/>
          </w:tcPr>
          <w:p>
            <w:pPr>
              <w:jc w:val="right"/>
              <w:ind w:right="6"/>
              <w:spacing w:after="0" w:line="189" w:lineRule="exact"/>
              <w:rPr>
                <w:sz w:val="20"/>
                <w:szCs w:val="20"/>
                <w:color w:val="auto"/>
              </w:rPr>
            </w:pPr>
            <w:r>
              <w:rPr>
                <w:rFonts w:ascii="Times New Roman" w:cs="Times New Roman" w:eastAsia="Times New Roman" w:hAnsi="Times New Roman"/>
                <w:sz w:val="19"/>
                <w:szCs w:val="19"/>
                <w:color w:val="auto"/>
                <w:w w:val="94"/>
              </w:rPr>
              <w:t>78</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4.03</w:t>
            </w:r>
          </w:p>
        </w:tc>
        <w:tc>
          <w:tcPr>
            <w:tcW w:w="2520" w:type="dxa"/>
            <w:vAlign w:val="bottom"/>
            <w:gridSpan w:val="6"/>
          </w:tcPr>
          <w:p>
            <w:pPr>
              <w:ind w:left="100"/>
              <w:spacing w:after="0" w:line="216" w:lineRule="exact"/>
              <w:rPr>
                <w:sz w:val="20"/>
                <w:szCs w:val="20"/>
                <w:color w:val="auto"/>
              </w:rPr>
            </w:pPr>
            <w:r>
              <w:rPr>
                <w:rFonts w:ascii="Times New Roman" w:cs="Times New Roman" w:eastAsia="Times New Roman" w:hAnsi="Times New Roman"/>
                <w:sz w:val="19"/>
                <w:szCs w:val="19"/>
                <w:color w:val="auto"/>
              </w:rPr>
              <w:t>Reports and Other Information</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78</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4.04</w:t>
            </w:r>
          </w:p>
        </w:tc>
        <w:tc>
          <w:tcPr>
            <w:tcW w:w="1900" w:type="dxa"/>
            <w:vAlign w:val="bottom"/>
            <w:gridSpan w:val="4"/>
          </w:tcPr>
          <w:p>
            <w:pPr>
              <w:ind w:left="100"/>
              <w:spacing w:after="0" w:line="216" w:lineRule="exact"/>
              <w:rPr>
                <w:sz w:val="20"/>
                <w:szCs w:val="20"/>
                <w:color w:val="auto"/>
              </w:rPr>
            </w:pPr>
            <w:r>
              <w:rPr>
                <w:rFonts w:ascii="Times New Roman" w:cs="Times New Roman" w:eastAsia="Times New Roman" w:hAnsi="Times New Roman"/>
                <w:sz w:val="19"/>
                <w:szCs w:val="19"/>
                <w:color w:val="auto"/>
              </w:rPr>
              <w:t>Compliance Certificate</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4.05</w:t>
            </w:r>
          </w:p>
        </w:tc>
        <w:tc>
          <w:tcPr>
            <w:tcW w:w="1100" w:type="dxa"/>
            <w:vAlign w:val="bottom"/>
          </w:tcPr>
          <w:p>
            <w:pPr>
              <w:ind w:left="100"/>
              <w:spacing w:after="0" w:line="203" w:lineRule="exact"/>
              <w:rPr>
                <w:sz w:val="20"/>
                <w:szCs w:val="20"/>
                <w:color w:val="auto"/>
              </w:rPr>
            </w:pPr>
            <w:r>
              <w:rPr>
                <w:rFonts w:ascii="Times New Roman" w:cs="Times New Roman" w:eastAsia="Times New Roman" w:hAnsi="Times New Roman"/>
                <w:sz w:val="19"/>
                <w:szCs w:val="19"/>
                <w:color w:val="auto"/>
              </w:rPr>
              <w:t>[Reserved]</w:t>
            </w:r>
          </w:p>
        </w:tc>
        <w:tc>
          <w:tcPr>
            <w:tcW w:w="260" w:type="dxa"/>
            <w:vAlign w:val="bottom"/>
          </w:tcPr>
          <w:p>
            <w:pPr>
              <w:ind w:left="20"/>
              <w:spacing w:after="0" w:line="203" w:lineRule="exact"/>
              <w:rPr>
                <w:sz w:val="20"/>
                <w:szCs w:val="20"/>
                <w:color w:val="auto"/>
              </w:rPr>
            </w:pPr>
            <w:r>
              <w:rPr>
                <w:rFonts w:ascii="Times New Roman" w:cs="Times New Roman" w:eastAsia="Times New Roman" w:hAnsi="Times New Roman"/>
                <w:sz w:val="19"/>
                <w:szCs w:val="19"/>
                <w:color w:val="auto"/>
              </w:rPr>
              <w:t>81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4.06</w:t>
            </w:r>
          </w:p>
        </w:tc>
        <w:tc>
          <w:tcPr>
            <w:tcW w:w="1100" w:type="dxa"/>
            <w:vAlign w:val="bottom"/>
          </w:tcPr>
          <w:p>
            <w:pPr>
              <w:ind w:left="100"/>
              <w:spacing w:after="0" w:line="203" w:lineRule="exact"/>
              <w:rPr>
                <w:sz w:val="20"/>
                <w:szCs w:val="20"/>
                <w:color w:val="auto"/>
              </w:rPr>
            </w:pPr>
            <w:r>
              <w:rPr>
                <w:rFonts w:ascii="Times New Roman" w:cs="Times New Roman" w:eastAsia="Times New Roman" w:hAnsi="Times New Roman"/>
                <w:sz w:val="19"/>
                <w:szCs w:val="19"/>
                <w:color w:val="auto"/>
              </w:rPr>
              <w:t>[Reserved]</w:t>
            </w:r>
          </w:p>
        </w:tc>
        <w:tc>
          <w:tcPr>
            <w:tcW w:w="260" w:type="dxa"/>
            <w:vAlign w:val="bottom"/>
          </w:tcPr>
          <w:p>
            <w:pPr>
              <w:ind w:left="20"/>
              <w:spacing w:after="0" w:line="203" w:lineRule="exact"/>
              <w:rPr>
                <w:sz w:val="20"/>
                <w:szCs w:val="20"/>
                <w:color w:val="auto"/>
              </w:rPr>
            </w:pPr>
            <w:r>
              <w:rPr>
                <w:rFonts w:ascii="Times New Roman" w:cs="Times New Roman" w:eastAsia="Times New Roman" w:hAnsi="Times New Roman"/>
                <w:sz w:val="19"/>
                <w:szCs w:val="19"/>
                <w:color w:val="auto"/>
              </w:rPr>
              <w:t>81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4.07</w:t>
            </w:r>
          </w:p>
        </w:tc>
        <w:tc>
          <w:tcPr>
            <w:tcW w:w="2820" w:type="dxa"/>
            <w:vAlign w:val="bottom"/>
            <w:gridSpan w:val="7"/>
          </w:tcPr>
          <w:p>
            <w:pPr>
              <w:ind w:left="100"/>
              <w:spacing w:after="0" w:line="203" w:lineRule="exact"/>
              <w:rPr>
                <w:sz w:val="20"/>
                <w:szCs w:val="20"/>
                <w:color w:val="auto"/>
              </w:rPr>
            </w:pPr>
            <w:r>
              <w:rPr>
                <w:rFonts w:ascii="Times New Roman" w:cs="Times New Roman" w:eastAsia="Times New Roman" w:hAnsi="Times New Roman"/>
                <w:sz w:val="19"/>
                <w:szCs w:val="19"/>
                <w:color w:val="auto"/>
              </w:rPr>
              <w:t>Limitation on Restricted Payments</w:t>
            </w:r>
          </w:p>
        </w:tc>
        <w:tc>
          <w:tcPr>
            <w:tcW w:w="30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81</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4.08</w:t>
            </w:r>
          </w:p>
        </w:tc>
        <w:tc>
          <w:tcPr>
            <w:tcW w:w="6180" w:type="dxa"/>
            <w:vAlign w:val="bottom"/>
            <w:gridSpan w:val="9"/>
          </w:tcPr>
          <w:p>
            <w:pPr>
              <w:ind w:left="100"/>
              <w:spacing w:after="0"/>
              <w:rPr>
                <w:sz w:val="20"/>
                <w:szCs w:val="20"/>
                <w:color w:val="auto"/>
              </w:rPr>
            </w:pPr>
            <w:r>
              <w:rPr>
                <w:rFonts w:ascii="Times New Roman" w:cs="Times New Roman" w:eastAsia="Times New Roman" w:hAnsi="Times New Roman"/>
                <w:sz w:val="19"/>
                <w:szCs w:val="19"/>
                <w:color w:val="auto"/>
              </w:rPr>
              <w:t>Dividend and Other Payment Restrictions Affecting Restricted Subsidiaries  90</w:t>
            </w:r>
          </w:p>
        </w:tc>
        <w:tc>
          <w:tcPr>
            <w:tcW w:w="0" w:type="dxa"/>
            <w:vAlign w:val="bottom"/>
          </w:tcPr>
          <w:p>
            <w:pPr>
              <w:spacing w:after="0"/>
              <w:rPr>
                <w:sz w:val="1"/>
                <w:szCs w:val="1"/>
                <w:color w:val="auto"/>
              </w:rPr>
            </w:pPr>
          </w:p>
        </w:tc>
      </w:tr>
    </w:tbl>
    <w:p>
      <w:pPr>
        <w:spacing w:after="0" w:line="234" w:lineRule="auto"/>
        <w:tabs>
          <w:tab w:leader="none" w:pos="1120" w:val="left"/>
        </w:tabs>
        <w:rPr>
          <w:sz w:val="20"/>
          <w:szCs w:val="20"/>
          <w:color w:val="auto"/>
        </w:rPr>
      </w:pPr>
      <w:r>
        <w:rPr>
          <w:rFonts w:ascii="Times New Roman" w:cs="Times New Roman" w:eastAsia="Times New Roman" w:hAnsi="Times New Roman"/>
          <w:sz w:val="19"/>
          <w:szCs w:val="19"/>
          <w:color w:val="auto"/>
        </w:rPr>
        <w:t>Section 4.09</w:t>
      </w:r>
      <w:r>
        <w:rPr>
          <w:sz w:val="20"/>
          <w:szCs w:val="20"/>
          <w:color w:val="auto"/>
        </w:rPr>
        <w:tab/>
      </w:r>
      <w:r>
        <w:rPr>
          <w:rFonts w:ascii="Times New Roman" w:cs="Times New Roman" w:eastAsia="Times New Roman" w:hAnsi="Times New Roman"/>
          <w:sz w:val="18"/>
          <w:szCs w:val="18"/>
          <w:color w:val="auto"/>
        </w:rPr>
        <w:t>Limitation on Incurrence of Indebtedness and Issuance of Disqualified Stock and Preferred Stock</w:t>
      </w:r>
    </w:p>
    <w:p>
      <w:pPr>
        <w:ind w:left="1800" w:hanging="229"/>
        <w:spacing w:after="0" w:line="237" w:lineRule="auto"/>
        <w:tabs>
          <w:tab w:leader="none" w:pos="18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92</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4.10  Asset Sales  102</w:t>
      </w:r>
    </w:p>
    <w:p>
      <w:pPr>
        <w:sectPr>
          <w:pgSz w:w="11900" w:h="16838" w:orient="portrait"/>
          <w:cols w:equalWidth="0" w:num="1">
            <w:col w:w="11040"/>
          </w:cols>
          <w:pgMar w:left="420" w:top="1409" w:right="4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040"/>
          </w:cols>
          <w:pgMar w:left="420" w:top="1409" w:right="439" w:bottom="1440" w:gutter="0" w:footer="0" w:header="0"/>
          <w:type w:val="continuous"/>
        </w:sectPr>
      </w:pPr>
    </w:p>
    <w:bookmarkStart w:id="52" w:name="page53"/>
    <w:bookmarkEnd w:id="52"/>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4.11</w:t>
            </w: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Transactions with Affiliates</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106</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4.12</w:t>
            </w:r>
          </w:p>
        </w:tc>
        <w:tc>
          <w:tcPr>
            <w:tcW w:w="13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auto"/>
              </w:rPr>
              <w:t>Liens  109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4.13</w:t>
            </w:r>
          </w:p>
        </w:tc>
        <w:tc>
          <w:tcPr>
            <w:tcW w:w="1800" w:type="dxa"/>
            <w:vAlign w:val="bottom"/>
            <w:gridSpan w:val="4"/>
          </w:tcPr>
          <w:p>
            <w:pPr>
              <w:ind w:left="100"/>
              <w:spacing w:after="0" w:line="189" w:lineRule="exact"/>
              <w:rPr>
                <w:sz w:val="20"/>
                <w:szCs w:val="20"/>
                <w:color w:val="auto"/>
              </w:rPr>
            </w:pPr>
            <w:r>
              <w:rPr>
                <w:rFonts w:ascii="Times New Roman" w:cs="Times New Roman" w:eastAsia="Times New Roman" w:hAnsi="Times New Roman"/>
                <w:sz w:val="19"/>
                <w:szCs w:val="19"/>
                <w:color w:val="auto"/>
              </w:rPr>
              <w:t>Corporate Existence</w:t>
            </w:r>
          </w:p>
        </w:tc>
        <w:tc>
          <w:tcPr>
            <w:tcW w:w="5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9"/>
                <w:szCs w:val="19"/>
                <w:color w:val="auto"/>
              </w:rPr>
              <w:t>110</w:t>
            </w:r>
          </w:p>
        </w:tc>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80" w:type="dxa"/>
            <w:vAlign w:val="bottom"/>
            <w:vMerge w:val="restart"/>
          </w:tcPr>
          <w:p>
            <w:pPr>
              <w:jc w:val="right"/>
              <w:ind w:right="3466"/>
              <w:spacing w:after="0"/>
              <w:rPr>
                <w:sz w:val="20"/>
                <w:szCs w:val="20"/>
                <w:color w:val="auto"/>
              </w:rPr>
            </w:pPr>
            <w:r>
              <w:rPr>
                <w:rFonts w:ascii="Times New Roman" w:cs="Times New Roman" w:eastAsia="Times New Roman" w:hAnsi="Times New Roman"/>
                <w:sz w:val="19"/>
                <w:szCs w:val="19"/>
                <w:color w:val="auto"/>
              </w:rPr>
              <w:t>110</w:t>
            </w: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4.14</w:t>
            </w:r>
          </w:p>
        </w:tc>
        <w:tc>
          <w:tcPr>
            <w:tcW w:w="5100" w:type="dxa"/>
            <w:vAlign w:val="bottom"/>
            <w:gridSpan w:val="9"/>
          </w:tcPr>
          <w:p>
            <w:pPr>
              <w:ind w:left="100"/>
              <w:spacing w:after="0" w:line="216" w:lineRule="exact"/>
              <w:rPr>
                <w:sz w:val="20"/>
                <w:szCs w:val="20"/>
                <w:color w:val="auto"/>
              </w:rPr>
            </w:pPr>
            <w:r>
              <w:rPr>
                <w:rFonts w:ascii="Times New Roman" w:cs="Times New Roman" w:eastAsia="Times New Roman" w:hAnsi="Times New Roman"/>
                <w:sz w:val="19"/>
                <w:szCs w:val="19"/>
                <w:color w:val="auto"/>
              </w:rPr>
              <w:t>Offer to Repurchase Upon Change of Control Repurchase Event</w:t>
            </w:r>
          </w:p>
        </w:tc>
        <w:tc>
          <w:tcPr>
            <w:tcW w:w="3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4.15</w:t>
            </w:r>
          </w:p>
        </w:tc>
        <w:tc>
          <w:tcPr>
            <w:tcW w:w="8980" w:type="dxa"/>
            <w:vAlign w:val="bottom"/>
            <w:gridSpan w:val="10"/>
          </w:tcPr>
          <w:p>
            <w:pPr>
              <w:ind w:left="100"/>
              <w:spacing w:after="0" w:line="216" w:lineRule="exact"/>
              <w:rPr>
                <w:sz w:val="20"/>
                <w:szCs w:val="20"/>
                <w:color w:val="auto"/>
              </w:rPr>
            </w:pPr>
            <w:r>
              <w:rPr>
                <w:rFonts w:ascii="Times New Roman" w:cs="Times New Roman" w:eastAsia="Times New Roman" w:hAnsi="Times New Roman"/>
                <w:sz w:val="19"/>
                <w:szCs w:val="19"/>
                <w:color w:val="auto"/>
              </w:rPr>
              <w:t>Limitation on Guarantees of Indebtedness by Restricted Subsidiaries  112</w:t>
            </w: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4.16</w:t>
            </w:r>
          </w:p>
        </w:tc>
        <w:tc>
          <w:tcPr>
            <w:tcW w:w="4740" w:type="dxa"/>
            <w:vAlign w:val="bottom"/>
            <w:gridSpan w:val="8"/>
          </w:tcPr>
          <w:p>
            <w:pPr>
              <w:ind w:left="100"/>
              <w:spacing w:after="0" w:line="203" w:lineRule="exact"/>
              <w:rPr>
                <w:sz w:val="20"/>
                <w:szCs w:val="20"/>
                <w:color w:val="auto"/>
              </w:rPr>
            </w:pPr>
            <w:r>
              <w:rPr>
                <w:rFonts w:ascii="Times New Roman" w:cs="Times New Roman" w:eastAsia="Times New Roman" w:hAnsi="Times New Roman"/>
                <w:sz w:val="19"/>
                <w:szCs w:val="19"/>
                <w:color w:val="auto"/>
              </w:rPr>
              <w:t>Discharge and Suspension of Covenants  113</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4.17</w:t>
            </w:r>
          </w:p>
        </w:tc>
        <w:tc>
          <w:tcPr>
            <w:tcW w:w="8980" w:type="dxa"/>
            <w:vAlign w:val="bottom"/>
            <w:gridSpan w:val="10"/>
          </w:tcPr>
          <w:p>
            <w:pPr>
              <w:ind w:left="100"/>
              <w:spacing w:after="0"/>
              <w:rPr>
                <w:sz w:val="20"/>
                <w:szCs w:val="20"/>
                <w:color w:val="auto"/>
              </w:rPr>
            </w:pPr>
            <w:r>
              <w:rPr>
                <w:rFonts w:ascii="Times New Roman" w:cs="Times New Roman" w:eastAsia="Times New Roman" w:hAnsi="Times New Roman"/>
                <w:sz w:val="19"/>
                <w:szCs w:val="19"/>
                <w:color w:val="auto"/>
              </w:rPr>
              <w:t>Further Instruments and Acts; Information Regarding Collateral; Further Assurances; After- Acquired Property  114</w:t>
            </w:r>
          </w:p>
        </w:tc>
        <w:tc>
          <w:tcPr>
            <w:tcW w:w="0" w:type="dxa"/>
            <w:vAlign w:val="bottom"/>
          </w:tcPr>
          <w:p>
            <w:pPr>
              <w:spacing w:after="0"/>
              <w:rPr>
                <w:sz w:val="1"/>
                <w:szCs w:val="1"/>
                <w:color w:val="auto"/>
              </w:rPr>
            </w:pPr>
          </w:p>
        </w:tc>
      </w:tr>
      <w:tr>
        <w:trPr>
          <w:trHeight w:val="44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ARTICLE 5 SUCCESSORS</w:t>
            </w:r>
          </w:p>
        </w:tc>
        <w:tc>
          <w:tcPr>
            <w:tcW w:w="480" w:type="dxa"/>
            <w:vAlign w:val="bottom"/>
            <w:gridSpan w:val="2"/>
          </w:tcPr>
          <w:p>
            <w:pPr>
              <w:jc w:val="right"/>
              <w:ind w:right="106"/>
              <w:spacing w:after="0"/>
              <w:rPr>
                <w:sz w:val="20"/>
                <w:szCs w:val="20"/>
                <w:color w:val="auto"/>
              </w:rPr>
            </w:pPr>
            <w:r>
              <w:rPr>
                <w:rFonts w:ascii="Times New Roman" w:cs="Times New Roman" w:eastAsia="Times New Roman" w:hAnsi="Times New Roman"/>
                <w:sz w:val="19"/>
                <w:szCs w:val="19"/>
                <w:color w:val="auto"/>
                <w:w w:val="91"/>
              </w:rPr>
              <w:t>114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5.01</w:t>
            </w:r>
          </w:p>
        </w:tc>
        <w:tc>
          <w:tcPr>
            <w:tcW w:w="5100" w:type="dxa"/>
            <w:vAlign w:val="bottom"/>
            <w:gridSpan w:val="9"/>
          </w:tcPr>
          <w:p>
            <w:pPr>
              <w:ind w:left="100"/>
              <w:spacing w:after="0"/>
              <w:rPr>
                <w:sz w:val="20"/>
                <w:szCs w:val="20"/>
                <w:color w:val="auto"/>
              </w:rPr>
            </w:pPr>
            <w:r>
              <w:rPr>
                <w:rFonts w:ascii="Times New Roman" w:cs="Times New Roman" w:eastAsia="Times New Roman" w:hAnsi="Times New Roman"/>
                <w:sz w:val="19"/>
                <w:szCs w:val="19"/>
                <w:color w:val="auto"/>
              </w:rPr>
              <w:t>Merger, Consolidation or Sale of All or Substantially All Assets</w:t>
            </w:r>
          </w:p>
        </w:tc>
        <w:tc>
          <w:tcPr>
            <w:tcW w:w="3880" w:type="dxa"/>
            <w:vAlign w:val="bottom"/>
          </w:tcPr>
          <w:p>
            <w:pPr>
              <w:jc w:val="right"/>
              <w:ind w:right="3486"/>
              <w:spacing w:after="0"/>
              <w:rPr>
                <w:sz w:val="20"/>
                <w:szCs w:val="20"/>
                <w:color w:val="auto"/>
              </w:rPr>
            </w:pPr>
            <w:r>
              <w:rPr>
                <w:rFonts w:ascii="Times New Roman" w:cs="Times New Roman" w:eastAsia="Times New Roman" w:hAnsi="Times New Roman"/>
                <w:sz w:val="19"/>
                <w:szCs w:val="19"/>
                <w:color w:val="auto"/>
                <w:w w:val="98"/>
              </w:rPr>
              <w:t>114</w:t>
            </w: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5.02</w:t>
            </w:r>
          </w:p>
        </w:tc>
        <w:tc>
          <w:tcPr>
            <w:tcW w:w="2740" w:type="dxa"/>
            <w:vAlign w:val="bottom"/>
            <w:gridSpan w:val="7"/>
          </w:tcPr>
          <w:p>
            <w:pPr>
              <w:ind w:left="100"/>
              <w:spacing w:after="0"/>
              <w:rPr>
                <w:sz w:val="20"/>
                <w:szCs w:val="20"/>
                <w:color w:val="auto"/>
              </w:rPr>
            </w:pPr>
            <w:r>
              <w:rPr>
                <w:rFonts w:ascii="Times New Roman" w:cs="Times New Roman" w:eastAsia="Times New Roman" w:hAnsi="Times New Roman"/>
                <w:sz w:val="19"/>
                <w:szCs w:val="19"/>
                <w:color w:val="auto"/>
                <w:w w:val="99"/>
              </w:rPr>
              <w:t>Successor Corporation Substituted</w:t>
            </w:r>
          </w:p>
        </w:tc>
        <w:tc>
          <w:tcPr>
            <w:tcW w:w="2000" w:type="dxa"/>
            <w:vAlign w:val="bottom"/>
          </w:tcPr>
          <w:p>
            <w:pPr>
              <w:jc w:val="right"/>
              <w:ind w:right="1466"/>
              <w:spacing w:after="0"/>
              <w:rPr>
                <w:sz w:val="20"/>
                <w:szCs w:val="20"/>
                <w:color w:val="auto"/>
              </w:rPr>
            </w:pPr>
            <w:r>
              <w:rPr>
                <w:rFonts w:ascii="Times New Roman" w:cs="Times New Roman" w:eastAsia="Times New Roman" w:hAnsi="Times New Roman"/>
                <w:sz w:val="19"/>
                <w:szCs w:val="19"/>
                <w:color w:val="auto"/>
              </w:rPr>
              <w:t>117</w:t>
            </w:r>
          </w:p>
        </w:tc>
        <w:tc>
          <w:tcPr>
            <w:tcW w:w="3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0" w:type="dxa"/>
            <w:vAlign w:val="bottom"/>
            <w:gridSpan w:val="7"/>
          </w:tcPr>
          <w:p>
            <w:pPr>
              <w:ind w:left="20"/>
              <w:spacing w:after="0"/>
              <w:rPr>
                <w:sz w:val="20"/>
                <w:szCs w:val="20"/>
                <w:color w:val="auto"/>
              </w:rPr>
            </w:pPr>
            <w:r>
              <w:rPr>
                <w:rFonts w:ascii="Times New Roman" w:cs="Times New Roman" w:eastAsia="Times New Roman" w:hAnsi="Times New Roman"/>
                <w:sz w:val="19"/>
                <w:szCs w:val="19"/>
                <w:color w:val="auto"/>
                <w:w w:val="98"/>
              </w:rPr>
              <w:t>ARTICLE 6 DEFAULTS AND REMEDIES</w:t>
            </w:r>
          </w:p>
        </w:tc>
        <w:tc>
          <w:tcPr>
            <w:tcW w:w="2380" w:type="dxa"/>
            <w:vAlign w:val="bottom"/>
            <w:gridSpan w:val="2"/>
          </w:tcPr>
          <w:p>
            <w:pPr>
              <w:jc w:val="right"/>
              <w:ind w:right="1846"/>
              <w:spacing w:after="0"/>
              <w:rPr>
                <w:sz w:val="20"/>
                <w:szCs w:val="20"/>
                <w:color w:val="auto"/>
              </w:rPr>
            </w:pPr>
            <w:r>
              <w:rPr>
                <w:rFonts w:ascii="Times New Roman" w:cs="Times New Roman" w:eastAsia="Times New Roman" w:hAnsi="Times New Roman"/>
                <w:sz w:val="19"/>
                <w:szCs w:val="19"/>
                <w:color w:val="auto"/>
              </w:rPr>
              <w:t>117</w:t>
            </w: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6.01</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Events of Default</w:t>
            </w:r>
          </w:p>
        </w:tc>
        <w:tc>
          <w:tcPr>
            <w:tcW w:w="500" w:type="dxa"/>
            <w:vAlign w:val="bottom"/>
            <w:gridSpan w:val="2"/>
          </w:tcPr>
          <w:p>
            <w:pPr>
              <w:jc w:val="right"/>
              <w:ind w:right="86"/>
              <w:spacing w:after="0"/>
              <w:rPr>
                <w:sz w:val="20"/>
                <w:szCs w:val="20"/>
                <w:color w:val="auto"/>
              </w:rPr>
            </w:pPr>
            <w:r>
              <w:rPr>
                <w:rFonts w:ascii="Times New Roman" w:cs="Times New Roman" w:eastAsia="Times New Roman" w:hAnsi="Times New Roman"/>
                <w:sz w:val="19"/>
                <w:szCs w:val="19"/>
                <w:color w:val="auto"/>
              </w:rPr>
              <w:t>117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6.02</w:t>
            </w:r>
          </w:p>
        </w:tc>
        <w:tc>
          <w:tcPr>
            <w:tcW w:w="158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9"/>
                <w:szCs w:val="19"/>
                <w:color w:val="auto"/>
              </w:rPr>
              <w:t>Acceleration  120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6.03</w:t>
            </w:r>
          </w:p>
        </w:tc>
        <w:tc>
          <w:tcPr>
            <w:tcW w:w="13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auto"/>
                <w:w w:val="97"/>
              </w:rPr>
              <w:t>Other Remedies</w:t>
            </w:r>
          </w:p>
        </w:tc>
        <w:tc>
          <w:tcPr>
            <w:tcW w:w="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121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6.04</w:t>
            </w:r>
          </w:p>
        </w:tc>
        <w:tc>
          <w:tcPr>
            <w:tcW w:w="2080" w:type="dxa"/>
            <w:vAlign w:val="bottom"/>
            <w:gridSpan w:val="5"/>
          </w:tcPr>
          <w:p>
            <w:pPr>
              <w:ind w:left="100"/>
              <w:spacing w:after="0" w:line="216" w:lineRule="exact"/>
              <w:rPr>
                <w:sz w:val="20"/>
                <w:szCs w:val="20"/>
                <w:color w:val="auto"/>
              </w:rPr>
            </w:pPr>
            <w:r>
              <w:rPr>
                <w:rFonts w:ascii="Times New Roman" w:cs="Times New Roman" w:eastAsia="Times New Roman" w:hAnsi="Times New Roman"/>
                <w:sz w:val="19"/>
                <w:szCs w:val="19"/>
                <w:color w:val="auto"/>
              </w:rPr>
              <w:t>Waiver of Past Defaults</w:t>
            </w:r>
          </w:p>
        </w:tc>
        <w:tc>
          <w:tcPr>
            <w:tcW w:w="2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w w:val="91"/>
              </w:rPr>
              <w:t>121</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6.05</w:t>
            </w:r>
          </w:p>
        </w:tc>
        <w:tc>
          <w:tcPr>
            <w:tcW w:w="1800" w:type="dxa"/>
            <w:vAlign w:val="bottom"/>
            <w:gridSpan w:val="4"/>
          </w:tcPr>
          <w:p>
            <w:pPr>
              <w:ind w:left="100"/>
              <w:spacing w:after="0" w:line="203" w:lineRule="exact"/>
              <w:rPr>
                <w:sz w:val="20"/>
                <w:szCs w:val="20"/>
                <w:color w:val="auto"/>
              </w:rPr>
            </w:pPr>
            <w:r>
              <w:rPr>
                <w:rFonts w:ascii="Times New Roman" w:cs="Times New Roman" w:eastAsia="Times New Roman" w:hAnsi="Times New Roman"/>
                <w:sz w:val="19"/>
                <w:szCs w:val="19"/>
                <w:color w:val="auto"/>
              </w:rPr>
              <w:t>Control by Majority</w:t>
            </w:r>
          </w:p>
        </w:tc>
        <w:tc>
          <w:tcPr>
            <w:tcW w:w="560" w:type="dxa"/>
            <w:vAlign w:val="bottom"/>
            <w:gridSpan w:val="2"/>
          </w:tcPr>
          <w:p>
            <w:pPr>
              <w:spacing w:after="0" w:line="203" w:lineRule="exact"/>
              <w:rPr>
                <w:sz w:val="20"/>
                <w:szCs w:val="20"/>
                <w:color w:val="auto"/>
              </w:rPr>
            </w:pPr>
            <w:r>
              <w:rPr>
                <w:rFonts w:ascii="Times New Roman" w:cs="Times New Roman" w:eastAsia="Times New Roman" w:hAnsi="Times New Roman"/>
                <w:sz w:val="19"/>
                <w:szCs w:val="19"/>
                <w:color w:val="auto"/>
              </w:rPr>
              <w:t>121</w:t>
            </w: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6.06</w:t>
            </w:r>
          </w:p>
        </w:tc>
        <w:tc>
          <w:tcPr>
            <w:tcW w:w="1580" w:type="dxa"/>
            <w:vAlign w:val="bottom"/>
            <w:gridSpan w:val="3"/>
          </w:tcPr>
          <w:p>
            <w:pPr>
              <w:ind w:left="100"/>
              <w:spacing w:after="0" w:line="203" w:lineRule="exact"/>
              <w:rPr>
                <w:sz w:val="20"/>
                <w:szCs w:val="20"/>
                <w:color w:val="auto"/>
              </w:rPr>
            </w:pPr>
            <w:r>
              <w:rPr>
                <w:rFonts w:ascii="Times New Roman" w:cs="Times New Roman" w:eastAsia="Times New Roman" w:hAnsi="Times New Roman"/>
                <w:sz w:val="19"/>
                <w:szCs w:val="19"/>
                <w:color w:val="auto"/>
                <w:w w:val="99"/>
              </w:rPr>
              <w:t>Limitation on Suits</w:t>
            </w:r>
          </w:p>
        </w:tc>
        <w:tc>
          <w:tcPr>
            <w:tcW w:w="5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9"/>
                <w:szCs w:val="19"/>
                <w:color w:val="auto"/>
              </w:rPr>
              <w:t>121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6.07</w:t>
            </w:r>
          </w:p>
        </w:tc>
        <w:tc>
          <w:tcPr>
            <w:tcW w:w="4740" w:type="dxa"/>
            <w:vAlign w:val="bottom"/>
            <w:gridSpan w:val="8"/>
          </w:tcPr>
          <w:p>
            <w:pPr>
              <w:ind w:left="100"/>
              <w:spacing w:after="0" w:line="203" w:lineRule="exact"/>
              <w:rPr>
                <w:sz w:val="20"/>
                <w:szCs w:val="20"/>
                <w:color w:val="auto"/>
              </w:rPr>
            </w:pPr>
            <w:r>
              <w:rPr>
                <w:rFonts w:ascii="Times New Roman" w:cs="Times New Roman" w:eastAsia="Times New Roman" w:hAnsi="Times New Roman"/>
                <w:sz w:val="19"/>
                <w:szCs w:val="19"/>
                <w:color w:val="auto"/>
              </w:rPr>
              <w:t>Rights of Holders of Notes to Receive Payment  122</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6.08</w:t>
            </w:r>
          </w:p>
        </w:tc>
        <w:tc>
          <w:tcPr>
            <w:tcW w:w="2080" w:type="dxa"/>
            <w:vAlign w:val="bottom"/>
            <w:gridSpan w:val="5"/>
          </w:tcPr>
          <w:p>
            <w:pPr>
              <w:ind w:left="100"/>
              <w:spacing w:after="0" w:line="216" w:lineRule="exact"/>
              <w:rPr>
                <w:sz w:val="20"/>
                <w:szCs w:val="20"/>
                <w:color w:val="auto"/>
              </w:rPr>
            </w:pPr>
            <w:r>
              <w:rPr>
                <w:rFonts w:ascii="Times New Roman" w:cs="Times New Roman" w:eastAsia="Times New Roman" w:hAnsi="Times New Roman"/>
                <w:sz w:val="19"/>
                <w:szCs w:val="19"/>
                <w:color w:val="auto"/>
                <w:w w:val="97"/>
              </w:rPr>
              <w:t>Collection Suit by Trustee</w:t>
            </w:r>
          </w:p>
        </w:tc>
        <w:tc>
          <w:tcPr>
            <w:tcW w:w="660" w:type="dxa"/>
            <w:vAlign w:val="bottom"/>
            <w:gridSpan w:val="2"/>
          </w:tcPr>
          <w:p>
            <w:pPr>
              <w:jc w:val="right"/>
              <w:ind w:right="86"/>
              <w:spacing w:after="0" w:line="216" w:lineRule="exact"/>
              <w:rPr>
                <w:sz w:val="20"/>
                <w:szCs w:val="20"/>
                <w:color w:val="auto"/>
              </w:rPr>
            </w:pPr>
            <w:r>
              <w:rPr>
                <w:rFonts w:ascii="Times New Roman" w:cs="Times New Roman" w:eastAsia="Times New Roman" w:hAnsi="Times New Roman"/>
                <w:sz w:val="19"/>
                <w:szCs w:val="19"/>
                <w:color w:val="auto"/>
              </w:rPr>
              <w:t>122</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6.09</w:t>
            </w:r>
          </w:p>
        </w:tc>
        <w:tc>
          <w:tcPr>
            <w:tcW w:w="4740" w:type="dxa"/>
            <w:vAlign w:val="bottom"/>
            <w:gridSpan w:val="8"/>
          </w:tcPr>
          <w:p>
            <w:pPr>
              <w:ind w:left="100"/>
              <w:spacing w:after="0" w:line="203" w:lineRule="exact"/>
              <w:rPr>
                <w:sz w:val="20"/>
                <w:szCs w:val="20"/>
                <w:color w:val="auto"/>
              </w:rPr>
            </w:pPr>
            <w:r>
              <w:rPr>
                <w:rFonts w:ascii="Times New Roman" w:cs="Times New Roman" w:eastAsia="Times New Roman" w:hAnsi="Times New Roman"/>
                <w:sz w:val="19"/>
                <w:szCs w:val="19"/>
                <w:color w:val="auto"/>
              </w:rPr>
              <w:t>Restoration of Rights and Remedies  122</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6.10</w:t>
            </w:r>
          </w:p>
        </w:tc>
        <w:tc>
          <w:tcPr>
            <w:tcW w:w="2740" w:type="dxa"/>
            <w:vAlign w:val="bottom"/>
            <w:gridSpan w:val="7"/>
          </w:tcPr>
          <w:p>
            <w:pPr>
              <w:ind w:left="100"/>
              <w:spacing w:after="0" w:line="203" w:lineRule="exact"/>
              <w:rPr>
                <w:sz w:val="20"/>
                <w:szCs w:val="20"/>
                <w:color w:val="auto"/>
              </w:rPr>
            </w:pPr>
            <w:r>
              <w:rPr>
                <w:rFonts w:ascii="Times New Roman" w:cs="Times New Roman" w:eastAsia="Times New Roman" w:hAnsi="Times New Roman"/>
                <w:sz w:val="19"/>
                <w:szCs w:val="19"/>
                <w:color w:val="auto"/>
              </w:rPr>
              <w:t>Rights and Remedies Cumulative</w:t>
            </w:r>
          </w:p>
        </w:tc>
        <w:tc>
          <w:tcPr>
            <w:tcW w:w="2000" w:type="dxa"/>
            <w:vAlign w:val="bottom"/>
          </w:tcPr>
          <w:p>
            <w:pPr>
              <w:jc w:val="right"/>
              <w:ind w:right="1546"/>
              <w:spacing w:after="0" w:line="203" w:lineRule="exact"/>
              <w:rPr>
                <w:sz w:val="20"/>
                <w:szCs w:val="20"/>
                <w:color w:val="auto"/>
              </w:rPr>
            </w:pPr>
            <w:r>
              <w:rPr>
                <w:rFonts w:ascii="Times New Roman" w:cs="Times New Roman" w:eastAsia="Times New Roman" w:hAnsi="Times New Roman"/>
                <w:sz w:val="19"/>
                <w:szCs w:val="19"/>
                <w:color w:val="auto"/>
              </w:rPr>
              <w:t>122</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6.11</w:t>
            </w:r>
          </w:p>
        </w:tc>
        <w:tc>
          <w:tcPr>
            <w:tcW w:w="4740" w:type="dxa"/>
            <w:vAlign w:val="bottom"/>
            <w:gridSpan w:val="8"/>
          </w:tcPr>
          <w:p>
            <w:pPr>
              <w:ind w:left="80"/>
              <w:spacing w:after="0" w:line="216" w:lineRule="exact"/>
              <w:rPr>
                <w:sz w:val="20"/>
                <w:szCs w:val="20"/>
                <w:color w:val="auto"/>
              </w:rPr>
            </w:pPr>
            <w:r>
              <w:rPr>
                <w:rFonts w:ascii="Times New Roman" w:cs="Times New Roman" w:eastAsia="Times New Roman" w:hAnsi="Times New Roman"/>
                <w:sz w:val="19"/>
                <w:szCs w:val="19"/>
                <w:color w:val="auto"/>
              </w:rPr>
              <w:t>Delay or Omission Not Waiver  123</w:t>
            </w: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6.12</w:t>
            </w:r>
          </w:p>
        </w:tc>
        <w:tc>
          <w:tcPr>
            <w:tcW w:w="2740" w:type="dxa"/>
            <w:vAlign w:val="bottom"/>
            <w:gridSpan w:val="7"/>
          </w:tcPr>
          <w:p>
            <w:pPr>
              <w:ind w:left="100"/>
              <w:spacing w:after="0" w:line="203" w:lineRule="exact"/>
              <w:rPr>
                <w:sz w:val="20"/>
                <w:szCs w:val="20"/>
                <w:color w:val="auto"/>
              </w:rPr>
            </w:pPr>
            <w:r>
              <w:rPr>
                <w:rFonts w:ascii="Times New Roman" w:cs="Times New Roman" w:eastAsia="Times New Roman" w:hAnsi="Times New Roman"/>
                <w:sz w:val="19"/>
                <w:szCs w:val="19"/>
                <w:color w:val="auto"/>
              </w:rPr>
              <w:t>Trustee May File Proofs of Claim</w:t>
            </w:r>
          </w:p>
        </w:tc>
        <w:tc>
          <w:tcPr>
            <w:tcW w:w="2000" w:type="dxa"/>
            <w:vAlign w:val="bottom"/>
          </w:tcPr>
          <w:p>
            <w:pPr>
              <w:jc w:val="right"/>
              <w:ind w:right="1526"/>
              <w:spacing w:after="0" w:line="203" w:lineRule="exact"/>
              <w:rPr>
                <w:sz w:val="20"/>
                <w:szCs w:val="20"/>
                <w:color w:val="auto"/>
              </w:rPr>
            </w:pPr>
            <w:r>
              <w:rPr>
                <w:rFonts w:ascii="Times New Roman" w:cs="Times New Roman" w:eastAsia="Times New Roman" w:hAnsi="Times New Roman"/>
                <w:sz w:val="19"/>
                <w:szCs w:val="19"/>
                <w:color w:val="auto"/>
              </w:rPr>
              <w:t>123</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6.13</w:t>
            </w:r>
          </w:p>
        </w:tc>
        <w:tc>
          <w:tcPr>
            <w:tcW w:w="94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Priorities</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6.14</w:t>
            </w: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w w:val="99"/>
              </w:rPr>
              <w:t>Undertaking for Costs</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9"/>
                <w:szCs w:val="19"/>
                <w:color w:val="auto"/>
              </w:rPr>
              <w:t>123</w:t>
            </w:r>
          </w:p>
        </w:tc>
        <w:tc>
          <w:tcPr>
            <w:tcW w:w="3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ARTICLE 7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7.01</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Duties of Trustee</w:t>
            </w:r>
          </w:p>
        </w:tc>
        <w:tc>
          <w:tcPr>
            <w:tcW w:w="500" w:type="dxa"/>
            <w:vAlign w:val="bottom"/>
            <w:gridSpan w:val="2"/>
          </w:tcPr>
          <w:p>
            <w:pPr>
              <w:jc w:val="right"/>
              <w:ind w:right="106"/>
              <w:spacing w:after="0"/>
              <w:rPr>
                <w:sz w:val="20"/>
                <w:szCs w:val="20"/>
                <w:color w:val="auto"/>
              </w:rPr>
            </w:pPr>
            <w:r>
              <w:rPr>
                <w:rFonts w:ascii="Times New Roman" w:cs="Times New Roman" w:eastAsia="Times New Roman" w:hAnsi="Times New Roman"/>
                <w:sz w:val="19"/>
                <w:szCs w:val="19"/>
                <w:color w:val="auto"/>
                <w:w w:val="98"/>
              </w:rPr>
              <w:t>124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7.02</w:t>
            </w:r>
          </w:p>
        </w:tc>
        <w:tc>
          <w:tcPr>
            <w:tcW w:w="15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9"/>
                <w:szCs w:val="19"/>
                <w:color w:val="auto"/>
              </w:rPr>
              <w:t>Rights of Trustee</w:t>
            </w:r>
          </w:p>
        </w:tc>
        <w:tc>
          <w:tcPr>
            <w:tcW w:w="500" w:type="dxa"/>
            <w:vAlign w:val="bottom"/>
            <w:gridSpan w:val="2"/>
          </w:tcPr>
          <w:p>
            <w:pPr>
              <w:jc w:val="right"/>
              <w:ind w:right="106"/>
              <w:spacing w:after="0" w:line="216" w:lineRule="exact"/>
              <w:rPr>
                <w:sz w:val="20"/>
                <w:szCs w:val="20"/>
                <w:color w:val="auto"/>
              </w:rPr>
            </w:pPr>
            <w:r>
              <w:rPr>
                <w:rFonts w:ascii="Times New Roman" w:cs="Times New Roman" w:eastAsia="Times New Roman" w:hAnsi="Times New Roman"/>
                <w:sz w:val="19"/>
                <w:szCs w:val="19"/>
                <w:color w:val="auto"/>
                <w:w w:val="98"/>
              </w:rPr>
              <w:t>125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7.03</w:t>
            </w:r>
          </w:p>
        </w:tc>
        <w:tc>
          <w:tcPr>
            <w:tcW w:w="2360" w:type="dxa"/>
            <w:vAlign w:val="bottom"/>
            <w:gridSpan w:val="6"/>
          </w:tcPr>
          <w:p>
            <w:pPr>
              <w:ind w:left="100"/>
              <w:spacing w:after="0" w:line="189" w:lineRule="exact"/>
              <w:rPr>
                <w:sz w:val="20"/>
                <w:szCs w:val="20"/>
                <w:color w:val="auto"/>
              </w:rPr>
            </w:pPr>
            <w:r>
              <w:rPr>
                <w:rFonts w:ascii="Times New Roman" w:cs="Times New Roman" w:eastAsia="Times New Roman" w:hAnsi="Times New Roman"/>
                <w:sz w:val="19"/>
                <w:szCs w:val="19"/>
                <w:color w:val="auto"/>
              </w:rPr>
              <w:t>Individual Rights of Trustee</w:t>
            </w:r>
          </w:p>
        </w:tc>
        <w:tc>
          <w:tcPr>
            <w:tcW w:w="380" w:type="dxa"/>
            <w:vAlign w:val="bottom"/>
          </w:tcPr>
          <w:p>
            <w:pPr>
              <w:jc w:val="right"/>
              <w:spacing w:after="0" w:line="189" w:lineRule="exact"/>
              <w:rPr>
                <w:sz w:val="20"/>
                <w:szCs w:val="20"/>
                <w:color w:val="auto"/>
              </w:rPr>
            </w:pPr>
            <w:r>
              <w:rPr>
                <w:rFonts w:ascii="Times New Roman" w:cs="Times New Roman" w:eastAsia="Times New Roman" w:hAnsi="Times New Roman"/>
                <w:sz w:val="19"/>
                <w:szCs w:val="19"/>
                <w:color w:val="auto"/>
              </w:rPr>
              <w:t>126</w:t>
            </w:r>
          </w:p>
        </w:tc>
        <w:tc>
          <w:tcPr>
            <w:tcW w:w="2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7.04</w:t>
            </w:r>
          </w:p>
        </w:tc>
        <w:tc>
          <w:tcPr>
            <w:tcW w:w="1800" w:type="dxa"/>
            <w:vAlign w:val="bottom"/>
            <w:gridSpan w:val="4"/>
          </w:tcPr>
          <w:p>
            <w:pPr>
              <w:ind w:left="100"/>
              <w:spacing w:after="0" w:line="216" w:lineRule="exact"/>
              <w:rPr>
                <w:sz w:val="20"/>
                <w:szCs w:val="20"/>
                <w:color w:val="auto"/>
              </w:rPr>
            </w:pPr>
            <w:r>
              <w:rPr>
                <w:rFonts w:ascii="Times New Roman" w:cs="Times New Roman" w:eastAsia="Times New Roman" w:hAnsi="Times New Roman"/>
                <w:sz w:val="19"/>
                <w:szCs w:val="19"/>
                <w:color w:val="auto"/>
              </w:rPr>
              <w:t>Trustee’s Disclaimer</w:t>
            </w:r>
          </w:p>
        </w:tc>
        <w:tc>
          <w:tcPr>
            <w:tcW w:w="56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rPr>
              <w:t>126</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7.05</w:t>
            </w:r>
          </w:p>
        </w:tc>
        <w:tc>
          <w:tcPr>
            <w:tcW w:w="1580" w:type="dxa"/>
            <w:vAlign w:val="bottom"/>
            <w:gridSpan w:val="3"/>
          </w:tcPr>
          <w:p>
            <w:pPr>
              <w:ind w:left="100"/>
              <w:spacing w:after="0" w:line="203" w:lineRule="exact"/>
              <w:rPr>
                <w:sz w:val="20"/>
                <w:szCs w:val="20"/>
                <w:color w:val="auto"/>
              </w:rPr>
            </w:pPr>
            <w:r>
              <w:rPr>
                <w:rFonts w:ascii="Times New Roman" w:cs="Times New Roman" w:eastAsia="Times New Roman" w:hAnsi="Times New Roman"/>
                <w:sz w:val="19"/>
                <w:szCs w:val="19"/>
                <w:color w:val="auto"/>
              </w:rPr>
              <w:t>Notice of Defaults</w:t>
            </w:r>
          </w:p>
        </w:tc>
        <w:tc>
          <w:tcPr>
            <w:tcW w:w="500" w:type="dxa"/>
            <w:vAlign w:val="bottom"/>
            <w:gridSpan w:val="2"/>
          </w:tcPr>
          <w:p>
            <w:pPr>
              <w:jc w:val="right"/>
              <w:ind w:right="26"/>
              <w:spacing w:after="0" w:line="203" w:lineRule="exact"/>
              <w:rPr>
                <w:sz w:val="20"/>
                <w:szCs w:val="20"/>
                <w:color w:val="auto"/>
              </w:rPr>
            </w:pPr>
            <w:r>
              <w:rPr>
                <w:rFonts w:ascii="Times New Roman" w:cs="Times New Roman" w:eastAsia="Times New Roman" w:hAnsi="Times New Roman"/>
                <w:sz w:val="19"/>
                <w:szCs w:val="19"/>
                <w:color w:val="auto"/>
              </w:rPr>
              <w:t>126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7.06</w:t>
            </w:r>
          </w:p>
        </w:tc>
        <w:tc>
          <w:tcPr>
            <w:tcW w:w="94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w w:val="98"/>
              </w:rPr>
              <w:t>[Reserved]</w:t>
            </w:r>
          </w:p>
        </w:tc>
        <w:tc>
          <w:tcPr>
            <w:tcW w:w="640" w:type="dxa"/>
            <w:vAlign w:val="bottom"/>
            <w:gridSpan w:val="2"/>
          </w:tcPr>
          <w:p>
            <w:pPr>
              <w:jc w:val="right"/>
              <w:ind w:right="86"/>
              <w:spacing w:after="0" w:line="216" w:lineRule="exact"/>
              <w:rPr>
                <w:sz w:val="20"/>
                <w:szCs w:val="20"/>
                <w:color w:val="auto"/>
              </w:rPr>
            </w:pPr>
            <w:r>
              <w:rPr>
                <w:rFonts w:ascii="Times New Roman" w:cs="Times New Roman" w:eastAsia="Times New Roman" w:hAnsi="Times New Roman"/>
                <w:sz w:val="19"/>
                <w:szCs w:val="19"/>
                <w:color w:val="auto"/>
              </w:rPr>
              <w:t>126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7.07</w:t>
            </w:r>
          </w:p>
        </w:tc>
        <w:tc>
          <w:tcPr>
            <w:tcW w:w="2360" w:type="dxa"/>
            <w:vAlign w:val="bottom"/>
            <w:gridSpan w:val="6"/>
          </w:tcPr>
          <w:p>
            <w:pPr>
              <w:ind w:left="100"/>
              <w:spacing w:after="0" w:line="203" w:lineRule="exact"/>
              <w:rPr>
                <w:sz w:val="20"/>
                <w:szCs w:val="20"/>
                <w:color w:val="auto"/>
              </w:rPr>
            </w:pPr>
            <w:r>
              <w:rPr>
                <w:rFonts w:ascii="Times New Roman" w:cs="Times New Roman" w:eastAsia="Times New Roman" w:hAnsi="Times New Roman"/>
                <w:sz w:val="19"/>
                <w:szCs w:val="19"/>
                <w:color w:val="auto"/>
                <w:w w:val="99"/>
              </w:rPr>
              <w:t>Compensation and Indemnity</w:t>
            </w:r>
          </w:p>
        </w:tc>
        <w:tc>
          <w:tcPr>
            <w:tcW w:w="2380" w:type="dxa"/>
            <w:vAlign w:val="bottom"/>
            <w:gridSpan w:val="2"/>
          </w:tcPr>
          <w:p>
            <w:pPr>
              <w:jc w:val="right"/>
              <w:ind w:right="1846"/>
              <w:spacing w:after="0" w:line="203" w:lineRule="exact"/>
              <w:rPr>
                <w:sz w:val="20"/>
                <w:szCs w:val="20"/>
                <w:color w:val="auto"/>
              </w:rPr>
            </w:pPr>
            <w:r>
              <w:rPr>
                <w:rFonts w:ascii="Times New Roman" w:cs="Times New Roman" w:eastAsia="Times New Roman" w:hAnsi="Times New Roman"/>
                <w:sz w:val="19"/>
                <w:szCs w:val="19"/>
                <w:color w:val="auto"/>
              </w:rPr>
              <w:t>126</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7.08</w:t>
            </w:r>
          </w:p>
        </w:tc>
        <w:tc>
          <w:tcPr>
            <w:tcW w:w="2080" w:type="dxa"/>
            <w:vAlign w:val="bottom"/>
            <w:gridSpan w:val="5"/>
          </w:tcPr>
          <w:p>
            <w:pPr>
              <w:ind w:left="100"/>
              <w:spacing w:after="0" w:line="203" w:lineRule="exact"/>
              <w:rPr>
                <w:sz w:val="20"/>
                <w:szCs w:val="20"/>
                <w:color w:val="auto"/>
              </w:rPr>
            </w:pPr>
            <w:r>
              <w:rPr>
                <w:rFonts w:ascii="Times New Roman" w:cs="Times New Roman" w:eastAsia="Times New Roman" w:hAnsi="Times New Roman"/>
                <w:sz w:val="19"/>
                <w:szCs w:val="19"/>
                <w:color w:val="auto"/>
              </w:rPr>
              <w:t>Replacement of Trustee</w:t>
            </w:r>
          </w:p>
        </w:tc>
        <w:tc>
          <w:tcPr>
            <w:tcW w:w="660" w:type="dxa"/>
            <w:vAlign w:val="bottom"/>
            <w:gridSpan w:val="2"/>
          </w:tcPr>
          <w:p>
            <w:pPr>
              <w:jc w:val="right"/>
              <w:ind w:right="286"/>
              <w:spacing w:after="0" w:line="203" w:lineRule="exact"/>
              <w:rPr>
                <w:sz w:val="20"/>
                <w:szCs w:val="20"/>
                <w:color w:val="auto"/>
              </w:rPr>
            </w:pPr>
            <w:r>
              <w:rPr>
                <w:rFonts w:ascii="Times New Roman" w:cs="Times New Roman" w:eastAsia="Times New Roman" w:hAnsi="Times New Roman"/>
                <w:sz w:val="19"/>
                <w:szCs w:val="19"/>
                <w:color w:val="auto"/>
                <w:w w:val="91"/>
              </w:rPr>
              <w:t>127</w:t>
            </w: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7.09</w:t>
            </w:r>
          </w:p>
        </w:tc>
        <w:tc>
          <w:tcPr>
            <w:tcW w:w="94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w w:val="98"/>
              </w:rPr>
              <w:t>[Reserved]</w:t>
            </w:r>
          </w:p>
        </w:tc>
        <w:tc>
          <w:tcPr>
            <w:tcW w:w="640" w:type="dxa"/>
            <w:vAlign w:val="bottom"/>
            <w:gridSpan w:val="2"/>
          </w:tcPr>
          <w:p>
            <w:pPr>
              <w:jc w:val="right"/>
              <w:ind w:right="86"/>
              <w:spacing w:after="0" w:line="216" w:lineRule="exact"/>
              <w:rPr>
                <w:sz w:val="20"/>
                <w:szCs w:val="20"/>
                <w:color w:val="auto"/>
              </w:rPr>
            </w:pPr>
            <w:r>
              <w:rPr>
                <w:rFonts w:ascii="Times New Roman" w:cs="Times New Roman" w:eastAsia="Times New Roman" w:hAnsi="Times New Roman"/>
                <w:sz w:val="19"/>
                <w:szCs w:val="19"/>
                <w:color w:val="auto"/>
              </w:rPr>
              <w:t>128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7.10</w:t>
            </w:r>
          </w:p>
        </w:tc>
        <w:tc>
          <w:tcPr>
            <w:tcW w:w="2740" w:type="dxa"/>
            <w:vAlign w:val="bottom"/>
            <w:gridSpan w:val="7"/>
          </w:tcPr>
          <w:p>
            <w:pPr>
              <w:ind w:left="100"/>
              <w:spacing w:after="0" w:line="203" w:lineRule="exact"/>
              <w:rPr>
                <w:sz w:val="20"/>
                <w:szCs w:val="20"/>
                <w:color w:val="auto"/>
              </w:rPr>
            </w:pPr>
            <w:r>
              <w:rPr>
                <w:rFonts w:ascii="Times New Roman" w:cs="Times New Roman" w:eastAsia="Times New Roman" w:hAnsi="Times New Roman"/>
                <w:sz w:val="19"/>
                <w:szCs w:val="19"/>
                <w:color w:val="auto"/>
              </w:rPr>
              <w:t>Successor Trustee by Merger, Etc</w:t>
            </w:r>
          </w:p>
        </w:tc>
        <w:tc>
          <w:tcPr>
            <w:tcW w:w="2000" w:type="dxa"/>
            <w:vAlign w:val="bottom"/>
          </w:tcPr>
          <w:p>
            <w:pPr>
              <w:jc w:val="right"/>
              <w:ind w:right="1546"/>
              <w:spacing w:after="0" w:line="203" w:lineRule="exact"/>
              <w:rPr>
                <w:sz w:val="20"/>
                <w:szCs w:val="20"/>
                <w:color w:val="auto"/>
              </w:rPr>
            </w:pPr>
            <w:r>
              <w:rPr>
                <w:rFonts w:ascii="Times New Roman" w:cs="Times New Roman" w:eastAsia="Times New Roman" w:hAnsi="Times New Roman"/>
                <w:sz w:val="19"/>
                <w:szCs w:val="19"/>
                <w:color w:val="auto"/>
              </w:rPr>
              <w:t>128</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7.11</w:t>
            </w: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Eligibility; Disqualification</w:t>
            </w: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91"/>
              </w:rPr>
              <w:t>128</w:t>
            </w:r>
          </w:p>
        </w:tc>
        <w:tc>
          <w:tcPr>
            <w:tcW w:w="2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780" w:type="dxa"/>
            <w:vAlign w:val="bottom"/>
            <w:gridSpan w:val="9"/>
          </w:tcPr>
          <w:p>
            <w:pPr>
              <w:ind w:left="20"/>
              <w:spacing w:after="0"/>
              <w:rPr>
                <w:sz w:val="20"/>
                <w:szCs w:val="20"/>
                <w:color w:val="auto"/>
              </w:rPr>
            </w:pPr>
            <w:r>
              <w:rPr>
                <w:rFonts w:ascii="Times New Roman" w:cs="Times New Roman" w:eastAsia="Times New Roman" w:hAnsi="Times New Roman"/>
                <w:sz w:val="19"/>
                <w:szCs w:val="19"/>
                <w:color w:val="auto"/>
              </w:rPr>
              <w:t>ARTICLE 8 LEGAL DEFEASANCE AND COVENANT DEFEASANCE</w:t>
            </w:r>
          </w:p>
        </w:tc>
        <w:tc>
          <w:tcPr>
            <w:tcW w:w="4240" w:type="dxa"/>
            <w:vAlign w:val="bottom"/>
            <w:gridSpan w:val="2"/>
          </w:tcPr>
          <w:p>
            <w:pPr>
              <w:jc w:val="right"/>
              <w:ind w:right="3746"/>
              <w:spacing w:after="0"/>
              <w:rPr>
                <w:sz w:val="20"/>
                <w:szCs w:val="20"/>
                <w:color w:val="auto"/>
              </w:rPr>
            </w:pPr>
            <w:r>
              <w:rPr>
                <w:rFonts w:ascii="Times New Roman" w:cs="Times New Roman" w:eastAsia="Times New Roman" w:hAnsi="Times New Roman"/>
                <w:sz w:val="19"/>
                <w:szCs w:val="19"/>
                <w:color w:val="auto"/>
              </w:rPr>
              <w:t>128</w:t>
            </w:r>
          </w:p>
        </w:tc>
        <w:tc>
          <w:tcPr>
            <w:tcW w:w="0" w:type="dxa"/>
            <w:vAlign w:val="bottom"/>
          </w:tcPr>
          <w:p>
            <w:pPr>
              <w:spacing w:after="0"/>
              <w:rPr>
                <w:sz w:val="1"/>
                <w:szCs w:val="1"/>
                <w:color w:val="auto"/>
              </w:rPr>
            </w:pPr>
          </w:p>
        </w:tc>
      </w:tr>
      <w:tr>
        <w:trPr>
          <w:trHeight w:val="390"/>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8.01</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9"/>
                <w:szCs w:val="19"/>
                <w:color w:val="auto"/>
              </w:rPr>
              <w:t>Option to Effect Legal Defeasance or Covenant Defeasance</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8.02</w:t>
            </w:r>
          </w:p>
        </w:tc>
        <w:tc>
          <w:tcPr>
            <w:tcW w:w="2740" w:type="dxa"/>
            <w:vAlign w:val="bottom"/>
            <w:gridSpan w:val="7"/>
          </w:tcPr>
          <w:p>
            <w:pPr>
              <w:ind w:left="100"/>
              <w:spacing w:after="0" w:line="203" w:lineRule="exact"/>
              <w:rPr>
                <w:sz w:val="20"/>
                <w:szCs w:val="20"/>
                <w:color w:val="auto"/>
              </w:rPr>
            </w:pPr>
            <w:r>
              <w:rPr>
                <w:rFonts w:ascii="Times New Roman" w:cs="Times New Roman" w:eastAsia="Times New Roman" w:hAnsi="Times New Roman"/>
                <w:sz w:val="19"/>
                <w:szCs w:val="19"/>
                <w:color w:val="auto"/>
              </w:rPr>
              <w:t>Legal Defeasance and Discharge</w:t>
            </w:r>
          </w:p>
        </w:tc>
        <w:tc>
          <w:tcPr>
            <w:tcW w:w="2000" w:type="dxa"/>
            <w:vAlign w:val="bottom"/>
          </w:tcPr>
          <w:p>
            <w:pPr>
              <w:jc w:val="right"/>
              <w:ind w:right="1606"/>
              <w:spacing w:after="0" w:line="203" w:lineRule="exact"/>
              <w:rPr>
                <w:sz w:val="20"/>
                <w:szCs w:val="20"/>
                <w:color w:val="auto"/>
              </w:rPr>
            </w:pPr>
            <w:r>
              <w:rPr>
                <w:rFonts w:ascii="Times New Roman" w:cs="Times New Roman" w:eastAsia="Times New Roman" w:hAnsi="Times New Roman"/>
                <w:sz w:val="19"/>
                <w:szCs w:val="19"/>
                <w:color w:val="auto"/>
                <w:w w:val="98"/>
              </w:rPr>
              <w:t>128</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8.03</w:t>
            </w:r>
          </w:p>
        </w:tc>
        <w:tc>
          <w:tcPr>
            <w:tcW w:w="1800" w:type="dxa"/>
            <w:vAlign w:val="bottom"/>
            <w:gridSpan w:val="4"/>
          </w:tcPr>
          <w:p>
            <w:pPr>
              <w:ind w:left="100"/>
              <w:spacing w:after="0" w:line="216" w:lineRule="exact"/>
              <w:rPr>
                <w:sz w:val="20"/>
                <w:szCs w:val="20"/>
                <w:color w:val="auto"/>
              </w:rPr>
            </w:pPr>
            <w:r>
              <w:rPr>
                <w:rFonts w:ascii="Times New Roman" w:cs="Times New Roman" w:eastAsia="Times New Roman" w:hAnsi="Times New Roman"/>
                <w:sz w:val="19"/>
                <w:szCs w:val="19"/>
                <w:color w:val="auto"/>
              </w:rPr>
              <w:t>Covenant Defeasance</w:t>
            </w:r>
          </w:p>
        </w:tc>
        <w:tc>
          <w:tcPr>
            <w:tcW w:w="560" w:type="dxa"/>
            <w:vAlign w:val="bottom"/>
            <w:gridSpan w:val="2"/>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129</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8.04</w:t>
            </w:r>
          </w:p>
        </w:tc>
        <w:tc>
          <w:tcPr>
            <w:tcW w:w="4740" w:type="dxa"/>
            <w:vAlign w:val="bottom"/>
            <w:gridSpan w:val="8"/>
          </w:tcPr>
          <w:p>
            <w:pPr>
              <w:ind w:left="100"/>
              <w:spacing w:after="0" w:line="203" w:lineRule="exact"/>
              <w:rPr>
                <w:sz w:val="20"/>
                <w:szCs w:val="20"/>
                <w:color w:val="auto"/>
              </w:rPr>
            </w:pPr>
            <w:r>
              <w:rPr>
                <w:rFonts w:ascii="Times New Roman" w:cs="Times New Roman" w:eastAsia="Times New Roman" w:hAnsi="Times New Roman"/>
                <w:sz w:val="19"/>
                <w:szCs w:val="19"/>
                <w:color w:val="auto"/>
              </w:rPr>
              <w:t>Conditions to Legal or Covenant Defeasance  129</w:t>
            </w: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8.05</w:t>
            </w:r>
          </w:p>
        </w:tc>
        <w:tc>
          <w:tcPr>
            <w:tcW w:w="8980" w:type="dxa"/>
            <w:vAlign w:val="bottom"/>
            <w:gridSpan w:val="10"/>
          </w:tcPr>
          <w:p>
            <w:pPr>
              <w:ind w:left="100"/>
              <w:spacing w:after="0" w:line="216" w:lineRule="exact"/>
              <w:rPr>
                <w:sz w:val="20"/>
                <w:szCs w:val="20"/>
                <w:color w:val="auto"/>
              </w:rPr>
            </w:pPr>
            <w:r>
              <w:rPr>
                <w:rFonts w:ascii="Times New Roman" w:cs="Times New Roman" w:eastAsia="Times New Roman" w:hAnsi="Times New Roman"/>
                <w:sz w:val="19"/>
                <w:szCs w:val="19"/>
                <w:color w:val="auto"/>
              </w:rPr>
              <w:t>Deposited Money and U.S. Government Securities to Be Held in Trust; Other Miscellaneous Provisions  130</w:t>
            </w: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8.06</w:t>
            </w:r>
          </w:p>
        </w:tc>
        <w:tc>
          <w:tcPr>
            <w:tcW w:w="1800" w:type="dxa"/>
            <w:vAlign w:val="bottom"/>
            <w:gridSpan w:val="4"/>
          </w:tcPr>
          <w:p>
            <w:pPr>
              <w:ind w:left="100"/>
              <w:spacing w:after="0" w:line="203" w:lineRule="exact"/>
              <w:rPr>
                <w:sz w:val="20"/>
                <w:szCs w:val="20"/>
                <w:color w:val="auto"/>
              </w:rPr>
            </w:pPr>
            <w:r>
              <w:rPr>
                <w:rFonts w:ascii="Times New Roman" w:cs="Times New Roman" w:eastAsia="Times New Roman" w:hAnsi="Times New Roman"/>
                <w:sz w:val="19"/>
                <w:szCs w:val="19"/>
                <w:color w:val="auto"/>
              </w:rPr>
              <w:t>Repayment to Issuer</w:t>
            </w:r>
          </w:p>
        </w:tc>
        <w:tc>
          <w:tcPr>
            <w:tcW w:w="56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9"/>
                <w:szCs w:val="19"/>
                <w:color w:val="auto"/>
              </w:rPr>
              <w:t>131</w:t>
            </w: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Section 8.07</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Reinstatement</w:t>
            </w:r>
          </w:p>
        </w:tc>
        <w:tc>
          <w:tcPr>
            <w:tcW w:w="480" w:type="dxa"/>
            <w:vAlign w:val="bottom"/>
            <w:gridSpan w:val="2"/>
          </w:tcPr>
          <w:p>
            <w:pPr>
              <w:jc w:val="right"/>
              <w:ind w:right="66"/>
              <w:spacing w:after="0"/>
              <w:rPr>
                <w:sz w:val="20"/>
                <w:szCs w:val="20"/>
                <w:color w:val="auto"/>
              </w:rPr>
            </w:pPr>
            <w:r>
              <w:rPr>
                <w:rFonts w:ascii="Times New Roman" w:cs="Times New Roman" w:eastAsia="Times New Roman" w:hAnsi="Times New Roman"/>
                <w:sz w:val="19"/>
                <w:szCs w:val="19"/>
                <w:color w:val="auto"/>
              </w:rPr>
              <w:t>131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39"/>
          </w:cols>
          <w:pgMar w:left="4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39"/>
          </w:cols>
          <w:pgMar w:left="420" w:top="1440" w:right="1440" w:bottom="1440" w:gutter="0" w:footer="0" w:header="0"/>
          <w:type w:val="continuous"/>
        </w:sectPr>
      </w:pPr>
    </w:p>
    <w:bookmarkStart w:id="53" w:name="page54"/>
    <w:bookmarkEnd w:id="53"/>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80" w:type="dxa"/>
            <w:vAlign w:val="bottom"/>
            <w:gridSpan w:val="9"/>
          </w:tcPr>
          <w:p>
            <w:pPr>
              <w:ind w:left="20"/>
              <w:spacing w:after="0"/>
              <w:rPr>
                <w:sz w:val="20"/>
                <w:szCs w:val="20"/>
                <w:color w:val="auto"/>
              </w:rPr>
            </w:pPr>
            <w:r>
              <w:rPr>
                <w:rFonts w:ascii="Times New Roman" w:cs="Times New Roman" w:eastAsia="Times New Roman" w:hAnsi="Times New Roman"/>
                <w:sz w:val="19"/>
                <w:szCs w:val="19"/>
                <w:color w:val="auto"/>
              </w:rPr>
              <w:t>ARTICLE 9 AMENDMENT, SUPPLEMENT AND WAIVER</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131</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9.01</w:t>
            </w:r>
          </w:p>
        </w:tc>
        <w:tc>
          <w:tcPr>
            <w:tcW w:w="2980" w:type="dxa"/>
            <w:vAlign w:val="bottom"/>
            <w:gridSpan w:val="7"/>
          </w:tcPr>
          <w:p>
            <w:pPr>
              <w:ind w:left="60"/>
              <w:spacing w:after="0"/>
              <w:rPr>
                <w:sz w:val="20"/>
                <w:szCs w:val="20"/>
                <w:color w:val="auto"/>
              </w:rPr>
            </w:pPr>
            <w:r>
              <w:rPr>
                <w:rFonts w:ascii="Times New Roman" w:cs="Times New Roman" w:eastAsia="Times New Roman" w:hAnsi="Times New Roman"/>
                <w:sz w:val="19"/>
                <w:szCs w:val="19"/>
                <w:color w:val="auto"/>
              </w:rPr>
              <w:t>Without Consent of Holders of Notes</w:t>
            </w:r>
          </w:p>
        </w:tc>
        <w:tc>
          <w:tcPr>
            <w:tcW w:w="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131</w:t>
            </w: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9.02</w:t>
            </w:r>
          </w:p>
        </w:tc>
        <w:tc>
          <w:tcPr>
            <w:tcW w:w="2760" w:type="dxa"/>
            <w:vAlign w:val="bottom"/>
            <w:gridSpan w:val="6"/>
          </w:tcPr>
          <w:p>
            <w:pPr>
              <w:ind w:left="60"/>
              <w:spacing w:after="0" w:line="203" w:lineRule="exact"/>
              <w:rPr>
                <w:sz w:val="20"/>
                <w:szCs w:val="20"/>
                <w:color w:val="auto"/>
              </w:rPr>
            </w:pPr>
            <w:r>
              <w:rPr>
                <w:rFonts w:ascii="Times New Roman" w:cs="Times New Roman" w:eastAsia="Times New Roman" w:hAnsi="Times New Roman"/>
                <w:sz w:val="19"/>
                <w:szCs w:val="19"/>
                <w:color w:val="auto"/>
              </w:rPr>
              <w:t>With Consent of Holders of Notes</w:t>
            </w:r>
          </w:p>
        </w:tc>
        <w:tc>
          <w:tcPr>
            <w:tcW w:w="1040" w:type="dxa"/>
            <w:vAlign w:val="bottom"/>
            <w:gridSpan w:val="2"/>
          </w:tcPr>
          <w:p>
            <w:pPr>
              <w:jc w:val="right"/>
              <w:ind w:right="606"/>
              <w:spacing w:after="0" w:line="203" w:lineRule="exact"/>
              <w:rPr>
                <w:sz w:val="20"/>
                <w:szCs w:val="20"/>
                <w:color w:val="auto"/>
              </w:rPr>
            </w:pPr>
            <w:r>
              <w:rPr>
                <w:rFonts w:ascii="Times New Roman" w:cs="Times New Roman" w:eastAsia="Times New Roman" w:hAnsi="Times New Roman"/>
                <w:sz w:val="19"/>
                <w:szCs w:val="19"/>
                <w:color w:val="auto"/>
              </w:rPr>
              <w:t>133</w:t>
            </w: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9.03</w:t>
            </w:r>
          </w:p>
        </w:tc>
        <w:tc>
          <w:tcPr>
            <w:tcW w:w="1080" w:type="dxa"/>
            <w:vAlign w:val="bottom"/>
          </w:tcPr>
          <w:p>
            <w:pPr>
              <w:ind w:left="60"/>
              <w:spacing w:after="0" w:line="203" w:lineRule="exact"/>
              <w:rPr>
                <w:sz w:val="20"/>
                <w:szCs w:val="20"/>
                <w:color w:val="auto"/>
              </w:rPr>
            </w:pPr>
            <w:r>
              <w:rPr>
                <w:rFonts w:ascii="Times New Roman" w:cs="Times New Roman" w:eastAsia="Times New Roman" w:hAnsi="Times New Roman"/>
                <w:sz w:val="19"/>
                <w:szCs w:val="19"/>
                <w:color w:val="auto"/>
              </w:rPr>
              <w:t>[Reserved]</w:t>
            </w:r>
          </w:p>
        </w:tc>
        <w:tc>
          <w:tcPr>
            <w:tcW w:w="30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w w:val="91"/>
              </w:rPr>
              <w:t>135</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9.04</w:t>
            </w:r>
          </w:p>
        </w:tc>
        <w:tc>
          <w:tcPr>
            <w:tcW w:w="276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19"/>
                <w:szCs w:val="19"/>
                <w:color w:val="auto"/>
              </w:rPr>
              <w:t>Revocation and Effect of Consents</w:t>
            </w:r>
          </w:p>
        </w:tc>
        <w:tc>
          <w:tcPr>
            <w:tcW w:w="1040" w:type="dxa"/>
            <w:vAlign w:val="bottom"/>
            <w:gridSpan w:val="2"/>
          </w:tcPr>
          <w:p>
            <w:pPr>
              <w:jc w:val="right"/>
              <w:ind w:right="546"/>
              <w:spacing w:after="0" w:line="216" w:lineRule="exact"/>
              <w:rPr>
                <w:sz w:val="20"/>
                <w:szCs w:val="20"/>
                <w:color w:val="auto"/>
              </w:rPr>
            </w:pPr>
            <w:r>
              <w:rPr>
                <w:rFonts w:ascii="Times New Roman" w:cs="Times New Roman" w:eastAsia="Times New Roman" w:hAnsi="Times New Roman"/>
                <w:sz w:val="19"/>
                <w:szCs w:val="19"/>
                <w:color w:val="auto"/>
              </w:rPr>
              <w:t>135</w:t>
            </w: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9.05</w:t>
            </w:r>
          </w:p>
        </w:tc>
        <w:tc>
          <w:tcPr>
            <w:tcW w:w="2760" w:type="dxa"/>
            <w:vAlign w:val="bottom"/>
            <w:gridSpan w:val="6"/>
          </w:tcPr>
          <w:p>
            <w:pPr>
              <w:ind w:left="60"/>
              <w:spacing w:after="0" w:line="203" w:lineRule="exact"/>
              <w:rPr>
                <w:sz w:val="20"/>
                <w:szCs w:val="20"/>
                <w:color w:val="auto"/>
              </w:rPr>
            </w:pPr>
            <w:r>
              <w:rPr>
                <w:rFonts w:ascii="Times New Roman" w:cs="Times New Roman" w:eastAsia="Times New Roman" w:hAnsi="Times New Roman"/>
                <w:sz w:val="19"/>
                <w:szCs w:val="19"/>
                <w:color w:val="auto"/>
              </w:rPr>
              <w:t>Notation on or Exchange of Notes</w:t>
            </w:r>
          </w:p>
        </w:tc>
        <w:tc>
          <w:tcPr>
            <w:tcW w:w="1040" w:type="dxa"/>
            <w:vAlign w:val="bottom"/>
            <w:gridSpan w:val="2"/>
          </w:tcPr>
          <w:p>
            <w:pPr>
              <w:jc w:val="right"/>
              <w:ind w:right="586"/>
              <w:spacing w:after="0" w:line="203" w:lineRule="exact"/>
              <w:rPr>
                <w:sz w:val="20"/>
                <w:szCs w:val="20"/>
                <w:color w:val="auto"/>
              </w:rPr>
            </w:pPr>
            <w:r>
              <w:rPr>
                <w:rFonts w:ascii="Times New Roman" w:cs="Times New Roman" w:eastAsia="Times New Roman" w:hAnsi="Times New Roman"/>
                <w:sz w:val="19"/>
                <w:szCs w:val="19"/>
                <w:color w:val="auto"/>
              </w:rPr>
              <w:t>135</w:t>
            </w: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9.06</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Trustee to Sign Amendments, Etc</w:t>
            </w:r>
          </w:p>
        </w:tc>
        <w:tc>
          <w:tcPr>
            <w:tcW w:w="1040" w:type="dxa"/>
            <w:vAlign w:val="bottom"/>
            <w:gridSpan w:val="2"/>
          </w:tcPr>
          <w:p>
            <w:pPr>
              <w:jc w:val="right"/>
              <w:ind w:right="626"/>
              <w:spacing w:after="0"/>
              <w:rPr>
                <w:sz w:val="20"/>
                <w:szCs w:val="20"/>
                <w:color w:val="auto"/>
              </w:rPr>
            </w:pPr>
            <w:r>
              <w:rPr>
                <w:rFonts w:ascii="Times New Roman" w:cs="Times New Roman" w:eastAsia="Times New Roman" w:hAnsi="Times New Roman"/>
                <w:sz w:val="19"/>
                <w:szCs w:val="19"/>
                <w:color w:val="auto"/>
              </w:rPr>
              <w:t>135</w:t>
            </w:r>
          </w:p>
        </w:tc>
        <w:tc>
          <w:tcPr>
            <w:tcW w:w="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ARTICLE 10 GUARANTEES</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10.01</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Note Guarantee</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10.02</w:t>
            </w:r>
          </w:p>
        </w:tc>
        <w:tc>
          <w:tcPr>
            <w:tcW w:w="2760" w:type="dxa"/>
            <w:vAlign w:val="bottom"/>
            <w:gridSpan w:val="6"/>
          </w:tcPr>
          <w:p>
            <w:pPr>
              <w:ind w:left="160"/>
              <w:spacing w:after="0" w:line="203" w:lineRule="exact"/>
              <w:rPr>
                <w:sz w:val="20"/>
                <w:szCs w:val="20"/>
                <w:color w:val="auto"/>
              </w:rPr>
            </w:pPr>
            <w:r>
              <w:rPr>
                <w:rFonts w:ascii="Times New Roman" w:cs="Times New Roman" w:eastAsia="Times New Roman" w:hAnsi="Times New Roman"/>
                <w:sz w:val="19"/>
                <w:szCs w:val="19"/>
                <w:color w:val="auto"/>
              </w:rPr>
              <w:t>Limitation on Guarantor Liability</w:t>
            </w:r>
          </w:p>
        </w:tc>
        <w:tc>
          <w:tcPr>
            <w:tcW w:w="1040" w:type="dxa"/>
            <w:vAlign w:val="bottom"/>
            <w:gridSpan w:val="2"/>
          </w:tcPr>
          <w:p>
            <w:pPr>
              <w:jc w:val="right"/>
              <w:ind w:right="546"/>
              <w:spacing w:after="0" w:line="203" w:lineRule="exact"/>
              <w:rPr>
                <w:sz w:val="20"/>
                <w:szCs w:val="20"/>
                <w:color w:val="auto"/>
              </w:rPr>
            </w:pPr>
            <w:r>
              <w:rPr>
                <w:rFonts w:ascii="Times New Roman" w:cs="Times New Roman" w:eastAsia="Times New Roman" w:hAnsi="Times New Roman"/>
                <w:sz w:val="19"/>
                <w:szCs w:val="19"/>
                <w:color w:val="auto"/>
              </w:rPr>
              <w:t>137</w:t>
            </w: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10.03</w:t>
            </w:r>
          </w:p>
        </w:tc>
        <w:tc>
          <w:tcPr>
            <w:tcW w:w="2140" w:type="dxa"/>
            <w:vAlign w:val="bottom"/>
            <w:gridSpan w:val="4"/>
          </w:tcPr>
          <w:p>
            <w:pPr>
              <w:ind w:left="160"/>
              <w:spacing w:after="0" w:line="203" w:lineRule="exact"/>
              <w:rPr>
                <w:sz w:val="20"/>
                <w:szCs w:val="20"/>
                <w:color w:val="auto"/>
              </w:rPr>
            </w:pPr>
            <w:r>
              <w:rPr>
                <w:rFonts w:ascii="Times New Roman" w:cs="Times New Roman" w:eastAsia="Times New Roman" w:hAnsi="Times New Roman"/>
                <w:sz w:val="19"/>
                <w:szCs w:val="19"/>
                <w:color w:val="auto"/>
              </w:rPr>
              <w:t>Execution and Delivery</w:t>
            </w:r>
          </w:p>
        </w:tc>
        <w:tc>
          <w:tcPr>
            <w:tcW w:w="28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w w:val="91"/>
              </w:rPr>
              <w:t>137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10.04</w:t>
            </w:r>
          </w:p>
        </w:tc>
        <w:tc>
          <w:tcPr>
            <w:tcW w:w="108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w w:val="96"/>
              </w:rPr>
              <w:t>Subrogation</w:t>
            </w:r>
          </w:p>
        </w:tc>
        <w:tc>
          <w:tcPr>
            <w:tcW w:w="740" w:type="dxa"/>
            <w:vAlign w:val="bottom"/>
            <w:gridSpan w:val="2"/>
          </w:tcPr>
          <w:p>
            <w:pPr>
              <w:jc w:val="right"/>
              <w:ind w:right="186"/>
              <w:spacing w:after="0" w:line="216" w:lineRule="exact"/>
              <w:rPr>
                <w:sz w:val="20"/>
                <w:szCs w:val="20"/>
                <w:color w:val="auto"/>
              </w:rPr>
            </w:pPr>
            <w:r>
              <w:rPr>
                <w:rFonts w:ascii="Times New Roman" w:cs="Times New Roman" w:eastAsia="Times New Roman" w:hAnsi="Times New Roman"/>
                <w:sz w:val="19"/>
                <w:szCs w:val="19"/>
                <w:color w:val="auto"/>
              </w:rPr>
              <w:t>138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10.05</w:t>
            </w:r>
          </w:p>
        </w:tc>
        <w:tc>
          <w:tcPr>
            <w:tcW w:w="2140" w:type="dxa"/>
            <w:vAlign w:val="bottom"/>
            <w:gridSpan w:val="4"/>
          </w:tcPr>
          <w:p>
            <w:pPr>
              <w:ind w:left="160"/>
              <w:spacing w:after="0" w:line="203" w:lineRule="exact"/>
              <w:rPr>
                <w:sz w:val="20"/>
                <w:szCs w:val="20"/>
                <w:color w:val="auto"/>
              </w:rPr>
            </w:pPr>
            <w:r>
              <w:rPr>
                <w:rFonts w:ascii="Times New Roman" w:cs="Times New Roman" w:eastAsia="Times New Roman" w:hAnsi="Times New Roman"/>
                <w:sz w:val="19"/>
                <w:szCs w:val="19"/>
                <w:color w:val="auto"/>
              </w:rPr>
              <w:t>Benefits Acknowledged</w:t>
            </w:r>
          </w:p>
        </w:tc>
        <w:tc>
          <w:tcPr>
            <w:tcW w:w="620" w:type="dxa"/>
            <w:vAlign w:val="bottom"/>
            <w:gridSpan w:val="2"/>
          </w:tcPr>
          <w:p>
            <w:pPr>
              <w:jc w:val="right"/>
              <w:ind w:right="226"/>
              <w:spacing w:after="0" w:line="203" w:lineRule="exact"/>
              <w:rPr>
                <w:sz w:val="20"/>
                <w:szCs w:val="20"/>
                <w:color w:val="auto"/>
              </w:rPr>
            </w:pPr>
            <w:r>
              <w:rPr>
                <w:rFonts w:ascii="Times New Roman" w:cs="Times New Roman" w:eastAsia="Times New Roman" w:hAnsi="Times New Roman"/>
                <w:sz w:val="19"/>
                <w:szCs w:val="19"/>
                <w:color w:val="auto"/>
                <w:w w:val="98"/>
              </w:rPr>
              <w:t>138</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10.06</w:t>
            </w:r>
          </w:p>
        </w:tc>
        <w:tc>
          <w:tcPr>
            <w:tcW w:w="242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19"/>
                <w:szCs w:val="19"/>
                <w:color w:val="auto"/>
              </w:rPr>
              <w:t>Release of Note Guarantees</w:t>
            </w:r>
          </w:p>
        </w:tc>
        <w:tc>
          <w:tcPr>
            <w:tcW w:w="3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w w:val="98"/>
              </w:rPr>
              <w:t>138</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10.07</w:t>
            </w: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9"/>
                <w:szCs w:val="19"/>
                <w:color w:val="auto"/>
              </w:rPr>
              <w:t>Additional Note Guarantees</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4060" w:type="dxa"/>
            <w:vAlign w:val="bottom"/>
            <w:gridSpan w:val="8"/>
          </w:tcPr>
          <w:p>
            <w:pPr>
              <w:ind w:left="20"/>
              <w:spacing w:after="0"/>
              <w:rPr>
                <w:sz w:val="20"/>
                <w:szCs w:val="20"/>
                <w:color w:val="auto"/>
              </w:rPr>
            </w:pPr>
            <w:r>
              <w:rPr>
                <w:rFonts w:ascii="Times New Roman" w:cs="Times New Roman" w:eastAsia="Times New Roman" w:hAnsi="Times New Roman"/>
                <w:sz w:val="19"/>
                <w:szCs w:val="19"/>
                <w:color w:val="auto"/>
                <w:w w:val="99"/>
              </w:rPr>
              <w:t>ARTICLE 11 SATISFACTION AND DISCHARGE</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139</w:t>
            </w: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11.01</w:t>
            </w:r>
          </w:p>
        </w:tc>
        <w:tc>
          <w:tcPr>
            <w:tcW w:w="2760" w:type="dxa"/>
            <w:vAlign w:val="bottom"/>
            <w:gridSpan w:val="6"/>
          </w:tcPr>
          <w:p>
            <w:pPr>
              <w:ind w:left="140"/>
              <w:spacing w:after="0"/>
              <w:rPr>
                <w:sz w:val="20"/>
                <w:szCs w:val="20"/>
                <w:color w:val="auto"/>
              </w:rPr>
            </w:pPr>
            <w:r>
              <w:rPr>
                <w:rFonts w:ascii="Times New Roman" w:cs="Times New Roman" w:eastAsia="Times New Roman" w:hAnsi="Times New Roman"/>
                <w:sz w:val="19"/>
                <w:szCs w:val="19"/>
                <w:color w:val="auto"/>
              </w:rPr>
              <w:t>Satisfaction and Discharge  139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11.02</w:t>
            </w: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9"/>
                <w:szCs w:val="19"/>
                <w:color w:val="auto"/>
              </w:rPr>
              <w:t>Application of Trust Money</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140</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3220" w:type="dxa"/>
            <w:vAlign w:val="bottom"/>
            <w:gridSpan w:val="5"/>
          </w:tcPr>
          <w:p>
            <w:pPr>
              <w:ind w:left="20"/>
              <w:spacing w:after="0"/>
              <w:rPr>
                <w:sz w:val="20"/>
                <w:szCs w:val="20"/>
                <w:color w:val="auto"/>
              </w:rPr>
            </w:pPr>
            <w:r>
              <w:rPr>
                <w:rFonts w:ascii="Times New Roman" w:cs="Times New Roman" w:eastAsia="Times New Roman" w:hAnsi="Times New Roman"/>
                <w:sz w:val="19"/>
                <w:szCs w:val="19"/>
                <w:color w:val="auto"/>
              </w:rPr>
              <w:t>ARTICLE 12 MISCELLANEOUS  140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12.01</w:t>
            </w:r>
          </w:p>
        </w:tc>
        <w:tc>
          <w:tcPr>
            <w:tcW w:w="10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[Reserved]</w:t>
            </w:r>
          </w:p>
        </w:tc>
        <w:tc>
          <w:tcPr>
            <w:tcW w:w="740" w:type="dxa"/>
            <w:vAlign w:val="bottom"/>
            <w:gridSpan w:val="2"/>
          </w:tcPr>
          <w:p>
            <w:pPr>
              <w:jc w:val="right"/>
              <w:ind w:right="266"/>
              <w:spacing w:after="0"/>
              <w:rPr>
                <w:sz w:val="20"/>
                <w:szCs w:val="20"/>
                <w:color w:val="auto"/>
              </w:rPr>
            </w:pPr>
            <w:r>
              <w:rPr>
                <w:rFonts w:ascii="Times New Roman" w:cs="Times New Roman" w:eastAsia="Times New Roman" w:hAnsi="Times New Roman"/>
                <w:sz w:val="19"/>
                <w:szCs w:val="19"/>
                <w:color w:val="auto"/>
              </w:rPr>
              <w:t>140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12.02</w:t>
            </w:r>
          </w:p>
        </w:tc>
        <w:tc>
          <w:tcPr>
            <w:tcW w:w="138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9"/>
                <w:szCs w:val="19"/>
                <w:color w:val="auto"/>
              </w:rPr>
              <w:t>Notices  140</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12.03</w:t>
            </w:r>
          </w:p>
        </w:tc>
        <w:tc>
          <w:tcPr>
            <w:tcW w:w="1080" w:type="dxa"/>
            <w:vAlign w:val="bottom"/>
          </w:tcPr>
          <w:p>
            <w:pPr>
              <w:ind w:left="160"/>
              <w:spacing w:after="0" w:line="203" w:lineRule="exact"/>
              <w:rPr>
                <w:sz w:val="20"/>
                <w:szCs w:val="20"/>
                <w:color w:val="auto"/>
              </w:rPr>
            </w:pPr>
            <w:r>
              <w:rPr>
                <w:rFonts w:ascii="Times New Roman" w:cs="Times New Roman" w:eastAsia="Times New Roman" w:hAnsi="Times New Roman"/>
                <w:sz w:val="19"/>
                <w:szCs w:val="19"/>
                <w:color w:val="auto"/>
              </w:rPr>
              <w:t>[Reserved]</w:t>
            </w:r>
          </w:p>
        </w:tc>
        <w:tc>
          <w:tcPr>
            <w:tcW w:w="740" w:type="dxa"/>
            <w:vAlign w:val="bottom"/>
            <w:gridSpan w:val="2"/>
          </w:tcPr>
          <w:p>
            <w:pPr>
              <w:jc w:val="right"/>
              <w:ind w:right="266"/>
              <w:spacing w:after="0" w:line="203" w:lineRule="exact"/>
              <w:rPr>
                <w:sz w:val="20"/>
                <w:szCs w:val="20"/>
                <w:color w:val="auto"/>
              </w:rPr>
            </w:pPr>
            <w:r>
              <w:rPr>
                <w:rFonts w:ascii="Times New Roman" w:cs="Times New Roman" w:eastAsia="Times New Roman" w:hAnsi="Times New Roman"/>
                <w:sz w:val="19"/>
                <w:szCs w:val="19"/>
                <w:color w:val="auto"/>
              </w:rPr>
              <w:t>142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12.04</w:t>
            </w:r>
          </w:p>
        </w:tc>
        <w:tc>
          <w:tcPr>
            <w:tcW w:w="6820" w:type="dxa"/>
            <w:vAlign w:val="bottom"/>
            <w:gridSpan w:val="10"/>
          </w:tcPr>
          <w:p>
            <w:pPr>
              <w:ind w:left="160"/>
              <w:spacing w:after="0" w:line="216" w:lineRule="exact"/>
              <w:rPr>
                <w:sz w:val="20"/>
                <w:szCs w:val="20"/>
                <w:color w:val="auto"/>
              </w:rPr>
            </w:pPr>
            <w:r>
              <w:rPr>
                <w:rFonts w:ascii="Times New Roman" w:cs="Times New Roman" w:eastAsia="Times New Roman" w:hAnsi="Times New Roman"/>
                <w:sz w:val="19"/>
                <w:szCs w:val="19"/>
                <w:color w:val="auto"/>
              </w:rPr>
              <w:t>Certificate and Opinion as to Conditions Precedent  142</w:t>
            </w: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12.05</w:t>
            </w:r>
          </w:p>
        </w:tc>
        <w:tc>
          <w:tcPr>
            <w:tcW w:w="3800" w:type="dxa"/>
            <w:vAlign w:val="bottom"/>
            <w:gridSpan w:val="8"/>
          </w:tcPr>
          <w:p>
            <w:pPr>
              <w:ind w:left="160"/>
              <w:spacing w:after="0" w:line="203" w:lineRule="exact"/>
              <w:rPr>
                <w:sz w:val="20"/>
                <w:szCs w:val="20"/>
                <w:color w:val="auto"/>
              </w:rPr>
            </w:pPr>
            <w:r>
              <w:rPr>
                <w:rFonts w:ascii="Times New Roman" w:cs="Times New Roman" w:eastAsia="Times New Roman" w:hAnsi="Times New Roman"/>
                <w:sz w:val="19"/>
                <w:szCs w:val="19"/>
                <w:color w:val="auto"/>
              </w:rPr>
              <w:t>Statements Required in Certificate or Opinion</w:t>
            </w:r>
          </w:p>
        </w:tc>
        <w:tc>
          <w:tcPr>
            <w:tcW w:w="520" w:type="dxa"/>
            <w:vAlign w:val="bottom"/>
          </w:tcPr>
          <w:p>
            <w:pPr>
              <w:jc w:val="right"/>
              <w:ind w:right="126"/>
              <w:spacing w:after="0" w:line="203" w:lineRule="exact"/>
              <w:rPr>
                <w:sz w:val="20"/>
                <w:szCs w:val="20"/>
                <w:color w:val="auto"/>
              </w:rPr>
            </w:pPr>
            <w:r>
              <w:rPr>
                <w:rFonts w:ascii="Times New Roman" w:cs="Times New Roman" w:eastAsia="Times New Roman" w:hAnsi="Times New Roman"/>
                <w:sz w:val="19"/>
                <w:szCs w:val="19"/>
                <w:color w:val="auto"/>
                <w:w w:val="98"/>
              </w:rPr>
              <w:t>142</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12.06</w:t>
            </w:r>
          </w:p>
        </w:tc>
        <w:tc>
          <w:tcPr>
            <w:tcW w:w="242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19"/>
                <w:szCs w:val="19"/>
                <w:color w:val="auto"/>
              </w:rPr>
              <w:t>Rules by Trustee and Agents</w:t>
            </w:r>
          </w:p>
        </w:tc>
        <w:tc>
          <w:tcPr>
            <w:tcW w:w="560" w:type="dxa"/>
            <w:vAlign w:val="bottom"/>
            <w:gridSpan w:val="2"/>
          </w:tcPr>
          <w:p>
            <w:pPr>
              <w:jc w:val="right"/>
              <w:ind w:right="86"/>
              <w:spacing w:after="0" w:line="216" w:lineRule="exact"/>
              <w:rPr>
                <w:sz w:val="20"/>
                <w:szCs w:val="20"/>
                <w:color w:val="auto"/>
              </w:rPr>
            </w:pPr>
            <w:r>
              <w:rPr>
                <w:rFonts w:ascii="Times New Roman" w:cs="Times New Roman" w:eastAsia="Times New Roman" w:hAnsi="Times New Roman"/>
                <w:sz w:val="19"/>
                <w:szCs w:val="19"/>
                <w:color w:val="auto"/>
              </w:rPr>
              <w:t>143</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12.07</w:t>
            </w:r>
          </w:p>
        </w:tc>
        <w:tc>
          <w:tcPr>
            <w:tcW w:w="6820" w:type="dxa"/>
            <w:vAlign w:val="bottom"/>
            <w:gridSpan w:val="10"/>
          </w:tcPr>
          <w:p>
            <w:pPr>
              <w:ind w:left="160"/>
              <w:spacing w:after="0" w:line="203" w:lineRule="exact"/>
              <w:rPr>
                <w:sz w:val="20"/>
                <w:szCs w:val="20"/>
                <w:color w:val="auto"/>
              </w:rPr>
            </w:pPr>
            <w:r>
              <w:rPr>
                <w:rFonts w:ascii="Times New Roman" w:cs="Times New Roman" w:eastAsia="Times New Roman" w:hAnsi="Times New Roman"/>
                <w:sz w:val="19"/>
                <w:szCs w:val="19"/>
                <w:color w:val="auto"/>
              </w:rPr>
              <w:t>No Personal Liability of Directors, Officers, Employees and Stockholders  143</w:t>
            </w:r>
          </w:p>
        </w:tc>
        <w:tc>
          <w:tcPr>
            <w:tcW w:w="0" w:type="dxa"/>
            <w:vAlign w:val="bottom"/>
          </w:tcPr>
          <w:p>
            <w:pPr>
              <w:spacing w:after="0"/>
              <w:rPr>
                <w:sz w:val="1"/>
                <w:szCs w:val="1"/>
                <w:color w:val="auto"/>
              </w:rPr>
            </w:pPr>
          </w:p>
        </w:tc>
      </w:tr>
      <w:tr>
        <w:trPr>
          <w:trHeight w:val="189"/>
        </w:trPr>
        <w:tc>
          <w:tcPr>
            <w:tcW w:w="108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12.08</w:t>
            </w:r>
          </w:p>
        </w:tc>
        <w:tc>
          <w:tcPr>
            <w:tcW w:w="138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9"/>
                <w:szCs w:val="19"/>
                <w:color w:val="auto"/>
              </w:rPr>
              <w:t>Governing Law</w:t>
            </w:r>
          </w:p>
        </w:tc>
        <w:tc>
          <w:tcPr>
            <w:tcW w:w="440" w:type="dxa"/>
            <w:vAlign w:val="bottom"/>
          </w:tcPr>
          <w:p>
            <w:pPr>
              <w:jc w:val="right"/>
              <w:spacing w:after="0" w:line="189" w:lineRule="exact"/>
              <w:rPr>
                <w:sz w:val="20"/>
                <w:szCs w:val="20"/>
                <w:color w:val="auto"/>
              </w:rPr>
            </w:pPr>
            <w:r>
              <w:rPr>
                <w:rFonts w:ascii="Times New Roman" w:cs="Times New Roman" w:eastAsia="Times New Roman" w:hAnsi="Times New Roman"/>
                <w:sz w:val="19"/>
                <w:szCs w:val="19"/>
                <w:color w:val="auto"/>
              </w:rPr>
              <w:t>143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00" w:type="dxa"/>
            <w:vAlign w:val="bottom"/>
            <w:vMerge w:val="restart"/>
          </w:tcPr>
          <w:p>
            <w:pPr>
              <w:jc w:val="right"/>
              <w:ind w:right="2026"/>
              <w:spacing w:after="0"/>
              <w:rPr>
                <w:sz w:val="20"/>
                <w:szCs w:val="20"/>
                <w:color w:val="auto"/>
              </w:rPr>
            </w:pPr>
            <w:r>
              <w:rPr>
                <w:rFonts w:ascii="Times New Roman" w:cs="Times New Roman" w:eastAsia="Times New Roman" w:hAnsi="Times New Roman"/>
                <w:sz w:val="19"/>
                <w:szCs w:val="19"/>
                <w:color w:val="auto"/>
              </w:rPr>
              <w:t>143</w:t>
            </w: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12.09</w:t>
            </w:r>
          </w:p>
        </w:tc>
        <w:tc>
          <w:tcPr>
            <w:tcW w:w="4320" w:type="dxa"/>
            <w:vAlign w:val="bottom"/>
            <w:gridSpan w:val="9"/>
          </w:tcPr>
          <w:p>
            <w:pPr>
              <w:ind w:left="160"/>
              <w:spacing w:after="0" w:line="216" w:lineRule="exact"/>
              <w:rPr>
                <w:sz w:val="20"/>
                <w:szCs w:val="20"/>
                <w:color w:val="auto"/>
              </w:rPr>
            </w:pPr>
            <w:r>
              <w:rPr>
                <w:rFonts w:ascii="Times New Roman" w:cs="Times New Roman" w:eastAsia="Times New Roman" w:hAnsi="Times New Roman"/>
                <w:sz w:val="19"/>
                <w:szCs w:val="19"/>
                <w:color w:val="auto"/>
              </w:rPr>
              <w:t>Jurisdiction; Agent for Service; Waiver of Immunities</w:t>
            </w: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12.10</w:t>
            </w:r>
          </w:p>
        </w:tc>
        <w:tc>
          <w:tcPr>
            <w:tcW w:w="182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19"/>
                <w:szCs w:val="19"/>
                <w:color w:val="auto"/>
              </w:rPr>
              <w:t>Waiver of Jury Trial</w:t>
            </w:r>
          </w:p>
        </w:tc>
        <w:tc>
          <w:tcPr>
            <w:tcW w:w="600" w:type="dxa"/>
            <w:vAlign w:val="bottom"/>
            <w:gridSpan w:val="2"/>
          </w:tcPr>
          <w:p>
            <w:pPr>
              <w:jc w:val="right"/>
              <w:ind w:right="186"/>
              <w:spacing w:after="0" w:line="216" w:lineRule="exact"/>
              <w:rPr>
                <w:sz w:val="20"/>
                <w:szCs w:val="20"/>
                <w:color w:val="auto"/>
              </w:rPr>
            </w:pPr>
            <w:r>
              <w:rPr>
                <w:rFonts w:ascii="Times New Roman" w:cs="Times New Roman" w:eastAsia="Times New Roman" w:hAnsi="Times New Roman"/>
                <w:sz w:val="19"/>
                <w:szCs w:val="19"/>
                <w:color w:val="auto"/>
              </w:rPr>
              <w:t>143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12.11</w:t>
            </w:r>
          </w:p>
        </w:tc>
        <w:tc>
          <w:tcPr>
            <w:tcW w:w="138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9"/>
                <w:szCs w:val="19"/>
                <w:color w:val="auto"/>
              </w:rPr>
              <w:t>Force Majeure</w:t>
            </w:r>
          </w:p>
        </w:tc>
        <w:tc>
          <w:tcPr>
            <w:tcW w:w="440" w:type="dxa"/>
            <w:vAlign w:val="bottom"/>
          </w:tcPr>
          <w:p>
            <w:pPr>
              <w:jc w:val="right"/>
              <w:ind w:right="6"/>
              <w:spacing w:after="0" w:line="189" w:lineRule="exact"/>
              <w:rPr>
                <w:sz w:val="20"/>
                <w:szCs w:val="20"/>
                <w:color w:val="auto"/>
              </w:rPr>
            </w:pPr>
            <w:r>
              <w:rPr>
                <w:rFonts w:ascii="Times New Roman" w:cs="Times New Roman" w:eastAsia="Times New Roman" w:hAnsi="Times New Roman"/>
                <w:sz w:val="19"/>
                <w:szCs w:val="19"/>
                <w:color w:val="auto"/>
              </w:rPr>
              <w:t>144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144</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12.12</w:t>
            </w:r>
          </w:p>
        </w:tc>
        <w:tc>
          <w:tcPr>
            <w:tcW w:w="3800" w:type="dxa"/>
            <w:vAlign w:val="bottom"/>
            <w:gridSpan w:val="8"/>
          </w:tcPr>
          <w:p>
            <w:pPr>
              <w:ind w:left="160"/>
              <w:spacing w:after="0" w:line="216" w:lineRule="exact"/>
              <w:rPr>
                <w:sz w:val="20"/>
                <w:szCs w:val="20"/>
                <w:color w:val="auto"/>
              </w:rPr>
            </w:pPr>
            <w:r>
              <w:rPr>
                <w:rFonts w:ascii="Times New Roman" w:cs="Times New Roman" w:eastAsia="Times New Roman" w:hAnsi="Times New Roman"/>
                <w:sz w:val="19"/>
                <w:szCs w:val="19"/>
                <w:color w:val="auto"/>
                <w:w w:val="99"/>
              </w:rPr>
              <w:t>No Adverse Interpretation of Other Agreements</w:t>
            </w:r>
          </w:p>
        </w:tc>
        <w:tc>
          <w:tcPr>
            <w:tcW w:w="52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12.13</w:t>
            </w:r>
          </w:p>
        </w:tc>
        <w:tc>
          <w:tcPr>
            <w:tcW w:w="108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Successors</w:t>
            </w:r>
          </w:p>
        </w:tc>
        <w:tc>
          <w:tcPr>
            <w:tcW w:w="740" w:type="dxa"/>
            <w:vAlign w:val="bottom"/>
            <w:gridSpan w:val="2"/>
          </w:tcPr>
          <w:p>
            <w:pPr>
              <w:jc w:val="right"/>
              <w:ind w:right="266"/>
              <w:spacing w:after="0" w:line="216" w:lineRule="exact"/>
              <w:rPr>
                <w:sz w:val="20"/>
                <w:szCs w:val="20"/>
                <w:color w:val="auto"/>
              </w:rPr>
            </w:pPr>
            <w:r>
              <w:rPr>
                <w:rFonts w:ascii="Times New Roman" w:cs="Times New Roman" w:eastAsia="Times New Roman" w:hAnsi="Times New Roman"/>
                <w:sz w:val="19"/>
                <w:szCs w:val="19"/>
                <w:color w:val="auto"/>
              </w:rPr>
              <w:t>144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12.14</w:t>
            </w:r>
          </w:p>
        </w:tc>
        <w:tc>
          <w:tcPr>
            <w:tcW w:w="1080" w:type="dxa"/>
            <w:vAlign w:val="bottom"/>
          </w:tcPr>
          <w:p>
            <w:pPr>
              <w:ind w:left="160"/>
              <w:spacing w:after="0" w:line="203" w:lineRule="exact"/>
              <w:rPr>
                <w:sz w:val="20"/>
                <w:szCs w:val="20"/>
                <w:color w:val="auto"/>
              </w:rPr>
            </w:pPr>
            <w:r>
              <w:rPr>
                <w:rFonts w:ascii="Times New Roman" w:cs="Times New Roman" w:eastAsia="Times New Roman" w:hAnsi="Times New Roman"/>
                <w:sz w:val="19"/>
                <w:szCs w:val="19"/>
                <w:color w:val="auto"/>
                <w:w w:val="97"/>
              </w:rPr>
              <w:t>Severability</w:t>
            </w:r>
          </w:p>
        </w:tc>
        <w:tc>
          <w:tcPr>
            <w:tcW w:w="740" w:type="dxa"/>
            <w:vAlign w:val="bottom"/>
            <w:gridSpan w:val="2"/>
          </w:tcPr>
          <w:p>
            <w:pPr>
              <w:jc w:val="right"/>
              <w:ind w:right="186"/>
              <w:spacing w:after="0" w:line="203" w:lineRule="exact"/>
              <w:rPr>
                <w:sz w:val="20"/>
                <w:szCs w:val="20"/>
                <w:color w:val="auto"/>
              </w:rPr>
            </w:pPr>
            <w:r>
              <w:rPr>
                <w:rFonts w:ascii="Times New Roman" w:cs="Times New Roman" w:eastAsia="Times New Roman" w:hAnsi="Times New Roman"/>
                <w:sz w:val="19"/>
                <w:szCs w:val="19"/>
                <w:color w:val="auto"/>
              </w:rPr>
              <w:t>144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12.15</w:t>
            </w:r>
          </w:p>
        </w:tc>
        <w:tc>
          <w:tcPr>
            <w:tcW w:w="276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19"/>
                <w:szCs w:val="19"/>
                <w:color w:val="auto"/>
              </w:rPr>
              <w:t>Counterpart Originals; Execution</w:t>
            </w:r>
          </w:p>
        </w:tc>
        <w:tc>
          <w:tcPr>
            <w:tcW w:w="1040" w:type="dxa"/>
            <w:vAlign w:val="bottom"/>
            <w:gridSpan w:val="2"/>
          </w:tcPr>
          <w:p>
            <w:pPr>
              <w:jc w:val="right"/>
              <w:ind w:right="566"/>
              <w:spacing w:after="0" w:line="216" w:lineRule="exact"/>
              <w:rPr>
                <w:sz w:val="20"/>
                <w:szCs w:val="20"/>
                <w:color w:val="auto"/>
              </w:rPr>
            </w:pPr>
            <w:r>
              <w:rPr>
                <w:rFonts w:ascii="Times New Roman" w:cs="Times New Roman" w:eastAsia="Times New Roman" w:hAnsi="Times New Roman"/>
                <w:sz w:val="19"/>
                <w:szCs w:val="19"/>
                <w:color w:val="auto"/>
              </w:rPr>
              <w:t>144</w:t>
            </w: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12.16</w:t>
            </w:r>
          </w:p>
        </w:tc>
        <w:tc>
          <w:tcPr>
            <w:tcW w:w="2760" w:type="dxa"/>
            <w:vAlign w:val="bottom"/>
            <w:gridSpan w:val="6"/>
          </w:tcPr>
          <w:p>
            <w:pPr>
              <w:ind w:left="140"/>
              <w:spacing w:after="0" w:line="189" w:lineRule="exact"/>
              <w:rPr>
                <w:sz w:val="20"/>
                <w:szCs w:val="20"/>
                <w:color w:val="auto"/>
              </w:rPr>
            </w:pPr>
            <w:r>
              <w:rPr>
                <w:rFonts w:ascii="Times New Roman" w:cs="Times New Roman" w:eastAsia="Times New Roman" w:hAnsi="Times New Roman"/>
                <w:sz w:val="19"/>
                <w:szCs w:val="19"/>
                <w:color w:val="auto"/>
              </w:rPr>
              <w:t>Table of Contents, Headings, Etc</w:t>
            </w:r>
          </w:p>
        </w:tc>
        <w:tc>
          <w:tcPr>
            <w:tcW w:w="1040" w:type="dxa"/>
            <w:vAlign w:val="bottom"/>
            <w:gridSpan w:val="2"/>
          </w:tcPr>
          <w:p>
            <w:pPr>
              <w:jc w:val="right"/>
              <w:ind w:right="586"/>
              <w:spacing w:after="0" w:line="189" w:lineRule="exact"/>
              <w:rPr>
                <w:sz w:val="20"/>
                <w:szCs w:val="20"/>
                <w:color w:val="auto"/>
              </w:rPr>
            </w:pPr>
            <w:r>
              <w:rPr>
                <w:rFonts w:ascii="Times New Roman" w:cs="Times New Roman" w:eastAsia="Times New Roman" w:hAnsi="Times New Roman"/>
                <w:sz w:val="19"/>
                <w:szCs w:val="19"/>
                <w:color w:val="auto"/>
              </w:rPr>
              <w:t>144</w:t>
            </w:r>
          </w:p>
        </w:tc>
        <w:tc>
          <w:tcPr>
            <w:tcW w:w="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12.17</w:t>
            </w:r>
          </w:p>
        </w:tc>
        <w:tc>
          <w:tcPr>
            <w:tcW w:w="182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19"/>
                <w:szCs w:val="19"/>
                <w:color w:val="auto"/>
                <w:w w:val="96"/>
              </w:rPr>
              <w:t>U.S.A. PATRIOT Act</w:t>
            </w:r>
          </w:p>
        </w:tc>
        <w:tc>
          <w:tcPr>
            <w:tcW w:w="600" w:type="dxa"/>
            <w:vAlign w:val="bottom"/>
            <w:gridSpan w:val="2"/>
          </w:tcPr>
          <w:p>
            <w:pPr>
              <w:jc w:val="right"/>
              <w:ind w:right="66"/>
              <w:spacing w:after="0" w:line="216" w:lineRule="exact"/>
              <w:rPr>
                <w:sz w:val="20"/>
                <w:szCs w:val="20"/>
                <w:color w:val="auto"/>
              </w:rPr>
            </w:pPr>
            <w:r>
              <w:rPr>
                <w:rFonts w:ascii="Times New Roman" w:cs="Times New Roman" w:eastAsia="Times New Roman" w:hAnsi="Times New Roman"/>
                <w:sz w:val="19"/>
                <w:szCs w:val="19"/>
                <w:color w:val="auto"/>
              </w:rPr>
              <w:t>145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12.18</w:t>
            </w:r>
          </w:p>
        </w:tc>
        <w:tc>
          <w:tcPr>
            <w:tcW w:w="10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[Reserved]</w:t>
            </w:r>
          </w:p>
        </w:tc>
        <w:tc>
          <w:tcPr>
            <w:tcW w:w="740" w:type="dxa"/>
            <w:vAlign w:val="bottom"/>
            <w:gridSpan w:val="2"/>
          </w:tcPr>
          <w:p>
            <w:pPr>
              <w:jc w:val="right"/>
              <w:ind w:right="266"/>
              <w:spacing w:after="0"/>
              <w:rPr>
                <w:sz w:val="20"/>
                <w:szCs w:val="20"/>
                <w:color w:val="auto"/>
              </w:rPr>
            </w:pPr>
            <w:r>
              <w:rPr>
                <w:rFonts w:ascii="Times New Roman" w:cs="Times New Roman" w:eastAsia="Times New Roman" w:hAnsi="Times New Roman"/>
                <w:sz w:val="19"/>
                <w:szCs w:val="19"/>
                <w:color w:val="auto"/>
              </w:rPr>
              <w:t>145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ARTICLE 13 COLLATERAL</w:t>
            </w: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w w:val="98"/>
              </w:rPr>
              <w:t>145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13.01</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w w:val="98"/>
              </w:rPr>
              <w:t>Collateral Documents</w:t>
            </w:r>
          </w:p>
        </w:tc>
        <w:tc>
          <w:tcPr>
            <w:tcW w:w="600" w:type="dxa"/>
            <w:vAlign w:val="bottom"/>
            <w:gridSpan w:val="2"/>
          </w:tcPr>
          <w:p>
            <w:pPr>
              <w:jc w:val="right"/>
              <w:ind w:right="46"/>
              <w:spacing w:after="0"/>
              <w:rPr>
                <w:sz w:val="20"/>
                <w:szCs w:val="20"/>
                <w:color w:val="auto"/>
              </w:rPr>
            </w:pPr>
            <w:r>
              <w:rPr>
                <w:rFonts w:ascii="Times New Roman" w:cs="Times New Roman" w:eastAsia="Times New Roman" w:hAnsi="Times New Roman"/>
                <w:sz w:val="19"/>
                <w:szCs w:val="19"/>
                <w:color w:val="auto"/>
              </w:rPr>
              <w:t>145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13.02</w:t>
            </w:r>
          </w:p>
        </w:tc>
        <w:tc>
          <w:tcPr>
            <w:tcW w:w="2140" w:type="dxa"/>
            <w:vAlign w:val="bottom"/>
            <w:gridSpan w:val="4"/>
          </w:tcPr>
          <w:p>
            <w:pPr>
              <w:ind w:left="160"/>
              <w:spacing w:after="0" w:line="203" w:lineRule="exact"/>
              <w:rPr>
                <w:sz w:val="20"/>
                <w:szCs w:val="20"/>
                <w:color w:val="auto"/>
              </w:rPr>
            </w:pPr>
            <w:r>
              <w:rPr>
                <w:rFonts w:ascii="Times New Roman" w:cs="Times New Roman" w:eastAsia="Times New Roman" w:hAnsi="Times New Roman"/>
                <w:sz w:val="19"/>
                <w:szCs w:val="19"/>
                <w:color w:val="auto"/>
              </w:rPr>
              <w:t>Non-Impairment of Liens</w:t>
            </w:r>
          </w:p>
        </w:tc>
        <w:tc>
          <w:tcPr>
            <w:tcW w:w="620" w:type="dxa"/>
            <w:vAlign w:val="bottom"/>
            <w:gridSpan w:val="2"/>
          </w:tcPr>
          <w:p>
            <w:pPr>
              <w:jc w:val="right"/>
              <w:ind w:right="106"/>
              <w:spacing w:after="0" w:line="203" w:lineRule="exact"/>
              <w:rPr>
                <w:sz w:val="20"/>
                <w:szCs w:val="20"/>
                <w:color w:val="auto"/>
              </w:rPr>
            </w:pPr>
            <w:r>
              <w:rPr>
                <w:rFonts w:ascii="Times New Roman" w:cs="Times New Roman" w:eastAsia="Times New Roman" w:hAnsi="Times New Roman"/>
                <w:sz w:val="19"/>
                <w:szCs w:val="19"/>
                <w:color w:val="auto"/>
              </w:rPr>
              <w:t>145</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Section 13.03</w:t>
            </w:r>
          </w:p>
        </w:tc>
        <w:tc>
          <w:tcPr>
            <w:tcW w:w="1820" w:type="dxa"/>
            <w:vAlign w:val="bottom"/>
            <w:gridSpan w:val="3"/>
          </w:tcPr>
          <w:p>
            <w:pPr>
              <w:ind w:left="160"/>
              <w:spacing w:after="0" w:line="203" w:lineRule="exact"/>
              <w:rPr>
                <w:sz w:val="20"/>
                <w:szCs w:val="20"/>
                <w:color w:val="auto"/>
              </w:rPr>
            </w:pPr>
            <w:r>
              <w:rPr>
                <w:rFonts w:ascii="Times New Roman" w:cs="Times New Roman" w:eastAsia="Times New Roman" w:hAnsi="Times New Roman"/>
                <w:sz w:val="19"/>
                <w:szCs w:val="19"/>
                <w:color w:val="auto"/>
              </w:rPr>
              <w:t>Release of Collateral</w:t>
            </w:r>
          </w:p>
        </w:tc>
        <w:tc>
          <w:tcPr>
            <w:tcW w:w="600" w:type="dxa"/>
            <w:vAlign w:val="bottom"/>
            <w:gridSpan w:val="2"/>
          </w:tcPr>
          <w:p>
            <w:pPr>
              <w:jc w:val="right"/>
              <w:ind w:right="126"/>
              <w:spacing w:after="0" w:line="203" w:lineRule="exact"/>
              <w:rPr>
                <w:sz w:val="20"/>
                <w:szCs w:val="20"/>
                <w:color w:val="auto"/>
              </w:rPr>
            </w:pPr>
            <w:r>
              <w:rPr>
                <w:rFonts w:ascii="Times New Roman" w:cs="Times New Roman" w:eastAsia="Times New Roman" w:hAnsi="Times New Roman"/>
                <w:sz w:val="19"/>
                <w:szCs w:val="19"/>
                <w:color w:val="auto"/>
              </w:rPr>
              <w:t>146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13.04</w:t>
            </w:r>
          </w:p>
        </w:tc>
        <w:tc>
          <w:tcPr>
            <w:tcW w:w="242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19"/>
                <w:szCs w:val="19"/>
                <w:color w:val="auto"/>
              </w:rPr>
              <w:t>Suits to Protect the Collateral</w:t>
            </w:r>
          </w:p>
        </w:tc>
        <w:tc>
          <w:tcPr>
            <w:tcW w:w="560" w:type="dxa"/>
            <w:vAlign w:val="bottom"/>
            <w:gridSpan w:val="2"/>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147</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line="189" w:lineRule="exact"/>
              <w:rPr>
                <w:sz w:val="20"/>
                <w:szCs w:val="20"/>
                <w:color w:val="auto"/>
              </w:rPr>
            </w:pPr>
            <w:r>
              <w:rPr>
                <w:rFonts w:ascii="Times New Roman" w:cs="Times New Roman" w:eastAsia="Times New Roman" w:hAnsi="Times New Roman"/>
                <w:sz w:val="19"/>
                <w:szCs w:val="19"/>
                <w:color w:val="auto"/>
              </w:rPr>
              <w:t>Section 13.05</w:t>
            </w:r>
          </w:p>
        </w:tc>
        <w:tc>
          <w:tcPr>
            <w:tcW w:w="6820" w:type="dxa"/>
            <w:vAlign w:val="bottom"/>
            <w:gridSpan w:val="10"/>
          </w:tcPr>
          <w:p>
            <w:pPr>
              <w:ind w:left="140"/>
              <w:spacing w:after="0" w:line="189" w:lineRule="exact"/>
              <w:rPr>
                <w:sz w:val="20"/>
                <w:szCs w:val="20"/>
                <w:color w:val="auto"/>
              </w:rPr>
            </w:pPr>
            <w:r>
              <w:rPr>
                <w:rFonts w:ascii="Times New Roman" w:cs="Times New Roman" w:eastAsia="Times New Roman" w:hAnsi="Times New Roman"/>
                <w:sz w:val="19"/>
                <w:szCs w:val="19"/>
                <w:color w:val="auto"/>
              </w:rPr>
              <w:t>Authorization of Receipt of Funds by the Trustee Under the Collateral Documents  147</w:t>
            </w: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13.06</w:t>
            </w:r>
          </w:p>
        </w:tc>
        <w:tc>
          <w:tcPr>
            <w:tcW w:w="182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19"/>
                <w:szCs w:val="19"/>
                <w:color w:val="auto"/>
              </w:rPr>
              <w:t>Purchaser Protected</w:t>
            </w:r>
          </w:p>
        </w:tc>
        <w:tc>
          <w:tcPr>
            <w:tcW w:w="3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w w:val="98"/>
              </w:rPr>
              <w:t>147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13.07</w:t>
            </w:r>
          </w:p>
        </w:tc>
        <w:tc>
          <w:tcPr>
            <w:tcW w:w="4320" w:type="dxa"/>
            <w:vAlign w:val="bottom"/>
            <w:gridSpan w:val="9"/>
          </w:tcPr>
          <w:p>
            <w:pPr>
              <w:ind w:left="160"/>
              <w:spacing w:after="0" w:line="216" w:lineRule="exact"/>
              <w:rPr>
                <w:sz w:val="20"/>
                <w:szCs w:val="20"/>
                <w:color w:val="auto"/>
              </w:rPr>
            </w:pPr>
            <w:r>
              <w:rPr>
                <w:rFonts w:ascii="Times New Roman" w:cs="Times New Roman" w:eastAsia="Times New Roman" w:hAnsi="Times New Roman"/>
                <w:sz w:val="19"/>
                <w:szCs w:val="19"/>
                <w:color w:val="auto"/>
              </w:rPr>
              <w:t>Powers Exercisable by Receiver or Trustee  147</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13.08</w:t>
            </w:r>
          </w:p>
        </w:tc>
        <w:tc>
          <w:tcPr>
            <w:tcW w:w="4320" w:type="dxa"/>
            <w:vAlign w:val="bottom"/>
            <w:gridSpan w:val="9"/>
          </w:tcPr>
          <w:p>
            <w:pPr>
              <w:ind w:left="160"/>
              <w:spacing w:after="0"/>
              <w:rPr>
                <w:sz w:val="20"/>
                <w:szCs w:val="20"/>
                <w:color w:val="auto"/>
              </w:rPr>
            </w:pPr>
            <w:r>
              <w:rPr>
                <w:rFonts w:ascii="Times New Roman" w:cs="Times New Roman" w:eastAsia="Times New Roman" w:hAnsi="Times New Roman"/>
                <w:sz w:val="19"/>
                <w:szCs w:val="19"/>
                <w:color w:val="auto"/>
              </w:rPr>
              <w:t>Release Upon Termination of the Issuer’s Obligations</w:t>
            </w:r>
          </w:p>
        </w:tc>
        <w:tc>
          <w:tcPr>
            <w:tcW w:w="2500" w:type="dxa"/>
            <w:vAlign w:val="bottom"/>
          </w:tcPr>
          <w:p>
            <w:pPr>
              <w:jc w:val="right"/>
              <w:ind w:right="2046"/>
              <w:spacing w:after="0"/>
              <w:rPr>
                <w:sz w:val="20"/>
                <w:szCs w:val="20"/>
                <w:color w:val="auto"/>
              </w:rPr>
            </w:pPr>
            <w:r>
              <w:rPr>
                <w:rFonts w:ascii="Times New Roman" w:cs="Times New Roman" w:eastAsia="Times New Roman" w:hAnsi="Times New Roman"/>
                <w:sz w:val="19"/>
                <w:szCs w:val="19"/>
                <w:color w:val="auto"/>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39"/>
          </w:cols>
          <w:pgMar w:left="4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39"/>
          </w:cols>
          <w:pgMar w:left="420" w:top="1440"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9"/>
          <w:szCs w:val="19"/>
          <w:color w:val="auto"/>
        </w:rPr>
        <w:t>EXHIBITS</w:t>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color w:val="auto"/>
        </w:rPr>
        <w:t>Exhibit A</w:t>
      </w:r>
      <w:r>
        <w:rPr>
          <w:sz w:val="20"/>
          <w:szCs w:val="20"/>
          <w:color w:val="auto"/>
        </w:rPr>
        <w:tab/>
      </w:r>
      <w:r>
        <w:rPr>
          <w:rFonts w:ascii="Times New Roman" w:cs="Times New Roman" w:eastAsia="Times New Roman" w:hAnsi="Times New Roman"/>
          <w:sz w:val="18"/>
          <w:szCs w:val="18"/>
          <w:color w:val="auto"/>
        </w:rPr>
        <w:t>Form of Note</w:t>
      </w:r>
    </w:p>
    <w:p>
      <w:pPr>
        <w:spacing w:after="0" w:line="15" w:lineRule="exact"/>
        <w:rPr>
          <w:sz w:val="20"/>
          <w:szCs w:val="20"/>
          <w:color w:val="auto"/>
        </w:rPr>
      </w:pPr>
    </w:p>
    <w:p>
      <w:pPr>
        <w:spacing w:after="0"/>
        <w:tabs>
          <w:tab w:leader="none" w:pos="900" w:val="left"/>
          <w:tab w:leader="none" w:pos="4220" w:val="left"/>
        </w:tabs>
        <w:rPr>
          <w:sz w:val="20"/>
          <w:szCs w:val="20"/>
          <w:color w:val="auto"/>
        </w:rPr>
      </w:pPr>
      <w:r>
        <w:rPr>
          <w:rFonts w:ascii="Times New Roman" w:cs="Times New Roman" w:eastAsia="Times New Roman" w:hAnsi="Times New Roman"/>
          <w:sz w:val="19"/>
          <w:szCs w:val="19"/>
          <w:color w:val="auto"/>
        </w:rPr>
        <w:t>Exhibit B</w:t>
        <w:tab/>
        <w:t>Form of Certificate of Transfer Exhibit C</w:t>
      </w:r>
      <w:r>
        <w:rPr>
          <w:sz w:val="20"/>
          <w:szCs w:val="20"/>
          <w:color w:val="auto"/>
        </w:rPr>
        <w:tab/>
      </w:r>
      <w:r>
        <w:rPr>
          <w:rFonts w:ascii="Times New Roman" w:cs="Times New Roman" w:eastAsia="Times New Roman" w:hAnsi="Times New Roman"/>
          <w:sz w:val="18"/>
          <w:szCs w:val="18"/>
          <w:color w:val="auto"/>
        </w:rPr>
        <w:t>Form of Certificate of</w:t>
      </w:r>
    </w:p>
    <w:p>
      <w:pPr>
        <w:spacing w:after="0" w:line="222" w:lineRule="auto"/>
        <w:rPr>
          <w:sz w:val="20"/>
          <w:szCs w:val="20"/>
          <w:color w:val="auto"/>
        </w:rPr>
      </w:pPr>
      <w:r>
        <w:rPr>
          <w:rFonts w:ascii="Times New Roman" w:cs="Times New Roman" w:eastAsia="Times New Roman" w:hAnsi="Times New Roman"/>
          <w:sz w:val="19"/>
          <w:szCs w:val="19"/>
          <w:color w:val="auto"/>
        </w:rPr>
        <w:t>Exchange</w:t>
      </w:r>
    </w:p>
    <w:p>
      <w:pPr>
        <w:spacing w:after="0"/>
        <w:tabs>
          <w:tab w:leader="none" w:pos="920" w:val="left"/>
          <w:tab w:leader="none" w:pos="7600" w:val="left"/>
        </w:tabs>
        <w:rPr>
          <w:sz w:val="20"/>
          <w:szCs w:val="20"/>
          <w:color w:val="auto"/>
        </w:rPr>
      </w:pPr>
      <w:r>
        <w:rPr>
          <w:rFonts w:ascii="Times New Roman" w:cs="Times New Roman" w:eastAsia="Times New Roman" w:hAnsi="Times New Roman"/>
          <w:sz w:val="19"/>
          <w:szCs w:val="19"/>
          <w:color w:val="auto"/>
        </w:rPr>
        <w:t>Exhibit D</w:t>
        <w:tab/>
        <w:t>Form of Supplemental Indenture to be Delivered by Subsequent Guarantors Exhibit E</w:t>
      </w:r>
      <w:r>
        <w:rPr>
          <w:sz w:val="20"/>
          <w:szCs w:val="20"/>
          <w:color w:val="auto"/>
        </w:rPr>
        <w:tab/>
      </w:r>
      <w:r>
        <w:rPr>
          <w:rFonts w:ascii="Times New Roman" w:cs="Times New Roman" w:eastAsia="Times New Roman" w:hAnsi="Times New Roman"/>
          <w:sz w:val="18"/>
          <w:szCs w:val="18"/>
          <w:color w:val="auto"/>
        </w:rPr>
        <w:t>Form of Pari Passu</w:t>
      </w:r>
    </w:p>
    <w:p>
      <w:pPr>
        <w:spacing w:after="0" w:line="238" w:lineRule="auto"/>
        <w:rPr>
          <w:sz w:val="20"/>
          <w:szCs w:val="20"/>
          <w:color w:val="auto"/>
        </w:rPr>
      </w:pPr>
      <w:r>
        <w:rPr>
          <w:rFonts w:ascii="Times New Roman" w:cs="Times New Roman" w:eastAsia="Times New Roman" w:hAnsi="Times New Roman"/>
          <w:sz w:val="19"/>
          <w:szCs w:val="19"/>
          <w:color w:val="auto"/>
        </w:rPr>
        <w:t>Intercreditor Agreement</w:t>
      </w:r>
    </w:p>
    <w:p>
      <w:pPr>
        <w:spacing w:after="0" w:line="234" w:lineRule="auto"/>
        <w:tabs>
          <w:tab w:leader="none" w:pos="880" w:val="left"/>
        </w:tabs>
        <w:rPr>
          <w:sz w:val="20"/>
          <w:szCs w:val="20"/>
          <w:color w:val="auto"/>
        </w:rPr>
      </w:pPr>
      <w:r>
        <w:rPr>
          <w:rFonts w:ascii="Times New Roman" w:cs="Times New Roman" w:eastAsia="Times New Roman" w:hAnsi="Times New Roman"/>
          <w:sz w:val="19"/>
          <w:szCs w:val="19"/>
          <w:color w:val="auto"/>
        </w:rPr>
        <w:t>Exhibit F</w:t>
      </w:r>
      <w:r>
        <w:rPr>
          <w:sz w:val="20"/>
          <w:szCs w:val="20"/>
          <w:color w:val="auto"/>
        </w:rPr>
        <w:tab/>
      </w:r>
      <w:r>
        <w:rPr>
          <w:rFonts w:ascii="Times New Roman" w:cs="Times New Roman" w:eastAsia="Times New Roman" w:hAnsi="Times New Roman"/>
          <w:sz w:val="18"/>
          <w:szCs w:val="18"/>
          <w:color w:val="auto"/>
        </w:rPr>
        <w:t>Form of ABL Intercreditor Agreement</w:t>
      </w: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Exhibit G</w:t>
      </w:r>
      <w:r>
        <w:rPr>
          <w:sz w:val="20"/>
          <w:szCs w:val="20"/>
          <w:color w:val="auto"/>
        </w:rPr>
        <w:tab/>
      </w:r>
      <w:r>
        <w:rPr>
          <w:rFonts w:ascii="Times New Roman" w:cs="Times New Roman" w:eastAsia="Times New Roman" w:hAnsi="Times New Roman"/>
          <w:sz w:val="18"/>
          <w:szCs w:val="18"/>
          <w:color w:val="auto"/>
        </w:rPr>
        <w:t>Form of 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9879"/>
          </w:cols>
          <w:pgMar w:left="580" w:top="1396" w:right="1440" w:bottom="1440" w:gutter="0" w:footer="0" w:header="0"/>
        </w:sectPr>
      </w:pPr>
    </w:p>
    <w:bookmarkStart w:id="55" w:name="page56"/>
    <w:bookmarkEnd w:id="55"/>
    <w:p>
      <w:pPr>
        <w:spacing w:after="0" w:line="51"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INDENTURE, dated as of May 30, 2024 among Sotera Health Holdings, LLC, a Delaware limited liability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 Sotera Health Company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the Guarantors (as defined herein), and Wilmington Trust, National Association, a national banking association, as Trustee, Paying Agent, Registrar, Transfer Agent and Notes Collateral Agent (each, as defined herein).</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u w:val="single" w:color="auto"/>
          <w:color w:val="auto"/>
        </w:rPr>
        <w:t>W I T N E S S E T H</w:t>
      </w:r>
    </w:p>
    <w:p>
      <w:pPr>
        <w:spacing w:after="0" w:line="214"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WHEREAS, the Company, as issuer, has duly authorized the creation of an issue of $750,000,000 aggregate principal amount of 7.375% Senior Secured Notes due 2031 (the “</w:t>
      </w:r>
      <w:r>
        <w:rPr>
          <w:rFonts w:ascii="Times New Roman" w:cs="Times New Roman" w:eastAsia="Times New Roman" w:hAnsi="Times New Roman"/>
          <w:sz w:val="19"/>
          <w:szCs w:val="19"/>
          <w:u w:val="single" w:color="auto"/>
          <w:color w:val="auto"/>
        </w:rPr>
        <w:t>Initial Notes</w:t>
      </w:r>
      <w:r>
        <w:rPr>
          <w:rFonts w:ascii="Times New Roman" w:cs="Times New Roman" w:eastAsia="Times New Roman" w:hAnsi="Times New Roman"/>
          <w:sz w:val="19"/>
          <w:szCs w:val="19"/>
          <w:color w:val="auto"/>
        </w:rPr>
        <w:t>”); and</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WHEREAS, the Issuer, Holdings and each of the Guarantors have duly authorized the execution and delivery of this Indenture.</w:t>
      </w:r>
    </w:p>
    <w:p>
      <w:pPr>
        <w:spacing w:after="0" w:line="173" w:lineRule="exact"/>
        <w:rPr>
          <w:sz w:val="20"/>
          <w:szCs w:val="20"/>
          <w:color w:val="auto"/>
        </w:rPr>
      </w:pPr>
    </w:p>
    <w:p>
      <w:pPr>
        <w:jc w:val="both"/>
        <w:ind w:right="20" w:firstLine="649"/>
        <w:spacing w:after="0" w:line="266" w:lineRule="auto"/>
        <w:rPr>
          <w:sz w:val="20"/>
          <w:szCs w:val="20"/>
          <w:color w:val="auto"/>
        </w:rPr>
      </w:pPr>
      <w:r>
        <w:rPr>
          <w:rFonts w:ascii="Times New Roman" w:cs="Times New Roman" w:eastAsia="Times New Roman" w:hAnsi="Times New Roman"/>
          <w:sz w:val="19"/>
          <w:szCs w:val="19"/>
          <w:color w:val="auto"/>
        </w:rPr>
        <w:t>NOW, THEREFORE, the Issuer, Holdings, the Guarantors, the Trustee, the Paying Agent, the Registrar, the Transfer Agent and the Notes Collateral Agent agree as follows for the benefit of each other and for the equal and ratable benefit of the Holders (as defined herein) of the Notes (as defined herein).</w:t>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ARTICLE 1</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DEFINITIONS AND INCORPORATION BY REFERENCE</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144A Global Note</w:t>
      </w:r>
      <w:r>
        <w:rPr>
          <w:rFonts w:ascii="Times New Roman" w:cs="Times New Roman" w:eastAsia="Times New Roman" w:hAnsi="Times New Roman"/>
          <w:sz w:val="19"/>
          <w:szCs w:val="19"/>
          <w:color w:val="auto"/>
        </w:rPr>
        <w:t xml:space="preserve">” means a Global Note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52" w:lineRule="exact"/>
        <w:rPr>
          <w:sz w:val="20"/>
          <w:szCs w:val="20"/>
          <w:color w:val="auto"/>
        </w:rPr>
      </w:pPr>
    </w:p>
    <w:p>
      <w:pPr>
        <w:jc w:val="both"/>
        <w:ind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ABL Facility</w:t>
      </w:r>
      <w:r>
        <w:rPr>
          <w:rFonts w:ascii="Times New Roman" w:cs="Times New Roman" w:eastAsia="Times New Roman" w:hAnsi="Times New Roman"/>
          <w:sz w:val="19"/>
          <w:szCs w:val="19"/>
          <w:color w:val="auto"/>
        </w:rPr>
        <w:t>” means an asset-based loan facility of the Issuer and/or one or more of the Guarantors (and which, at the Issuer’s option, may be guaranteed by the Issuer, Holdings, and/or one or more of the Guarantors, as applicable).</w:t>
      </w:r>
    </w:p>
    <w:p>
      <w:pPr>
        <w:spacing w:after="0" w:line="152" w:lineRule="exact"/>
        <w:rPr>
          <w:sz w:val="20"/>
          <w:szCs w:val="20"/>
          <w:color w:val="auto"/>
        </w:rPr>
      </w:pPr>
    </w:p>
    <w:p>
      <w:pPr>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ABL Intercreditor Agreement</w:t>
      </w:r>
      <w:r>
        <w:rPr>
          <w:rFonts w:ascii="Times New Roman" w:cs="Times New Roman" w:eastAsia="Times New Roman" w:hAnsi="Times New Roman"/>
          <w:sz w:val="19"/>
          <w:szCs w:val="19"/>
          <w:color w:val="auto"/>
        </w:rPr>
        <w:t xml:space="preserve">” means an intercreditor agreement (as amended or supplemented from time to time), among the Notes Collateral Agent, the Credit Agreement Collateral Agent, the collateral agent or similar representative under the ABL Facility, and, as applicable, one or more representatives for holders of other Indebtedness secured by the Collateral that is subject to such intercreditor agreement, which intercreditor agreement is (a) substantially in the form attached hereto as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or (b) in customary form (as determined by the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case of this clause (b), the terms of such intercreditor agreement, taken as a whole, are no less favorable (as determined by the Issuer) to the Noteholder Secured Parties than the terms in the form attached hereto as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entered into pursuant to Sections 9.01(c) and 13.09(l).</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ABL Obligations</w:t>
      </w:r>
      <w:r>
        <w:rPr>
          <w:rFonts w:ascii="Times New Roman" w:cs="Times New Roman" w:eastAsia="Times New Roman" w:hAnsi="Times New Roman"/>
          <w:sz w:val="19"/>
          <w:szCs w:val="19"/>
          <w:color w:val="auto"/>
        </w:rPr>
        <w:t>” means Obligations in respect of an ABL Facility.</w:t>
      </w:r>
    </w:p>
    <w:p>
      <w:pPr>
        <w:spacing w:after="0" w:line="200"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ABL Priority Collateral</w:t>
      </w:r>
      <w:r>
        <w:rPr>
          <w:rFonts w:ascii="Times New Roman" w:cs="Times New Roman" w:eastAsia="Times New Roman" w:hAnsi="Times New Roman"/>
          <w:sz w:val="19"/>
          <w:szCs w:val="19"/>
          <w:color w:val="auto"/>
        </w:rPr>
        <w:t>” means assets of the Issuer, Holdings and/or one or more of the Guarantors, as applicable, which assets (a) secure the ABL Facility on a first-priority basis and the Notes (and any Other Pari Passu Lien Obligations) on a second-priority basis and (b) are limited to accounts receivable, inventory, deposit accounts, and any related assets that customarily secure asset-based loan facilities, as determined by the Issuer.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Acquired Indebtedness</w:t>
      </w:r>
      <w:r>
        <w:rPr>
          <w:rFonts w:ascii="Times New Roman" w:cs="Times New Roman" w:eastAsia="Times New Roman" w:hAnsi="Times New Roman"/>
          <w:sz w:val="19"/>
          <w:szCs w:val="19"/>
          <w:color w:val="auto"/>
        </w:rPr>
        <w:t>” means, with respect to any specified Person,</w:t>
      </w:r>
    </w:p>
    <w:p>
      <w:pPr>
        <w:spacing w:after="0" w:line="200" w:lineRule="exact"/>
        <w:rPr>
          <w:sz w:val="20"/>
          <w:szCs w:val="20"/>
          <w:color w:val="auto"/>
        </w:rPr>
      </w:pPr>
    </w:p>
    <w:p>
      <w:pPr>
        <w:jc w:val="both"/>
        <w:ind w:left="660" w:firstLine="639"/>
        <w:spacing w:after="0" w:line="246" w:lineRule="auto"/>
        <w:tabs>
          <w:tab w:leader="none" w:pos="1691"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any other Person or any of its Subsidiaries existing at the time such other Person is merged, consolidated, amalgamated or otherwise combined with or into the Issuer or a Restricted Subsidiary or became a Restricted Subsidiary of such specified Person, including Indebtedness incurred in connection with, or in contemplation of, such other Person merging,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60"/>
          </w:cols>
          <w:pgMar w:left="580" w:top="1440" w:right="559" w:bottom="1440" w:gutter="0" w:footer="0" w:header="0"/>
        </w:sectPr>
      </w:pPr>
    </w:p>
    <w:bookmarkStart w:id="56" w:name="page57"/>
    <w:bookmarkEnd w:id="56"/>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consolidating or amalgamating with or into or becoming a Restricted Subsidiary of such specified Person, and</w:t>
      </w:r>
    </w:p>
    <w:p>
      <w:pPr>
        <w:spacing w:after="0" w:line="65" w:lineRule="exact"/>
        <w:rPr>
          <w:sz w:val="20"/>
          <w:szCs w:val="20"/>
          <w:color w:val="auto"/>
        </w:rPr>
      </w:pPr>
    </w:p>
    <w:p>
      <w:pPr>
        <w:ind w:left="1940" w:hanging="641"/>
        <w:spacing w:after="0"/>
        <w:tabs>
          <w:tab w:leader="none" w:pos="194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secured by a Lien encumbering any asset acquired by such specified Person.</w:t>
      </w:r>
    </w:p>
    <w:p>
      <w:pPr>
        <w:spacing w:after="0" w:line="187" w:lineRule="exact"/>
        <w:rPr>
          <w:sz w:val="20"/>
          <w:szCs w:val="20"/>
          <w:color w:val="auto"/>
        </w:rPr>
      </w:pPr>
    </w:p>
    <w:p>
      <w:pPr>
        <w:ind w:firstLine="649"/>
        <w:spacing w:after="0" w:line="309" w:lineRule="auto"/>
        <w:rPr>
          <w:sz w:val="20"/>
          <w:szCs w:val="20"/>
          <w:color w:val="auto"/>
        </w:rPr>
      </w:pPr>
      <w:r>
        <w:rPr>
          <w:rFonts w:ascii="Times New Roman" w:cs="Times New Roman" w:eastAsia="Times New Roman" w:hAnsi="Times New Roman"/>
          <w:sz w:val="18"/>
          <w:szCs w:val="18"/>
          <w:color w:val="auto"/>
        </w:rPr>
        <w:t>Acquired Indebtedness shall be deemed to have been incurred, with respect to clause (1) of the preceding sentence, on the date such Person becomes a Restricted Subsidiary or on the date of the relevant merger, consolidation, amalgamation, acquisition or other combination.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Assets</w:t>
      </w:r>
      <w:r>
        <w:rPr>
          <w:rFonts w:ascii="Times New Roman" w:cs="Times New Roman" w:eastAsia="Times New Roman" w:hAnsi="Times New Roman"/>
          <w:sz w:val="19"/>
          <w:szCs w:val="19"/>
          <w:color w:val="auto"/>
        </w:rPr>
        <w:t>” means:</w:t>
      </w:r>
    </w:p>
    <w:p>
      <w:pPr>
        <w:spacing w:after="0" w:line="227" w:lineRule="exact"/>
        <w:rPr>
          <w:sz w:val="20"/>
          <w:szCs w:val="20"/>
          <w:color w:val="auto"/>
        </w:rPr>
      </w:pPr>
    </w:p>
    <w:p>
      <w:pPr>
        <w:jc w:val="both"/>
        <w:ind w:left="660" w:right="20" w:firstLine="639"/>
        <w:spacing w:after="0" w:line="241" w:lineRule="auto"/>
        <w:tabs>
          <w:tab w:leader="none" w:pos="169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property or assets (other than Capital Stock) used or to be used by any of the Issuer, a Restricted Subsidiary or otherwise useful in a Similar Business (it being understood that capital expenditures on property or assets already used in a Similar Business or to replace any property or assets that are the subject of such Asset Sale shall be deemed an investment in Additional Assets);</w:t>
      </w:r>
    </w:p>
    <w:p>
      <w:pPr>
        <w:spacing w:after="0" w:line="148"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Capital Stock of a Person that is engaged in a Similar Business and becomes a Restricted Subsidiary as a result of the acquisition of such Capital Stock by any of the Issuer or a Restricted Subsidiary; or</w:t>
      </w:r>
    </w:p>
    <w:p>
      <w:pPr>
        <w:spacing w:after="0" w:line="138"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Stock constituting a minority interest in any Person that at such time is a Restricted Subsidiary.</w:t>
      </w:r>
    </w:p>
    <w:p>
      <w:pPr>
        <w:spacing w:after="0" w:line="173" w:lineRule="exact"/>
        <w:rPr>
          <w:sz w:val="20"/>
          <w:szCs w:val="20"/>
          <w:color w:val="auto"/>
        </w:rPr>
      </w:pPr>
    </w:p>
    <w:p>
      <w:pPr>
        <w:ind w:right="6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Notes</w:t>
      </w:r>
      <w:r>
        <w:rPr>
          <w:rFonts w:ascii="Times New Roman" w:cs="Times New Roman" w:eastAsia="Times New Roman" w:hAnsi="Times New Roman"/>
          <w:sz w:val="19"/>
          <w:szCs w:val="19"/>
          <w:color w:val="auto"/>
        </w:rPr>
        <w:t>” means additional Notes (other than the Initial Notes) issued under this Indenture in accordance with Section 2.01 hereof, as part of the same series as the Initial Notes.</w:t>
      </w:r>
    </w:p>
    <w:p>
      <w:pPr>
        <w:spacing w:after="0" w:line="152"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securities, by agreement or otherwise.</w:t>
      </w:r>
    </w:p>
    <w:p>
      <w:pPr>
        <w:spacing w:after="0" w:line="150" w:lineRule="exact"/>
        <w:rPr>
          <w:sz w:val="20"/>
          <w:szCs w:val="20"/>
          <w:color w:val="auto"/>
        </w:rPr>
      </w:pPr>
    </w:p>
    <w:p>
      <w:pPr>
        <w:ind w:right="4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Agents</w:t>
      </w:r>
      <w:r>
        <w:rPr>
          <w:rFonts w:ascii="Times New Roman" w:cs="Times New Roman" w:eastAsia="Times New Roman" w:hAnsi="Times New Roman"/>
          <w:sz w:val="19"/>
          <w:szCs w:val="19"/>
          <w:color w:val="auto"/>
        </w:rPr>
        <w:t>” means the Paying Agent, the Transfer Agent, the Registrar, any authenticating agent, the Notes Collateral Agent and any of their respective agents.</w:t>
      </w:r>
    </w:p>
    <w:p>
      <w:pPr>
        <w:spacing w:after="0" w:line="152"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w:t>
      </w:r>
      <w:r>
        <w:rPr>
          <w:rFonts w:ascii="Times New Roman" w:cs="Times New Roman" w:eastAsia="Times New Roman" w:hAnsi="Times New Roman"/>
          <w:sz w:val="19"/>
          <w:szCs w:val="19"/>
          <w:color w:val="auto"/>
        </w:rPr>
        <w:t>” means any currency (other than Dollars) that is a lawful currency (other than Dollars) that is readily available and freely transferable and convertible into Dollars (as determined in good faith by the Issuer).</w:t>
      </w:r>
    </w:p>
    <w:p>
      <w:pPr>
        <w:spacing w:after="0" w:line="152"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100%; provided that so long as no Event of Default shall have occurred and be continuing or would result therefrom, the Applicable Percentage shall be (1) 50% if, on a pro forma basis after giving effect to such Asset Sale and the use of proceeds therefrom the Consolidated First Lien Net Debt Ratio would be less than or equal to 3.50 to 1.00 but greater than 3.00 to 1.00, or (2) 0% if, on a pro forma basis after giving effect to such Asset Sale and the use of proceeds therefrom, the Consolidated First Lien Net Debt Ratio would be less than or equal to 3.00 to 1.00. Any Net Proceeds in respect of an Asset Sale that does not constitute Available Proceeds as a result of the application of this definition shall collectively constitute “ </w:t>
      </w:r>
      <w:r>
        <w:rPr>
          <w:rFonts w:ascii="Times New Roman" w:cs="Times New Roman" w:eastAsia="Times New Roman" w:hAnsi="Times New Roman"/>
          <w:sz w:val="19"/>
          <w:szCs w:val="19"/>
          <w:u w:val="single" w:color="auto"/>
          <w:color w:val="auto"/>
        </w:rPr>
        <w:t>Total Leverage Excess Proceeds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Premium</w:t>
      </w:r>
      <w:r>
        <w:rPr>
          <w:rFonts w:ascii="Times New Roman" w:cs="Times New Roman" w:eastAsia="Times New Roman" w:hAnsi="Times New Roman"/>
          <w:sz w:val="19"/>
          <w:szCs w:val="19"/>
          <w:color w:val="auto"/>
        </w:rPr>
        <w:t>” means, the greater of:</w:t>
      </w:r>
    </w:p>
    <w:p>
      <w:pPr>
        <w:spacing w:after="0" w:line="227" w:lineRule="exact"/>
        <w:rPr>
          <w:sz w:val="20"/>
          <w:szCs w:val="20"/>
          <w:color w:val="auto"/>
        </w:rPr>
      </w:pPr>
    </w:p>
    <w:p>
      <w:pPr>
        <w:ind w:left="2580" w:hanging="632"/>
        <w:spacing w:after="0"/>
        <w:tabs>
          <w:tab w:leader="none" w:pos="25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 of the principal amount of such Notes; and</w:t>
      </w:r>
    </w:p>
    <w:p>
      <w:pPr>
        <w:spacing w:after="0" w:line="65" w:lineRule="exact"/>
        <w:rPr>
          <w:rFonts w:ascii="Times New Roman" w:cs="Times New Roman" w:eastAsia="Times New Roman" w:hAnsi="Times New Roman"/>
          <w:sz w:val="19"/>
          <w:szCs w:val="19"/>
          <w:color w:val="auto"/>
        </w:rPr>
      </w:pPr>
    </w:p>
    <w:p>
      <w:pPr>
        <w:jc w:val="both"/>
        <w:ind w:left="1300" w:right="20" w:firstLine="647"/>
        <w:spacing w:after="0" w:line="244" w:lineRule="auto"/>
        <w:tabs>
          <w:tab w:leader="none" w:pos="233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Redemption Date, the excess, if any, (to the extent positive) of: (a) the present value at such Redemption Date of (i) the redemption price of such Notes at June 1, 2027 (such redemption price (expressed in percentage of principal amount) being set forth in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0"/>
          </w:cols>
          <w:pgMar w:left="580" w:top="1440" w:right="559" w:bottom="1440" w:gutter="0" w:footer="0" w:header="0"/>
        </w:sectPr>
      </w:pPr>
    </w:p>
    <w:bookmarkStart w:id="57" w:name="page58"/>
    <w:bookmarkEnd w:id="57"/>
    <w:p>
      <w:pPr>
        <w:spacing w:after="0" w:line="51" w:lineRule="exact"/>
        <w:rPr>
          <w:sz w:val="20"/>
          <w:szCs w:val="20"/>
          <w:color w:val="auto"/>
        </w:rPr>
      </w:pPr>
    </w:p>
    <w:p>
      <w:pPr>
        <w:ind w:left="1300"/>
        <w:spacing w:after="0" w:line="257" w:lineRule="auto"/>
        <w:rPr>
          <w:sz w:val="20"/>
          <w:szCs w:val="20"/>
          <w:color w:val="auto"/>
        </w:rPr>
      </w:pPr>
      <w:r>
        <w:rPr>
          <w:rFonts w:ascii="Times New Roman" w:cs="Times New Roman" w:eastAsia="Times New Roman" w:hAnsi="Times New Roman"/>
          <w:sz w:val="18"/>
          <w:szCs w:val="18"/>
          <w:color w:val="auto"/>
        </w:rPr>
        <w:t>Section 3.07(b) hereof (excluding accrued but unpaid interest)), plus (ii) all required remaining scheduled interest payments due on such Notes through June 1, 2027 (excluding accrued but unpaid interest), computed upon the Redemption Date using</w:t>
      </w:r>
    </w:p>
    <w:p>
      <w:pPr>
        <w:spacing w:after="0" w:line="1" w:lineRule="exact"/>
        <w:rPr>
          <w:sz w:val="20"/>
          <w:szCs w:val="20"/>
          <w:color w:val="auto"/>
        </w:rPr>
      </w:pPr>
    </w:p>
    <w:p>
      <w:pPr>
        <w:ind w:left="1300" w:right="20"/>
        <w:spacing w:after="0" w:line="256" w:lineRule="auto"/>
        <w:rPr>
          <w:sz w:val="20"/>
          <w:szCs w:val="20"/>
          <w:color w:val="auto"/>
        </w:rPr>
      </w:pPr>
      <w:r>
        <w:rPr>
          <w:rFonts w:ascii="Times New Roman" w:cs="Times New Roman" w:eastAsia="Times New Roman" w:hAnsi="Times New Roman"/>
          <w:sz w:val="19"/>
          <w:szCs w:val="19"/>
          <w:color w:val="auto"/>
        </w:rPr>
        <w:t>a discount rate equal to the Treasury Rate at such Redemption Date plus 50 basis points; over (b) the then outstanding principal amount of such Notes.</w:t>
      </w:r>
    </w:p>
    <w:p>
      <w:pPr>
        <w:spacing w:after="0" w:line="143"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The Issuer shall calculate or cause to be calculated the Applicable Premium and the Trustee and the Paying Agent shall have no duty to calculate or verify the Issuer’s calculation of the Applicable Premium.</w:t>
      </w:r>
    </w:p>
    <w:p>
      <w:pPr>
        <w:spacing w:after="0" w:line="125"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Procedures</w:t>
      </w:r>
      <w:r>
        <w:rPr>
          <w:rFonts w:ascii="Times New Roman" w:cs="Times New Roman" w:eastAsia="Times New Roman" w:hAnsi="Times New Roman"/>
          <w:sz w:val="19"/>
          <w:szCs w:val="19"/>
          <w:color w:val="auto"/>
        </w:rPr>
        <w:t>” means, with respect to any transfer, exchange, repurchase or redemption of beneficial interests in any Global Note, the rules and procedures of the Depositary that apply to such transfer, exchange, repurchase or redemption.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Asset Sale</w:t>
      </w:r>
      <w:r>
        <w:rPr>
          <w:rFonts w:ascii="Times New Roman" w:cs="Times New Roman" w:eastAsia="Times New Roman" w:hAnsi="Times New Roman"/>
          <w:sz w:val="19"/>
          <w:szCs w:val="19"/>
          <w:color w:val="auto"/>
        </w:rPr>
        <w:t>” means:</w:t>
      </w:r>
    </w:p>
    <w:p>
      <w:pPr>
        <w:spacing w:after="0" w:line="227" w:lineRule="exact"/>
        <w:rPr>
          <w:sz w:val="20"/>
          <w:szCs w:val="20"/>
          <w:color w:val="auto"/>
        </w:rPr>
      </w:pPr>
    </w:p>
    <w:p>
      <w:pPr>
        <w:jc w:val="both"/>
        <w:ind w:firstLine="650"/>
        <w:spacing w:after="0" w:line="244" w:lineRule="auto"/>
        <w:tabs>
          <w:tab w:leader="none" w:pos="1031"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voluntary sale, conveyance, transfer or other disposition, whether in a single transaction or a series of related transactions, of property or assets (including by way of a Sale and Lease-Back Transaction) of the Issuer or any Restricted Subsidiary (in each case other than Capital Stock of the Issuer) (each referred to in this definition as a “disposition”); or</w:t>
      </w:r>
    </w:p>
    <w:p>
      <w:pPr>
        <w:spacing w:after="0" w:line="157" w:lineRule="exact"/>
        <w:rPr>
          <w:rFonts w:ascii="Times New Roman" w:cs="Times New Roman" w:eastAsia="Times New Roman" w:hAnsi="Times New Roman"/>
          <w:sz w:val="19"/>
          <w:szCs w:val="19"/>
          <w:color w:val="auto"/>
        </w:rPr>
      </w:pPr>
    </w:p>
    <w:p>
      <w:pPr>
        <w:jc w:val="both"/>
        <w:ind w:firstLine="650"/>
        <w:spacing w:after="0" w:line="244" w:lineRule="auto"/>
        <w:tabs>
          <w:tab w:leader="none" w:pos="1031"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or sale of Equity Interests of any Restricted Subsidiary (other than Preferred Stock or Disqualified Stock of Restricted Subsidiaries issued in compliance with Section 4.09 hereof or the issuance of directors’ qualifying shares and shares issued to foreign nationals as required by applicable law), whether in a single transaction or a series of related transactions;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each case, other than:</w:t>
      </w:r>
    </w:p>
    <w:p>
      <w:pPr>
        <w:spacing w:after="0" w:line="200" w:lineRule="exact"/>
        <w:rPr>
          <w:sz w:val="20"/>
          <w:szCs w:val="20"/>
          <w:color w:val="auto"/>
        </w:rPr>
      </w:pPr>
    </w:p>
    <w:p>
      <w:pPr>
        <w:jc w:val="both"/>
        <w:ind w:firstLine="650"/>
        <w:spacing w:after="0" w:line="233" w:lineRule="auto"/>
        <w:tabs>
          <w:tab w:leader="none" w:pos="103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of (i) cash, Cash Equivalents or Investment Grade Securities, including any marketable securities portfolio owned by the Issuer and its Subsidiaries on the Issue Date, (ii) obsolete, damaged, used, surplus, non-core, uneconomic or worn out property or equipment, whether now owned or hereafter owned, leased or acquired, in the ordinary course of business and dispositions of property no longer used or useful, or economically practicable or commercially desirable to maintain or used or useful in the conduct of the business of the Issuer and any Restricted Subsidiary (including by ceasing to enforce, allowing the lapse, abandonment or invalidation of or discontinuing the use or maintenance of or putting into the public domain any intellectual property that is, in the reasonable judgment of the Issuer or the Restricted Subsidiaries, no longer used or useful, or economically practicable to maintain, or in respect of which the Issuer or any Restricted Subsidiary determines in its reasonable business judgment that such action or inaction is desirable) or (iii) any disposition of inventory, goods and other assets (including Settlement Assets) in the ordinary course of business or consistent with past practice or held for sale or no longer used in the ordinary course of business and immaterial assets (considered in the aggregate) in the ordinary course of business, including any disposition of abandoned or discontinued operations;</w:t>
      </w:r>
    </w:p>
    <w:p>
      <w:pPr>
        <w:spacing w:after="0" w:line="164" w:lineRule="exact"/>
        <w:rPr>
          <w:rFonts w:ascii="Times New Roman" w:cs="Times New Roman" w:eastAsia="Times New Roman" w:hAnsi="Times New Roman"/>
          <w:sz w:val="19"/>
          <w:szCs w:val="19"/>
          <w:color w:val="auto"/>
        </w:rPr>
      </w:pPr>
    </w:p>
    <w:p>
      <w:pPr>
        <w:ind w:firstLine="650"/>
        <w:spacing w:after="0" w:line="280" w:lineRule="auto"/>
        <w:tabs>
          <w:tab w:leader="none" w:pos="103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permitted pursuant to the provisions of Section 5.01 hereof or any transaction that constitutes a Change of Control pursuant to this Indenture;</w:t>
      </w:r>
    </w:p>
    <w:p>
      <w:pPr>
        <w:spacing w:after="0" w:line="151" w:lineRule="exact"/>
        <w:rPr>
          <w:rFonts w:ascii="Times New Roman" w:cs="Times New Roman" w:eastAsia="Times New Roman" w:hAnsi="Times New Roman"/>
          <w:sz w:val="19"/>
          <w:szCs w:val="19"/>
          <w:color w:val="auto"/>
        </w:rPr>
      </w:pPr>
    </w:p>
    <w:p>
      <w:pPr>
        <w:jc w:val="both"/>
        <w:ind w:firstLine="650"/>
        <w:spacing w:after="0" w:line="258" w:lineRule="auto"/>
        <w:tabs>
          <w:tab w:leader="none" w:pos="103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making of any Restricted Payment that is permitted to be made, and is made, under Section 4.07 hereof and the making of any Permitted Payment or Permitted Investment, or solely for purposes of Section 4.10(b) hereof, asset sales, the proceeds of which are used to make such Restricted Payments or Permitted Investments;</w:t>
      </w:r>
    </w:p>
    <w:p>
      <w:pPr>
        <w:spacing w:after="0" w:line="159" w:lineRule="exact"/>
        <w:rPr>
          <w:rFonts w:ascii="Times New Roman" w:cs="Times New Roman" w:eastAsia="Times New Roman" w:hAnsi="Times New Roman"/>
          <w:sz w:val="19"/>
          <w:szCs w:val="19"/>
          <w:color w:val="auto"/>
        </w:rPr>
      </w:pPr>
    </w:p>
    <w:p>
      <w:pPr>
        <w:jc w:val="both"/>
        <w:ind w:firstLine="650"/>
        <w:spacing w:after="0" w:line="251" w:lineRule="auto"/>
        <w:tabs>
          <w:tab w:leader="none" w:pos="103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of assets of the Issuer or any Restricted Subsidiary or issuance or sale of Equity Interests of any Restricted Subsidiary in any transaction or series of related transactions with an aggregate fair market value of less than the greater of $54.2 million and 10.0% of LTM EBITDA;</w:t>
      </w:r>
    </w:p>
    <w:p>
      <w:pPr>
        <w:spacing w:after="0" w:line="151" w:lineRule="exact"/>
        <w:rPr>
          <w:rFonts w:ascii="Times New Roman" w:cs="Times New Roman" w:eastAsia="Times New Roman" w:hAnsi="Times New Roman"/>
          <w:sz w:val="19"/>
          <w:szCs w:val="19"/>
          <w:color w:val="auto"/>
        </w:rPr>
      </w:pPr>
    </w:p>
    <w:p>
      <w:pPr>
        <w:ind w:firstLine="650"/>
        <w:spacing w:after="0" w:line="265" w:lineRule="auto"/>
        <w:tabs>
          <w:tab w:leader="none" w:pos="103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(i) of property or assets or issuance of securities by a Restricted Subsidiary of the Issuer to the Issuer or by the Issuer or a Restricted Subsidiary of the Issuer to another Restricted Subsidiary 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580" w:top="1440" w:right="559" w:bottom="1440" w:gutter="0" w:footer="0" w:header="0"/>
        </w:sectPr>
      </w:pPr>
    </w:p>
    <w:bookmarkStart w:id="58" w:name="page59"/>
    <w:bookmarkEnd w:id="58"/>
    <w:p>
      <w:pPr>
        <w:spacing w:after="0" w:line="17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 Issuer, including pursuant to any Intercompany License Agreement or (ii) to the Issuer or a Restricted Subsidiary constituting debt forgiveness;</w:t>
      </w:r>
    </w:p>
    <w:p>
      <w:pPr>
        <w:spacing w:after="0" w:line="260" w:lineRule="exact"/>
        <w:rPr>
          <w:sz w:val="20"/>
          <w:szCs w:val="20"/>
          <w:color w:val="auto"/>
        </w:rPr>
      </w:pPr>
    </w:p>
    <w:p>
      <w:pPr>
        <w:jc w:val="both"/>
        <w:ind w:firstLine="650"/>
        <w:spacing w:after="0" w:line="241" w:lineRule="auto"/>
        <w:tabs>
          <w:tab w:leader="none" w:pos="10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dispositions of property to the extent that (i) such property is exchanged for credit against the purchase price of similar replacement property or (ii) an amount equal to net proceeds of such disposition are promptly applied to the purchase price of such replacement property; and (B) to the extent allowable under Section 1031 of the Code or comparable law or regulation, any exchange of like property (excluding any boot thereon) for use in a Similar Business;</w:t>
      </w:r>
    </w:p>
    <w:p>
      <w:pPr>
        <w:spacing w:after="0" w:line="175" w:lineRule="exact"/>
        <w:rPr>
          <w:rFonts w:ascii="Times New Roman" w:cs="Times New Roman" w:eastAsia="Times New Roman" w:hAnsi="Times New Roman"/>
          <w:sz w:val="19"/>
          <w:szCs w:val="19"/>
          <w:color w:val="auto"/>
        </w:rPr>
      </w:pPr>
    </w:p>
    <w:p>
      <w:pPr>
        <w:jc w:val="both"/>
        <w:ind w:firstLine="650"/>
        <w:spacing w:after="0" w:line="244" w:lineRule="auto"/>
        <w:tabs>
          <w:tab w:leader="none" w:pos="103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assignments, subleases, service agreements, product sales, licenses or sublicenses (including licenses and sublicenses of intellectual property or other intangible assets), in each case that do not materially interfere with the business of the Issuer and the Restricted Subsidiaries, taken as a whole;</w:t>
      </w:r>
    </w:p>
    <w:p>
      <w:pPr>
        <w:spacing w:after="0" w:line="170" w:lineRule="exact"/>
        <w:rPr>
          <w:rFonts w:ascii="Times New Roman" w:cs="Times New Roman" w:eastAsia="Times New Roman" w:hAnsi="Times New Roman"/>
          <w:sz w:val="19"/>
          <w:szCs w:val="19"/>
          <w:color w:val="auto"/>
        </w:rPr>
      </w:pPr>
    </w:p>
    <w:p>
      <w:pPr>
        <w:ind w:firstLine="650"/>
        <w:spacing w:after="0" w:line="265" w:lineRule="auto"/>
        <w:tabs>
          <w:tab w:leader="none" w:pos="103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issuance or sale of Equity Interests in, or Indebtedness or other securities of, an Unrestricted Subsidiary, or any other disposition of Capital Stock, Indebtedness or other securities of an Unrestricted Subsidiary or an Immaterial Subsidiary;</w:t>
      </w:r>
    </w:p>
    <w:p>
      <w:pPr>
        <w:spacing w:after="0" w:line="138" w:lineRule="exact"/>
        <w:rPr>
          <w:rFonts w:ascii="Times New Roman" w:cs="Times New Roman" w:eastAsia="Times New Roman" w:hAnsi="Times New Roman"/>
          <w:sz w:val="19"/>
          <w:szCs w:val="19"/>
          <w:color w:val="auto"/>
        </w:rPr>
      </w:pPr>
    </w:p>
    <w:p>
      <w:pPr>
        <w:ind w:right="40" w:firstLine="650"/>
        <w:spacing w:after="0" w:line="280" w:lineRule="auto"/>
        <w:tabs>
          <w:tab w:leader="none" w:pos="104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foreclosures, condemnation, expropriation, forced disposition or any similar action with respect to any property or other assets, other transfers of property subject to casualty events or the granting of Liens not prohibited by this Indenture;</w:t>
      </w:r>
    </w:p>
    <w:p>
      <w:pPr>
        <w:spacing w:after="0" w:line="124" w:lineRule="exact"/>
        <w:rPr>
          <w:rFonts w:ascii="Times New Roman" w:cs="Times New Roman" w:eastAsia="Times New Roman" w:hAnsi="Times New Roman"/>
          <w:sz w:val="19"/>
          <w:szCs w:val="19"/>
          <w:color w:val="auto"/>
        </w:rPr>
      </w:pPr>
    </w:p>
    <w:p>
      <w:pPr>
        <w:jc w:val="both"/>
        <w:ind w:right="20" w:firstLine="650"/>
        <w:spacing w:after="0"/>
        <w:tabs>
          <w:tab w:leader="none" w:pos="104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disposition (with or without recourse) of accounts receivable, any participations thereof, Receivables Assets or related assets, in connection with any Receivables Facility, (ii) dispositions or forgiveness of accounts receivable in connection with the collection or compromise thereof (including sales to factors or other third parties) or (iii) the sale or discount of inventory, accounts receivable or notes receivable (with or without recourse) in the ordinary course of business or consistent with past practice or the conversion of accounts receivable to notes receivable;</w:t>
      </w:r>
    </w:p>
    <w:p>
      <w:pPr>
        <w:spacing w:after="0" w:line="163" w:lineRule="exact"/>
        <w:rPr>
          <w:rFonts w:ascii="Times New Roman" w:cs="Times New Roman" w:eastAsia="Times New Roman" w:hAnsi="Times New Roman"/>
          <w:sz w:val="19"/>
          <w:szCs w:val="19"/>
          <w:color w:val="auto"/>
        </w:rPr>
      </w:pPr>
    </w:p>
    <w:p>
      <w:pPr>
        <w:jc w:val="both"/>
        <w:ind w:firstLine="650"/>
        <w:spacing w:after="0"/>
        <w:tabs>
          <w:tab w:leader="none" w:pos="103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financing transaction with respect to property constructed, acquired, leased, renewed, relocated, expanded, replaced, repaired, maintained, upgraded or improved (including any reconstruction, refurbishment, renovation and/or development of real property) by the Issuer or any Restricted Subsidiary after the Issue Date, including Sale and Lease-Back Transactions (and dispositions of property acquired by the Issuer or any of its Restricted Subsidiaries after the Issue Date pursuant to Sale and Lease-Back Transactions) and asset securitizations permitted by this Indenture;</w:t>
      </w:r>
    </w:p>
    <w:p>
      <w:pPr>
        <w:spacing w:after="0" w:line="163" w:lineRule="exact"/>
        <w:rPr>
          <w:rFonts w:ascii="Times New Roman" w:cs="Times New Roman" w:eastAsia="Times New Roman" w:hAnsi="Times New Roman"/>
          <w:sz w:val="19"/>
          <w:szCs w:val="19"/>
          <w:color w:val="auto"/>
        </w:rPr>
      </w:pPr>
    </w:p>
    <w:p>
      <w:pPr>
        <w:ind w:firstLine="650"/>
        <w:spacing w:after="0" w:line="280" w:lineRule="auto"/>
        <w:tabs>
          <w:tab w:leader="none" w:pos="104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surrender or waiver of contractual rights or the settlement, release or surrender of contractual rights or other claims in the ordinary course of business or consistent with past practice;</w:t>
      </w:r>
    </w:p>
    <w:p>
      <w:pPr>
        <w:spacing w:after="0" w:line="138"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unwinding or voluntary termination of any Cash Management Obligations or Hedging Obligations;</w:t>
      </w:r>
    </w:p>
    <w:p>
      <w:pPr>
        <w:spacing w:after="0" w:line="186"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0" w:lineRule="exact"/>
        <w:rPr>
          <w:rFonts w:ascii="Times New Roman" w:cs="Times New Roman" w:eastAsia="Times New Roman" w:hAnsi="Times New Roman"/>
          <w:sz w:val="19"/>
          <w:szCs w:val="19"/>
          <w:color w:val="auto"/>
        </w:rPr>
      </w:pPr>
    </w:p>
    <w:p>
      <w:pPr>
        <w:jc w:val="both"/>
        <w:ind w:firstLine="650"/>
        <w:spacing w:after="0" w:line="256" w:lineRule="auto"/>
        <w:tabs>
          <w:tab w:leader="none" w:pos="103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any assets (including Equity Interests) (A) acquired in connection with any acquisition or other Investment not prohibited by this Indenture, which assets are not used or useful to the core or principal business of the Issuer and the Restricted Subsidiaries or (B) made to obtain the approval of any applicable antitrust authority in connection with an acquisition or other Investment not prohibited by this Indenture;</w:t>
      </w:r>
    </w:p>
    <w:p>
      <w:pPr>
        <w:spacing w:after="0" w:line="161" w:lineRule="exact"/>
        <w:rPr>
          <w:rFonts w:ascii="Times New Roman" w:cs="Times New Roman" w:eastAsia="Times New Roman" w:hAnsi="Times New Roman"/>
          <w:sz w:val="19"/>
          <w:szCs w:val="19"/>
          <w:color w:val="auto"/>
        </w:rPr>
      </w:pPr>
    </w:p>
    <w:p>
      <w:pPr>
        <w:jc w:val="both"/>
        <w:ind w:firstLine="650"/>
        <w:spacing w:after="0" w:line="251" w:lineRule="auto"/>
        <w:tabs>
          <w:tab w:leader="none" w:pos="103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transfers and other dispositions of Investments in joint ventures or similar entities to the extent required by, or made pursuant to customary buy/sell arrangements between, the joint venture parties set forth in joint venture arrangements and similar binding arrangements or other Investment not prohibited by this Indenture;</w:t>
      </w:r>
    </w:p>
    <w:p>
      <w:pPr>
        <w:spacing w:after="0" w:line="165" w:lineRule="exact"/>
        <w:rPr>
          <w:rFonts w:ascii="Times New Roman" w:cs="Times New Roman" w:eastAsia="Times New Roman" w:hAnsi="Times New Roman"/>
          <w:sz w:val="19"/>
          <w:szCs w:val="19"/>
          <w:color w:val="auto"/>
        </w:rPr>
      </w:pPr>
    </w:p>
    <w:p>
      <w:pPr>
        <w:ind w:right="20" w:firstLine="650"/>
        <w:spacing w:after="0" w:line="250" w:lineRule="auto"/>
        <w:tabs>
          <w:tab w:leader="none" w:pos="103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failing to pursue or allowing any registrations or any applications for registration of any intellectual property rights to lapse or go abandoned in the ordinary course of business if, in the reasonable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580" w:top="1440" w:right="559" w:bottom="1440" w:gutter="0" w:footer="0" w:header="0"/>
        </w:sectPr>
      </w:pPr>
    </w:p>
    <w:bookmarkStart w:id="59" w:name="page60"/>
    <w:bookmarkEnd w:id="59"/>
    <w:p>
      <w:pPr>
        <w:spacing w:after="0" w:line="17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determination of the Issuer or a Restricted Subsidiary, such discontinuance is desirable in the conduct of the business of the Issuer and its Restricted Subsidiaries taken as a whole;</w:t>
      </w:r>
    </w:p>
    <w:p>
      <w:pPr>
        <w:spacing w:after="0" w:line="200" w:lineRule="exact"/>
        <w:rPr>
          <w:sz w:val="20"/>
          <w:szCs w:val="20"/>
          <w:color w:val="auto"/>
        </w:rPr>
      </w:pPr>
    </w:p>
    <w:p>
      <w:pPr>
        <w:spacing w:after="0" w:line="249" w:lineRule="exact"/>
        <w:rPr>
          <w:sz w:val="20"/>
          <w:szCs w:val="20"/>
          <w:color w:val="auto"/>
        </w:rPr>
      </w:pPr>
    </w:p>
    <w:p>
      <w:pPr>
        <w:ind w:left="1040" w:hanging="390"/>
        <w:spacing w:after="0"/>
        <w:tabs>
          <w:tab w:leader="none" w:pos="104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in connection with Permitted Liens, Permitted Intercompany Activities and Permitted Tax Restructurings;</w:t>
      </w:r>
    </w:p>
    <w:p>
      <w:pPr>
        <w:spacing w:after="0" w:line="213" w:lineRule="exact"/>
        <w:rPr>
          <w:rFonts w:ascii="Times New Roman" w:cs="Times New Roman" w:eastAsia="Times New Roman" w:hAnsi="Times New Roman"/>
          <w:sz w:val="19"/>
          <w:szCs w:val="19"/>
          <w:color w:val="auto"/>
        </w:rPr>
      </w:pPr>
    </w:p>
    <w:p>
      <w:pPr>
        <w:jc w:val="both"/>
        <w:ind w:firstLine="650"/>
        <w:spacing w:after="0" w:line="241" w:lineRule="auto"/>
        <w:tabs>
          <w:tab w:leader="none" w:pos="103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conveyances, sales, transfers, licenses, sublicenses, cross-licenses or other dispositions of intellectual property, software or other general intangibles and licenses, sublicenses, cross-licenses,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 from such agreement;</w:t>
      </w:r>
    </w:p>
    <w:p>
      <w:pPr>
        <w:spacing w:after="0" w:line="148" w:lineRule="exact"/>
        <w:rPr>
          <w:rFonts w:ascii="Times New Roman" w:cs="Times New Roman" w:eastAsia="Times New Roman" w:hAnsi="Times New Roman"/>
          <w:sz w:val="19"/>
          <w:szCs w:val="19"/>
          <w:color w:val="auto"/>
        </w:rPr>
      </w:pPr>
    </w:p>
    <w:p>
      <w:pPr>
        <w:ind w:right="20" w:firstLine="650"/>
        <w:spacing w:after="0" w:line="280" w:lineRule="auto"/>
        <w:tabs>
          <w:tab w:leader="none" w:pos="1043"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issuance of Capital Stock by a Restricted Subsidiary to the Issuer or to another Restricted Subsidiary or as part of or pursuant to an equity incentive or compensation plan approved by the Board of Directors of the Issuer or any holding company thereof;</w:t>
      </w:r>
    </w:p>
    <w:p>
      <w:pPr>
        <w:spacing w:after="0" w:line="151" w:lineRule="exact"/>
        <w:rPr>
          <w:rFonts w:ascii="Times New Roman" w:cs="Times New Roman" w:eastAsia="Times New Roman" w:hAnsi="Times New Roman"/>
          <w:sz w:val="19"/>
          <w:szCs w:val="19"/>
          <w:color w:val="auto"/>
        </w:rPr>
      </w:pPr>
    </w:p>
    <w:p>
      <w:pPr>
        <w:jc w:val="both"/>
        <w:ind w:firstLine="650"/>
        <w:spacing w:after="0" w:line="241" w:lineRule="auto"/>
        <w:tabs>
          <w:tab w:leader="none" w:pos="103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of Capital Stock of a Restricted Subsidiary pursuant to an agreement or other obligation with or to a Person (other than the Issuer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48" w:lineRule="exact"/>
        <w:rPr>
          <w:rFonts w:ascii="Times New Roman" w:cs="Times New Roman" w:eastAsia="Times New Roman" w:hAnsi="Times New Roman"/>
          <w:sz w:val="19"/>
          <w:szCs w:val="19"/>
          <w:color w:val="auto"/>
        </w:rPr>
      </w:pPr>
    </w:p>
    <w:p>
      <w:pPr>
        <w:jc w:val="both"/>
        <w:ind w:right="20" w:firstLine="650"/>
        <w:spacing w:after="0" w:line="266" w:lineRule="auto"/>
        <w:tabs>
          <w:tab w:leader="none" w:pos="103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transfers of property or assets subject to Casualty Events upon receipt of the Net Proceeds of such Casualty Event; provided that any Cash Equivalents received by the Issuer or any of its Restricted Subsidiaries in respect of such Casualty Event shall be deemed to be Net Proceeds of an Asset Sale, and such Net Proceeds shall be applied in accordance with Section 4.10 hereof;</w:t>
      </w:r>
    </w:p>
    <w:p>
      <w:pPr>
        <w:spacing w:after="0" w:line="137" w:lineRule="exact"/>
        <w:rPr>
          <w:rFonts w:ascii="Times New Roman" w:cs="Times New Roman" w:eastAsia="Times New Roman" w:hAnsi="Times New Roman"/>
          <w:sz w:val="19"/>
          <w:szCs w:val="19"/>
          <w:color w:val="auto"/>
        </w:rPr>
      </w:pPr>
    </w:p>
    <w:p>
      <w:pPr>
        <w:ind w:right="40" w:firstLine="650"/>
        <w:spacing w:after="0" w:line="265" w:lineRule="auto"/>
        <w:tabs>
          <w:tab w:leader="none" w:pos="103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sale of property or assets, if the acquisition of such property or assets was financed with Excluded Contributions and the proceeds of such sale are used to make a Restricted Payment pursuant to Section 4.07(b)(10)(b) hereof;</w:t>
      </w:r>
    </w:p>
    <w:p>
      <w:pPr>
        <w:spacing w:after="0" w:line="138" w:lineRule="exact"/>
        <w:rPr>
          <w:rFonts w:ascii="Times New Roman" w:cs="Times New Roman" w:eastAsia="Times New Roman" w:hAnsi="Times New Roman"/>
          <w:sz w:val="19"/>
          <w:szCs w:val="19"/>
          <w:color w:val="auto"/>
        </w:rPr>
      </w:pPr>
    </w:p>
    <w:p>
      <w:pPr>
        <w:ind w:right="20" w:firstLine="650"/>
        <w:spacing w:after="0" w:line="280" w:lineRule="auto"/>
        <w:tabs>
          <w:tab w:leader="none" w:pos="103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sale, transfer or other disposition to affect the formation of any Subsidiary that is a Delaware Divided LLC; provided that upon formation of such Delaware Divided LLC, such Delaware Divided LLC shall be a Restricted Subsidiary; and</w:t>
      </w:r>
    </w:p>
    <w:p>
      <w:pPr>
        <w:spacing w:after="0" w:line="138" w:lineRule="exact"/>
        <w:rPr>
          <w:rFonts w:ascii="Times New Roman" w:cs="Times New Roman" w:eastAsia="Times New Roman" w:hAnsi="Times New Roman"/>
          <w:sz w:val="19"/>
          <w:szCs w:val="19"/>
          <w:color w:val="auto"/>
        </w:rPr>
      </w:pPr>
    </w:p>
    <w:p>
      <w:pPr>
        <w:ind w:right="20" w:firstLine="650"/>
        <w:spacing w:after="0" w:line="265" w:lineRule="auto"/>
        <w:tabs>
          <w:tab w:leader="none" w:pos="103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of non-revenue producing assets to a Person who is providing services related to such assets, the provision of which have been or are to be outsourced by the Issuer or any Restricted Subsidiary to such Person.</w:t>
      </w:r>
    </w:p>
    <w:p>
      <w:pPr>
        <w:spacing w:after="0" w:line="152"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In the event that a transaction (or any portion thereof) meets the criteria of a permitted Asset Sale and would also be a Permitted Investment or an Investment permitted under Section 4.07 hereof, the Issuer, in its sole discretion, will be entitled to divide and classify such transaction (or a portion thereof) as an Asset Sale and/or one or more of the types of Permitted Investments or Investments permitted under Section 4.07 hereof.</w:t>
      </w:r>
    </w:p>
    <w:p>
      <w:pPr>
        <w:spacing w:after="0" w:line="175"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Associate</w:t>
      </w:r>
      <w:r>
        <w:rPr>
          <w:rFonts w:ascii="Times New Roman" w:cs="Times New Roman" w:eastAsia="Times New Roman" w:hAnsi="Times New Roman"/>
          <w:sz w:val="19"/>
          <w:szCs w:val="19"/>
          <w:color w:val="auto"/>
        </w:rPr>
        <w:t>” means (i) any Person engaged in a Similar Business of which the Issuer or its Restricted Subsidiaries are the legal and beneficial owners of between 20% and 50% of all outstanding Voting Stock and (ii) any joint venture entered into by the Issuer or any Restricted Subsidiary.</w:t>
      </w:r>
    </w:p>
    <w:p>
      <w:pPr>
        <w:spacing w:after="0" w:line="151"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Attributable Indebtedness</w:t>
      </w:r>
      <w:r>
        <w:rPr>
          <w:rFonts w:ascii="Times New Roman" w:cs="Times New Roman" w:eastAsia="Times New Roman" w:hAnsi="Times New Roman"/>
          <w:sz w:val="19"/>
          <w:szCs w:val="19"/>
          <w:color w:val="auto"/>
        </w:rPr>
        <w:t xml:space="preserve">” means, on any date, with respect to any Capitalized Lease Obligation of any Person, the amount of liability in respect of a capital lease on a balance sheet of such person under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all leases of such Person that are or would have been treated as operating leases for purposes of GAAP prior to the issuance on February 25, 2016 of the Accounting Standards Update 2016 -02, Leases (Topic 842) by the Financial Accounting Standards Board (the “ASU”) shall continue to be accounted for as operating leases for purposes of all financial definitions and calculations for purposes hereunder (whether or not such operating lease obligations were in effect on such date) notwithstanding the fact that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580" w:top="1440" w:right="559" w:bottom="1440" w:gutter="0" w:footer="0" w:header="0"/>
        </w:sectPr>
      </w:pPr>
    </w:p>
    <w:bookmarkStart w:id="60" w:name="page61"/>
    <w:bookmarkEnd w:id="60"/>
    <w:p>
      <w:pPr>
        <w:spacing w:after="0" w:line="17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are required in accordance with the ASU (on a prospective or retroactive basis or otherwise) to be treated as capitalized lease obligations in the financial statements to be delivered hereunder, and shall be deemed not to represent Capitalized Lease Obligations or Indebtedness.</w:t>
      </w:r>
    </w:p>
    <w:p>
      <w:pPr>
        <w:spacing w:after="0" w:line="247"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Authorized Person</w:t>
      </w:r>
      <w:r>
        <w:rPr>
          <w:rFonts w:ascii="Times New Roman" w:cs="Times New Roman" w:eastAsia="Times New Roman" w:hAnsi="Times New Roman"/>
          <w:sz w:val="19"/>
          <w:szCs w:val="19"/>
          <w:color w:val="auto"/>
        </w:rPr>
        <w:t>” means any person who is designated by the Issuer or a Guarantor to give Instructions to the Trustee or the Agents under the terms of this Indenture pursuant to one or more incumbency certificates (which may be amended or updated from time to time) delivered to the Trustee and the Agents containing the specimen signature of such person.</w:t>
      </w:r>
    </w:p>
    <w:p>
      <w:pPr>
        <w:spacing w:after="0" w:line="138" w:lineRule="exact"/>
        <w:rPr>
          <w:sz w:val="20"/>
          <w:szCs w:val="20"/>
          <w:color w:val="auto"/>
        </w:rPr>
      </w:pPr>
    </w:p>
    <w:p>
      <w:pPr>
        <w:jc w:val="both"/>
        <w:ind w:firstLine="6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RP Capacity Amount</w:t>
      </w:r>
      <w:r>
        <w:rPr>
          <w:rFonts w:ascii="Times New Roman" w:cs="Times New Roman" w:eastAsia="Times New Roman" w:hAnsi="Times New Roman"/>
          <w:sz w:val="19"/>
          <w:szCs w:val="19"/>
          <w:color w:val="auto"/>
        </w:rPr>
        <w:t>” means(i) the amount of Restricted Payments that may be made at the time of determination pursuant to subclauses (a)-(f) of Section 4.07(a)(2) hereof and Sections 4.07(b)(4), (9), (10), (11) and</w:t>
      </w:r>
    </w:p>
    <w:p>
      <w:pPr>
        <w:spacing w:after="0" w:line="1" w:lineRule="exact"/>
        <w:rPr>
          <w:sz w:val="20"/>
          <w:szCs w:val="20"/>
          <w:color w:val="auto"/>
        </w:rPr>
      </w:pPr>
    </w:p>
    <w:p>
      <w:pPr>
        <w:jc w:val="both"/>
        <w:ind w:firstLine="1"/>
        <w:spacing w:after="0" w:line="231" w:lineRule="auto"/>
        <w:tabs>
          <w:tab w:leader="none" w:pos="383"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hereof, provided that for purposes of determining the amount of Restricted Payments that may be made at the time of determination pursuant to Section 4.07(b)(18), any incurrence of Indebtedness pursuant to Section 4.09(b)(29) at the time of determination will be determined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(including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application of the use of proceeds thereof), minus (ii) the aggregate amount of Indebtedness incurred pursuant to, and to the extent then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outstanding under, Section 4.09(b)(29) hereof.</w:t>
      </w:r>
    </w:p>
    <w:p>
      <w:pPr>
        <w:spacing w:after="0" w:line="180"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 Products</w:t>
      </w:r>
      <w:r>
        <w:rPr>
          <w:rFonts w:ascii="Times New Roman" w:cs="Times New Roman" w:eastAsia="Times New Roman" w:hAnsi="Times New Roman"/>
          <w:sz w:val="19"/>
          <w:szCs w:val="19"/>
          <w:color w:val="auto"/>
        </w:rPr>
        <w:t>” means any facilities or services related to cash management, including treasury, depository, overdraft, credit or debit card, purchase card, electronic funds transfer and other cash management arrangements.</w:t>
      </w:r>
    </w:p>
    <w:p>
      <w:pPr>
        <w:spacing w:after="0" w:line="152" w:lineRule="exact"/>
        <w:rPr>
          <w:sz w:val="20"/>
          <w:szCs w:val="20"/>
          <w:color w:val="auto"/>
        </w:rPr>
      </w:pPr>
    </w:p>
    <w:p>
      <w:pPr>
        <w:jc w:val="both"/>
        <w:ind w:firstLine="649"/>
        <w:spacing w:after="0" w:line="23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Banking Product Obligations</w:t>
      </w:r>
      <w:r>
        <w:rPr>
          <w:rFonts w:ascii="Times New Roman" w:cs="Times New Roman" w:eastAsia="Times New Roman" w:hAnsi="Times New Roman"/>
          <w:sz w:val="19"/>
          <w:szCs w:val="19"/>
          <w:color w:val="auto"/>
        </w:rPr>
        <w:t>” means, with respect to the Issuer or any subsidiary thereof, any obligations of the Issuer or such subsidiary owed to any Person in respect of treasury management services (including, without limitation, services in connection with operating, collections, payroll, trust, or other depository or disbursement accounts, including automated clearinghouse, e-payable, electronic funds transfer, wire transfer, controlled disbursement, overdraft, depositary, information reporting, lock-box and stop payment services), commercial credit card and merchant card services, stored value card services, other cash management services, or lock-box leases and other banking products or services related to any of the foregoing that (a) is entered into by the Issuer or any subsidiary thereof and any Person that is (i) an agent or lender under the Credit Agreement or any of their respective affiliates,</w:t>
      </w:r>
    </w:p>
    <w:p>
      <w:pPr>
        <w:spacing w:after="0" w:line="6" w:lineRule="exact"/>
        <w:rPr>
          <w:sz w:val="20"/>
          <w:szCs w:val="20"/>
          <w:color w:val="auto"/>
        </w:rPr>
      </w:pPr>
    </w:p>
    <w:p>
      <w:pPr>
        <w:jc w:val="both"/>
        <w:ind w:firstLine="1"/>
        <w:spacing w:after="0" w:line="242" w:lineRule="auto"/>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lender under the Credit Agreement or an affiliate thereof on the Issue Date, (iii) was an agent or lender under the Credit Agreement or an affiliate of an agent or a lender at the time such obligations were incurred or (iv) designated by the Issuer by written notice to the agent and</w:t>
      </w:r>
    </w:p>
    <w:p>
      <w:pPr>
        <w:spacing w:after="0" w:line="1" w:lineRule="exact"/>
        <w:rPr>
          <w:rFonts w:ascii="Times New Roman" w:cs="Times New Roman" w:eastAsia="Times New Roman" w:hAnsi="Times New Roman"/>
          <w:sz w:val="18"/>
          <w:szCs w:val="18"/>
          <w:color w:val="auto"/>
        </w:rPr>
      </w:pPr>
    </w:p>
    <w:p>
      <w:pPr>
        <w:ind w:left="260" w:hanging="259"/>
        <w:spacing w:after="0"/>
        <w:tabs>
          <w:tab w:leader="none" w:pos="2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secured by the Collateral pursuant to the loan documentation relating to the Credit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Law</w:t>
      </w:r>
      <w:r>
        <w:rPr>
          <w:rFonts w:ascii="Times New Roman" w:cs="Times New Roman" w:eastAsia="Times New Roman" w:hAnsi="Times New Roman"/>
          <w:sz w:val="19"/>
          <w:szCs w:val="19"/>
          <w:color w:val="auto"/>
        </w:rPr>
        <w:t>” means Title 11 of the United States Code, as amended, or any similar federal or state law for the relief of debtors.</w:t>
      </w:r>
    </w:p>
    <w:p>
      <w:pPr>
        <w:spacing w:after="0" w:line="173"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means (i) with respect to any corporation, the board of directors or managers, as applicable, of the corporation, or any duly authorized committee thereof; (ii) with respect to any partnership, the board of directors or other governing body of the general partner, as applicable, of the partnership or any duly authorized committee thereof; (iii) with respect to the Issuer or any limited liability company, the managing member or members or any duly authorized controlling committee thereof; and (iv)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Issuer.</w:t>
      </w:r>
    </w:p>
    <w:p>
      <w:pPr>
        <w:spacing w:after="0" w:line="167"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that is not a Saturday, Sunday or other day on which commercial banks in New York, New York, United States, or in the jurisdiction of the place of payment are authorized or required by law to remain closed. When the payment of any obligation or the performance of any covenant, duty or obligation is stated to be due or performance required on a day which is not a Business Day,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580" w:top="1440" w:right="559" w:bottom="1440" w:gutter="0" w:footer="0" w:header="0"/>
        </w:sectPr>
      </w:pPr>
    </w:p>
    <w:bookmarkStart w:id="61" w:name="page62"/>
    <w:bookmarkEnd w:id="61"/>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such payment or performance shall extend to the immediately succeeding Business Day and such extension of time shall not be reflected in computing interest or fees, as the case may be.</w:t>
      </w:r>
    </w:p>
    <w:p>
      <w:pPr>
        <w:spacing w:after="0" w:line="139"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Successor</w:t>
      </w:r>
      <w:r>
        <w:rPr>
          <w:rFonts w:ascii="Times New Roman" w:cs="Times New Roman" w:eastAsia="Times New Roman" w:hAnsi="Times New Roman"/>
          <w:sz w:val="19"/>
          <w:szCs w:val="19"/>
          <w:color w:val="auto"/>
        </w:rPr>
        <w:t>” means (a) any former Subsidiary of the Issuer and (b) any Person that, after the Issue Date, has acquired, merged or consolidated with a Subsidiary of the Issuer (that results in such Subsidiary ceasing to be a Subsidiary of the Issuer), or acquired (in one transaction or a series of transactions) all or substantially all of the property and assets or business of a Subsidiary or assets constituting a business unit, line of business or division of a Subsidiary of the Issuer.</w:t>
      </w: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means:</w:t>
      </w:r>
    </w:p>
    <w:p>
      <w:pPr>
        <w:spacing w:after="0" w:line="214" w:lineRule="exact"/>
        <w:rPr>
          <w:sz w:val="20"/>
          <w:szCs w:val="20"/>
          <w:color w:val="auto"/>
        </w:rPr>
      </w:pPr>
    </w:p>
    <w:p>
      <w:pPr>
        <w:ind w:left="1940" w:hanging="641"/>
        <w:spacing w:after="0"/>
        <w:tabs>
          <w:tab w:leader="none" w:pos="194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corporation, corporate stock or shares in the capital of such corporation;</w:t>
      </w:r>
    </w:p>
    <w:p>
      <w:pPr>
        <w:spacing w:after="0" w:line="200"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association or business entity, any and all shares, interests, participations, rights or other equivalents (however designated) of capital stock;</w:t>
      </w:r>
    </w:p>
    <w:p>
      <w:pPr>
        <w:spacing w:after="0" w:line="151"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partnership or limited liability company, partnership or membership interests (whether general or</w:t>
      </w:r>
    </w:p>
    <w:p>
      <w:pPr>
        <w:spacing w:after="0" w:line="25"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limited); and</w:t>
      </w:r>
    </w:p>
    <w:p>
      <w:pPr>
        <w:spacing w:after="0" w:line="158" w:lineRule="exact"/>
        <w:rPr>
          <w:rFonts w:ascii="Times New Roman" w:cs="Times New Roman" w:eastAsia="Times New Roman" w:hAnsi="Times New Roman"/>
          <w:sz w:val="19"/>
          <w:szCs w:val="19"/>
          <w:color w:val="auto"/>
        </w:rPr>
      </w:pPr>
    </w:p>
    <w:p>
      <w:pPr>
        <w:jc w:val="both"/>
        <w:ind w:left="660" w:right="20" w:firstLine="639"/>
        <w:spacing w:after="0" w:line="251" w:lineRule="auto"/>
        <w:tabs>
          <w:tab w:leader="none" w:pos="169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5" w:lineRule="exact"/>
        <w:rPr>
          <w:sz w:val="20"/>
          <w:szCs w:val="20"/>
          <w:color w:val="auto"/>
        </w:rPr>
      </w:pPr>
    </w:p>
    <w:p>
      <w:pPr>
        <w:jc w:val="both"/>
        <w:ind w:firstLine="649"/>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Capitalized Lease Obligation</w:t>
      </w:r>
      <w:r>
        <w:rPr>
          <w:rFonts w:ascii="Times New Roman" w:cs="Times New Roman" w:eastAsia="Times New Roman" w:hAnsi="Times New Roman"/>
          <w:sz w:val="19"/>
          <w:szCs w:val="19"/>
          <w:color w:val="auto"/>
        </w:rPr>
        <w:t>” means an obligation that is required to be classified and accounted for as a Capitalized Lease (and, for the avoidance of doubt, not a straight-line or operating lease) for financial reporting purposes in accordance with GAAP.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provided that all obligations of the Issuer and its Restricted Subsidiaries that are or would be characterized as an operating lease as determined in accordance with GAAP as in effect on February 25, 2016 (whether or not such operating lease was in effect on such date) shall continue to be accounted for as an operating lease (and not as a Capitalized Lease Obligation) for purposes of this Indenture regardless of any change in GAAP following February 25, 2016 (that would otherwise require such obligation to be recharacterized as a Capitalized Lease Obligation).</w:t>
      </w:r>
    </w:p>
    <w:p>
      <w:pPr>
        <w:spacing w:after="0" w:line="219" w:lineRule="exact"/>
        <w:rPr>
          <w:sz w:val="20"/>
          <w:szCs w:val="20"/>
          <w:color w:val="auto"/>
        </w:rPr>
      </w:pPr>
    </w:p>
    <w:p>
      <w:pPr>
        <w:jc w:val="both"/>
        <w:ind w:right="2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Capitalized Leases</w:t>
      </w:r>
      <w:r>
        <w:rPr>
          <w:rFonts w:ascii="Times New Roman" w:cs="Times New Roman" w:eastAsia="Times New Roman" w:hAnsi="Times New Roman"/>
          <w:sz w:val="19"/>
          <w:szCs w:val="19"/>
          <w:color w:val="auto"/>
        </w:rPr>
        <w:t xml:space="preserve">” means all leases that have been or are required to be, in accordance with GAAP as in effect on the Issue Date, recorded as capitalized leases;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all purposes hereunder, the amount of obligations under any Capitalized Lease shall be the amount thereof accounted for as a liability in accordance with GAAP.</w:t>
      </w:r>
    </w:p>
    <w:p>
      <w:pPr>
        <w:spacing w:after="0" w:line="153" w:lineRule="exact"/>
        <w:rPr>
          <w:sz w:val="20"/>
          <w:szCs w:val="20"/>
          <w:color w:val="auto"/>
        </w:rPr>
      </w:pPr>
    </w:p>
    <w:p>
      <w:pPr>
        <w:jc w:val="both"/>
        <w:ind w:firstLine="649"/>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Capitalized Software Expenditures</w:t>
      </w:r>
      <w:r>
        <w:rPr>
          <w:rFonts w:ascii="Times New Roman" w:cs="Times New Roman" w:eastAsia="Times New Roman" w:hAnsi="Times New Roman"/>
          <w:sz w:val="19"/>
          <w:szCs w:val="19"/>
          <w:color w:val="auto"/>
        </w:rPr>
        <w:t xml:space="preserve">” means, with respect to any Person for any period, the aggregate of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w:t>
      </w:r>
    </w:p>
    <w:p>
      <w:pPr>
        <w:spacing w:after="0" w:line="200" w:lineRule="exact"/>
        <w:rPr>
          <w:sz w:val="20"/>
          <w:szCs w:val="20"/>
          <w:color w:val="auto"/>
        </w:rPr>
      </w:pPr>
    </w:p>
    <w:p>
      <w:pPr>
        <w:ind w:left="1940" w:hanging="641"/>
        <w:spacing w:after="0"/>
        <w:tabs>
          <w:tab w:leader="none" w:pos="194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United States dollars;</w:t>
      </w:r>
    </w:p>
    <w:p>
      <w:pPr>
        <w:spacing w:after="0" w:line="213" w:lineRule="exact"/>
        <w:rPr>
          <w:rFonts w:ascii="Times New Roman" w:cs="Times New Roman" w:eastAsia="Times New Roman" w:hAnsi="Times New Roman"/>
          <w:sz w:val="19"/>
          <w:szCs w:val="19"/>
          <w:color w:val="auto"/>
        </w:rPr>
      </w:pPr>
    </w:p>
    <w:p>
      <w:pPr>
        <w:jc w:val="both"/>
        <w:ind w:left="660" w:firstLine="639"/>
        <w:spacing w:after="0" w:line="251" w:lineRule="auto"/>
        <w:tabs>
          <w:tab w:leader="none" w:pos="169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Canadian dollars, Yen, Sterling, Euros or any national currency of any participating member state of the EMU or any Alternative Currency or (b) any other foreign currency held by the Issuer and its Restricted Subsidiaries from time to time in the ordinary course of business or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60"/>
          </w:cols>
          <w:pgMar w:left="580" w:top="1440" w:right="559" w:bottom="1440" w:gutter="0" w:footer="0" w:header="0"/>
        </w:sectPr>
      </w:pPr>
    </w:p>
    <w:bookmarkStart w:id="62" w:name="page63"/>
    <w:bookmarkEnd w:id="62"/>
    <w:p>
      <w:pPr>
        <w:spacing w:after="0" w:line="172" w:lineRule="exact"/>
        <w:rPr>
          <w:sz w:val="20"/>
          <w:szCs w:val="20"/>
          <w:color w:val="auto"/>
        </w:rPr>
      </w:pPr>
    </w:p>
    <w:p>
      <w:pPr>
        <w:jc w:val="both"/>
        <w:ind w:left="-200" w:right="220" w:firstLine="639"/>
        <w:spacing w:after="0" w:line="241"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issued or directly and fully and unconditionally guaranteed or insured by the United States, Canada, Switzerland, United Kingdom, Japan, a member of the European Union or, in each case, any agency or instrumentality thereof, which are unconditionally guaranteed as a full faith and credit obligation of such government, with maturities of 36 months or less from the date of acquisition;</w:t>
      </w:r>
    </w:p>
    <w:p>
      <w:pPr>
        <w:spacing w:after="0" w:line="40" w:lineRule="exact"/>
        <w:rPr>
          <w:rFonts w:ascii="Times New Roman" w:cs="Times New Roman" w:eastAsia="Times New Roman" w:hAnsi="Times New Roman"/>
          <w:sz w:val="19"/>
          <w:szCs w:val="19"/>
          <w:color w:val="auto"/>
        </w:rPr>
      </w:pPr>
    </w:p>
    <w:p>
      <w:pPr>
        <w:jc w:val="both"/>
        <w:ind w:left="-200" w:right="220" w:firstLine="639"/>
        <w:spacing w:after="0" w:line="253"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of deposit, time deposits, Eurodollar time deposits, overnight bank deposits or demand deposits with maturities of 24 months or less from the date of acquisition, bankers’ acceptances with maturities not exceeding 24 months and overnight bank deposits, in each case with any domestic or foreign commercial bank having capital and surplus of not less than $100.0 million (or the Dollar equivalent as of the date of determination) (any such bank being an “</w:t>
      </w:r>
      <w:r>
        <w:rPr>
          <w:rFonts w:ascii="Times New Roman" w:cs="Times New Roman" w:eastAsia="Times New Roman" w:hAnsi="Times New Roman"/>
          <w:sz w:val="19"/>
          <w:szCs w:val="19"/>
          <w:i w:val="1"/>
          <w:iCs w:val="1"/>
          <w:color w:val="auto"/>
        </w:rPr>
        <w:t>Approved Bank</w:t>
      </w:r>
      <w:r>
        <w:rPr>
          <w:rFonts w:ascii="Times New Roman" w:cs="Times New Roman" w:eastAsia="Times New Roman" w:hAnsi="Times New Roman"/>
          <w:sz w:val="19"/>
          <w:szCs w:val="19"/>
          <w:color w:val="auto"/>
        </w:rPr>
        <w:t>”);</w:t>
      </w:r>
    </w:p>
    <w:p>
      <w:pPr>
        <w:spacing w:after="0" w:line="10" w:lineRule="exact"/>
        <w:rPr>
          <w:rFonts w:ascii="Times New Roman" w:cs="Times New Roman" w:eastAsia="Times New Roman" w:hAnsi="Times New Roman"/>
          <w:sz w:val="19"/>
          <w:szCs w:val="19"/>
          <w:color w:val="auto"/>
        </w:rPr>
      </w:pPr>
    </w:p>
    <w:p>
      <w:pPr>
        <w:ind w:left="-200" w:firstLine="639"/>
        <w:spacing w:after="0" w:line="250"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obligations for underlying securities of the types described in clauses (3), (4), (7) and (8) entered into with any financial institution or recognized securities dealer meeting the qualifications specified in clause (4) above;</w:t>
      </w:r>
    </w:p>
    <w:p>
      <w:pPr>
        <w:spacing w:after="0" w:line="165" w:lineRule="exact"/>
        <w:rPr>
          <w:rFonts w:ascii="Times New Roman" w:cs="Times New Roman" w:eastAsia="Times New Roman" w:hAnsi="Times New Roman"/>
          <w:sz w:val="19"/>
          <w:szCs w:val="19"/>
          <w:color w:val="auto"/>
        </w:rPr>
      </w:pPr>
    </w:p>
    <w:p>
      <w:pPr>
        <w:jc w:val="both"/>
        <w:ind w:left="-200" w:right="220" w:firstLine="639"/>
        <w:spacing w:after="0" w:line="244"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paper and variable or fixed rate notes rated at least P-2 by Moody’s or at least A-2 by S&amp;P (or, if at any time neither Moody’s nor S&amp;P shall be rating such obligations, an equivalent rating from another Rating Agency) and in each case maturing within 24 months after the date of creation thereof;</w:t>
      </w:r>
    </w:p>
    <w:p>
      <w:pPr>
        <w:spacing w:after="0" w:line="157" w:lineRule="exact"/>
        <w:rPr>
          <w:rFonts w:ascii="Times New Roman" w:cs="Times New Roman" w:eastAsia="Times New Roman" w:hAnsi="Times New Roman"/>
          <w:sz w:val="19"/>
          <w:szCs w:val="19"/>
          <w:color w:val="auto"/>
        </w:rPr>
      </w:pPr>
    </w:p>
    <w:p>
      <w:pPr>
        <w:jc w:val="both"/>
        <w:ind w:left="-200" w:right="240" w:firstLine="639"/>
        <w:spacing w:after="0" w:line="266"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short-term money market and similar securities having a rating of at least P-2 or A-2 from either Moody’s or S&amp;P, respectively (or, if at any time neither Moody’s nor S&amp;P shall be rating such obligations, an equivalent rating from another Rating Agency);</w:t>
      </w:r>
    </w:p>
    <w:p>
      <w:pPr>
        <w:spacing w:after="0" w:line="151" w:lineRule="exact"/>
        <w:rPr>
          <w:rFonts w:ascii="Times New Roman" w:cs="Times New Roman" w:eastAsia="Times New Roman" w:hAnsi="Times New Roman"/>
          <w:sz w:val="19"/>
          <w:szCs w:val="19"/>
          <w:color w:val="auto"/>
        </w:rPr>
      </w:pPr>
    </w:p>
    <w:p>
      <w:pPr>
        <w:jc w:val="both"/>
        <w:ind w:left="-200" w:right="220" w:firstLine="639"/>
        <w:spacing w:after="0" w:line="237"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readily marketable direct obligations issued by any state, province, commonwealth or territory of the United States of America or any political subdivision, taxing authority or any agency or any instrumentality thereof having an Investment Grade Rating from either Moody’s or S&amp;P (or, if at any time neither Moody’s nor S&amp;P shall be rating such obligations, an equivalent rating from another Rating Agency) with maturities of 24 months or less from the date of acquisition;</w:t>
      </w:r>
    </w:p>
    <w:p>
      <w:pPr>
        <w:spacing w:after="0" w:line="176" w:lineRule="exact"/>
        <w:rPr>
          <w:rFonts w:ascii="Times New Roman" w:cs="Times New Roman" w:eastAsia="Times New Roman" w:hAnsi="Times New Roman"/>
          <w:sz w:val="19"/>
          <w:szCs w:val="19"/>
          <w:color w:val="auto"/>
        </w:rPr>
      </w:pPr>
    </w:p>
    <w:p>
      <w:pPr>
        <w:jc w:val="both"/>
        <w:ind w:left="-200" w:right="220" w:firstLine="639"/>
        <w:spacing w:after="0" w:line="251"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or Preferred Stock issued by Persons having an Investment Grade Rating from either Moody’s or S&amp;P (or, if at any time neither Moody’s nor S&amp;P shall be rating such obligations, an equivalent rating from another Rating Agency) with maturities of 24 months or less from the date of acquisition;</w:t>
      </w:r>
    </w:p>
    <w:p>
      <w:pPr>
        <w:spacing w:after="0" w:line="151" w:lineRule="exact"/>
        <w:rPr>
          <w:rFonts w:ascii="Times New Roman" w:cs="Times New Roman" w:eastAsia="Times New Roman" w:hAnsi="Times New Roman"/>
          <w:sz w:val="19"/>
          <w:szCs w:val="19"/>
          <w:color w:val="auto"/>
        </w:rPr>
      </w:pPr>
    </w:p>
    <w:p>
      <w:pPr>
        <w:jc w:val="both"/>
        <w:ind w:left="-200" w:right="220" w:firstLine="639"/>
        <w:spacing w:after="0" w:line="241"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readily marketable direct obligations issued by any foreign government or any political subdivision, taxing authority or agency or instrumentality thereof, in each case having an Investment Grade Rating from any of Moody’s or S&amp;P (or, if at any time neither Moody’s nor S&amp;P shall be rating such obligations, an equivalent rating from another Rating Agency) with maturities of 24 months or less from the date of acquisition;</w:t>
      </w:r>
    </w:p>
    <w:p>
      <w:pPr>
        <w:spacing w:after="0" w:line="175" w:lineRule="exact"/>
        <w:rPr>
          <w:rFonts w:ascii="Times New Roman" w:cs="Times New Roman" w:eastAsia="Times New Roman" w:hAnsi="Times New Roman"/>
          <w:sz w:val="19"/>
          <w:szCs w:val="19"/>
          <w:color w:val="auto"/>
        </w:rPr>
      </w:pPr>
    </w:p>
    <w:p>
      <w:pPr>
        <w:jc w:val="both"/>
        <w:ind w:left="-200" w:right="240" w:firstLine="639"/>
        <w:spacing w:after="0" w:line="244" w:lineRule="auto"/>
        <w:tabs>
          <w:tab w:leader="none" w:pos="82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with average maturities of 24 months or less from the date of acquisition in money market funds rated A (or the equivalent thereof) or better by S&amp;P or A2 (or the equivalent thereof) or better by Moody’s (or, if at any time neither Moody’s nor S&amp;P shall be rating such obligations, an equivalent rating from another Rating Agency);</w:t>
      </w:r>
    </w:p>
    <w:p>
      <w:pPr>
        <w:spacing w:after="0" w:line="170" w:lineRule="exact"/>
        <w:rPr>
          <w:rFonts w:ascii="Times New Roman" w:cs="Times New Roman" w:eastAsia="Times New Roman" w:hAnsi="Times New Roman"/>
          <w:sz w:val="19"/>
          <w:szCs w:val="19"/>
          <w:color w:val="auto"/>
        </w:rPr>
      </w:pPr>
    </w:p>
    <w:p>
      <w:pPr>
        <w:jc w:val="both"/>
        <w:ind w:left="-200" w:right="220" w:firstLine="639"/>
        <w:spacing w:after="0" w:line="235" w:lineRule="auto"/>
        <w:tabs>
          <w:tab w:leader="none" w:pos="8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agreements entered into by any Person with an Approved Bank, a bank or trust company or recognized securities dealer, in each case, having capital and surplus in excess of $100.0 million or its equivalent for direct obligations issued by or fully guaranteed or insured by the government or any agency or instrumentality of (i) the United States, (ii) Canada, (iii) Switzerland, (iv) United Kingdom, (v) Japan or (vi) any member nation of the European Union rated A (or the equivalent thereof) or better by S&amp;P and A2 (or the equivalent thereof) or better by Moody’s, in which such Person shall have a perfected first-priority security interest (subject to no other Liens) or title to which shall have been transferred to such Person and having, on the date of purchase thereof, a fair market value of at least 100% of the amount of the repurchase obligations;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20"/>
          </w:cols>
          <w:pgMar w:left="1440" w:top="1440" w:right="339" w:bottom="1440" w:gutter="0" w:footer="0" w:header="0"/>
        </w:sectPr>
      </w:pPr>
    </w:p>
    <w:bookmarkStart w:id="63" w:name="page64"/>
    <w:bookmarkEnd w:id="63"/>
    <w:p>
      <w:pPr>
        <w:spacing w:after="0" w:line="159" w:lineRule="exact"/>
        <w:rPr>
          <w:sz w:val="20"/>
          <w:szCs w:val="20"/>
          <w:color w:val="auto"/>
        </w:rPr>
      </w:pPr>
    </w:p>
    <w:p>
      <w:pPr>
        <w:ind w:left="660" w:right="20" w:firstLine="639"/>
        <w:spacing w:after="0" w:line="280" w:lineRule="auto"/>
        <w:tabs>
          <w:tab w:leader="none" w:pos="1691"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with maturities of two years or less from the date of acquisition backed by standby letters of credit issued by any Person meeting the qualifications in clause (4) above;</w:t>
      </w:r>
    </w:p>
    <w:p>
      <w:pPr>
        <w:spacing w:after="0" w:line="151" w:lineRule="exact"/>
        <w:rPr>
          <w:rFonts w:ascii="Times New Roman" w:cs="Times New Roman" w:eastAsia="Times New Roman" w:hAnsi="Times New Roman"/>
          <w:sz w:val="19"/>
          <w:szCs w:val="19"/>
          <w:color w:val="auto"/>
        </w:rPr>
      </w:pPr>
    </w:p>
    <w:p>
      <w:pPr>
        <w:jc w:val="both"/>
        <w:ind w:left="660" w:firstLine="639"/>
        <w:spacing w:after="0" w:line="237" w:lineRule="auto"/>
        <w:tabs>
          <w:tab w:leader="none" w:pos="1691"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instruments equivalent to those referred to in clauses (1) through (13)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41" w:lineRule="exact"/>
        <w:rPr>
          <w:rFonts w:ascii="Times New Roman" w:cs="Times New Roman" w:eastAsia="Times New Roman" w:hAnsi="Times New Roman"/>
          <w:sz w:val="19"/>
          <w:szCs w:val="19"/>
          <w:color w:val="auto"/>
        </w:rPr>
      </w:pPr>
    </w:p>
    <w:p>
      <w:pPr>
        <w:jc w:val="both"/>
        <w:ind w:left="660" w:firstLine="639"/>
        <w:spacing w:after="0"/>
        <w:tabs>
          <w:tab w:leader="none" w:pos="1691"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classified in accordance with GAAP as current assets of the Issuer or any Subsidiary, in money market investment programs that are registered under the Investment Company Act of 1940, as amended, or that are administered by financial institutions having capital of at least $100.0 million or its equivalent, and, in either case, the portfolios of which are limited such that substantially all of such investments are of the character, quality and maturity described in clauses(1) through (14) of this definition;</w:t>
      </w:r>
    </w:p>
    <w:p>
      <w:pPr>
        <w:spacing w:after="0" w:line="176" w:lineRule="exact"/>
        <w:rPr>
          <w:rFonts w:ascii="Times New Roman" w:cs="Times New Roman" w:eastAsia="Times New Roman" w:hAnsi="Times New Roman"/>
          <w:sz w:val="19"/>
          <w:szCs w:val="19"/>
          <w:color w:val="auto"/>
        </w:rPr>
      </w:pPr>
    </w:p>
    <w:p>
      <w:pPr>
        <w:jc w:val="both"/>
        <w:ind w:left="660" w:firstLine="639"/>
        <w:spacing w:after="0" w:line="234" w:lineRule="auto"/>
        <w:tabs>
          <w:tab w:leader="none" w:pos="1691"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Foreign Subsidiary: (i) obligations of the national government of the country in which such Subsidiary maintains its chief executive office and principal place of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9"/>
          <w:szCs w:val="19"/>
          <w:i w:val="1"/>
          <w:iCs w:val="1"/>
          <w:color w:val="auto"/>
        </w:rPr>
        <w:t>Approved Foreign Bank</w:t>
      </w:r>
      <w:r>
        <w:rPr>
          <w:rFonts w:ascii="Times New Roman" w:cs="Times New Roman" w:eastAsia="Times New Roman" w:hAnsi="Times New Roman"/>
          <w:sz w:val="19"/>
          <w:szCs w:val="19"/>
          <w:color w:val="auto"/>
        </w:rPr>
        <w:t>”), and in each case with maturities of not more than 24 months from the date of acquisition and (iii) the equivalent of demand deposit accounts which are maintained with an Approved Foreign Bank;</w:t>
      </w:r>
    </w:p>
    <w:p>
      <w:pPr>
        <w:spacing w:after="0" w:line="161" w:lineRule="exact"/>
        <w:rPr>
          <w:rFonts w:ascii="Times New Roman" w:cs="Times New Roman" w:eastAsia="Times New Roman" w:hAnsi="Times New Roman"/>
          <w:sz w:val="19"/>
          <w:szCs w:val="19"/>
          <w:color w:val="auto"/>
        </w:rPr>
      </w:pPr>
    </w:p>
    <w:p>
      <w:pPr>
        <w:ind w:left="660" w:firstLine="639"/>
        <w:spacing w:after="0" w:line="265" w:lineRule="auto"/>
        <w:tabs>
          <w:tab w:leader="none" w:pos="1691"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bills of exchange issued in the United States of America, Canada, the United Kingdom, Japan, or a member state of the European Union eligible for rediscount at the relevant central bank and accepted by a bank (or any dematerialized equivalent);</w:t>
      </w:r>
    </w:p>
    <w:p>
      <w:pPr>
        <w:spacing w:after="0" w:line="138"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industrial development revenue bonds that (i) “re-set” interest rates not less frequently than quarterly,</w:t>
      </w:r>
    </w:p>
    <w:p>
      <w:pPr>
        <w:spacing w:after="0" w:line="17" w:lineRule="exact"/>
        <w:rPr>
          <w:rFonts w:ascii="Times New Roman" w:cs="Times New Roman" w:eastAsia="Times New Roman" w:hAnsi="Times New Roman"/>
          <w:sz w:val="19"/>
          <w:szCs w:val="19"/>
          <w:color w:val="auto"/>
        </w:rPr>
      </w:pPr>
    </w:p>
    <w:p>
      <w:pPr>
        <w:jc w:val="both"/>
        <w:ind w:left="660" w:hanging="9"/>
        <w:spacing w:after="0" w:line="235" w:lineRule="auto"/>
        <w:tabs>
          <w:tab w:leader="none" w:pos="948"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entitled to the benefit of a remarketing arrangement with an established broker dealer and (iii) are supported by a direct pay letter of credit covering principal and accrued interest that is issued by any bank meeting the qualifications specified in clause (3) above; and</w:t>
      </w:r>
    </w:p>
    <w:p>
      <w:pPr>
        <w:spacing w:after="0" w:line="161" w:lineRule="exact"/>
        <w:rPr>
          <w:rFonts w:ascii="Times New Roman" w:cs="Times New Roman" w:eastAsia="Times New Roman" w:hAnsi="Times New Roman"/>
          <w:sz w:val="19"/>
          <w:szCs w:val="19"/>
          <w:color w:val="auto"/>
        </w:rPr>
      </w:pPr>
    </w:p>
    <w:p>
      <w:pPr>
        <w:ind w:left="660" w:firstLine="639"/>
        <w:spacing w:after="0" w:line="280" w:lineRule="auto"/>
        <w:tabs>
          <w:tab w:leader="none" w:pos="1691"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company, money market, enhanced high yield, pooled or other investment fund investing at least 90% of their assets in securities of the types described in clauses (1) through (18) above.</w:t>
      </w:r>
    </w:p>
    <w:p>
      <w:pPr>
        <w:spacing w:after="0" w:line="152"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 xml:space="preserve">Notwithstanding the foregoing, Cash Equivalents shall include amounts denominated in currencies other than those set forth in clauses (1) or (2) of the immediately preceding paragraph;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amounts are converted into any currency set forth in clauses (1) or (2) of the immediately preceding paragraph as promptly as practicable and in any event within 10 Business Days following the receipt of such amounts.</w:t>
      </w:r>
    </w:p>
    <w:p>
      <w:pPr>
        <w:spacing w:after="0" w:line="162"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In the case of Investments by any Foreign Subsidiary that is a Restricted Subsidiary or Investments made in a country outside the United States of America, Cash Equivalents shall also include (a) investments of the type and maturity described in clauses (1) through (19) above of foreign obligors, which Investments or obligors (or the parents of such obligors) have ratings described in such clauses or equivalent ratings from comparable foreign rating agencies and (b) other short term investments utilized by Foreign Subsidiaries that are Restricted Subsidiaries in accordance with normal investment practices for cash management in investments analogous to the foregoing investments in clauses (1) through (19) and in clause (a) of this paragraph.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60"/>
          </w:cols>
          <w:pgMar w:left="580" w:top="1440" w:right="559" w:bottom="1440" w:gutter="0" w:footer="0" w:header="0"/>
        </w:sectPr>
      </w:pPr>
    </w:p>
    <w:bookmarkStart w:id="64" w:name="page65"/>
    <w:bookmarkEnd w:id="64"/>
    <w:p>
      <w:pPr>
        <w:spacing w:after="0" w:line="186"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For the avoidance of doubt, any items identified as Cash Equivalents under this definition will be deemed to be Cash Equivalents for all purposes under this Indenture regardless of the treatment of such items under GAAP.</w:t>
      </w:r>
    </w:p>
    <w:p>
      <w:pPr>
        <w:spacing w:after="0" w:line="138"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Obligations</w:t>
      </w:r>
      <w:r>
        <w:rPr>
          <w:rFonts w:ascii="Times New Roman" w:cs="Times New Roman" w:eastAsia="Times New Roman" w:hAnsi="Times New Roman"/>
          <w:sz w:val="19"/>
          <w:szCs w:val="19"/>
          <w:color w:val="auto"/>
        </w:rPr>
        <w:t>” means (1)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w:t>
      </w:r>
    </w:p>
    <w:p>
      <w:pPr>
        <w:spacing w:after="0" w:line="165"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Casualty Event</w:t>
      </w:r>
      <w:r>
        <w:rPr>
          <w:rFonts w:ascii="Times New Roman" w:cs="Times New Roman" w:eastAsia="Times New Roman" w:hAnsi="Times New Roman"/>
          <w:sz w:val="19"/>
          <w:szCs w:val="19"/>
          <w:color w:val="auto"/>
        </w:rPr>
        <w:t>” means any event that gives rise to the receipt by the Issuer or any Restricted Subsidiary of any insurance proceeds or condemnation awards in respect of any equipment, fixed assets or real property (including any improvements thereon) to replace or repair such equipment, fixed assets or real property.</w:t>
      </w:r>
    </w:p>
    <w:p>
      <w:pPr>
        <w:spacing w:after="0" w:line="19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Sections 956 and 957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means the occurrence of any of the following:</w:t>
      </w:r>
    </w:p>
    <w:p>
      <w:pPr>
        <w:spacing w:after="0" w:line="196" w:lineRule="exact"/>
        <w:rPr>
          <w:sz w:val="20"/>
          <w:szCs w:val="20"/>
          <w:color w:val="auto"/>
        </w:rPr>
      </w:pPr>
    </w:p>
    <w:p>
      <w:pPr>
        <w:jc w:val="both"/>
        <w:ind w:left="660" w:firstLine="639"/>
        <w:spacing w:after="0" w:line="233" w:lineRule="auto"/>
        <w:tabs>
          <w:tab w:leader="none" w:pos="1691"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sale or transfer, in one or a series of related transactions, of all or substantially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of the assets of the Issuer and its Restricted Subsidiaries, taken as a whole, to a Person (other than the Issuer or any of its Restricted Subsidiaries or one or more Permitted Holders) and any “person” (as defined in clause 2) below), other than one or more Permitted Holders or any Parent Entity, is or becomes the “beneficial owner” (as so defined) of more than 50% of the total voting power of the Voting Stock of the transferee Person in such sale or transfer of assets, as the case may be, unless the Permitted Holders (directly or indirectly, including through one or more holding companies) otherwise have the right (pursuant to contract, proxy or otherwise), directly or indirectly to designate, nominate or appoint (and do so designate, nominate or appoint) a majority of the Board of Directors of the transferee Person; provided that (x)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w:t>
      </w:r>
    </w:p>
    <w:p>
      <w:pPr>
        <w:spacing w:after="0" w:line="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any such Person is the beneficial owner; or</w:t>
      </w:r>
    </w:p>
    <w:p>
      <w:pPr>
        <w:spacing w:after="0" w:line="180" w:lineRule="exact"/>
        <w:rPr>
          <w:rFonts w:ascii="Times New Roman" w:cs="Times New Roman" w:eastAsia="Times New Roman" w:hAnsi="Times New Roman"/>
          <w:sz w:val="19"/>
          <w:szCs w:val="19"/>
          <w:color w:val="auto"/>
        </w:rPr>
      </w:pPr>
    </w:p>
    <w:p>
      <w:pPr>
        <w:jc w:val="both"/>
        <w:ind w:left="660" w:firstLine="639"/>
        <w:spacing w:after="0" w:line="232" w:lineRule="auto"/>
        <w:tabs>
          <w:tab w:leader="none" w:pos="1576"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becomes aware of (by way of a report or any other filing pursuant to Section 13(d) of the Exchange Act, proxy, vote, written notice or otherwise) any “person” (as such terms are used in Sections 13(d) and 14(d) of the Exchange Act as in effect on the Issue Date), other than one or more Permitted Holders or a Parent Entity, that is or becomes the “beneficial owner” (as defined in Rules 13d-3 and 13d-5 of the Exchange Act as in effect on the Issue Date) of more than 50% of the total voting power of the Voting Stock of the Issuer; provided that (x)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w:t>
      </w:r>
    </w:p>
    <w:p>
      <w:pPr>
        <w:spacing w:after="0" w:line="20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Notwithstanding the preceding or any provision of Section 13d-3 or 13d-5 of the Exchange Act, (i) a Person or group shall not be deemed to beneficially own Voting Stock subject to a stock or asset purchase agreement, merger agreement, option agreement, warrant agreement or similar agreement (or voting or option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60"/>
          </w:cols>
          <w:pgMar w:left="580" w:top="1440" w:right="559" w:bottom="1440" w:gutter="0" w:footer="0" w:header="0"/>
        </w:sectPr>
      </w:pPr>
    </w:p>
    <w:bookmarkStart w:id="65" w:name="page66"/>
    <w:bookmarkEnd w:id="65"/>
    <w:p>
      <w:pPr>
        <w:jc w:val="both"/>
        <w:ind w:left="140" w:right="40"/>
        <w:spacing w:after="0" w:line="213" w:lineRule="auto"/>
        <w:rPr>
          <w:sz w:val="20"/>
          <w:szCs w:val="20"/>
          <w:color w:val="auto"/>
        </w:rPr>
      </w:pPr>
      <w:r>
        <w:rPr>
          <w:rFonts w:ascii="Times New Roman" w:cs="Times New Roman" w:eastAsia="Times New Roman" w:hAnsi="Times New Roman"/>
          <w:sz w:val="19"/>
          <w:szCs w:val="19"/>
          <w:color w:val="auto"/>
        </w:rPr>
        <w:t>or similar agreement related thereto) until the consummation of the acquisition of the Voting Stock in connection with the transactions contemplated by such agreement, (ii) if any group includes one or more Permitted Holders, the issued and outstanding Voting Stock of the Issuer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For the avoidance of doubt, the Transactions shall not constitute, or be deemed to constitute, or result in a “Change of Control.” Event.</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Clearstream</w:t>
      </w:r>
      <w:r>
        <w:rPr>
          <w:rFonts w:ascii="Times New Roman" w:cs="Times New Roman" w:eastAsia="Times New Roman" w:hAnsi="Times New Roman"/>
          <w:sz w:val="19"/>
          <w:szCs w:val="19"/>
          <w:color w:val="auto"/>
        </w:rPr>
        <w:t>” means Clearstream Banking, S.A., or any successor thereof.</w:t>
      </w:r>
    </w:p>
    <w:p>
      <w:pPr>
        <w:spacing w:after="0" w:line="187" w:lineRule="exact"/>
        <w:rPr>
          <w:sz w:val="20"/>
          <w:szCs w:val="20"/>
          <w:color w:val="auto"/>
        </w:rPr>
      </w:pPr>
    </w:p>
    <w:p>
      <w:pPr>
        <w:ind w:right="2480" w:firstLine="544"/>
        <w:spacing w:after="0" w:line="30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both a Change of Control and a Ratings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 or any successor thereto.</w:t>
      </w:r>
    </w:p>
    <w:p>
      <w:pPr>
        <w:spacing w:after="0" w:line="16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means the assets and property of the Issuer, Holdings and the Guarantors in which a security interest is granted in favor of the Notes Collateral Agent pursuant to the Collateral Documents.</w:t>
      </w:r>
    </w:p>
    <w:p>
      <w:pPr>
        <w:spacing w:after="0" w:line="138" w:lineRule="exact"/>
        <w:rPr>
          <w:sz w:val="20"/>
          <w:szCs w:val="20"/>
          <w:color w:val="auto"/>
        </w:rPr>
      </w:pPr>
    </w:p>
    <w:p>
      <w:pPr>
        <w:jc w:val="both"/>
        <w:ind w:left="140" w:right="40"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means, collectively, any security agreements, hypothecs, intellectual property security agreements, mortgages, collateral assignments, security agreement supplements, pledge agreements, bonds or any similar agreements, guarantees and each of the other agreements, instruments or documents that creates or purports to create a Lien or guarantee in favor of the Notes Collateral Agent for its benefit and the benefit of the Noteholder Secured Parties, in all or any portion of the Collateral, as amended, extended, renewed, restated, refunded, replaced, refinanced, supplemented, modified or otherwise changed from time to time, including the Notes Security Agreement and, as the context requires, each Intercreditor Agreement.</w:t>
      </w:r>
    </w:p>
    <w:p>
      <w:pPr>
        <w:spacing w:after="0" w:line="188" w:lineRule="exact"/>
        <w:rPr>
          <w:sz w:val="20"/>
          <w:szCs w:val="20"/>
          <w:color w:val="auto"/>
        </w:rPr>
      </w:pPr>
    </w:p>
    <w:p>
      <w:pPr>
        <w:jc w:val="both"/>
        <w:ind w:left="140" w:right="40" w:firstLine="649"/>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Depreciation and Amortization Expense</w:t>
      </w:r>
      <w:r>
        <w:rPr>
          <w:rFonts w:ascii="Times New Roman" w:cs="Times New Roman" w:eastAsia="Times New Roman" w:hAnsi="Times New Roman"/>
          <w:sz w:val="19"/>
          <w:szCs w:val="19"/>
          <w:color w:val="auto"/>
        </w:rPr>
        <w:t>” means, with respect to any Person for any period, the total amount of depreciation and amortization expense and capitalized fees, including amortization or write-off of (i) intangible assets and non-cash organization costs, (ii) deferred financing and debt issuance fees, costs and expenses, (iii) capitalized expenditures (including Capitalized Software Expenditures), customer acquisition costs and incentive payments, media development costs, conversion costs and contract acquisition costs, the amortization of original issue discount resulting from the issuance of Indebtedness at less than par and amortization of favorable or unfavorable lease assets or liabilities and (iv) capitalized fees related to any Receivables Facility, of such Person and its Restricted Subsidiaries for such period on a consolidated basis and otherwise determined in accordance with GAAP and any write down of assets or asset value carried on the balance sheet.</w:t>
      </w:r>
    </w:p>
    <w:p>
      <w:pPr>
        <w:spacing w:after="0" w:line="148" w:lineRule="exact"/>
        <w:rPr>
          <w:sz w:val="20"/>
          <w:szCs w:val="20"/>
          <w:color w:val="auto"/>
        </w:rPr>
      </w:pPr>
    </w:p>
    <w:p>
      <w:pPr>
        <w:ind w:left="140" w:right="14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First Lien Net Debt Ratio</w:t>
      </w:r>
      <w:r>
        <w:rPr>
          <w:rFonts w:ascii="Times New Roman" w:cs="Times New Roman" w:eastAsia="Times New Roman" w:hAnsi="Times New Roman"/>
          <w:sz w:val="19"/>
          <w:szCs w:val="19"/>
          <w:color w:val="auto"/>
        </w:rPr>
        <w:t>” means, as of any date of determination, the ratio of (x) Consolidated Total Indebtedness secured by a Lien on the Collateral as of such date (other than Indebtedness secured by the Collateral with Junior Lien Priority relative to the Notes and the Note Guarantees) to (y) LTM EBITDA.</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means, with respect to any Person for any period, without duplication, the sum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800" w:right="20" w:firstLine="639"/>
        <w:spacing w:after="0" w:line="235" w:lineRule="auto"/>
        <w:tabs>
          <w:tab w:leader="none" w:pos="1831"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mark-to-market valuation of any Hedging Obligations or other derivative instruments pursuant to GAAP), (d) the interest component of</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1409" w:right="519" w:bottom="1440" w:gutter="0" w:footer="0" w:header="0"/>
        </w:sectPr>
      </w:pPr>
    </w:p>
    <w:bookmarkStart w:id="66" w:name="page67"/>
    <w:bookmarkEnd w:id="66"/>
    <w:p>
      <w:pPr>
        <w:spacing w:after="0" w:line="18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19"/>
          <w:szCs w:val="19"/>
          <w:color w:val="auto"/>
        </w:rPr>
        <w:t>Capitalized Lease Obligations, and (e) net payments, if any made (less net payments, if any, received), pursuant to interest rate Hedging Obligations with respect to Indebtedness, and excluding (i) Receivables Fees, (ii) penalties and interest relating to Taxes,</w:t>
      </w:r>
    </w:p>
    <w:p>
      <w:pPr>
        <w:spacing w:after="0" w:line="1" w:lineRule="exact"/>
        <w:rPr>
          <w:sz w:val="20"/>
          <w:szCs w:val="20"/>
          <w:color w:val="auto"/>
        </w:rPr>
      </w:pPr>
    </w:p>
    <w:p>
      <w:pPr>
        <w:jc w:val="both"/>
        <w:ind w:left="660" w:hanging="9"/>
        <w:spacing w:after="0" w:line="230" w:lineRule="auto"/>
        <w:tabs>
          <w:tab w:leader="none" w:pos="99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annual agency or similar fees paid to the administrative agents, collateral agents and other agents under any Credit Facility, (iv) any additional interest or liquidated damages owing pursuant to any registration rights obligations, (v) costs associated with obtaining Hedging Obligations, (vi) accretion or accrual of discounted liabilities other than Indebtedness, (vii) any expense resulting from the discounting of any Indebtedness in connection with the application of recapitalization accounting or purchase accounting in connection with the Transactions or any acquisition, (viii) 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 (ix) any expensing of bridge, arrangement, structuring, commitment, agency, consent and other financing fees and any other fees related to the Transactions or any acquisitions after the Issue Date, (x) any accretion of accrued interest on discounted liabilities and any prepayment, make- whole or breakage premium, penalty or cost, (xi) interest expense with respect to Indebtedness of any direct or indirect parent of such Person resulting from push-down accounting and (xii) any lease, rental or other expense in connection with a Non-Financing Lease Obligations); plus</w:t>
      </w:r>
    </w:p>
    <w:p>
      <w:pPr>
        <w:spacing w:after="0" w:line="160"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capitalized interest of such Person and its Restricted Subsidiaries for such period, whether paid or accrued;</w:t>
      </w:r>
    </w:p>
    <w:p>
      <w:pPr>
        <w:spacing w:after="0" w:line="1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less</w:t>
      </w:r>
    </w:p>
    <w:p>
      <w:pPr>
        <w:spacing w:after="0" w:line="180" w:lineRule="exact"/>
        <w:rPr>
          <w:rFonts w:ascii="Times New Roman" w:cs="Times New Roman" w:eastAsia="Times New Roman" w:hAnsi="Times New Roman"/>
          <w:sz w:val="18"/>
          <w:szCs w:val="18"/>
          <w:color w:val="auto"/>
        </w:rPr>
      </w:pPr>
    </w:p>
    <w:p>
      <w:pPr>
        <w:ind w:left="1940" w:hanging="641"/>
        <w:spacing w:after="0"/>
        <w:tabs>
          <w:tab w:leader="none" w:pos="194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income for such period.</w:t>
      </w:r>
    </w:p>
    <w:p>
      <w:pPr>
        <w:spacing w:after="0" w:line="200" w:lineRule="exact"/>
        <w:rPr>
          <w:sz w:val="20"/>
          <w:szCs w:val="20"/>
          <w:color w:val="auto"/>
        </w:rPr>
      </w:pPr>
    </w:p>
    <w:p>
      <w:pPr>
        <w:jc w:val="both"/>
        <w:ind w:right="40" w:firstLine="649"/>
        <w:spacing w:after="0" w:line="280" w:lineRule="auto"/>
        <w:rPr>
          <w:sz w:val="20"/>
          <w:szCs w:val="20"/>
          <w:color w:val="auto"/>
        </w:rPr>
      </w:pPr>
      <w:r>
        <w:rPr>
          <w:rFonts w:ascii="Times New Roman" w:cs="Times New Roman" w:eastAsia="Times New Roman" w:hAnsi="Times New Roman"/>
          <w:sz w:val="19"/>
          <w:szCs w:val="19"/>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38" w:lineRule="exact"/>
        <w:rPr>
          <w:sz w:val="20"/>
          <w:szCs w:val="20"/>
          <w:color w:val="auto"/>
        </w:rPr>
      </w:pPr>
    </w:p>
    <w:p>
      <w:pPr>
        <w:jc w:val="both"/>
        <w:ind w:right="40"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means, with respect to any Person for any period, the aggregate of the Net Income, of such Person and its Restricted Subsidiaries for such period, on a consolidated basis, and otherwise determined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without duplication,</w:t>
      </w:r>
    </w:p>
    <w:p>
      <w:pPr>
        <w:spacing w:after="0" w:line="152" w:lineRule="exact"/>
        <w:rPr>
          <w:sz w:val="20"/>
          <w:szCs w:val="20"/>
          <w:color w:val="auto"/>
        </w:rPr>
      </w:pPr>
    </w:p>
    <w:p>
      <w:pPr>
        <w:jc w:val="both"/>
        <w:ind w:left="660" w:firstLine="639"/>
        <w:spacing w:after="0" w:line="232" w:lineRule="auto"/>
        <w:tabs>
          <w:tab w:leader="none" w:pos="169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extraordinary, non-recurring, exceptional or unusual gains or losses (less all fees and expenses relating thereto) or expenses (including the Transaction Costs or any multi-year strategic cost- saving initiatives, any unusual or non-recurring operating expenses directly attributable to the implementation of cost savings initiatives and any accruals or reserves in respect of any extraordinary, non- recurring or unusual items), severance, relocation costs, integration and facilities’ opening costs and other business optimization expenses(including related to new product introductions), recruiting fees, restructuring charges, accruals or reserves (including restructuring and integration costs related to acquisitions after the Issue Date and adjustments to existing reserves), whether or not classified as restructuring expense on the consolidated financial statements, signing costs, retention or completion bonuses, transition costs, costs related to closure/consolidation of facilities, costs or cost inefficiencies related to project terminations, facility or property disruptions or shutdowns (including due to work stoppages, natural disasters and epidemics), internal costs in respect of strategic initiatives and curtailments or modifications to pension and</w:t>
      </w:r>
    </w:p>
    <w:p>
      <w:pPr>
        <w:spacing w:after="0" w:line="8"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post-retirement employee benefit plans (including any settlement of pension liabilities) shall be excluded;</w:t>
      </w:r>
    </w:p>
    <w:p>
      <w:pPr>
        <w:spacing w:after="0" w:line="185" w:lineRule="exact"/>
        <w:rPr>
          <w:rFonts w:ascii="Times New Roman" w:cs="Times New Roman" w:eastAsia="Times New Roman" w:hAnsi="Times New Roman"/>
          <w:sz w:val="19"/>
          <w:szCs w:val="19"/>
          <w:color w:val="auto"/>
        </w:rPr>
      </w:pPr>
    </w:p>
    <w:p>
      <w:pPr>
        <w:ind w:left="660" w:right="40" w:firstLine="639"/>
        <w:spacing w:after="0" w:line="265" w:lineRule="auto"/>
        <w:tabs>
          <w:tab w:leader="none" w:pos="169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cumulative effect (including charges, accruals, expenses and reserves) of a change in accounting principles during such period shall be excluded;</w:t>
      </w:r>
    </w:p>
    <w:p>
      <w:pPr>
        <w:spacing w:after="0" w:line="165" w:lineRule="exact"/>
        <w:rPr>
          <w:rFonts w:ascii="Times New Roman" w:cs="Times New Roman" w:eastAsia="Times New Roman" w:hAnsi="Times New Roman"/>
          <w:sz w:val="19"/>
          <w:szCs w:val="19"/>
          <w:color w:val="auto"/>
        </w:rPr>
      </w:pPr>
    </w:p>
    <w:p>
      <w:pPr>
        <w:jc w:val="both"/>
        <w:ind w:left="660" w:right="20" w:firstLine="639"/>
        <w:spacing w:after="0" w:line="241" w:lineRule="auto"/>
        <w:tabs>
          <w:tab w:leader="none" w:pos="169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income (loss) from disposed, abandoned, transferred or discontinued operations and any gains or losses on disposal of disposed, abandoned, transferred or discontinued operations shall be excluded (but if such operations are classified as discontinued due to the fact that they are subject to an agreement to dispose of such operations, only when and to the extent such operations are actually disposed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580" w:top="1440" w:right="539" w:bottom="1440" w:gutter="0" w:footer="0" w:header="0"/>
        </w:sectPr>
      </w:pPr>
    </w:p>
    <w:bookmarkStart w:id="67" w:name="page68"/>
    <w:bookmarkEnd w:id="67"/>
    <w:p>
      <w:pPr>
        <w:spacing w:after="0" w:line="199" w:lineRule="exact"/>
        <w:rPr>
          <w:sz w:val="20"/>
          <w:szCs w:val="20"/>
          <w:color w:val="auto"/>
        </w:rPr>
      </w:pPr>
    </w:p>
    <w:p>
      <w:pPr>
        <w:ind w:right="20" w:firstLine="639"/>
        <w:spacing w:after="0" w:line="250" w:lineRule="auto"/>
        <w:tabs>
          <w:tab w:leader="none" w:pos="103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gains or losses (less all fees and expenses relating thereto) attributable to asset dispositions, disposals or abandonments other than in the ordinary course of business, as determined in good faith by the Issuer, shall be excluded;</w:t>
      </w:r>
    </w:p>
    <w:p>
      <w:pPr>
        <w:spacing w:after="0" w:line="165" w:lineRule="exact"/>
        <w:rPr>
          <w:rFonts w:ascii="Times New Roman" w:cs="Times New Roman" w:eastAsia="Times New Roman" w:hAnsi="Times New Roman"/>
          <w:sz w:val="19"/>
          <w:szCs w:val="19"/>
          <w:color w:val="auto"/>
        </w:rPr>
      </w:pPr>
    </w:p>
    <w:p>
      <w:pPr>
        <w:jc w:val="both"/>
        <w:ind w:firstLine="639"/>
        <w:spacing w:after="0"/>
        <w:tabs>
          <w:tab w:leader="none" w:pos="103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Net Income for such period of any Person that is an Unrestricted Subsidiary or any Person that is not a Subsidiary or that is accounted for by the equity method of accounting shall be excluded;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Consolidated Net Income of such other Person shall be increased by the amount of dividends or distributions or other payments that are actually paid in cash or Cash Equivalents (or to the extent converted into cash or Cash Equivalents) to such other Person or a Restricted Subsidiary of such other Person by such Person in such period;</w:t>
      </w:r>
    </w:p>
    <w:p>
      <w:pPr>
        <w:spacing w:after="0" w:line="41" w:lineRule="exact"/>
        <w:rPr>
          <w:rFonts w:ascii="Times New Roman" w:cs="Times New Roman" w:eastAsia="Times New Roman" w:hAnsi="Times New Roman"/>
          <w:sz w:val="19"/>
          <w:szCs w:val="19"/>
          <w:color w:val="auto"/>
        </w:rPr>
      </w:pPr>
    </w:p>
    <w:p>
      <w:pPr>
        <w:jc w:val="both"/>
        <w:ind w:firstLine="639"/>
        <w:spacing w:after="0"/>
        <w:tabs>
          <w:tab w:leader="none" w:pos="103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solely for the purpose of determining the amount available for Restricted Payments under clause (2)(a) of Section 4.07(a) hereof,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other than </w:t>
      </w:r>
      <w:r>
        <w:rPr>
          <w:rFonts w:ascii="Times New Roman" w:cs="Times New Roman" w:eastAsia="Times New Roman" w:hAnsi="Times New Roman"/>
          <w:sz w:val="18"/>
          <w:szCs w:val="18"/>
          <w:color w:val="auto"/>
        </w:rPr>
        <w:t>(a)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 xml:space="preserve">restrictions that have been waived or otherwise released (or such Person reasonably believes such restriction could be waived or released and is using commercially reasonable efforts to pursue such waiver of release), (b) restrictions pursuant to the Credit Agreement, the Notes, this Indenture or any other Credit Facilities and (c) restrictions specified in Section 4.08(b)(18)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Income of the Issuer will be increased by the amount of dividends or other distributions or other payments actually paid in cash (or to the extent converted into cash) or Cash Equivalents to the Issuer or a Restricted Subsidiary thereof in respect of such period or that could have been distributed by such Restricted Subsidiary during such period to the Issuer or another Restricted Subsidiary as a dividend or other distribution, to the extent not</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already included therein;</w:t>
      </w:r>
    </w:p>
    <w:p>
      <w:pPr>
        <w:spacing w:after="0" w:line="193" w:lineRule="exact"/>
        <w:rPr>
          <w:rFonts w:ascii="Times New Roman" w:cs="Times New Roman" w:eastAsia="Times New Roman" w:hAnsi="Times New Roman"/>
          <w:sz w:val="19"/>
          <w:szCs w:val="19"/>
          <w:color w:val="auto"/>
        </w:rPr>
      </w:pPr>
    </w:p>
    <w:p>
      <w:pPr>
        <w:jc w:val="both"/>
        <w:ind w:firstLine="639"/>
        <w:spacing w:after="0" w:line="233" w:lineRule="auto"/>
        <w:tabs>
          <w:tab w:leader="none" w:pos="103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effects of adjustments (including the effects of such adjustments pushed down to the Issuer and its Restricted Subsidiaries) (including those required or permitted by Financial Accounting Standards Codification No. 805 and Financial Accounting Standards Codification No. 350 (or any successor provision or other financial accounting standard having a similar result or effect)) in the inventory, property and equipment, software, goodwill, other intangible assets, in-process research and development, deferred revenue, debt line items and other non-cash charges in such Person’s consolidated financial statements pursuant to GAAP and related authoritative pronouncements resulting from the application of recapitalization, purchase or acquisition method accounting in relation to the Transactions or any consummated acquisition or Investment or the amortization or write-off of any amounts thereof, net of Taxes, shall be excluded;</w:t>
      </w:r>
    </w:p>
    <w:p>
      <w:pPr>
        <w:spacing w:after="0" w:line="166" w:lineRule="exact"/>
        <w:rPr>
          <w:rFonts w:ascii="Times New Roman" w:cs="Times New Roman" w:eastAsia="Times New Roman" w:hAnsi="Times New Roman"/>
          <w:sz w:val="19"/>
          <w:szCs w:val="19"/>
          <w:color w:val="auto"/>
        </w:rPr>
      </w:pPr>
    </w:p>
    <w:p>
      <w:pPr>
        <w:ind w:right="20" w:firstLine="639"/>
        <w:spacing w:after="0" w:line="280" w:lineRule="auto"/>
        <w:tabs>
          <w:tab w:leader="none" w:pos="103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income (loss) from the early extinguishment or conversion of (a) Indebtedness, (b) Hedging Obligations or (c) other derivative instruments shall be excluded;</w:t>
      </w:r>
    </w:p>
    <w:p>
      <w:pPr>
        <w:spacing w:after="0" w:line="151" w:lineRule="exact"/>
        <w:rPr>
          <w:rFonts w:ascii="Times New Roman" w:cs="Times New Roman" w:eastAsia="Times New Roman" w:hAnsi="Times New Roman"/>
          <w:sz w:val="19"/>
          <w:szCs w:val="19"/>
          <w:color w:val="auto"/>
        </w:rPr>
      </w:pPr>
    </w:p>
    <w:p>
      <w:pPr>
        <w:jc w:val="both"/>
        <w:ind w:firstLine="639"/>
        <w:spacing w:after="0" w:line="241" w:lineRule="auto"/>
        <w:tabs>
          <w:tab w:leader="none" w:pos="103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GAAP, and the amortization of intangibles arising pursuant to GAAP shall be excluded;</w:t>
      </w:r>
    </w:p>
    <w:p>
      <w:pPr>
        <w:spacing w:after="0" w:line="161" w:lineRule="exact"/>
        <w:rPr>
          <w:rFonts w:ascii="Times New Roman" w:cs="Times New Roman" w:eastAsia="Times New Roman" w:hAnsi="Times New Roman"/>
          <w:sz w:val="19"/>
          <w:szCs w:val="19"/>
          <w:color w:val="auto"/>
        </w:rPr>
      </w:pPr>
    </w:p>
    <w:p>
      <w:pPr>
        <w:jc w:val="both"/>
        <w:ind w:firstLine="639"/>
        <w:spacing w:after="0" w:line="246" w:lineRule="auto"/>
        <w:tabs>
          <w:tab w:leader="none" w:pos="103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non-cash compensation charge or expense, including any such charge or expense arising from the grants of stock appreciation or similar rights, stock options, restricted stock or other rights or equity incentive programs, (ii) income (loss) attributable to deferred compensation plans or trusts, (iii) [reserved] and (iv) the amount of any expense required to be recorded as compensation expense related to contingent transaction consideration shall be excluded;</w:t>
      </w:r>
    </w:p>
    <w:p>
      <w:pPr>
        <w:spacing w:after="0" w:line="157" w:lineRule="exact"/>
        <w:rPr>
          <w:rFonts w:ascii="Times New Roman" w:cs="Times New Roman" w:eastAsia="Times New Roman" w:hAnsi="Times New Roman"/>
          <w:sz w:val="19"/>
          <w:szCs w:val="19"/>
          <w:color w:val="auto"/>
        </w:rPr>
      </w:pPr>
    </w:p>
    <w:p>
      <w:pPr>
        <w:ind w:firstLine="639"/>
        <w:spacing w:after="0" w:line="265" w:lineRule="auto"/>
        <w:tabs>
          <w:tab w:leader="none" w:pos="102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fees, expenses (including any transaction or retention bonus or similar payment) or charges incurred during such period, or any amortization thereof for such period, in connection with</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00"/>
          </w:cols>
          <w:pgMar w:left="1240" w:top="1440" w:right="559" w:bottom="1440" w:gutter="0" w:footer="0" w:header="0"/>
        </w:sectPr>
      </w:pPr>
    </w:p>
    <w:bookmarkStart w:id="68" w:name="page69"/>
    <w:bookmarkEnd w:id="68"/>
    <w:p>
      <w:pPr>
        <w:spacing w:after="0" w:line="17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any acquisition, non-recurring costs to acquire equipment to the extent not capitalized in accordance with GAAP, Investment, recapitalization, asset disposition, non-competition agreement, issuance, incurrence or repayment of Indebtedness (including such fees, expenses or charges related to the offering, syndication and/or incurrence of the Notes and any Credit Facilities), issuance of Equity Interests, refinancing transaction or amendment or modification of or waiver or consent relating to any debt instrument (including the Notes and any Credit Facilities) and including, in each case, without limitation, the Transaction Costs and any such transaction consummated prior to the Issue Date and any such transaction undertaken but not completed and any charges or non-recurring merger or amalgamation costs incurred during such period as a result of any such transaction, in each case whether or not successful (including, for avoidance of doubt, the effects of expensing all transaction-related expenses in accordance with Financial Accounting Standards Codification No. 805 (or any successor provision or other financial accounting standard having a similar result or effect) and gains or losses associated with Financial Accounting Standards Codification No. 460 (or any successor provision or other financial accounting standard having a similar result or effect)), shall be excluded;</w:t>
      </w:r>
    </w:p>
    <w:p>
      <w:pPr>
        <w:spacing w:after="0" w:line="33" w:lineRule="exact"/>
        <w:rPr>
          <w:sz w:val="20"/>
          <w:szCs w:val="20"/>
          <w:color w:val="auto"/>
        </w:rPr>
      </w:pPr>
    </w:p>
    <w:p>
      <w:pPr>
        <w:jc w:val="both"/>
        <w:ind w:right="20" w:firstLine="639"/>
        <w:spacing w:after="0" w:line="251" w:lineRule="auto"/>
        <w:tabs>
          <w:tab w:leader="none" w:pos="103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accruals and reserves that are established or adjusted as a result of the Transactions or an Investment permitted under this Indenture in accordance with GAAP (including any adjustment of estimated payouts on earn-outs) or changes as a result of the adoption or modification of accounting policies during such period shall be excluded;</w:t>
      </w:r>
    </w:p>
    <w:p>
      <w:pPr>
        <w:spacing w:after="0" w:line="151" w:lineRule="exact"/>
        <w:rPr>
          <w:rFonts w:ascii="Times New Roman" w:cs="Times New Roman" w:eastAsia="Times New Roman" w:hAnsi="Times New Roman"/>
          <w:sz w:val="19"/>
          <w:szCs w:val="19"/>
          <w:color w:val="auto"/>
        </w:rPr>
      </w:pPr>
    </w:p>
    <w:p>
      <w:pPr>
        <w:jc w:val="both"/>
        <w:ind w:right="20" w:firstLine="639"/>
        <w:spacing w:after="0" w:line="235" w:lineRule="auto"/>
        <w:tabs>
          <w:tab w:leader="none" w:pos="103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expenses, charges, lost profits or losses that are covered by indemnification, insurance or other reimbursement provisions in connection with the Transactions, any investment, acquisition or any sale, conveyance, transfer or other disposition of assets permitted under this Indenture, to the extent actually reimbursed, or, so long as the Issuer has made a determination that a reasonable basis exists for indemnification, insurance or reimbursement and only to the extent that such amount is (i) 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w:t>
      </w:r>
    </w:p>
    <w:p>
      <w:pPr>
        <w:spacing w:after="0" w:line="176" w:lineRule="exact"/>
        <w:rPr>
          <w:rFonts w:ascii="Times New Roman" w:cs="Times New Roman" w:eastAsia="Times New Roman" w:hAnsi="Times New Roman"/>
          <w:sz w:val="19"/>
          <w:szCs w:val="19"/>
          <w:color w:val="auto"/>
        </w:rPr>
      </w:pPr>
    </w:p>
    <w:p>
      <w:pPr>
        <w:jc w:val="both"/>
        <w:ind w:right="20" w:firstLine="639"/>
        <w:spacing w:after="0"/>
        <w:tabs>
          <w:tab w:leader="none" w:pos="103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covered by insurance and actually reimbursed, or, so long as the Issuer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w:t>
      </w:r>
    </w:p>
    <w:p>
      <w:pPr>
        <w:spacing w:after="0" w:line="163" w:lineRule="exact"/>
        <w:rPr>
          <w:rFonts w:ascii="Times New Roman" w:cs="Times New Roman" w:eastAsia="Times New Roman" w:hAnsi="Times New Roman"/>
          <w:sz w:val="19"/>
          <w:szCs w:val="19"/>
          <w:color w:val="auto"/>
        </w:rPr>
      </w:pPr>
    </w:p>
    <w:p>
      <w:pPr>
        <w:jc w:val="both"/>
        <w:ind w:firstLine="639"/>
        <w:spacing w:after="0" w:line="237" w:lineRule="auto"/>
        <w:tabs>
          <w:tab w:leader="none" w:pos="103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pension costs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Financial Accounting Standards Codification Topic 712 “Compensation—Nonretirement Postemployment Benefits” and Financial Accounting Standards Codification Topic 715 “Compensation— Retirement Benefits,” and any other non-cash items of a similar nature, shall be excluded;</w:t>
      </w:r>
    </w:p>
    <w:p>
      <w:pPr>
        <w:spacing w:after="0" w:line="176" w:lineRule="exact"/>
        <w:rPr>
          <w:rFonts w:ascii="Times New Roman" w:cs="Times New Roman" w:eastAsia="Times New Roman" w:hAnsi="Times New Roman"/>
          <w:sz w:val="19"/>
          <w:szCs w:val="19"/>
          <w:color w:val="auto"/>
        </w:rPr>
      </w:pPr>
    </w:p>
    <w:p>
      <w:pPr>
        <w:ind w:left="1280" w:hanging="641"/>
        <w:spacing w:after="0"/>
        <w:tabs>
          <w:tab w:leader="none" w:pos="128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Transaction Costs shall be excluded;</w:t>
      </w:r>
    </w:p>
    <w:p>
      <w:pPr>
        <w:spacing w:after="0" w:line="213" w:lineRule="exact"/>
        <w:rPr>
          <w:rFonts w:ascii="Times New Roman" w:cs="Times New Roman" w:eastAsia="Times New Roman" w:hAnsi="Times New Roman"/>
          <w:sz w:val="19"/>
          <w:szCs w:val="19"/>
          <w:color w:val="auto"/>
        </w:rPr>
      </w:pPr>
    </w:p>
    <w:p>
      <w:pPr>
        <w:ind w:right="40" w:firstLine="639"/>
        <w:spacing w:after="0" w:line="265" w:lineRule="auto"/>
        <w:tabs>
          <w:tab w:leader="none" w:pos="103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income (loss) from Investments recorded using the equity method of accounting (but including any cash dividends or distributions actually received by the Issuer or any Restricted Subsidiary in respect of such investment) shall be excluded;</w:t>
      </w:r>
    </w:p>
    <w:p>
      <w:pPr>
        <w:spacing w:after="0" w:line="179" w:lineRule="exact"/>
        <w:rPr>
          <w:rFonts w:ascii="Times New Roman" w:cs="Times New Roman" w:eastAsia="Times New Roman" w:hAnsi="Times New Roman"/>
          <w:sz w:val="19"/>
          <w:szCs w:val="19"/>
          <w:color w:val="auto"/>
        </w:rPr>
      </w:pPr>
    </w:p>
    <w:p>
      <w:pPr>
        <w:ind w:left="1280" w:hanging="641"/>
        <w:spacing w:after="0"/>
        <w:tabs>
          <w:tab w:leader="none" w:pos="128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items shall be excluded:</w:t>
      </w:r>
    </w:p>
    <w:p>
      <w:pPr>
        <w:spacing w:after="0" w:line="78" w:lineRule="exact"/>
        <w:rPr>
          <w:rFonts w:ascii="Times New Roman" w:cs="Times New Roman" w:eastAsia="Times New Roman" w:hAnsi="Times New Roman"/>
          <w:sz w:val="19"/>
          <w:szCs w:val="19"/>
          <w:color w:val="auto"/>
        </w:rPr>
      </w:pPr>
    </w:p>
    <w:p>
      <w:pPr>
        <w:jc w:val="both"/>
        <w:ind w:left="640" w:right="20" w:firstLine="647"/>
        <w:spacing w:after="0" w:line="237" w:lineRule="auto"/>
        <w:tabs>
          <w:tab w:leader="none" w:pos="156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non-cash gain or loss (after any offset) attributable to the mark to market movement in the valuation of Hedging Obligations or other derivative instruments pursuant to Financial Accounting Standards Codification No. 815— Derivatives and Hedging (or any successor provision or other financial accounting standard having a similar result or effect) and its related pronouncements or mark to market movement of non-U.S.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20"/>
          </w:cols>
          <w:pgMar w:left="1240" w:top="1440" w:right="539" w:bottom="1440" w:gutter="0" w:footer="0" w:header="0"/>
        </w:sectPr>
      </w:pPr>
    </w:p>
    <w:bookmarkStart w:id="69" w:name="page70"/>
    <w:bookmarkEnd w:id="69"/>
    <w:p>
      <w:pPr>
        <w:spacing w:after="0" w:line="51"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19"/>
          <w:szCs w:val="19"/>
          <w:color w:val="auto"/>
        </w:rPr>
        <w:t>Indebtedness, derivatives instruments or other financial instruments pursuant to GAAP, including Financial Accounting Standards Codification No. 825—Financial Instruments (or any successor provision or other financial accounting standard having a similar result or effect), or an alternative basis of accounting applied in lieu of GAAP, shall be excluded; provided that any cash payments or receipts relating to transactions realized in a given period shall be taken into account in such period,</w:t>
      </w:r>
    </w:p>
    <w:p>
      <w:pPr>
        <w:spacing w:after="0" w:line="42" w:lineRule="exact"/>
        <w:rPr>
          <w:sz w:val="20"/>
          <w:szCs w:val="20"/>
          <w:color w:val="auto"/>
        </w:rPr>
      </w:pPr>
    </w:p>
    <w:p>
      <w:pPr>
        <w:jc w:val="both"/>
        <w:ind w:left="1300" w:firstLine="647"/>
        <w:spacing w:after="0"/>
        <w:tabs>
          <w:tab w:leader="none" w:pos="2229"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non-cash gain or loss (after any offset) from currency translation and transaction gains or losses including those related to currency remeasurements of Indebtedness (including any net gain or loss resulting from hedging agreements for currency exchange risk and revaluations of intercompany balances), intercompany loans, accounts receivables, accounts payable, intercompany balances, other balance sheet items, Hedging Obligations or other obligations of the Issuer or any Restricted Subsidiary owing to the Issuer or any Restricted Subsidiary and any other realized or unrealized foreign exchange gains or losses relating to the translation of assets and liabilities denominated in foreign currencies; and</w:t>
      </w:r>
    </w:p>
    <w:p>
      <w:pPr>
        <w:spacing w:after="0" w:line="160" w:lineRule="exact"/>
        <w:rPr>
          <w:rFonts w:ascii="Times New Roman" w:cs="Times New Roman" w:eastAsia="Times New Roman" w:hAnsi="Times New Roman"/>
          <w:sz w:val="19"/>
          <w:szCs w:val="19"/>
          <w:color w:val="auto"/>
        </w:rPr>
      </w:pPr>
    </w:p>
    <w:p>
      <w:pPr>
        <w:jc w:val="both"/>
        <w:ind w:left="660" w:firstLine="639"/>
        <w:spacing w:after="0" w:line="244" w:lineRule="auto"/>
        <w:tabs>
          <w:tab w:leader="none" w:pos="1691"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non-cash expenses, accruals or reserves related to adjustments to historical tax exposures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in each case, that the cash payment in respect thereof in such future period shall be subtracted from Consolidated Net Income for the period in which such cash payment was made) shall be excluded.</w:t>
      </w:r>
    </w:p>
    <w:p>
      <w:pPr>
        <w:spacing w:after="0" w:line="157" w:lineRule="exact"/>
        <w:rPr>
          <w:sz w:val="20"/>
          <w:szCs w:val="20"/>
          <w:color w:val="auto"/>
        </w:rPr>
      </w:pPr>
    </w:p>
    <w:p>
      <w:pPr>
        <w:jc w:val="both"/>
        <w:ind w:firstLine="649"/>
        <w:spacing w:after="0" w:line="246" w:lineRule="auto"/>
        <w:rPr>
          <w:sz w:val="20"/>
          <w:szCs w:val="20"/>
          <w:color w:val="auto"/>
        </w:rPr>
      </w:pPr>
      <w:r>
        <w:rPr>
          <w:rFonts w:ascii="Times New Roman" w:cs="Times New Roman" w:eastAsia="Times New Roman" w:hAnsi="Times New Roman"/>
          <w:sz w:val="19"/>
          <w:szCs w:val="19"/>
          <w:color w:val="auto"/>
        </w:rPr>
        <w:t>In addition, to the extent not already included in Consolidated Net Income, notwithstanding anything to the contrary in the foregoing,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w:t>
      </w:r>
    </w:p>
    <w:p>
      <w:pPr>
        <w:spacing w:after="0" w:line="157"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Notwithstanding the foregoing, for the purpose of Section 4.07 hereof only, there shall be excluded from Consolidated Net Income any income arising from any sale or other disposition of Restricted Investments made by the Issuer and its Restricted Subsidiaries, any repurchases and redemptions of Restricted Investments from the Issuer and its Restricted Subsidiaries, any repayments of loans and advances which constitute Restricted Investments by the Issuer or any of its Restricted Subsidiaries, any sale or other disposition of the stock of an Unrestricted Subsidiary or any distribution or dividend from an Unrestricted Subsidiary, in each case only to the extent such amounts increase the amount of Restricted Payments permitted under clause (2)(d) of Section 4.07(a) hereof.</w:t>
      </w:r>
    </w:p>
    <w:p>
      <w:pPr>
        <w:spacing w:after="0" w:line="177" w:lineRule="exact"/>
        <w:rPr>
          <w:sz w:val="20"/>
          <w:szCs w:val="20"/>
          <w:color w:val="auto"/>
        </w:rPr>
      </w:pPr>
    </w:p>
    <w:p>
      <w:pPr>
        <w:jc w:val="both"/>
        <w:ind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Secured Net Debt Ratio</w:t>
      </w:r>
      <w:r>
        <w:rPr>
          <w:rFonts w:ascii="Times New Roman" w:cs="Times New Roman" w:eastAsia="Times New Roman" w:hAnsi="Times New Roman"/>
          <w:sz w:val="19"/>
          <w:szCs w:val="19"/>
          <w:color w:val="auto"/>
        </w:rPr>
        <w:t>” means, as of any date of determination, the ratio of (1) Consolidated Total Indebtedness secured by a Lien on the Collateral as of such date to (2) LTM EBITDA.</w:t>
      </w:r>
    </w:p>
    <w:p>
      <w:pPr>
        <w:spacing w:after="0" w:line="152" w:lineRule="exact"/>
        <w:rPr>
          <w:sz w:val="20"/>
          <w:szCs w:val="20"/>
          <w:color w:val="auto"/>
        </w:rPr>
      </w:pPr>
    </w:p>
    <w:p>
      <w:pPr>
        <w:jc w:val="both"/>
        <w:ind w:firstLine="64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means, as at any date of determination, an amount equal to (A) the sum of (1) the aggregate principal amount of all outstanding Indebtedness of the Issuer and its Restricted Subsidiaries on a consolidated basis consisting only of Indebtedness for borrowed money (excluding Indebtedness with respect to Cash Management Obligations, intercompany Indebtedness, Subordinated Indebtedness, Disqualified Stock, Preferred Stock of Restricted Subsidiaries and Indebtedness outstanding under any Credit Facilities that were used to finance working capital needs of the Issuer and its Restricted Subsidiaries (as reasonably determined by the Issuer) as of such date), drawn but unreimbursed obligations under letters of credit (provided that any unreimbursed amount under commercial letters of credit shall not be counted as Consolidated Total Indebtedness until five Business Days after such amount is drawn), Obligations in respect of Capitalized Lease Obligations, Purchase Money Obligations and debt obligations evidenced by promissory notes or similar instruments(but excluding (i) the effects of any discounting of Indebtedness resulting from the application of the acquisition method accounting in connection with any Investment permitted under this Indenture, (ii) obligations relating to Receivables Facilities and (iii) obligations under Hedging Obligations) and (2) the aggregate amount of all outstanding Disqualified Stock of the Issuer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determined on a consolidated basis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580" w:top="1440" w:right="559" w:bottom="1440" w:gutter="0" w:footer="0" w:header="0"/>
        </w:sectPr>
      </w:pPr>
    </w:p>
    <w:bookmarkStart w:id="70" w:name="page71"/>
    <w:bookmarkEnd w:id="70"/>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accordance with GAAP, minus (B) the aggregate amount of cash and Cash Equivalents included on the consolidated balance sheet of the Issuer and its Restricted Subsidiaries as of the end of the most recent fiscal period for which consolidated financial statements are available (which may, at the Issuer’s election, be internal financial statements) (provided that the cash proceeds of any proposed incurrence of Indebtedness shall not be included in this clause (B) for purposes of calculating the Consolidated Total Net Debt Ratio, Consolidated First Lien Net Debt Ratio or the Consolidated Secured Net Debt Ratio, as applicable), with such pro forma adjustments as are consistent with the pro forma adjustments set forth in the definition of “Fixed Charge Coverage Ratio.”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in good faith by the Issuer.</w:t>
      </w:r>
    </w:p>
    <w:p>
      <w:pPr>
        <w:spacing w:after="0" w:line="156" w:lineRule="exact"/>
        <w:rPr>
          <w:sz w:val="20"/>
          <w:szCs w:val="20"/>
          <w:color w:val="auto"/>
        </w:rPr>
      </w:pPr>
    </w:p>
    <w:p>
      <w:pPr>
        <w:jc w:val="both"/>
        <w:ind w:firstLine="649"/>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Net Debt Ratio</w:t>
      </w:r>
      <w:r>
        <w:rPr>
          <w:rFonts w:ascii="Times New Roman" w:cs="Times New Roman" w:eastAsia="Times New Roman" w:hAnsi="Times New Roman"/>
          <w:sz w:val="19"/>
          <w:szCs w:val="19"/>
          <w:color w:val="auto"/>
        </w:rPr>
        <w:t>” means, as of any date of determination, the ratio of (1) the Consolidated Total Indebtedness of the Issuer and its Restricted Subsidiaries as of such date to (2) LTM EBITDA.</w:t>
      </w:r>
    </w:p>
    <w:p>
      <w:pPr>
        <w:spacing w:after="0" w:line="166"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Contingent Obligations</w:t>
      </w:r>
      <w:r>
        <w:rPr>
          <w:rFonts w:ascii="Times New Roman" w:cs="Times New Roman" w:eastAsia="Times New Roman" w:hAnsi="Times New Roman"/>
          <w:sz w:val="19"/>
          <w:szCs w:val="19"/>
          <w:color w:val="auto"/>
        </w:rPr>
        <w:t>” means, with respect to any Person, any obligation of such Person guaranteeing in any manner, whether directly or indirectly, any Non-Financing Lease Obligation, dividend or other obligation that does not constitute Indebtedness (“</w:t>
      </w:r>
      <w:r>
        <w:rPr>
          <w:rFonts w:ascii="Times New Roman" w:cs="Times New Roman" w:eastAsia="Times New Roman" w:hAnsi="Times New Roman"/>
          <w:sz w:val="19"/>
          <w:szCs w:val="19"/>
          <w:i w:val="1"/>
          <w:iCs w:val="1"/>
          <w:color w:val="auto"/>
        </w:rPr>
        <w:t>primary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obligations</w:t>
      </w:r>
      <w:r>
        <w:rPr>
          <w:rFonts w:ascii="Times New Roman" w:cs="Times New Roman" w:eastAsia="Times New Roman" w:hAnsi="Times New Roman"/>
          <w:sz w:val="19"/>
          <w:szCs w:val="19"/>
          <w:color w:val="auto"/>
        </w:rPr>
        <w:t>”) of any other Person (the “</w:t>
      </w:r>
      <w:r>
        <w:rPr>
          <w:rFonts w:ascii="Times New Roman" w:cs="Times New Roman" w:eastAsia="Times New Roman" w:hAnsi="Times New Roman"/>
          <w:sz w:val="19"/>
          <w:szCs w:val="19"/>
          <w:i w:val="1"/>
          <w:iCs w:val="1"/>
          <w:color w:val="auto"/>
        </w:rPr>
        <w:t>primary obligor</w:t>
      </w:r>
      <w:r>
        <w:rPr>
          <w:rFonts w:ascii="Times New Roman" w:cs="Times New Roman" w:eastAsia="Times New Roman" w:hAnsi="Times New Roman"/>
          <w:sz w:val="19"/>
          <w:szCs w:val="19"/>
          <w:color w:val="auto"/>
        </w:rPr>
        <w:t>”), including any obligation of such Person, whether or not contingent,</w:t>
      </w:r>
    </w:p>
    <w:p>
      <w:pPr>
        <w:spacing w:after="0" w:line="157" w:lineRule="exact"/>
        <w:rPr>
          <w:sz w:val="20"/>
          <w:szCs w:val="20"/>
          <w:color w:val="auto"/>
        </w:rPr>
      </w:pPr>
    </w:p>
    <w:p>
      <w:pPr>
        <w:ind w:left="1680" w:hanging="381"/>
        <w:spacing w:after="0"/>
        <w:tabs>
          <w:tab w:leader="none" w:pos="168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purchase any such primary obligation or any property constituting direct or indirect security therefor,</w:t>
      </w:r>
    </w:p>
    <w:p>
      <w:pPr>
        <w:spacing w:after="0" w:line="227"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advance or supply funds</w:t>
      </w:r>
    </w:p>
    <w:p>
      <w:pPr>
        <w:spacing w:after="0" w:line="200" w:lineRule="exact"/>
        <w:rPr>
          <w:rFonts w:ascii="Times New Roman" w:cs="Times New Roman" w:eastAsia="Times New Roman" w:hAnsi="Times New Roman"/>
          <w:sz w:val="19"/>
          <w:szCs w:val="19"/>
          <w:color w:val="auto"/>
        </w:rPr>
      </w:pPr>
    </w:p>
    <w:p>
      <w:pPr>
        <w:ind w:left="2200" w:hanging="253"/>
        <w:spacing w:after="0"/>
        <w:tabs>
          <w:tab w:leader="none" w:pos="220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purchase or payment of any such primary obligation, or</w:t>
      </w:r>
    </w:p>
    <w:p>
      <w:pPr>
        <w:spacing w:after="0" w:line="213" w:lineRule="exact"/>
        <w:rPr>
          <w:rFonts w:ascii="Times New Roman" w:cs="Times New Roman" w:eastAsia="Times New Roman" w:hAnsi="Times New Roman"/>
          <w:sz w:val="19"/>
          <w:szCs w:val="19"/>
          <w:color w:val="auto"/>
        </w:rPr>
      </w:pPr>
    </w:p>
    <w:p>
      <w:pPr>
        <w:ind w:left="1300" w:right="20" w:firstLine="647"/>
        <w:spacing w:after="0" w:line="280" w:lineRule="auto"/>
        <w:tabs>
          <w:tab w:leader="none" w:pos="2231"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maintain working capital or equity capital of the primary obligor or otherwise to maintain the net worth or solvency of the primary obligor, or</w:t>
      </w:r>
    </w:p>
    <w:p>
      <w:pPr>
        <w:spacing w:after="0" w:line="124" w:lineRule="exact"/>
        <w:rPr>
          <w:rFonts w:ascii="Times New Roman" w:cs="Times New Roman" w:eastAsia="Times New Roman" w:hAnsi="Times New Roman"/>
          <w:sz w:val="19"/>
          <w:szCs w:val="19"/>
          <w:color w:val="auto"/>
        </w:rPr>
      </w:pPr>
    </w:p>
    <w:p>
      <w:pPr>
        <w:ind w:left="660" w:firstLine="639"/>
        <w:spacing w:after="0" w:line="280" w:lineRule="auto"/>
        <w:tabs>
          <w:tab w:leader="none" w:pos="1691"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25" w:lineRule="exact"/>
        <w:rPr>
          <w:sz w:val="20"/>
          <w:szCs w:val="20"/>
          <w:color w:val="auto"/>
        </w:rPr>
      </w:pPr>
    </w:p>
    <w:p>
      <w:pPr>
        <w:jc w:val="both"/>
        <w:ind w:right="20" w:firstLine="6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Controlled Investment Affiliate</w:t>
      </w:r>
      <w:r>
        <w:rPr>
          <w:rFonts w:ascii="Times New Roman" w:cs="Times New Roman" w:eastAsia="Times New Roman" w:hAnsi="Times New Roman"/>
          <w:sz w:val="19"/>
          <w:szCs w:val="19"/>
          <w:color w:val="auto"/>
        </w:rPr>
        <w:t>” 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the Issuer and/or other companies.</w:t>
      </w:r>
    </w:p>
    <w:p>
      <w:pPr>
        <w:spacing w:after="0" w:line="146"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Copyrights</w:t>
      </w:r>
      <w:r>
        <w:rPr>
          <w:rFonts w:ascii="Times New Roman" w:cs="Times New Roman" w:eastAsia="Times New Roman" w:hAnsi="Times New Roman"/>
          <w:sz w:val="19"/>
          <w:szCs w:val="19"/>
          <w:color w:val="auto"/>
        </w:rPr>
        <w:t>” means, with respect to any Person, all of the following now owned or hereafter acquired by such Person: (a) all copyrights in any work subject to the copyright laws of the United States, whether as author, assignee, transferee or otherwise and (b) all registrations and applications for registration of any such copyrights in the United States, including registrations, supplemental registrations and pending applications for registration in the United States Copyright Office.</w:t>
      </w:r>
    </w:p>
    <w:p>
      <w:pPr>
        <w:spacing w:after="0" w:line="175" w:lineRule="exact"/>
        <w:rPr>
          <w:sz w:val="20"/>
          <w:szCs w:val="20"/>
          <w:color w:val="auto"/>
        </w:rPr>
      </w:pPr>
    </w:p>
    <w:p>
      <w:pPr>
        <w:jc w:val="both"/>
        <w:ind w:right="20" w:firstLine="6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Copyright License</w:t>
      </w:r>
      <w:r>
        <w:rPr>
          <w:rFonts w:ascii="Times New Roman" w:cs="Times New Roman" w:eastAsia="Times New Roman" w:hAnsi="Times New Roman"/>
          <w:sz w:val="19"/>
          <w:szCs w:val="19"/>
          <w:color w:val="auto"/>
        </w:rPr>
        <w:t>” means any written agreement, now or hereafter in effect, granting to any Person any use right under any Copyright now or hereafter owned by any other Person or that such other Person otherwise has the right to license, and all rights of any such Person under any such agreement.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Jurisdiction</w:t>
      </w:r>
      <w:r>
        <w:rPr>
          <w:rFonts w:ascii="Times New Roman" w:cs="Times New Roman" w:eastAsia="Times New Roman" w:hAnsi="Times New Roman"/>
          <w:sz w:val="19"/>
          <w:szCs w:val="19"/>
          <w:color w:val="auto"/>
        </w:rPr>
        <w:t>” means (a) the United States (or any state, commonwealth or territory thereof or the District of Columbia) and</w:t>
      </w:r>
    </w:p>
    <w:p>
      <w:pPr>
        <w:spacing w:after="0" w:line="18" w:lineRule="exact"/>
        <w:rPr>
          <w:sz w:val="20"/>
          <w:szCs w:val="20"/>
          <w:color w:val="auto"/>
        </w:rPr>
      </w:pPr>
    </w:p>
    <w:p>
      <w:pPr>
        <w:ind w:left="260" w:hanging="259"/>
        <w:spacing w:after="0"/>
        <w:tabs>
          <w:tab w:leader="none" w:pos="26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jurisdiction that is a “Covered Jurisdiction” under the Credit Agreement.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22" w:lineRule="exact"/>
        <w:rPr>
          <w:rFonts w:ascii="Times New Roman" w:cs="Times New Roman" w:eastAsia="Times New Roman" w:hAnsi="Times New Roman"/>
          <w:sz w:val="19"/>
          <w:szCs w:val="19"/>
          <w:color w:val="auto"/>
        </w:rPr>
      </w:pPr>
    </w:p>
    <w:p>
      <w:pPr>
        <w:ind w:left="52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-16-</w:t>
      </w:r>
    </w:p>
    <w:p>
      <w:pPr>
        <w:sectPr>
          <w:pgSz w:w="11900" w:h="16838" w:orient="portrait"/>
          <w:cols w:equalWidth="0" w:num="1">
            <w:col w:w="10760"/>
          </w:cols>
          <w:pgMar w:left="580" w:top="1440" w:right="559" w:bottom="1440" w:gutter="0" w:footer="0" w:header="0"/>
        </w:sectPr>
      </w:pPr>
    </w:p>
    <w:bookmarkStart w:id="71" w:name="page72"/>
    <w:bookmarkEnd w:id="71"/>
    <w:p>
      <w:pPr>
        <w:spacing w:after="0" w:line="186" w:lineRule="exact"/>
        <w:rPr>
          <w:sz w:val="20"/>
          <w:szCs w:val="20"/>
          <w:color w:val="auto"/>
        </w:rPr>
      </w:pPr>
    </w:p>
    <w:p>
      <w:pPr>
        <w:jc w:val="both"/>
        <w:ind w:right="20" w:firstLine="649"/>
        <w:spacing w:after="0" w:line="23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means that certain Credit Agreement, by and among Sotera Health Company, the Issuer, the guarantors from time to time party thereto, J.P. Morgan Chase Bank, N.A. as first lien administrative agent and first lien collateral agent (in such capacity, the “</w:t>
      </w:r>
      <w:r>
        <w:rPr>
          <w:rFonts w:ascii="Times New Roman" w:cs="Times New Roman" w:eastAsia="Times New Roman" w:hAnsi="Times New Roman"/>
          <w:sz w:val="19"/>
          <w:szCs w:val="19"/>
          <w:u w:val="single" w:color="auto"/>
          <w:color w:val="auto"/>
        </w:rPr>
        <w:t>Credit Agreement Administrative Agent</w:t>
      </w:r>
      <w:r>
        <w:rPr>
          <w:rFonts w:ascii="Times New Roman" w:cs="Times New Roman" w:eastAsia="Times New Roman" w:hAnsi="Times New Roman"/>
          <w:sz w:val="19"/>
          <w:szCs w:val="19"/>
          <w:color w:val="auto"/>
        </w:rPr>
        <w:t xml:space="preserve">”), dated as of December 13, 2019 (as amended on December 17, 2020, January 20, 2021, January 20, 2021, March 26, 2021, December 23, 2021, March 24, 2022, March 21, 2023, June 22, 2023, March 1, 2024 and the Issue Date), and each lender from time to time party thereto, together with the related documents thereto (including the revolving loans thereunder, any letters of credit and reimbursement obligations related thereto, any Guarantees and security documents), as amended, extended, renewed, restated, refunded, replaced, refinanced, supplemented, modified or otherwise changed (in whole or in part, and without limitation as to amount, terms, conditions, covenants and other provisions) from time to time, and any one or more agreements (and related documents) governing Indebtedness, incurred to refinance, substitute, supplement, replace or add to (including increasing the amount available for borrowing or adding or removing any Person as a borrower, issuer or guarantor thereunder, in whole or in part), the borrowings and commitments then outstanding or permitted to be outstanding under such Credit Agreements or one or more successors to the Credit Agreements or one or more new credit agreements;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Credit Agreement shall not include (i) any indenture for debt securities or (ii) any Indebtedness that is contractually subordinated in right of payment to the Notes.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 Collateral Agent</w:t>
      </w:r>
      <w:r>
        <w:rPr>
          <w:rFonts w:ascii="Times New Roman" w:cs="Times New Roman" w:eastAsia="Times New Roman" w:hAnsi="Times New Roman"/>
          <w:sz w:val="19"/>
          <w:szCs w:val="19"/>
          <w:color w:val="auto"/>
        </w:rPr>
        <w:t>” means the collateral agent under the Credit Agreement, which, on the Issue Date will be, J.P.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Morgan Chase Bank, N.A.</w:t>
      </w:r>
    </w:p>
    <w:p>
      <w:pPr>
        <w:spacing w:after="0" w:line="185" w:lineRule="exact"/>
        <w:rPr>
          <w:sz w:val="20"/>
          <w:szCs w:val="20"/>
          <w:color w:val="auto"/>
        </w:rPr>
      </w:pPr>
    </w:p>
    <w:p>
      <w:pPr>
        <w:ind w:right="40" w:firstLine="649"/>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Obligations</w:t>
      </w:r>
      <w:r>
        <w:rPr>
          <w:rFonts w:ascii="Times New Roman" w:cs="Times New Roman" w:eastAsia="Times New Roman" w:hAnsi="Times New Roman"/>
          <w:sz w:val="18"/>
          <w:szCs w:val="18"/>
          <w:color w:val="auto"/>
        </w:rPr>
        <w:t>” means any obligation to pay any unpaid principal and interest on loans made under the Credit Agreement, any letter of credit reimbursement obligations owing under the Credit Agreement, and all other Obligations of the Issuer and any guarantor or other co -obligor under the Credit Agreement, whether direct or indirect, absolute or contingent, due or to become due, or now existing or hereafter incurred, which may arise under, out of or in connection with, the Credit Agreement and the related loan documentation, in each case, whether on account of principal, interest, guarantee obligations, reimbursement obligations, fees, indemnities, costs, expenses or otherwise (including, without limitation, fees and disbursements of counsel of any holder of Credit Agreement Obligations that are required to be paid by the Issuer or any guarantor or co-obligor pursuant to the terms of the relevant loan documentation).</w:t>
      </w:r>
    </w:p>
    <w:p>
      <w:pPr>
        <w:spacing w:after="0" w:line="171" w:lineRule="exact"/>
        <w:rPr>
          <w:sz w:val="20"/>
          <w:szCs w:val="20"/>
          <w:color w:val="auto"/>
        </w:rPr>
      </w:pPr>
    </w:p>
    <w:p>
      <w:pPr>
        <w:jc w:val="both"/>
        <w:ind w:right="20"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Corporate Trust Office</w:t>
      </w:r>
      <w:r>
        <w:rPr>
          <w:rFonts w:ascii="Times New Roman" w:cs="Times New Roman" w:eastAsia="Times New Roman" w:hAnsi="Times New Roman"/>
          <w:sz w:val="19"/>
          <w:szCs w:val="19"/>
          <w:color w:val="auto"/>
        </w:rPr>
        <w:t>” when used with respect to the Trustee, shall be at the address of the Trustee specified in Section 12.02 hereof or such other address as to which the Trustee may give notice to the Holders and the Issuer and when used with respect to the Notes Collateral Agent, shall be at the address of the Notes Collateral Agent specified in Section 12.02 hereof or such other address as to which the Notes Collateral Agent may give notice to the Holders and the Issuer.</w:t>
      </w:r>
    </w:p>
    <w:p>
      <w:pPr>
        <w:spacing w:after="0" w:line="175" w:lineRule="exact"/>
        <w:rPr>
          <w:sz w:val="20"/>
          <w:szCs w:val="20"/>
          <w:color w:val="auto"/>
        </w:rPr>
      </w:pPr>
    </w:p>
    <w:p>
      <w:pPr>
        <w:jc w:val="both"/>
        <w:ind w:firstLine="64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with respect to the Issuer or any of its Subsidiaries, one or more debt facilities (including the Credit Agreement), indentures or other arrangements,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terms “Credit Facility” and “Credit Facilities” shall include any agreement or instrument (i) changing the maturity of any Indebtedness Incurred thereunder or contemplated thereby, (ii) adding Subsidiaries of the Issuer as additional borrowers or guarantors thereunder, (iii) increasing the amount of Indebtedness Incurred thereunder or available to be borrowed thereunder or</w:t>
      </w:r>
    </w:p>
    <w:p>
      <w:pPr>
        <w:spacing w:after="0" w:line="5" w:lineRule="exact"/>
        <w:rPr>
          <w:sz w:val="20"/>
          <w:szCs w:val="20"/>
          <w:color w:val="auto"/>
        </w:rPr>
      </w:pPr>
    </w:p>
    <w:p>
      <w:pPr>
        <w:ind w:firstLine="1"/>
        <w:spacing w:after="0" w:line="234" w:lineRule="auto"/>
        <w:tabs>
          <w:tab w:leader="none" w:pos="32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otherwise altering the terms and conditions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increase in borrowings is permitted under the covenant described under Section 4.09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580" w:top="1440" w:right="559" w:bottom="1440" w:gutter="0" w:footer="0" w:header="0"/>
        </w:sectPr>
      </w:pPr>
    </w:p>
    <w:bookmarkStart w:id="72" w:name="page73"/>
    <w:bookmarkEnd w:id="72"/>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Custodian</w:t>
      </w:r>
      <w:r>
        <w:rPr>
          <w:rFonts w:ascii="Times New Roman" w:cs="Times New Roman" w:eastAsia="Times New Roman" w:hAnsi="Times New Roman"/>
          <w:sz w:val="19"/>
          <w:szCs w:val="19"/>
          <w:color w:val="auto"/>
        </w:rPr>
        <w:t>” means the Trustee, as custodian for the Depositary with respect to the Notes in global form, or any successor entity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thereto.</w:t>
      </w:r>
    </w:p>
    <w:p>
      <w:pPr>
        <w:spacing w:after="0" w:line="158"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xml:space="preserve">” means any event that is, or with the passage of time or the giving of notice or both would be, an Event of Default;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165"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Definitive Note</w:t>
      </w:r>
      <w:r>
        <w:rPr>
          <w:rFonts w:ascii="Times New Roman" w:cs="Times New Roman" w:eastAsia="Times New Roman" w:hAnsi="Times New Roman"/>
          <w:sz w:val="19"/>
          <w:szCs w:val="19"/>
          <w:color w:val="auto"/>
        </w:rPr>
        <w:t xml:space="preserve">” means a certificated Note registered in the name of the Holder thereof and issued in accordance with Sections 2.06(c) or 2.06(e) hereof, as applicable,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except that such Note shall not bear the Global Note Legend and shall not have the “Schedule of Increases and Decreases in the Global Note” attached thereto.</w:t>
      </w:r>
    </w:p>
    <w:p>
      <w:pPr>
        <w:spacing w:after="0" w:line="3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Delaware Divided LLC</w:t>
      </w:r>
      <w:r>
        <w:rPr>
          <w:rFonts w:ascii="Times New Roman" w:cs="Times New Roman" w:eastAsia="Times New Roman" w:hAnsi="Times New Roman"/>
          <w:sz w:val="19"/>
          <w:szCs w:val="19"/>
          <w:color w:val="auto"/>
        </w:rPr>
        <w:t>” means any Delaware LLC which has been formed upon the consummation of a Delaware LLC Division.</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Delaware LLC</w:t>
      </w:r>
      <w:r>
        <w:rPr>
          <w:rFonts w:ascii="Times New Roman" w:cs="Times New Roman" w:eastAsia="Times New Roman" w:hAnsi="Times New Roman"/>
          <w:sz w:val="19"/>
          <w:szCs w:val="19"/>
          <w:color w:val="auto"/>
        </w:rPr>
        <w:t>” means any limited liability company organized or formed under the laws of the State of Delaware.</w:t>
      </w:r>
    </w:p>
    <w:p>
      <w:pPr>
        <w:spacing w:after="0" w:line="214"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Delaware LLC Division</w:t>
      </w:r>
      <w:r>
        <w:rPr>
          <w:rFonts w:ascii="Times New Roman" w:cs="Times New Roman" w:eastAsia="Times New Roman" w:hAnsi="Times New Roman"/>
          <w:sz w:val="19"/>
          <w:szCs w:val="19"/>
          <w:color w:val="auto"/>
        </w:rPr>
        <w:t>” means the statutory division of any Dela ware LLC into two or more Delaware LLCs pursuant to Section 18-217 of the Delaware Limited Liability Company Act.</w:t>
      </w:r>
    </w:p>
    <w:p>
      <w:pPr>
        <w:spacing w:after="0" w:line="111"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Depositary</w:t>
      </w:r>
      <w:r>
        <w:rPr>
          <w:rFonts w:ascii="Times New Roman" w:cs="Times New Roman" w:eastAsia="Times New Roman" w:hAnsi="Times New Roman"/>
          <w:sz w:val="19"/>
          <w:szCs w:val="19"/>
          <w:color w:val="auto"/>
        </w:rPr>
        <w:t>” means, with respect to the Notes issued in whole or in part in global form, DTC, until a successor Depositary, if any, shall have become such pursuant to this Indenture, and thereafter “Depositary” shall mean or include each Person who is then a Depositary hereunder.</w:t>
      </w:r>
    </w:p>
    <w:p>
      <w:pPr>
        <w:spacing w:after="0" w:line="165"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Derivative Instrument</w:t>
      </w:r>
      <w:r>
        <w:rPr>
          <w:rFonts w:ascii="Times New Roman" w:cs="Times New Roman" w:eastAsia="Times New Roman" w:hAnsi="Times New Roman"/>
          <w:sz w:val="19"/>
          <w:szCs w:val="19"/>
          <w:color w:val="auto"/>
        </w:rPr>
        <w:t xml:space="preserve">”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Holdings and/or any one or more of the Guarantors (the “ </w:t>
      </w:r>
      <w:r>
        <w:rPr>
          <w:rFonts w:ascii="Times New Roman" w:cs="Times New Roman" w:eastAsia="Times New Roman" w:hAnsi="Times New Roman"/>
          <w:sz w:val="19"/>
          <w:szCs w:val="19"/>
          <w:u w:val="single" w:color="auto"/>
          <w:color w:val="auto"/>
        </w:rPr>
        <w:t>Performance References</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Non-cash Consideration</w:t>
      </w:r>
      <w:r>
        <w:rPr>
          <w:rFonts w:ascii="Times New Roman" w:cs="Times New Roman" w:eastAsia="Times New Roman" w:hAnsi="Times New Roman"/>
          <w:sz w:val="19"/>
          <w:szCs w:val="19"/>
          <w:color w:val="auto"/>
        </w:rPr>
        <w:t>” means the fair market value of non-cash consideration received by the Issuer or a Restricted Subsidiary in connection with an Asset Sale that is so designated as Designated Non -cash Consideration pursuant to an Officer’s Certificate, setting forth the basis of such valuation, less the amount of cash or Cash Equivalents received in connection with a subsequent retirement, sale, redemption, repurchase or other disposition of or collection or payment on such Designated Non-cash Consideration. A particular item of Designated Non-cash Consideration will no longer be considered to be outstanding when and to the extent it has been paid, redeemed or otherwise retired or sold or otherwise disposed of in compliance with Section 4.10 hereof.</w:t>
      </w:r>
    </w:p>
    <w:p>
      <w:pPr>
        <w:spacing w:after="0" w:line="161"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Preferred Stock</w:t>
      </w:r>
      <w:r>
        <w:rPr>
          <w:rFonts w:ascii="Times New Roman" w:cs="Times New Roman" w:eastAsia="Times New Roman" w:hAnsi="Times New Roman"/>
          <w:sz w:val="19"/>
          <w:szCs w:val="19"/>
          <w:color w:val="auto"/>
        </w:rPr>
        <w:t>” means Preferred Stock of the Issuer or a Parent Entity (other than Disqualified Stock) that is issued for cash (other than to the Issuer or a Subsidiary of the Issuer or an employee stock ownership plan or trust established by the Issuer or any such Subsidiary for the benefit of their employees to the extent funded by the Issuer or such Subsidiary) and that is designated as “Designated Preferred Stock” pursuant to an Officer’s Certificate of the Issuer at or prior to the issuance thereof, the net cash proceeds of which are excluded from the calculation set forth in clause (2) of Section 4.07(a) hereof.</w:t>
      </w:r>
    </w:p>
    <w:p>
      <w:pPr>
        <w:spacing w:after="0" w:line="150" w:lineRule="exact"/>
        <w:rPr>
          <w:sz w:val="20"/>
          <w:szCs w:val="20"/>
          <w:color w:val="auto"/>
        </w:rPr>
      </w:pPr>
    </w:p>
    <w:p>
      <w:pPr>
        <w:jc w:val="both"/>
        <w:ind w:right="20"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Disinterested Director</w:t>
      </w:r>
      <w:r>
        <w:rPr>
          <w:rFonts w:ascii="Times New Roman" w:cs="Times New Roman" w:eastAsia="Times New Roman" w:hAnsi="Times New Roman"/>
          <w:sz w:val="19"/>
          <w:szCs w:val="19"/>
          <w:color w:val="auto"/>
        </w:rPr>
        <w:t>”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Issuer or any options, warrants or other rights in respect of such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60"/>
          </w:cols>
          <w:pgMar w:left="580" w:top="1440" w:right="559" w:bottom="1440" w:gutter="0" w:footer="0" w:header="0"/>
        </w:sectPr>
      </w:pPr>
    </w:p>
    <w:bookmarkStart w:id="73" w:name="page74"/>
    <w:bookmarkEnd w:id="73"/>
    <w:p>
      <w:pPr>
        <w:spacing w:after="0" w:line="199" w:lineRule="exact"/>
        <w:rPr>
          <w:sz w:val="20"/>
          <w:szCs w:val="20"/>
          <w:color w:val="auto"/>
        </w:rPr>
      </w:pPr>
    </w:p>
    <w:p>
      <w:pPr>
        <w:jc w:val="both"/>
        <w:ind w:firstLine="649"/>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Stock</w:t>
      </w:r>
      <w:r>
        <w:rPr>
          <w:rFonts w:ascii="Times New Roman" w:cs="Times New Roman" w:eastAsia="Times New Roman" w:hAnsi="Times New Roman"/>
          <w:sz w:val="19"/>
          <w:szCs w:val="19"/>
          <w:color w:val="auto"/>
        </w:rPr>
        <w:t xml:space="preserve">” means, with respect to any Person, any Capital Stock of such Person which, by its terms, or by the terms of any security into which it is convertible or for which it is puttable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earlier of (a) the Stated Maturity of the Notes or (b) the date on which there are no Notes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Issuer to repurchase such Capital Stock upon the occurrence of a change of control or asset sale (howsoever defined or referred to) shall not constitute Disqualified Stock if any such redemption or repurchase obligation is subject to compliance by the relevant Person with Section 4.07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such Capital Stock is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the Issuer, any of its Subsidiaries, any Parent Entity or any other entity in which the Issuer or a Restricted Subsidiary has an Investment and is designated in good faith as an “affiliate” by the Board of Directors of the Issuer or a Restricted Subsidiary (or the compensation committee thereof) or any other plan for the benefit of current, former or future employees (or their respective Controlled Investment Affiliates or Immediate Family Members) of the Issuer or its Subsidiaries or by any such plan to such employees (or their respective Controlled Investment Affiliates or Immediate Family Members), such Capital Stock shall not constitute Disqualified Stock solely because it may be required to be repurchased by the Issuer or its Subsidiaries in order to satisfy applicable statutory or regulatory obligations. Notwithstanding the preceding sentence, any Capital Stock that would constitute Disqualified Stock solely because the holders of the Capital Stock have the right to require the Issuer to repurchase such Capital Stock upon the occurrence of a Change of Control or an Asset Sale will not constitute Disqualified Stock if the terms of such Capital Stock (and all such securities into which it is convertible or for which it is ratable or exchangeable) provide that the Issuer may not repurchase or redeem any such Capital Stock (and all such securities into which it is convertible or for which it is ratable or exchangeable) pursuant to such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provisions unless such repurchase or redemption complies with the terms of this Indenture. “</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means the lawful</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currency of the United States of America.</w:t>
      </w:r>
    </w:p>
    <w:p>
      <w:pPr>
        <w:spacing w:after="0" w:line="79" w:lineRule="exact"/>
        <w:rPr>
          <w:sz w:val="20"/>
          <w:szCs w:val="20"/>
          <w:color w:val="auto"/>
        </w:rPr>
      </w:pPr>
    </w:p>
    <w:p>
      <w:pPr>
        <w:ind w:right="220" w:firstLine="649"/>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Foreign Holdco</w:t>
      </w:r>
      <w:r>
        <w:rPr>
          <w:rFonts w:ascii="Times New Roman" w:cs="Times New Roman" w:eastAsia="Times New Roman" w:hAnsi="Times New Roman"/>
          <w:sz w:val="19"/>
          <w:szCs w:val="19"/>
          <w:color w:val="auto"/>
        </w:rPr>
        <w:t>” means any Subsidiary substantially all of whose assets (directly and/or indirectly through one or more Subsidiaries) are capital stock (and, if applicable, debt) of one or more Subsidiaries that are CFCs.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means, with respect to any Person, any Restricted Subsidiary of such Person other than a Foreign Subsidiary.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DTC</w:t>
      </w:r>
      <w:r>
        <w:rPr>
          <w:rFonts w:ascii="Times New Roman" w:cs="Times New Roman" w:eastAsia="Times New Roman" w:hAnsi="Times New Roman"/>
          <w:sz w:val="19"/>
          <w:szCs w:val="19"/>
          <w:color w:val="auto"/>
        </w:rPr>
        <w:t>” means The Depository Trust Company or any successor securities clearing agency.</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EBITDA</w:t>
      </w:r>
      <w:r>
        <w:rPr>
          <w:rFonts w:ascii="Times New Roman" w:cs="Times New Roman" w:eastAsia="Times New Roman" w:hAnsi="Times New Roman"/>
          <w:sz w:val="19"/>
          <w:szCs w:val="19"/>
          <w:color w:val="auto"/>
        </w:rPr>
        <w:t>” means, with respect to any Person for any period, the Consolidated Net Income of such Person for such period:</w:t>
      </w:r>
    </w:p>
    <w:p>
      <w:pPr>
        <w:spacing w:after="0" w:line="200" w:lineRule="exact"/>
        <w:rPr>
          <w:sz w:val="20"/>
          <w:szCs w:val="20"/>
          <w:color w:val="auto"/>
        </w:rPr>
      </w:pPr>
    </w:p>
    <w:p>
      <w:pPr>
        <w:ind w:left="660" w:firstLine="639"/>
        <w:spacing w:after="0" w:line="295" w:lineRule="auto"/>
        <w:tabs>
          <w:tab w:leader="none" w:pos="169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(without duplication) by the following, in each case, to the extent deducted (and not added back) in arriving at Consolidated Net Income of such Person for such period:</w:t>
      </w:r>
    </w:p>
    <w:p>
      <w:pPr>
        <w:spacing w:after="0" w:line="124" w:lineRule="exact"/>
        <w:rPr>
          <w:rFonts w:ascii="Times New Roman" w:cs="Times New Roman" w:eastAsia="Times New Roman" w:hAnsi="Times New Roman"/>
          <w:sz w:val="19"/>
          <w:szCs w:val="19"/>
          <w:color w:val="auto"/>
        </w:rPr>
      </w:pPr>
    </w:p>
    <w:p>
      <w:pPr>
        <w:jc w:val="both"/>
        <w:ind w:left="1300" w:firstLine="647"/>
        <w:spacing w:after="0" w:line="235" w:lineRule="auto"/>
        <w:tabs>
          <w:tab w:leader="none" w:pos="2241"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provision for Taxes based on income, profits, revenue or capital, including, without limitation, federal, foreign and state, provincial, territorial, local, unitary, excise, property, value added, franchise, excise and similar Taxes (such as Dela ware franchise tax, Pennsylvania capital tax, Texas margin tax and provincial capital taxes paid in Canada) based on income, profits, revenue or capital and withholding Taxes (including any future taxes or other levies which replace or are intended to be in lieu of such taxes and any penalties and interest related to such taxes or arising from tax examinations) and similar Taxes of such Person paid or accrued during such period, including in respect of repatriated funds,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60"/>
          </w:cols>
          <w:pgMar w:left="580" w:top="1440" w:right="559" w:bottom="1440" w:gutter="0" w:footer="0" w:header="0"/>
        </w:sectPr>
      </w:pPr>
    </w:p>
    <w:bookmarkStart w:id="74" w:name="page75"/>
    <w:bookmarkEnd w:id="74"/>
    <w:p>
      <w:pPr>
        <w:spacing w:after="0" w:line="186" w:lineRule="exact"/>
        <w:rPr>
          <w:sz w:val="20"/>
          <w:szCs w:val="20"/>
          <w:color w:val="auto"/>
        </w:rPr>
      </w:pPr>
    </w:p>
    <w:p>
      <w:pPr>
        <w:jc w:val="both"/>
        <w:ind w:left="440"/>
        <w:spacing w:after="0" w:line="241" w:lineRule="auto"/>
        <w:rPr>
          <w:sz w:val="20"/>
          <w:szCs w:val="20"/>
          <w:color w:val="auto"/>
        </w:rPr>
      </w:pPr>
      <w:r>
        <w:rPr>
          <w:rFonts w:ascii="Times New Roman" w:cs="Times New Roman" w:eastAsia="Times New Roman" w:hAnsi="Times New Roman"/>
          <w:sz w:val="19"/>
          <w:szCs w:val="19"/>
          <w:color w:val="auto"/>
        </w:rPr>
        <w:t xml:space="preserve">future Taxes or other levies which replace or are intended to be in lieu of such Taxes and any penalties and interest related to such Taxes or arising from any Tax examinations, (y) any distributions made to a Parent Entity with respect to the foregoing and (z) the net tax expense associated with any adjustments made pursuant to clauses (1) through (19) of the definition of “Consolidated Net Income”; </w:t>
      </w:r>
      <w:r>
        <w:rPr>
          <w:rFonts w:ascii="Times New Roman" w:cs="Times New Roman" w:eastAsia="Times New Roman" w:hAnsi="Times New Roman"/>
          <w:sz w:val="19"/>
          <w:szCs w:val="19"/>
          <w:i w:val="1"/>
          <w:iCs w:val="1"/>
          <w:color w:val="auto"/>
        </w:rPr>
        <w:t>plus</w:t>
      </w:r>
    </w:p>
    <w:p>
      <w:pPr>
        <w:spacing w:after="0" w:line="27" w:lineRule="exact"/>
        <w:rPr>
          <w:sz w:val="20"/>
          <w:szCs w:val="20"/>
          <w:color w:val="auto"/>
        </w:rPr>
      </w:pPr>
    </w:p>
    <w:p>
      <w:pPr>
        <w:jc w:val="both"/>
        <w:ind w:left="440" w:firstLine="647"/>
        <w:spacing w:after="0" w:line="232" w:lineRule="auto"/>
        <w:tabs>
          <w:tab w:leader="none" w:pos="1356"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Fixed Charges of such Person for such period (including (1) premium payments, debt discount, fees, charges and related expenses incurred in connection with borrowed money (including capitalized interest) or in connection with the deferred purchase price of assets, (2) the portion of rent expense with respect to such period under Capitalized Lease Obligations that is treated as interest expense in accordance with GAAP, (3) the implied interest component of synthetic leases with respect to such period, (4) net payments and losses on any Hedging Obligations or other derivative instruments,</w:t>
      </w:r>
    </w:p>
    <w:p>
      <w:pPr>
        <w:spacing w:after="0" w:line="3" w:lineRule="exact"/>
        <w:rPr>
          <w:rFonts w:ascii="Times New Roman" w:cs="Times New Roman" w:eastAsia="Times New Roman" w:hAnsi="Times New Roman"/>
          <w:sz w:val="19"/>
          <w:szCs w:val="19"/>
          <w:color w:val="auto"/>
        </w:rPr>
      </w:pPr>
    </w:p>
    <w:p>
      <w:pPr>
        <w:ind w:left="720" w:hanging="281"/>
        <w:spacing w:after="0" w:line="237" w:lineRule="auto"/>
        <w:tabs>
          <w:tab w:leader="none" w:pos="72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 letter of credit and other financing fees and costs of surety bonds in connection with financing activities and (6)</w:t>
      </w:r>
    </w:p>
    <w:p>
      <w:pPr>
        <w:ind w:left="440"/>
        <w:spacing w:after="0" w:line="225" w:lineRule="auto"/>
        <w:rPr>
          <w:sz w:val="20"/>
          <w:szCs w:val="20"/>
          <w:color w:val="auto"/>
        </w:rPr>
      </w:pPr>
      <w:r>
        <w:rPr>
          <w:rFonts w:ascii="Times New Roman" w:cs="Times New Roman" w:eastAsia="Times New Roman" w:hAnsi="Times New Roman"/>
          <w:sz w:val="19"/>
          <w:szCs w:val="19"/>
          <w:color w:val="auto"/>
        </w:rPr>
        <w:t>any commissions, discounts, yield and other fees and charges (including any interest expense) related to any Receivables Facility, in each case, to the extent included in Fixed Charges), together with items excluded from the definition of</w:t>
      </w:r>
    </w:p>
    <w:p>
      <w:pPr>
        <w:spacing w:after="0" w:line="1" w:lineRule="exact"/>
        <w:rPr>
          <w:sz w:val="20"/>
          <w:szCs w:val="20"/>
          <w:color w:val="auto"/>
        </w:rPr>
      </w:pPr>
    </w:p>
    <w:p>
      <w:pPr>
        <w:ind w:left="440"/>
        <w:spacing w:after="0" w:line="246" w:lineRule="auto"/>
        <w:rPr>
          <w:sz w:val="20"/>
          <w:szCs w:val="20"/>
          <w:color w:val="auto"/>
        </w:rPr>
      </w:pPr>
      <w:r>
        <w:rPr>
          <w:rFonts w:ascii="Times New Roman" w:cs="Times New Roman" w:eastAsia="Times New Roman" w:hAnsi="Times New Roman"/>
          <w:sz w:val="20"/>
          <w:szCs w:val="20"/>
          <w:color w:val="auto"/>
        </w:rPr>
        <w:t xml:space="preserve">“Consolidated Interest Expense” pursuant to clauses 1(i) through 1(xii) thereof;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(c) Consolidated Depreciation and Amortization Expense of such Person for such period; </w:t>
      </w:r>
      <w:r>
        <w:rPr>
          <w:rFonts w:ascii="Times New Roman" w:cs="Times New Roman" w:eastAsia="Times New Roman" w:hAnsi="Times New Roman"/>
          <w:sz w:val="20"/>
          <w:szCs w:val="20"/>
          <w:i w:val="1"/>
          <w:iCs w:val="1"/>
          <w:color w:val="auto"/>
        </w:rPr>
        <w:t>plus</w:t>
      </w:r>
    </w:p>
    <w:p>
      <w:pPr>
        <w:spacing w:after="0" w:line="151" w:lineRule="exact"/>
        <w:rPr>
          <w:sz w:val="20"/>
          <w:szCs w:val="20"/>
          <w:color w:val="auto"/>
        </w:rPr>
      </w:pPr>
    </w:p>
    <w:p>
      <w:pPr>
        <w:jc w:val="both"/>
        <w:ind w:left="440" w:firstLine="647"/>
        <w:spacing w:after="0" w:line="235" w:lineRule="auto"/>
        <w:tabs>
          <w:tab w:leader="none" w:pos="147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fees, costs expenses or charges (other than Consolidated Depreciation and Amortization Expense) related to any actual, proposed or contemplated Equity Offering, Permitted Investment, Restricted Payment, acquisition, disposition, recapitalization or the incurrence of Indebtedness (and any amendment or modification to any such transaction) (including a refinancing thereof) (whether or not successful), including (i) such fees, expenses or charges (including rating agency fees, consulting fees and other related expenses and/or letter of credit or similar fees) related to the offering or incurrence of, or ongoing administration of the Notes, the Credit Agreement and any other Credit Facility, any Receivables Fees, any other Indebtedness or any Equity Offering, in each case, whether or not consummated, to the extent deducted (and not added back) in computing Consolidated Net Income and (ii) any amendment or other modification of the Notes; </w:t>
      </w:r>
      <w:r>
        <w:rPr>
          <w:rFonts w:ascii="Times New Roman" w:cs="Times New Roman" w:eastAsia="Times New Roman" w:hAnsi="Times New Roman"/>
          <w:sz w:val="19"/>
          <w:szCs w:val="19"/>
          <w:i w:val="1"/>
          <w:iCs w:val="1"/>
          <w:color w:val="auto"/>
        </w:rPr>
        <w:t>plus</w:t>
      </w:r>
    </w:p>
    <w:p>
      <w:pPr>
        <w:spacing w:after="0" w:line="151" w:lineRule="exact"/>
        <w:rPr>
          <w:rFonts w:ascii="Times New Roman" w:cs="Times New Roman" w:eastAsia="Times New Roman" w:hAnsi="Times New Roman"/>
          <w:sz w:val="19"/>
          <w:szCs w:val="19"/>
          <w:color w:val="auto"/>
        </w:rPr>
      </w:pPr>
    </w:p>
    <w:p>
      <w:pPr>
        <w:jc w:val="both"/>
        <w:ind w:left="440" w:firstLine="647"/>
        <w:spacing w:after="0"/>
        <w:tabs>
          <w:tab w:leader="none" w:pos="1473"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restructuring charges, accruals or reserves (including restructuring and integration costs related to acquisitions and adjustments to existing reserves), integration and facilities opening costs or other business optimization expenses, one-time restructuring costs incurred in connection with acquisitions made after the Issue Date, project startup costs and costs related to the closure and/or consolidation of facilities, in each case, whether or not classified as restructuring expense on the consolidated financial statements; </w:t>
      </w:r>
      <w:r>
        <w:rPr>
          <w:rFonts w:ascii="Times New Roman" w:cs="Times New Roman" w:eastAsia="Times New Roman" w:hAnsi="Times New Roman"/>
          <w:sz w:val="19"/>
          <w:szCs w:val="19"/>
          <w:i w:val="1"/>
          <w:iCs w:val="1"/>
          <w:color w:val="auto"/>
        </w:rPr>
        <w:t>plus</w:t>
      </w:r>
    </w:p>
    <w:p>
      <w:pPr>
        <w:spacing w:after="0" w:line="176" w:lineRule="exact"/>
        <w:rPr>
          <w:rFonts w:ascii="Times New Roman" w:cs="Times New Roman" w:eastAsia="Times New Roman" w:hAnsi="Times New Roman"/>
          <w:sz w:val="19"/>
          <w:szCs w:val="19"/>
          <w:color w:val="auto"/>
        </w:rPr>
      </w:pPr>
    </w:p>
    <w:p>
      <w:pPr>
        <w:jc w:val="both"/>
        <w:ind w:left="440" w:firstLine="647"/>
        <w:spacing w:after="0" w:line="237" w:lineRule="auto"/>
        <w:tabs>
          <w:tab w:leader="none" w:pos="147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other non-cash charges or deferred revenue, including, without limitation, any write offs or write downs, reducing Consolidated Net Income for such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non-cash charges or deferred revenue represent an accrual or reserve for potential cash items in any future period, the cash payment in respect thereof in such future period shall be subtracted from EBITDA to such extent, and excluding amortization of a prepaid cash item that was paid in a prior period; </w:t>
      </w:r>
      <w:r>
        <w:rPr>
          <w:rFonts w:ascii="Times New Roman" w:cs="Times New Roman" w:eastAsia="Times New Roman" w:hAnsi="Times New Roman"/>
          <w:sz w:val="19"/>
          <w:szCs w:val="19"/>
          <w:i w:val="1"/>
          <w:iCs w:val="1"/>
          <w:color w:val="auto"/>
        </w:rPr>
        <w:t>plus</w:t>
      </w:r>
    </w:p>
    <w:p>
      <w:pPr>
        <w:spacing w:after="0" w:line="163" w:lineRule="exact"/>
        <w:rPr>
          <w:rFonts w:ascii="Times New Roman" w:cs="Times New Roman" w:eastAsia="Times New Roman" w:hAnsi="Times New Roman"/>
          <w:sz w:val="19"/>
          <w:szCs w:val="19"/>
          <w:color w:val="auto"/>
        </w:rPr>
      </w:pPr>
    </w:p>
    <w:p>
      <w:pPr>
        <w:ind w:left="440" w:right="20" w:firstLine="647"/>
        <w:spacing w:after="0" w:line="265" w:lineRule="auto"/>
        <w:tabs>
          <w:tab w:leader="none" w:pos="147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any non-controlling or minority interest expense consisting of income attributable to non-controlling or minority equity interests of third parties in any non-Wholly Owned Subsidiary; </w:t>
      </w:r>
      <w:r>
        <w:rPr>
          <w:rFonts w:ascii="Times New Roman" w:cs="Times New Roman" w:eastAsia="Times New Roman" w:hAnsi="Times New Roman"/>
          <w:sz w:val="19"/>
          <w:szCs w:val="19"/>
          <w:i w:val="1"/>
          <w:iCs w:val="1"/>
          <w:color w:val="auto"/>
        </w:rPr>
        <w:t>plus</w:t>
      </w:r>
    </w:p>
    <w:p>
      <w:pPr>
        <w:spacing w:after="0" w:line="152" w:lineRule="exact"/>
        <w:rPr>
          <w:rFonts w:ascii="Times New Roman" w:cs="Times New Roman" w:eastAsia="Times New Roman" w:hAnsi="Times New Roman"/>
          <w:sz w:val="19"/>
          <w:szCs w:val="19"/>
          <w:color w:val="auto"/>
        </w:rPr>
      </w:pPr>
    </w:p>
    <w:p>
      <w:pPr>
        <w:jc w:val="both"/>
        <w:ind w:left="440" w:firstLine="647"/>
        <w:spacing w:after="0" w:line="241" w:lineRule="auto"/>
        <w:tabs>
          <w:tab w:leader="none" w:pos="147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Board of Directors fees and management, monitoring, consulting, advisory fees and other fees (including termination and transaction fees), indemnities and related expenses paid or accrued in such period under any investor management agreement (including any termination fees payable in connection with the early termination of management and monitoring agreements) to the extent otherwise permitted under Section 4.11 hereof; </w:t>
      </w:r>
      <w:r>
        <w:rPr>
          <w:rFonts w:ascii="Times New Roman" w:cs="Times New Roman" w:eastAsia="Times New Roman" w:hAnsi="Times New Roman"/>
          <w:sz w:val="19"/>
          <w:szCs w:val="19"/>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00"/>
          </w:cols>
          <w:pgMar w:left="1440" w:top="1440" w:right="559" w:bottom="1440" w:gutter="0" w:footer="0" w:header="0"/>
        </w:sectPr>
      </w:pPr>
    </w:p>
    <w:bookmarkStart w:id="75" w:name="page76"/>
    <w:bookmarkEnd w:id="75"/>
    <w:p>
      <w:pPr>
        <w:spacing w:after="0" w:line="51" w:lineRule="exact"/>
        <w:rPr>
          <w:sz w:val="20"/>
          <w:szCs w:val="20"/>
          <w:color w:val="auto"/>
        </w:rPr>
      </w:pPr>
    </w:p>
    <w:p>
      <w:pPr>
        <w:jc w:val="both"/>
        <w:ind w:left="440" w:firstLine="647"/>
        <w:spacing w:after="0" w:line="237" w:lineRule="auto"/>
        <w:tabs>
          <w:tab w:leader="none" w:pos="146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pro forma “run rate” cost savings (including cost savings with respect to salary, benefit and other direct savings resulting from workforce reductions and facility, benefit and insurance savings and any savings expected to result from the limitation of a public target’s Public Issuer Costs), operating expense reductions, other operating improvements (including the entry into material contracts or arrangements), revenue enhancements and initiatives and synergies (including, to the extent applicable, from (i) the effect of new customer contracts or projects and/or (ii) increased pricing or volume in existing contracts), any restructuring or cost saving initiative or other initiative projected by the Issuer in good faith to be realized as a result of actions taken, committed to be taken or planned to be taken, in each case on or prior to the date that is 24 months after the end of such period (including actions initiated prior to the Issue Date), including any cost savings, expenses and charges (including restructuring and integration charges) in connection with, or incurred by or on behalf of, any joint venture of the Issuer or any of its Restricted Subsidiaries (whether accounted for on the financial statements of any such joint venture or the Issuer) and any restructuring, cost saving initiative or other initiative, which cost savings shall be added to EBITDA as so projected until fully realized and calculated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as though such cost savings (including cost savings with respect to salary, benefit and other direct savings resulting from workforce reductions and facility, benefit and insurance savings and any savings expected to result from the reduction of a public target’s Public Issuer Costs), operating expense reductions, other operating improvements and initiatives and synergies had been realized on the first day of the relevant period, net of the amount of actual benefits realized from such 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cost savings are reasonably identifiable and quantifiable and factually supportable and (B) no cost savings, operating expense reductions, other operating improvements or synergies shall be added pursuant to this clause (i) to the extent duplicative of any expenses or charges relating to such cost savings, operating expense reductions or synergies that are included in any other clause of this definition (it being understood and agreed that “run rate” shall mean the full recurring benefit that is associated with any action taken) (which adjustments may be incremental to pro forma cost savings, operating improvements, synergies and operating expense reductions made pursuant to the definition of “Fixed Charge Coverage Ratio”); </w:t>
      </w:r>
      <w:r>
        <w:rPr>
          <w:rFonts w:ascii="Times New Roman" w:cs="Times New Roman" w:eastAsia="Times New Roman" w:hAnsi="Times New Roman"/>
          <w:sz w:val="19"/>
          <w:szCs w:val="19"/>
          <w:i w:val="1"/>
          <w:iCs w:val="1"/>
          <w:color w:val="auto"/>
        </w:rPr>
        <w:t>plus</w:t>
      </w:r>
    </w:p>
    <w:p>
      <w:pPr>
        <w:spacing w:after="0" w:line="154" w:lineRule="exact"/>
        <w:rPr>
          <w:rFonts w:ascii="Times New Roman" w:cs="Times New Roman" w:eastAsia="Times New Roman" w:hAnsi="Times New Roman"/>
          <w:sz w:val="19"/>
          <w:szCs w:val="19"/>
          <w:color w:val="auto"/>
        </w:rPr>
      </w:pPr>
    </w:p>
    <w:p>
      <w:pPr>
        <w:ind w:left="440" w:right="20" w:firstLine="647"/>
        <w:spacing w:after="0" w:line="280" w:lineRule="auto"/>
        <w:tabs>
          <w:tab w:leader="none" w:pos="146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loss or discount on sale of receivables, Receivables Assets and related assets to the Receivables Subsidiary in connection with a Receivables Facility; </w:t>
      </w:r>
      <w:r>
        <w:rPr>
          <w:rFonts w:ascii="Times New Roman" w:cs="Times New Roman" w:eastAsia="Times New Roman" w:hAnsi="Times New Roman"/>
          <w:sz w:val="19"/>
          <w:szCs w:val="19"/>
          <w:i w:val="1"/>
          <w:iCs w:val="1"/>
          <w:color w:val="auto"/>
        </w:rPr>
        <w:t>plus</w:t>
      </w:r>
    </w:p>
    <w:p>
      <w:pPr>
        <w:spacing w:after="0" w:line="151" w:lineRule="exact"/>
        <w:rPr>
          <w:rFonts w:ascii="Times New Roman" w:cs="Times New Roman" w:eastAsia="Times New Roman" w:hAnsi="Times New Roman"/>
          <w:sz w:val="19"/>
          <w:szCs w:val="19"/>
          <w:color w:val="auto"/>
        </w:rPr>
      </w:pPr>
    </w:p>
    <w:p>
      <w:pPr>
        <w:jc w:val="both"/>
        <w:ind w:left="440" w:firstLine="647"/>
        <w:spacing w:after="0" w:line="235" w:lineRule="auto"/>
        <w:tabs>
          <w:tab w:leader="none" w:pos="147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costs or expense incurred by the Issuer or a Restricted Subsidiary or a Parent Entity pursuant to any management equity plan, stock option plan, phantom equity plan, profits interests or any other management, employee benefit or other compensatory plan or agreement plan or agreement (and any successor plans or arrangements thereto), any employment, termination or severance agreement or any stock subscription or shareholder agreement and any costs or expenses in connection with the roll-over, acceleration or payout of Capital Stock, to the extent that such cost or expenses are non-cash or otherwise funded with cash proceeds contributed to the capital of the Issuer or net cash proceeds of an issuance of Equity Interest of the Issuer (other than Disqualified Stock) solely to the extent that such net cash proceeds are excluded from the calculation set forth in clause (2) of Section 4.07(a) hereof; </w:t>
      </w:r>
      <w:r>
        <w:rPr>
          <w:rFonts w:ascii="Times New Roman" w:cs="Times New Roman" w:eastAsia="Times New Roman" w:hAnsi="Times New Roman"/>
          <w:sz w:val="19"/>
          <w:szCs w:val="19"/>
          <w:i w:val="1"/>
          <w:iCs w:val="1"/>
          <w:color w:val="auto"/>
        </w:rPr>
        <w:t>plus</w:t>
      </w:r>
    </w:p>
    <w:p>
      <w:pPr>
        <w:spacing w:after="0" w:line="151" w:lineRule="exact"/>
        <w:rPr>
          <w:rFonts w:ascii="Times New Roman" w:cs="Times New Roman" w:eastAsia="Times New Roman" w:hAnsi="Times New Roman"/>
          <w:sz w:val="19"/>
          <w:szCs w:val="19"/>
          <w:color w:val="auto"/>
        </w:rPr>
      </w:pPr>
    </w:p>
    <w:p>
      <w:pPr>
        <w:jc w:val="both"/>
        <w:ind w:left="440" w:firstLine="647"/>
        <w:spacing w:after="0" w:line="246" w:lineRule="auto"/>
        <w:tabs>
          <w:tab w:leader="none" w:pos="146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Financial Accounting Standards Codification No. 715, and any other items of a similar nature; </w:t>
      </w:r>
      <w:r>
        <w:rPr>
          <w:rFonts w:ascii="Times New Roman" w:cs="Times New Roman" w:eastAsia="Times New Roman" w:hAnsi="Times New Roman"/>
          <w:sz w:val="19"/>
          <w:szCs w:val="19"/>
          <w:i w:val="1"/>
          <w:iCs w:val="1"/>
          <w:color w:val="auto"/>
        </w:rPr>
        <w:t>plus</w:t>
      </w:r>
    </w:p>
    <w:p>
      <w:pPr>
        <w:spacing w:after="0" w:line="157" w:lineRule="exact"/>
        <w:rPr>
          <w:rFonts w:ascii="Times New Roman" w:cs="Times New Roman" w:eastAsia="Times New Roman" w:hAnsi="Times New Roman"/>
          <w:sz w:val="19"/>
          <w:szCs w:val="19"/>
          <w:color w:val="auto"/>
        </w:rPr>
      </w:pPr>
    </w:p>
    <w:p>
      <w:pPr>
        <w:jc w:val="both"/>
        <w:ind w:left="440" w:right="20" w:firstLine="647"/>
        <w:spacing w:after="0" w:line="251" w:lineRule="auto"/>
        <w:tabs>
          <w:tab w:leader="none" w:pos="146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operating expenses incurred on or prior to the Issue Date attributable to (i) salary obligations paid to employees terminated prior to the Issue Date and (ii) wages paid to executives in excess of the amounts the Issuer and its Subsidiaries are required to pay pursuant to any employment agreements; </w:t>
      </w:r>
      <w:r>
        <w:rPr>
          <w:rFonts w:ascii="Times New Roman" w:cs="Times New Roman" w:eastAsia="Times New Roman" w:hAnsi="Times New Roman"/>
          <w:sz w:val="19"/>
          <w:szCs w:val="19"/>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900"/>
          </w:cols>
          <w:pgMar w:left="1440" w:top="1440" w:right="559" w:bottom="1440" w:gutter="0" w:footer="0" w:header="0"/>
        </w:sectPr>
      </w:pPr>
    </w:p>
    <w:bookmarkStart w:id="76" w:name="page77"/>
    <w:bookmarkEnd w:id="76"/>
    <w:p>
      <w:pPr>
        <w:spacing w:after="0" w:line="222" w:lineRule="exact"/>
        <w:rPr>
          <w:sz w:val="20"/>
          <w:szCs w:val="20"/>
          <w:color w:val="auto"/>
        </w:rPr>
      </w:pPr>
    </w:p>
    <w:p>
      <w:pPr>
        <w:ind w:left="2580" w:hanging="632"/>
        <w:spacing w:after="0"/>
        <w:tabs>
          <w:tab w:leader="none" w:pos="258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net loss from discontinued operations; </w:t>
      </w:r>
      <w:r>
        <w:rPr>
          <w:rFonts w:ascii="Times New Roman" w:cs="Times New Roman" w:eastAsia="Times New Roman" w:hAnsi="Times New Roman"/>
          <w:sz w:val="19"/>
          <w:szCs w:val="19"/>
          <w:i w:val="1"/>
          <w:iCs w:val="1"/>
          <w:color w:val="auto"/>
        </w:rPr>
        <w:t>plus</w:t>
      </w:r>
    </w:p>
    <w:p>
      <w:pPr>
        <w:spacing w:after="0" w:line="204" w:lineRule="exact"/>
        <w:rPr>
          <w:rFonts w:ascii="Times New Roman" w:cs="Times New Roman" w:eastAsia="Times New Roman" w:hAnsi="Times New Roman"/>
          <w:sz w:val="19"/>
          <w:szCs w:val="19"/>
          <w:color w:val="auto"/>
        </w:rPr>
      </w:pPr>
    </w:p>
    <w:p>
      <w:pPr>
        <w:jc w:val="both"/>
        <w:ind w:left="1300" w:firstLine="647"/>
        <w:spacing w:after="0" w:line="244" w:lineRule="auto"/>
        <w:tabs>
          <w:tab w:leader="none" w:pos="233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cash receipts (or any netting arrangements resulting in reduced cash expenditures) not representing EBITDA or Consolidated Net Income in any period to the extent non-cash gains relating to such income were deducted in the calculation of EBITDA pursuant to clause (2) below for any previous period and not added back; </w:t>
      </w:r>
      <w:r>
        <w:rPr>
          <w:rFonts w:ascii="Times New Roman" w:cs="Times New Roman" w:eastAsia="Times New Roman" w:hAnsi="Times New Roman"/>
          <w:sz w:val="19"/>
          <w:szCs w:val="19"/>
          <w:i w:val="1"/>
          <w:iCs w:val="1"/>
          <w:color w:val="auto"/>
        </w:rPr>
        <w:t>plus</w:t>
      </w:r>
    </w:p>
    <w:p>
      <w:pPr>
        <w:spacing w:after="0" w:line="170" w:lineRule="exact"/>
        <w:rPr>
          <w:rFonts w:ascii="Times New Roman" w:cs="Times New Roman" w:eastAsia="Times New Roman" w:hAnsi="Times New Roman"/>
          <w:sz w:val="19"/>
          <w:szCs w:val="19"/>
          <w:color w:val="auto"/>
        </w:rPr>
      </w:pPr>
    </w:p>
    <w:p>
      <w:pPr>
        <w:ind w:left="1300" w:right="20" w:firstLine="647"/>
        <w:spacing w:after="0" w:line="280" w:lineRule="auto"/>
        <w:tabs>
          <w:tab w:leader="none" w:pos="233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loss relating to amounts paid in cash prior to the stated settlement date of any hedging obligation that has been reflected in Consolidated Net Income for such period; </w:t>
      </w:r>
      <w:r>
        <w:rPr>
          <w:rFonts w:ascii="Times New Roman" w:cs="Times New Roman" w:eastAsia="Times New Roman" w:hAnsi="Times New Roman"/>
          <w:sz w:val="19"/>
          <w:szCs w:val="19"/>
          <w:i w:val="1"/>
          <w:iCs w:val="1"/>
          <w:color w:val="auto"/>
        </w:rPr>
        <w:t>plus</w:t>
      </w:r>
    </w:p>
    <w:p>
      <w:pPr>
        <w:spacing w:after="0" w:line="124" w:lineRule="exact"/>
        <w:rPr>
          <w:rFonts w:ascii="Times New Roman" w:cs="Times New Roman" w:eastAsia="Times New Roman" w:hAnsi="Times New Roman"/>
          <w:sz w:val="19"/>
          <w:szCs w:val="19"/>
          <w:color w:val="auto"/>
        </w:rPr>
      </w:pPr>
    </w:p>
    <w:p>
      <w:pPr>
        <w:jc w:val="both"/>
        <w:ind w:left="1300" w:firstLine="647"/>
        <w:spacing w:after="0" w:line="266" w:lineRule="auto"/>
        <w:tabs>
          <w:tab w:leader="none" w:pos="233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gain relating to hedging obligations associated with transactions realized in the current period that has been reflected in Consolidated Net Income in prior periods and excluded from EBITDA pursuant to clauses (2)(c) and (2)(d) below; </w:t>
      </w:r>
      <w:r>
        <w:rPr>
          <w:rFonts w:ascii="Times New Roman" w:cs="Times New Roman" w:eastAsia="Times New Roman" w:hAnsi="Times New Roman"/>
          <w:sz w:val="19"/>
          <w:szCs w:val="19"/>
          <w:i w:val="1"/>
          <w:iCs w:val="1"/>
          <w:color w:val="auto"/>
        </w:rPr>
        <w:t>plus</w:t>
      </w:r>
    </w:p>
    <w:p>
      <w:pPr>
        <w:spacing w:after="0" w:line="29" w:lineRule="exact"/>
        <w:rPr>
          <w:rFonts w:ascii="Times New Roman" w:cs="Times New Roman" w:eastAsia="Times New Roman" w:hAnsi="Times New Roman"/>
          <w:sz w:val="19"/>
          <w:szCs w:val="19"/>
          <w:color w:val="auto"/>
        </w:rPr>
      </w:pPr>
    </w:p>
    <w:p>
      <w:pPr>
        <w:jc w:val="both"/>
        <w:ind w:left="1300" w:firstLine="647"/>
        <w:spacing w:after="0" w:line="252" w:lineRule="auto"/>
        <w:tabs>
          <w:tab w:leader="none" w:pos="2339"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any costs, charges or expenses relating to payments made to stock appreciation or similar rights, stock option, restricted stock, phantom equity, profit interests or other interests or right holders of the Issuer or any Parent Entity in connection with, or as a result of, any distribution being made to shareholders of such Person or any of its Subsidiaries or any Pa rent Entities, which payments are being made to compensate such holders as though they were shareholders at the time of, and entitled to share in, such distribution, in each case to the extent not prohibited under this Indenture; </w:t>
      </w:r>
      <w:r>
        <w:rPr>
          <w:rFonts w:ascii="Times New Roman" w:cs="Times New Roman" w:eastAsia="Times New Roman" w:hAnsi="Times New Roman"/>
          <w:sz w:val="19"/>
          <w:szCs w:val="19"/>
          <w:i w:val="1"/>
          <w:iCs w:val="1"/>
          <w:color w:val="auto"/>
        </w:rPr>
        <w:t>plus</w:t>
      </w:r>
    </w:p>
    <w:p>
      <w:pPr>
        <w:spacing w:after="0" w:line="158" w:lineRule="exact"/>
        <w:rPr>
          <w:rFonts w:ascii="Times New Roman" w:cs="Times New Roman" w:eastAsia="Times New Roman" w:hAnsi="Times New Roman"/>
          <w:sz w:val="19"/>
          <w:szCs w:val="19"/>
          <w:color w:val="auto"/>
        </w:rPr>
      </w:pPr>
    </w:p>
    <w:p>
      <w:pPr>
        <w:ind w:left="2600" w:hanging="652"/>
        <w:spacing w:after="0"/>
        <w:tabs>
          <w:tab w:leader="none" w:pos="260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Public Issuer Costs; </w:t>
      </w:r>
      <w:r>
        <w:rPr>
          <w:rFonts w:ascii="Times New Roman" w:cs="Times New Roman" w:eastAsia="Times New Roman" w:hAnsi="Times New Roman"/>
          <w:sz w:val="19"/>
          <w:szCs w:val="19"/>
          <w:i w:val="1"/>
          <w:iCs w:val="1"/>
          <w:color w:val="auto"/>
        </w:rPr>
        <w:t>plus</w:t>
      </w:r>
    </w:p>
    <w:p>
      <w:pPr>
        <w:spacing w:after="0" w:line="213"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[reserved]; </w:t>
      </w:r>
      <w:r>
        <w:rPr>
          <w:rFonts w:ascii="Times New Roman" w:cs="Times New Roman" w:eastAsia="Times New Roman" w:hAnsi="Times New Roman"/>
          <w:sz w:val="19"/>
          <w:szCs w:val="19"/>
          <w:i w:val="1"/>
          <w:iCs w:val="1"/>
          <w:color w:val="auto"/>
        </w:rPr>
        <w:t>plus</w:t>
      </w:r>
    </w:p>
    <w:p>
      <w:pPr>
        <w:spacing w:after="0" w:line="217" w:lineRule="exact"/>
        <w:rPr>
          <w:rFonts w:ascii="Times New Roman" w:cs="Times New Roman" w:eastAsia="Times New Roman" w:hAnsi="Times New Roman"/>
          <w:sz w:val="19"/>
          <w:szCs w:val="19"/>
          <w:color w:val="auto"/>
        </w:rPr>
      </w:pPr>
    </w:p>
    <w:p>
      <w:pPr>
        <w:jc w:val="both"/>
        <w:ind w:left="1300" w:firstLine="647"/>
        <w:spacing w:after="0" w:line="237" w:lineRule="auto"/>
        <w:tabs>
          <w:tab w:leader="none" w:pos="233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joint venture, an amount equal to the proportion of those items described in clauses (1)(a) and (1)(c) above relating to such joint venture corresponding to the Issuer’s and its Restricted Subsidiaries’ proportionate share of such joint venture’s Consolidated Net Income (determined as if such joint venture were a Restricted Subsidiary) to the extent deducted (and not added back) in computing Consolidated Net Income; </w:t>
      </w:r>
      <w:r>
        <w:rPr>
          <w:rFonts w:ascii="Times New Roman" w:cs="Times New Roman" w:eastAsia="Times New Roman" w:hAnsi="Times New Roman"/>
          <w:sz w:val="19"/>
          <w:szCs w:val="19"/>
          <w:i w:val="1"/>
          <w:iCs w:val="1"/>
          <w:color w:val="auto"/>
        </w:rPr>
        <w:t>plus</w:t>
      </w:r>
    </w:p>
    <w:p>
      <w:pPr>
        <w:spacing w:after="0" w:line="190" w:lineRule="exact"/>
        <w:rPr>
          <w:rFonts w:ascii="Times New Roman" w:cs="Times New Roman" w:eastAsia="Times New Roman" w:hAnsi="Times New Roman"/>
          <w:sz w:val="19"/>
          <w:szCs w:val="19"/>
          <w:color w:val="auto"/>
        </w:rPr>
      </w:pPr>
    </w:p>
    <w:p>
      <w:pPr>
        <w:jc w:val="both"/>
        <w:ind w:left="1300" w:right="20" w:firstLine="647"/>
        <w:spacing w:after="0" w:line="244" w:lineRule="auto"/>
        <w:tabs>
          <w:tab w:leader="none" w:pos="233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earn-out and contingent consideration obligations (including to the extent accounted for as bonuses or otherwise) and adjustments thereof and purchase price adjustments, in each case in connection with acquisitions or Investments; plus</w:t>
      </w:r>
    </w:p>
    <w:p>
      <w:pPr>
        <w:spacing w:after="0" w:line="197"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plus</w:t>
      </w:r>
    </w:p>
    <w:p>
      <w:pPr>
        <w:spacing w:after="0" w:line="213"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plus</w:t>
      </w:r>
    </w:p>
    <w:p>
      <w:pPr>
        <w:spacing w:after="0" w:line="200" w:lineRule="exact"/>
        <w:rPr>
          <w:rFonts w:ascii="Times New Roman" w:cs="Times New Roman" w:eastAsia="Times New Roman" w:hAnsi="Times New Roman"/>
          <w:sz w:val="19"/>
          <w:szCs w:val="19"/>
          <w:color w:val="auto"/>
        </w:rPr>
      </w:pPr>
    </w:p>
    <w:p>
      <w:pPr>
        <w:ind w:left="1300" w:firstLine="647"/>
        <w:spacing w:after="0" w:line="295" w:lineRule="auto"/>
        <w:tabs>
          <w:tab w:leader="none" w:pos="233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due diligence quality of earnings report from time to time prepared with respect to the target of an acquisition or Investment by a nationally recognized accounting firm; plus</w:t>
      </w:r>
    </w:p>
    <w:p>
      <w:pPr>
        <w:spacing w:after="0" w:line="110" w:lineRule="exact"/>
        <w:rPr>
          <w:rFonts w:ascii="Times New Roman" w:cs="Times New Roman" w:eastAsia="Times New Roman" w:hAnsi="Times New Roman"/>
          <w:sz w:val="19"/>
          <w:szCs w:val="19"/>
          <w:color w:val="auto"/>
        </w:rPr>
      </w:pPr>
    </w:p>
    <w:p>
      <w:pPr>
        <w:ind w:right="40" w:firstLine="975"/>
        <w:spacing w:after="0" w:line="280" w:lineRule="auto"/>
        <w:tabs>
          <w:tab w:leader="none" w:pos="127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decreased (without duplication) by the following, in each case, to the extent included in determining Consolidated Net Income of such Person for such period:</w:t>
      </w:r>
    </w:p>
    <w:p>
      <w:pPr>
        <w:spacing w:after="0" w:line="124" w:lineRule="exact"/>
        <w:rPr>
          <w:rFonts w:ascii="Times New Roman" w:cs="Times New Roman" w:eastAsia="Times New Roman" w:hAnsi="Times New Roman"/>
          <w:sz w:val="19"/>
          <w:szCs w:val="19"/>
          <w:color w:val="auto"/>
        </w:rPr>
      </w:pPr>
    </w:p>
    <w:p>
      <w:pPr>
        <w:jc w:val="both"/>
        <w:ind w:left="1300" w:firstLine="647"/>
        <w:spacing w:after="0" w:line="256" w:lineRule="auto"/>
        <w:tabs>
          <w:tab w:leader="none" w:pos="223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gains increasing Consolidated Net Income of such Person for such period, excluding any non-cash gains to the extent they represent the reversal of an accrual or reserve for a potential cash item that reduced EBITDA in any prior period (other than non-cash gains relating to the application of Accounting Standards Codification Topic 842 — Leases) (or any successor provision or other financial accounting standard having a similar result or effect); </w:t>
      </w:r>
      <w:r>
        <w:rPr>
          <w:rFonts w:ascii="Times New Roman" w:cs="Times New Roman" w:eastAsia="Times New Roman" w:hAnsi="Times New Roman"/>
          <w:sz w:val="19"/>
          <w:szCs w:val="19"/>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60"/>
          </w:cols>
          <w:pgMar w:left="580" w:top="1440" w:right="559" w:bottom="1440" w:gutter="0" w:footer="0" w:header="0"/>
        </w:sectPr>
      </w:pPr>
    </w:p>
    <w:bookmarkStart w:id="77" w:name="page78"/>
    <w:bookmarkEnd w:id="77"/>
    <w:p>
      <w:pPr>
        <w:spacing w:after="0" w:line="172" w:lineRule="exact"/>
        <w:rPr>
          <w:sz w:val="20"/>
          <w:szCs w:val="20"/>
          <w:color w:val="auto"/>
        </w:rPr>
      </w:pPr>
    </w:p>
    <w:p>
      <w:pPr>
        <w:jc w:val="both"/>
        <w:ind w:left="1300" w:firstLine="647"/>
        <w:spacing w:after="0" w:line="258" w:lineRule="auto"/>
        <w:tabs>
          <w:tab w:leader="none" w:pos="2236"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any non-controlling interest consisting of loss attributable to non- controlling interests of third parties in any non-Wholly Owned Subsidiaries added (and not deducted) in such period in calculating Consolidated Net Income; </w:t>
      </w:r>
      <w:r>
        <w:rPr>
          <w:rFonts w:ascii="Times New Roman" w:cs="Times New Roman" w:eastAsia="Times New Roman" w:hAnsi="Times New Roman"/>
          <w:sz w:val="19"/>
          <w:szCs w:val="19"/>
          <w:i w:val="1"/>
          <w:iCs w:val="1"/>
          <w:color w:val="auto"/>
        </w:rPr>
        <w:t>plus</w:t>
      </w:r>
    </w:p>
    <w:p>
      <w:pPr>
        <w:spacing w:after="0" w:line="159" w:lineRule="exact"/>
        <w:rPr>
          <w:sz w:val="20"/>
          <w:szCs w:val="20"/>
          <w:color w:val="auto"/>
        </w:rPr>
      </w:pPr>
    </w:p>
    <w:p>
      <w:pPr>
        <w:ind w:left="1300" w:firstLine="648"/>
        <w:spacing w:after="0" w:line="265" w:lineRule="auto"/>
        <w:rPr>
          <w:sz w:val="20"/>
          <w:szCs w:val="20"/>
          <w:color w:val="auto"/>
        </w:rPr>
      </w:pPr>
      <w:r>
        <w:rPr>
          <w:rFonts w:ascii="Times New Roman" w:cs="Times New Roman" w:eastAsia="Times New Roman" w:hAnsi="Times New Roman"/>
          <w:sz w:val="19"/>
          <w:szCs w:val="19"/>
          <w:color w:val="auto"/>
        </w:rPr>
        <w:t>(c ) any gain relating to amounts received in cash prior to the stated settlement date of any hedging obligation that has been reflected in Consolidated Net Income in such period; and</w:t>
      </w:r>
    </w:p>
    <w:p>
      <w:pPr>
        <w:spacing w:after="0" w:line="152" w:lineRule="exact"/>
        <w:rPr>
          <w:sz w:val="20"/>
          <w:szCs w:val="20"/>
          <w:color w:val="auto"/>
        </w:rPr>
      </w:pPr>
    </w:p>
    <w:p>
      <w:pPr>
        <w:jc w:val="both"/>
        <w:ind w:left="1300" w:right="20" w:firstLine="647"/>
        <w:spacing w:after="0" w:line="266" w:lineRule="auto"/>
        <w:tabs>
          <w:tab w:leader="none" w:pos="222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loss relating to hedging obligations associated with transactions realized in the current period that has been reflected in Consolidated Net Income in prior periods and excluded from EBITDA pursuant to clauses (1)(p) and (1)(q) above;</w:t>
      </w:r>
    </w:p>
    <w:p>
      <w:pPr>
        <w:spacing w:after="0" w:line="151" w:lineRule="exact"/>
        <w:rPr>
          <w:rFonts w:ascii="Times New Roman" w:cs="Times New Roman" w:eastAsia="Times New Roman" w:hAnsi="Times New Roman"/>
          <w:sz w:val="19"/>
          <w:szCs w:val="19"/>
          <w:color w:val="auto"/>
        </w:rPr>
      </w:pPr>
    </w:p>
    <w:p>
      <w:pPr>
        <w:jc w:val="both"/>
        <w:ind w:left="660" w:firstLine="639"/>
        <w:spacing w:after="0" w:line="241" w:lineRule="auto"/>
        <w:tabs>
          <w:tab w:leader="none" w:pos="1612"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by 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(2) above if it were income of the Issuer or any of its Restricted Subsidiaries;</w:t>
      </w:r>
    </w:p>
    <w:p>
      <w:pPr>
        <w:spacing w:after="0" w:line="161" w:lineRule="exact"/>
        <w:rPr>
          <w:rFonts w:ascii="Times New Roman" w:cs="Times New Roman" w:eastAsia="Times New Roman" w:hAnsi="Times New Roman"/>
          <w:sz w:val="19"/>
          <w:szCs w:val="19"/>
          <w:color w:val="auto"/>
        </w:rPr>
      </w:pPr>
    </w:p>
    <w:p>
      <w:pPr>
        <w:jc w:val="both"/>
        <w:ind w:left="660" w:firstLine="639"/>
        <w:spacing w:after="0" w:line="241" w:lineRule="auto"/>
        <w:tabs>
          <w:tab w:leader="none" w:pos="1615"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decreased by 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 (1) above if it were a loss of the Issuer or any of its Restricted Subsidiaries;</w:t>
      </w:r>
    </w:p>
    <w:p>
      <w:pPr>
        <w:spacing w:after="0" w:line="161" w:lineRule="exact"/>
        <w:rPr>
          <w:rFonts w:ascii="Times New Roman" w:cs="Times New Roman" w:eastAsia="Times New Roman" w:hAnsi="Times New Roman"/>
          <w:sz w:val="19"/>
          <w:szCs w:val="19"/>
          <w:color w:val="auto"/>
        </w:rPr>
      </w:pPr>
    </w:p>
    <w:p>
      <w:pPr>
        <w:jc w:val="both"/>
        <w:ind w:left="660" w:firstLine="639"/>
        <w:spacing w:after="0" w:line="241" w:lineRule="auto"/>
        <w:tabs>
          <w:tab w:leader="none" w:pos="158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by an amount, with respect to investments recorded using the equity method of accounting or the cost method of accounting and without duplication of any amounts added pursuant to clause (3) above, equal to the amount attributable to each such investment that would be added to EBITDA pursuant to clause (1) above if instead attributable to the Issuer or a Subsidiary, pro-rated according to the Issuer’s or the applicable Subsidiary’s percentage ownership in such investment;</w:t>
      </w:r>
    </w:p>
    <w:p>
      <w:pPr>
        <w:spacing w:after="0" w:line="161" w:lineRule="exact"/>
        <w:rPr>
          <w:rFonts w:ascii="Times New Roman" w:cs="Times New Roman" w:eastAsia="Times New Roman" w:hAnsi="Times New Roman"/>
          <w:sz w:val="19"/>
          <w:szCs w:val="19"/>
          <w:color w:val="auto"/>
        </w:rPr>
      </w:pPr>
    </w:p>
    <w:p>
      <w:pPr>
        <w:jc w:val="both"/>
        <w:ind w:left="660" w:firstLine="639"/>
        <w:spacing w:after="0" w:line="241" w:lineRule="auto"/>
        <w:tabs>
          <w:tab w:leader="none" w:pos="1581"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decreased by an amount, with respect to investments recorded using the equity method of accounting or the cost method of accounting and without duplication of any amounts deducted pursuant to clause (4) above, equal to the amount attributable to each such investment that would be deducted from EBITDA pursuant to clause (2) above if instead attributable to the Issuer or a Subsidiary, pro-rated according to the Issuer’s or the applicable Subsidiary’s percentage ownership in such investment;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 each case, as determined on a consolidated basis for such Person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ind w:left="2280" w:right="20" w:hanging="980"/>
        <w:spacing w:after="0" w:line="237" w:lineRule="auto"/>
        <w:tabs>
          <w:tab w:leader="none" w:pos="182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to the extent included in Consolidated Net Income, there shall be excluded in determining EBITDA currency translation gains and losses related to currency remeasurements of assets or liabilities (including the net loss or gain resulting from hedging agreements for currency exchange risk and revaluations of intercompany balances),</w:t>
      </w:r>
    </w:p>
    <w:p>
      <w:pPr>
        <w:spacing w:after="0" w:line="177" w:lineRule="exact"/>
        <w:rPr>
          <w:sz w:val="20"/>
          <w:szCs w:val="20"/>
          <w:color w:val="auto"/>
        </w:rPr>
      </w:pPr>
    </w:p>
    <w:p>
      <w:pPr>
        <w:ind w:left="660" w:firstLine="639"/>
        <w:spacing w:after="0" w:line="280" w:lineRule="auto"/>
        <w:tabs>
          <w:tab w:leader="none" w:pos="1702"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included in Consolidated Net Income, there shall be excluded in determining EBITDA for any period any adjustments resulting from the application of Financial Accounting Standards Codification No. 815, and</w:t>
      </w:r>
    </w:p>
    <w:p>
      <w:pPr>
        <w:spacing w:after="0" w:line="124" w:lineRule="exact"/>
        <w:rPr>
          <w:rFonts w:ascii="Times New Roman" w:cs="Times New Roman" w:eastAsia="Times New Roman" w:hAnsi="Times New Roman"/>
          <w:sz w:val="19"/>
          <w:szCs w:val="19"/>
          <w:color w:val="auto"/>
        </w:rPr>
      </w:pPr>
    </w:p>
    <w:p>
      <w:pPr>
        <w:jc w:val="both"/>
        <w:ind w:left="660" w:right="20" w:firstLine="639"/>
        <w:spacing w:after="0" w:line="258" w:lineRule="auto"/>
        <w:tabs>
          <w:tab w:leader="none" w:pos="17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included in Consolidated Net Income, there shall be excluded in determining EBITDA any expense (or income) as a result of adjustments recorded to contingent consideration liabilities relating to the Transactions or Investments permitted under this Indenture.</w:t>
      </w:r>
    </w:p>
    <w:p>
      <w:pPr>
        <w:spacing w:after="0" w:line="146"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Means</w:t>
      </w:r>
      <w:r>
        <w:rPr>
          <w:rFonts w:ascii="Times New Roman" w:cs="Times New Roman" w:eastAsia="Times New Roman" w:hAnsi="Times New Roman"/>
          <w:sz w:val="19"/>
          <w:szCs w:val="19"/>
          <w:color w:val="auto"/>
        </w:rPr>
        <w:t>” means the following communication methods: S.W.I.F.T. (Society for Worldwide Interbank Financial Telecommunication) messaging, email, facsimile transmission, secure electronic transmission containing applicable authorization codes, passwords or authentication keys, any Federal Reserve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60"/>
          </w:cols>
          <w:pgMar w:left="580" w:top="1440" w:right="559" w:bottom="1440" w:gutter="0" w:footer="0" w:header="0"/>
        </w:sectPr>
      </w:pPr>
    </w:p>
    <w:bookmarkStart w:id="78" w:name="page79"/>
    <w:bookmarkEnd w:id="78"/>
    <w:p>
      <w:pPr>
        <w:spacing w:after="0" w:line="17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Bank wire or telex or communication facility or any other method or system specified by the Trustee as available for use in connection with its services hereunder.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EMU</w:t>
      </w:r>
      <w:r>
        <w:rPr>
          <w:rFonts w:ascii="Times New Roman" w:cs="Times New Roman" w:eastAsia="Times New Roman" w:hAnsi="Times New Roman"/>
          <w:sz w:val="19"/>
          <w:szCs w:val="19"/>
          <w:color w:val="auto"/>
        </w:rPr>
        <w:t>” means economic and monetary union as contemplated in the Treaty on European Union.</w:t>
      </w:r>
    </w:p>
    <w:p>
      <w:pPr>
        <w:spacing w:after="0" w:line="24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Capital Stock and all warrants, options or other rights to acquire Capital Stock, but excluding any debt security that is convertible into, or exchangeable for, Capital Stock.</w:t>
      </w:r>
    </w:p>
    <w:p>
      <w:pPr>
        <w:spacing w:after="0" w:line="147"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Offering</w:t>
      </w:r>
      <w:r>
        <w:rPr>
          <w:rFonts w:ascii="Times New Roman" w:cs="Times New Roman" w:eastAsia="Times New Roman" w:hAnsi="Times New Roman"/>
          <w:sz w:val="19"/>
          <w:szCs w:val="19"/>
          <w:color w:val="auto"/>
        </w:rPr>
        <w:t>” means any public or private sale or issuance of Capital Stock or Preferred Stock (other than through the issuance of Disqualified Stock or Designated Preferred Stock) of the Issuer or any Parent Entity, other than:</w:t>
      </w:r>
    </w:p>
    <w:p>
      <w:pPr>
        <w:spacing w:after="0" w:line="152" w:lineRule="exact"/>
        <w:rPr>
          <w:sz w:val="20"/>
          <w:szCs w:val="20"/>
          <w:color w:val="auto"/>
        </w:rPr>
      </w:pPr>
    </w:p>
    <w:p>
      <w:pPr>
        <w:ind w:left="660" w:right="20" w:firstLine="639"/>
        <w:spacing w:after="0" w:line="265" w:lineRule="auto"/>
        <w:tabs>
          <w:tab w:leader="none" w:pos="1691"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offerings with respect to the Issuer’s or any Parent Entity’s common stock registered on Form S-8 (or any successor form) under the Securities Act or any similar offering in other jurisdictions or other securities of the Issuer or any Parent Entity;</w:t>
      </w:r>
    </w:p>
    <w:p>
      <w:pPr>
        <w:spacing w:after="0" w:line="165" w:lineRule="exact"/>
        <w:rPr>
          <w:rFonts w:ascii="Times New Roman" w:cs="Times New Roman" w:eastAsia="Times New Roman" w:hAnsi="Times New Roman"/>
          <w:sz w:val="19"/>
          <w:szCs w:val="19"/>
          <w:color w:val="auto"/>
        </w:rPr>
      </w:pPr>
    </w:p>
    <w:p>
      <w:pPr>
        <w:ind w:left="1560" w:hanging="261"/>
        <w:spacing w:after="0"/>
        <w:tabs>
          <w:tab w:leader="none" w:pos="156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issuances of Capital Stock to any Subsidiary of the Issuer; and</w:t>
      </w:r>
    </w:p>
    <w:p>
      <w:pPr>
        <w:spacing w:after="0" w:line="213" w:lineRule="exact"/>
        <w:rPr>
          <w:rFonts w:ascii="Times New Roman" w:cs="Times New Roman" w:eastAsia="Times New Roman" w:hAnsi="Times New Roman"/>
          <w:sz w:val="19"/>
          <w:szCs w:val="19"/>
          <w:color w:val="auto"/>
        </w:rPr>
      </w:pPr>
    </w:p>
    <w:p>
      <w:pPr>
        <w:ind w:left="1560" w:hanging="261"/>
        <w:spacing w:after="0"/>
        <w:tabs>
          <w:tab w:leader="none" w:pos="156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public or private sale that constitutes an Excluded Contribution or a Contributed Holdings Investment.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means the single currency of participating member states of the EMU.</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Euroclear</w:t>
      </w:r>
      <w:r>
        <w:rPr>
          <w:rFonts w:ascii="Times New Roman" w:cs="Times New Roman" w:eastAsia="Times New Roman" w:hAnsi="Times New Roman"/>
          <w:sz w:val="19"/>
          <w:szCs w:val="19"/>
          <w:color w:val="auto"/>
        </w:rPr>
        <w:t>” means Euroclear Bank S.A./N.V., or any successor thereof.</w:t>
      </w:r>
    </w:p>
    <w:p>
      <w:pPr>
        <w:spacing w:after="0" w:line="79" w:lineRule="exact"/>
        <w:rPr>
          <w:sz w:val="20"/>
          <w:szCs w:val="20"/>
          <w:color w:val="auto"/>
        </w:rPr>
      </w:pPr>
    </w:p>
    <w:p>
      <w:pPr>
        <w:ind w:right="40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means the Securities Exchange Act of 1934, as amended, and the rules and regulations of the SEC promulgated thereunder, as amended.</w:t>
      </w:r>
    </w:p>
    <w:p>
      <w:pPr>
        <w:spacing w:after="0" w:line="152" w:lineRule="exact"/>
        <w:rPr>
          <w:sz w:val="20"/>
          <w:szCs w:val="20"/>
          <w:color w:val="auto"/>
        </w:rPr>
      </w:pPr>
    </w:p>
    <w:p>
      <w:pPr>
        <w:jc w:val="both"/>
        <w:ind w:firstLine="649"/>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Assets</w:t>
      </w:r>
      <w:r>
        <w:rPr>
          <w:rFonts w:ascii="Times New Roman" w:cs="Times New Roman" w:eastAsia="Times New Roman" w:hAnsi="Times New Roman"/>
          <w:sz w:val="19"/>
          <w:szCs w:val="19"/>
          <w:color w:val="auto"/>
        </w:rPr>
        <w:t>” means, in relation to the Issuer and any Grantor, (a) any fee-owned real property with a fair market value less than $30,000,000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in the UCC) with a value of less than $20,000,000 and commercial tort claims for which no complaint or counterclaim has been filed in a court of competent jurisdiction, (e) Excluded Equity Interests, (f) any lease, contract, license, sublicense, other agreement or document, government approval or franchise with any Person if, to the extent and for so long a s, the grant of a Lien thereon to secure the Notes Obligations would require the consent of a third party (unless such consent has been received), violates or invalidates, constitutes a breach of or a default under, or creates a right of termination in fav or of any other party thereto (other than the Issuer or any other Grantor)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 clause (8) or (37) of the definition of Permitted Liens (whether or not incurred pursuant to such clause), in each case if, to the extent and for so long as the grant of a Lien thereon to secure the Notes Obligations constitutes a breach of or a default under, or creates a right of termination in favor of any party (other than the Issuer, Holdings or any Guarantor) to, any agreement pursuant to which such Lien has been created (but only to the extent any of the foregoing is not rendered ineffective by, or is otherwise unenforceable under, the UCC,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Notes Obligations is prohibited by any Requirements of Law, rule or regulation,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60"/>
          </w:cols>
          <w:pgMar w:left="580" w:top="1440" w:right="559" w:bottom="1440" w:gutter="0" w:footer="0" w:header="0"/>
        </w:sectPr>
      </w:pPr>
    </w:p>
    <w:bookmarkStart w:id="79" w:name="page80"/>
    <w:bookmarkEnd w:id="79"/>
    <w:p>
      <w:pPr>
        <w:spacing w:after="0" w:line="18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obligation existing on the Issue Date (or, if later, the date of acquisition of such asset, or the date a Person that owns such assets becomes a Guarantor, so long as any such prohibition is not created in contemplation of such acquisition or of such Person becoming a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UCC) or Securities Account (as defined in the UCC)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Issuer (it being understood that no more than 65% of the voting equity interests of the following Subsidiaries shall be included in the Collateral: (i) any foreign Subsidiary that is a CFC and that is owned directly by the Issuer or a Grantor and (ii) any Domestic Foreign Holdco and (n) any assets constituting “Excluded Assets” under the Credit Agreement (as in effect on the date hereof).</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Contribution</w:t>
      </w:r>
      <w:r>
        <w:rPr>
          <w:rFonts w:ascii="Times New Roman" w:cs="Times New Roman" w:eastAsia="Times New Roman" w:hAnsi="Times New Roman"/>
          <w:sz w:val="19"/>
          <w:szCs w:val="19"/>
          <w:color w:val="auto"/>
        </w:rPr>
        <w:t>” means net cash proceeds, marketable securities, property or assets or Qualified Proceeds received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Issuer after the Issue Date from:</w:t>
      </w:r>
    </w:p>
    <w:p>
      <w:pPr>
        <w:spacing w:after="0" w:line="199" w:lineRule="exact"/>
        <w:rPr>
          <w:sz w:val="20"/>
          <w:szCs w:val="20"/>
          <w:color w:val="auto"/>
        </w:rPr>
      </w:pPr>
    </w:p>
    <w:p>
      <w:pPr>
        <w:ind w:left="1940" w:hanging="641"/>
        <w:spacing w:after="0"/>
        <w:tabs>
          <w:tab w:leader="none" w:pos="19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contributions to its common equity capital; and</w:t>
      </w:r>
    </w:p>
    <w:p>
      <w:pPr>
        <w:spacing w:after="0" w:line="78" w:lineRule="exact"/>
        <w:rPr>
          <w:rFonts w:ascii="Times New Roman" w:cs="Times New Roman" w:eastAsia="Times New Roman" w:hAnsi="Times New Roman"/>
          <w:sz w:val="19"/>
          <w:szCs w:val="19"/>
          <w:color w:val="auto"/>
        </w:rPr>
      </w:pPr>
    </w:p>
    <w:p>
      <w:pPr>
        <w:jc w:val="both"/>
        <w:ind w:left="660" w:firstLine="639"/>
        <w:spacing w:after="0" w:line="251" w:lineRule="auto"/>
        <w:tabs>
          <w:tab w:leader="none" w:pos="1691"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or sale (other than to a Restricted Subsidiary of the Issuer or to any management equity plan or stock option plan or any other management or employee benefit plan or agreement or trust of the Issuer) of Capital Stock (other than Disqualified Stock and Designated Preferred Stock) of the Issuer,</w:t>
      </w:r>
    </w:p>
    <w:p>
      <w:pPr>
        <w:spacing w:after="0" w:line="152"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19"/>
          <w:szCs w:val="19"/>
          <w:color w:val="auto"/>
        </w:rPr>
        <w:t>in each case which are (x) excluded from the calculation set forth in clause (2) of Section 4.07(a) hereof and (y) designated as Excluded Contributions pursuant to an Officer’s Certificate of the Issuer.</w:t>
      </w:r>
    </w:p>
    <w:p>
      <w:pPr>
        <w:spacing w:after="0" w:line="97" w:lineRule="exact"/>
        <w:rPr>
          <w:sz w:val="20"/>
          <w:szCs w:val="20"/>
          <w:color w:val="auto"/>
        </w:rPr>
      </w:pPr>
    </w:p>
    <w:p>
      <w:pPr>
        <w:jc w:val="both"/>
        <w:ind w:firstLine="649"/>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Equity Interests</w:t>
      </w:r>
      <w:r>
        <w:rPr>
          <w:rFonts w:ascii="Times New Roman" w:cs="Times New Roman" w:eastAsia="Times New Roman" w:hAnsi="Times New Roman"/>
          <w:sz w:val="19"/>
          <w:szCs w:val="19"/>
          <w:color w:val="auto"/>
        </w:rPr>
        <w:t>”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Issuer or a Grantor shall not be Excluded Equity Interests), (d) any Equity Interests to the extent the pledge thereof would be prohibited or limited by any applicable Requirement of Law existing on the date hereof or on the date such Equity Interests are acquired by the Issuer or any other Grantor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Grantor) to the extent the pledge thereof to the Notes Collateral Agent is not permitted by the terms of such Subsidiary’s organizational (except in the case of any Wholly Owned Subsidiary of a Parent Entity ) or joint venture documents, in each case, after giving effect to the applicable anti-assignment provisions of the Uniform Commercial Code, (f) not-for-profit Subsidiary, captive insurance company or special purpose securitization vehicle (or similar entity), including any Securitization Subsidiary, (g) Domestic Foreign Holdco to the extent in excess of 65% of the voting equity interests of such Domestic Foreign Holdco and (h) “Excluded Equity Interests” as defined in the Credit Agreement (as in effect on the date hereof).</w:t>
      </w:r>
    </w:p>
    <w:p>
      <w:pPr>
        <w:spacing w:after="0" w:line="182" w:lineRule="exact"/>
        <w:rPr>
          <w:sz w:val="20"/>
          <w:szCs w:val="20"/>
          <w:color w:val="auto"/>
        </w:rPr>
      </w:pPr>
    </w:p>
    <w:p>
      <w:pPr>
        <w:ind w:right="60"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means (a) any Subsidiary that is not a Wholly Owned Subsidiary of Holdings, (b) any Subsidiary that is prohibited by applicable law, rule or regulation or contractual obligation existing on the Issue Date or, if later, the date such Subsidiary first becomes a Restricted Subsidiary, from guaranteeing the Notes Obligations or which would require any governmental or regulatory consent, approval, license or authorization to do so, unless such consent, approval, license or authorization has been obtained, (c) any Immaterial Subsidiary, (d) any direct or indirect Subsidiary with respect to which the Credit Agreement Administrative Agent and the Issuer have agreed in writing that the cost or other consequences (including 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60"/>
          </w:cols>
          <w:pgMar w:left="580" w:top="1440" w:right="559" w:bottom="1440" w:gutter="0" w:footer="0" w:header="0"/>
        </w:sectPr>
      </w:pPr>
    </w:p>
    <w:bookmarkStart w:id="80" w:name="page81"/>
    <w:bookmarkEnd w:id="80"/>
    <w:p>
      <w:pPr>
        <w:spacing w:after="0" w:line="18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 xml:space="preserve">adverse tax consequences) of providing a Guarantee in respect of the Credit Agreement is excessive in view of the benefits to be obtained by the lenders under the Credit Agreement, (e) any Subsidiary that is (or, if it were a Guarantor, would be) an “investment company” under the Investment Company Act of 1940, as amended, (f) any not-for profit Subsidiaries, captive insurance companies or other special purpose subsidiaries, (g) any Subsidiary that is organized under the laws of a jurisdiction other than any Covered Jurisdiction, (h) any subsidiary whose provision of a Guarantee would constitute an investment in “United States property” by a CFC or otherwise result in a material adverse tax consequence to the Issuer or one of its subsidiaries (or, if applicable, the common parent of the Issuer’s consolidated group for applicable income tax purposes) as reasonably determined by the Issuer, (i) any direct or indirect subsidiary of a CFC and any Domestic Foreign Holdco, (j) any special purpose securitization vehicle (or similar entity), including any Securitization Subsidiary, (k) each Unrestricted Subsidiary and (l) any Subsidiary (other than the Guarantors on the Issue Date) for which the providing of a Guarantee could reasonably be expected to result in any violation or breach of, or conflict with, fiduciary duties of such Subsidiary’s officers, directors or managers and (m) any Restricted Subsidiary acquired pursuant to a transaction not prohibited by this Indenture financed with Indebtedness permitted under Section 4.09 as assumed Indebtedness and any Restricted Subsidiary thereof that Guarantees such Indebtedness, in each case to the extent such Indebtedness prohibits such Subsidiary from becoming a Guarantor (so long as such prohibition did not arise in connection with such transaction) or such assumption of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Immaterial Subsidiary that is a signatory to any Collateral Documents, this Indenture or any supplemental indenture shall be deemed not to be an Excluded Subsidiary unless the Issuer has otherwise notified the Trustee in writing;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Issuer may at any time and in its sole discretion, upon written notice to the Trustee, deem that any Restricted Subsidiary shall not be an Excluded Subsidiary for any purposes hereunder.</w:t>
      </w:r>
    </w:p>
    <w:p>
      <w:pPr>
        <w:spacing w:after="0" w:line="163" w:lineRule="exact"/>
        <w:rPr>
          <w:sz w:val="20"/>
          <w:szCs w:val="20"/>
          <w:color w:val="auto"/>
        </w:rPr>
      </w:pPr>
    </w:p>
    <w:p>
      <w:pPr>
        <w:ind w:right="2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fair market value</w:t>
      </w:r>
      <w:r>
        <w:rPr>
          <w:rFonts w:ascii="Times New Roman" w:cs="Times New Roman" w:eastAsia="Times New Roman" w:hAnsi="Times New Roman"/>
          <w:sz w:val="19"/>
          <w:szCs w:val="19"/>
          <w:color w:val="auto"/>
        </w:rPr>
        <w:t>” means, with respect to any asset or liability, the fair market value of such asset or liability as determined by the Issuer in good faith.</w:t>
      </w:r>
    </w:p>
    <w:p>
      <w:pPr>
        <w:spacing w:after="0" w:line="3"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principal accounting officer, treasurer or corporate controller of the Issuer or Parent Entity, as applicable.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Fitch</w:t>
      </w:r>
      <w:r>
        <w:rPr>
          <w:rFonts w:ascii="Times New Roman" w:cs="Times New Roman" w:eastAsia="Times New Roman" w:hAnsi="Times New Roman"/>
          <w:sz w:val="19"/>
          <w:szCs w:val="19"/>
          <w:color w:val="auto"/>
        </w:rPr>
        <w:t>” means Fitch Ratings, Inc., and any successor or assign Rating Agency.</w:t>
      </w:r>
    </w:p>
    <w:p>
      <w:pPr>
        <w:spacing w:after="0" w:line="200" w:lineRule="exact"/>
        <w:rPr>
          <w:sz w:val="20"/>
          <w:szCs w:val="20"/>
          <w:color w:val="auto"/>
        </w:rPr>
      </w:pPr>
    </w:p>
    <w:p>
      <w:pPr>
        <w:jc w:val="both"/>
        <w:ind w:firstLine="649"/>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Fixed Charge Coverage Ratio</w:t>
      </w:r>
      <w:r>
        <w:rPr>
          <w:rFonts w:ascii="Times New Roman" w:cs="Times New Roman" w:eastAsia="Times New Roman" w:hAnsi="Times New Roman"/>
          <w:sz w:val="19"/>
          <w:szCs w:val="19"/>
          <w:color w:val="auto"/>
        </w:rPr>
        <w:t>” means, with respect to any Person for any period, the ratio of EBITDA of such Person for such period to the Fixed Charges of such Person for such period. In the event that the Issuer or any Restricted Subsidiary incurs, assumes, guarantees, redeems (or gives irrevocable notice of redemption for), repays, retires or extinguishes any Indebtedness (other than Indebtedness incurred or repaid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w:t>
      </w:r>
      <w:r>
        <w:rPr>
          <w:rFonts w:ascii="Times New Roman" w:cs="Times New Roman" w:eastAsia="Times New Roman" w:hAnsi="Times New Roman"/>
          <w:sz w:val="19"/>
          <w:szCs w:val="19"/>
          <w:u w:val="single" w:color="auto"/>
          <w:color w:val="auto"/>
        </w:rPr>
        <w:t>Fixed Charge Coverage Ratio Calculation Date</w:t>
      </w:r>
      <w:r>
        <w:rPr>
          <w:rFonts w:ascii="Times New Roman" w:cs="Times New Roman" w:eastAsia="Times New Roman" w:hAnsi="Times New Roman"/>
          <w:sz w:val="19"/>
          <w:szCs w:val="19"/>
          <w:color w:val="auto"/>
        </w:rPr>
        <w:t xml:space="preserve">”), then the Fixed Charge Coverage Ratio shall be calculated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incurrence, deemed incurrence, assumption, guarantee, redemption (including as contemplated by any such irrevocable notice of redemption), repayment, defeasance, retirement or extinguishment of Indebtedness, or such issuance or redemption of Disqualified Stock or Preferred Stock, as if the same had occurred at the beginning of the applicable four-quarter period.</w:t>
      </w:r>
    </w:p>
    <w:p>
      <w:pPr>
        <w:spacing w:after="0" w:line="151"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Notwithstanding anything to the contrary herein, in the event an item of Indebtedness (or any portion thereof) is incurred or issued, any Lien is incurred or other transaction is undertaken in reliance on a ratio basket based on the Fixed Charge Coverage Ratio, Consolidated First Lien Secured Net Debt Ratio, Consolidated Secured Net Debt Ratio or Consolidated Total Net Debt ratio, such ratio(s) shall be calculated with respect to such incurrence, issuance or other transaction without giving effect to amounts being utilized under any other basket (other than a ratio basket based on the Fixed Charge Coverage Ratio, Consolidated First Lien Secured Net Debt Ratio, Consolidated Secured Net Debt Ratio or Consolidated Total Net Debt Ratio) on the same date. Each item of Indebtedness that is incurred or issued, each Lien incurred and each other transaction undertaken will be deemed to have been incurred, issued or taken first, to the extent available, pursuant to the relevant Fixed Charge Coverage Ratio, Consolidated First Lien Secured Net Debt Ratio, Consolidated Secured Net Debt Ratio or Consolidated Total Net Debt Ratio test.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60"/>
          </w:cols>
          <w:pgMar w:left="580" w:top="1440" w:right="559" w:bottom="1440" w:gutter="0" w:footer="0" w:header="0"/>
        </w:sectPr>
      </w:pPr>
    </w:p>
    <w:bookmarkStart w:id="81" w:name="page82"/>
    <w:bookmarkEnd w:id="81"/>
    <w:p>
      <w:pPr>
        <w:spacing w:after="0" w:line="172" w:lineRule="exact"/>
        <w:rPr>
          <w:sz w:val="20"/>
          <w:szCs w:val="20"/>
          <w:color w:val="auto"/>
        </w:rPr>
      </w:pPr>
    </w:p>
    <w:p>
      <w:pPr>
        <w:jc w:val="both"/>
        <w:ind w:right="20" w:firstLine="649"/>
        <w:spacing w:after="0" w:line="237" w:lineRule="auto"/>
        <w:rPr>
          <w:sz w:val="20"/>
          <w:szCs w:val="20"/>
          <w:color w:val="auto"/>
        </w:rPr>
      </w:pPr>
      <w:r>
        <w:rPr>
          <w:rFonts w:ascii="Times New Roman" w:cs="Times New Roman" w:eastAsia="Times New Roman" w:hAnsi="Times New Roman"/>
          <w:sz w:val="19"/>
          <w:szCs w:val="19"/>
          <w:color w:val="auto"/>
        </w:rPr>
        <w:t>Notwithstanding anything to the contrary herein, in the event an item of Indebtedness (or any portion thereof) is incurred or issued, any Lien is incurred or other transaction is undertaken in reliance on a ratio basket based on a Fixed Charge Coverage Ratio, Consolidated First Lien Secured Net Debt Ratio, Consolidated Secured Net Debt Ratio or Consolidated Total Net Debt Ratio, such ratio(s) shall be calculated without regard to the incurrence of any Indebtedness under any revolving facility or letter of credit facility (1) immediately prior to or in connection therewith or (2) used to finance working capital needs of the Issuer and its Restricted Subsidiaries.</w:t>
      </w:r>
    </w:p>
    <w:p>
      <w:pPr>
        <w:spacing w:after="0" w:line="163"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Any calculation or measure that is determined with reference to the Issuer’s financial statements (including EBITDA, Consolidated Interest Expense, Consolidated Net Income, Fixed Charges, Fixed Charge Coverage Ratio, Consolidated First Lien Secured Net Debt Ratio, Consolidated Secured Net Debt Ratio and Consolidated Total Net Debt Ratio) may be determined with reference to the financial statements of a Parent Entity instead, so long as such Parent Entity does not hold any material assets other than, directly or indirectly, the Capital Stock of the Issuer, the Guarantors and their respective Subsidiaries.</w:t>
      </w:r>
    </w:p>
    <w:p>
      <w:pPr>
        <w:spacing w:after="0" w:line="177" w:lineRule="exact"/>
        <w:rPr>
          <w:sz w:val="20"/>
          <w:szCs w:val="20"/>
          <w:color w:val="auto"/>
        </w:rPr>
      </w:pPr>
    </w:p>
    <w:p>
      <w:pPr>
        <w:jc w:val="both"/>
        <w:ind w:firstLine="649"/>
        <w:spacing w:after="0" w:line="231" w:lineRule="auto"/>
        <w:rPr>
          <w:sz w:val="20"/>
          <w:szCs w:val="20"/>
          <w:color w:val="auto"/>
        </w:rPr>
      </w:pPr>
      <w:r>
        <w:rPr>
          <w:rFonts w:ascii="Times New Roman" w:cs="Times New Roman" w:eastAsia="Times New Roman" w:hAnsi="Times New Roman"/>
          <w:sz w:val="19"/>
          <w:szCs w:val="19"/>
          <w:color w:val="auto"/>
        </w:rPr>
        <w:t xml:space="preserve">For purposes of making the computation referred to in the paragraph above, Investments, acquisitions, dispositions, mergers, amalgamations, consolidations, operational changes, business expansion and disposed or discontinued operations (as determined in accordance with GAAP) that have been made by the Issuer or any of its Restricted Subsidiaries during the four-quarter reference period or subsequent to such reference period and on or prior to or simultaneously with the Fixed Charge Coverage Ratio Calculation Date shall be calculated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assuming that all such Investments, acquisitions, dispositions, mergers, amalgamations, consolidations, operational changes, business expansion and disposed or discontinued operations (and the change in any associated fixed charge obligations and the change in EBITDA resulting therefrom) had occurred on the first day of the four-quarter reference period. If since the beginning of such period any Person that subsequently became a Restricted Subsidiary or was merged or amalgamated with or into the Issuer or any of its Restricted Subsidiaries since the beginning of such period shall have made any Investment, acquisition, disposition, merger, amalgamation, consolidation, operational change, business expansion or disposed or discontinued operation that would have required adjustment pursuant to this definition, then the Fixed Charge Coverage Ratio shall be calculated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thereto for such period as if such Investment, acquisition, disposition, merger, amalgamation, consolidation, operational change, business expansion or disposed operation had occurred at the beginning of the applicable four-quarter period (subject to the threshold specified in the previous sentence).</w:t>
      </w:r>
    </w:p>
    <w:p>
      <w:pPr>
        <w:spacing w:after="0" w:line="155" w:lineRule="exact"/>
        <w:rPr>
          <w:sz w:val="20"/>
          <w:szCs w:val="20"/>
          <w:color w:val="auto"/>
        </w:rPr>
      </w:pPr>
    </w:p>
    <w:p>
      <w:pPr>
        <w:jc w:val="both"/>
        <w:ind w:firstLine="649"/>
        <w:spacing w:after="0" w:line="233" w:lineRule="auto"/>
        <w:rPr>
          <w:sz w:val="20"/>
          <w:szCs w:val="20"/>
          <w:color w:val="auto"/>
        </w:rPr>
      </w:pPr>
      <w:r>
        <w:rPr>
          <w:rFonts w:ascii="Times New Roman" w:cs="Times New Roman" w:eastAsia="Times New Roman" w:hAnsi="Times New Roman"/>
          <w:sz w:val="19"/>
          <w:szCs w:val="19"/>
          <w:color w:val="auto"/>
        </w:rPr>
        <w:t>For purposes of this definition, whenever pro forma effect is to be given to a transaction (including the Transactions), the pro forma calculations shall be made in good faith by a responsible financial or accounting officer of the Issuer (and may include, for the avoidance of doubt, cost savings, operating improvements, synergies and expense reductions which is being given pro forma effect). If any Indebtedness bears a floating rate of interest and is being given pro forma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Issuer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Issuer may designate.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Fixed Charges</w:t>
      </w:r>
      <w:r>
        <w:rPr>
          <w:rFonts w:ascii="Times New Roman" w:cs="Times New Roman" w:eastAsia="Times New Roman" w:hAnsi="Times New Roman"/>
          <w:sz w:val="19"/>
          <w:szCs w:val="19"/>
          <w:color w:val="auto"/>
        </w:rPr>
        <w:t>” means, with respect to any Person for any period, the sum, without duplication, of:</w:t>
      </w:r>
    </w:p>
    <w:p>
      <w:pPr>
        <w:spacing w:after="0" w:line="214" w:lineRule="exact"/>
        <w:rPr>
          <w:sz w:val="20"/>
          <w:szCs w:val="20"/>
          <w:color w:val="auto"/>
        </w:rPr>
      </w:pPr>
    </w:p>
    <w:p>
      <w:pPr>
        <w:ind w:left="1940" w:hanging="641"/>
        <w:spacing w:after="0"/>
        <w:tabs>
          <w:tab w:leader="none" w:pos="194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Interest Expense of such Person for such period;</w:t>
      </w:r>
    </w:p>
    <w:p>
      <w:pPr>
        <w:spacing w:after="0" w:line="200"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1"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cash dividends or other distributions paid (excluding items eliminated in consolidation) on any series of Preferred Stock of any Restricted Subsidiary of such Person during such period; 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60"/>
          </w:cols>
          <w:pgMar w:left="580" w:top="1440" w:right="559" w:bottom="1440" w:gutter="0" w:footer="0" w:header="0"/>
        </w:sectPr>
      </w:pPr>
    </w:p>
    <w:bookmarkStart w:id="82" w:name="page83"/>
    <w:bookmarkEnd w:id="82"/>
    <w:p>
      <w:pPr>
        <w:spacing w:after="0" w:line="186" w:lineRule="exact"/>
        <w:rPr>
          <w:sz w:val="20"/>
          <w:szCs w:val="20"/>
          <w:color w:val="auto"/>
        </w:rPr>
      </w:pPr>
    </w:p>
    <w:p>
      <w:pPr>
        <w:ind w:left="660" w:right="20" w:firstLine="639"/>
        <w:spacing w:after="0" w:line="280" w:lineRule="auto"/>
        <w:tabs>
          <w:tab w:leader="none" w:pos="1691"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cash dividends or other distributions paid (excluding items eliminated in consolidation) on any series of Disqualified Stock during such period.</w:t>
      </w:r>
    </w:p>
    <w:p>
      <w:pPr>
        <w:spacing w:after="0" w:line="111"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means, with respect to any Person, any Subsidiary of such Person that is not organized or existing under the laws of the United States, any state thereof or the District of Columbia and any Restricted Subsidiary of such Foreign Subsidiary.</w:t>
      </w:r>
    </w:p>
    <w:p>
      <w:pPr>
        <w:spacing w:after="0" w:line="138" w:lineRule="exact"/>
        <w:rPr>
          <w:sz w:val="20"/>
          <w:szCs w:val="20"/>
          <w:color w:val="auto"/>
        </w:rPr>
      </w:pPr>
    </w:p>
    <w:p>
      <w:pPr>
        <w:jc w:val="both"/>
        <w:ind w:firstLine="649"/>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provided that all terms of an accounting or financial nature used in this Indenture shall be construed, and all computations of amounts and ratios referred to in this Indenture shall be made (a) without giving effect to any election under Accounting Standards Codification Topic 825 —Financial Instruments, or any successor thereto or comparable accounting principle (including pursuant to the Accounting Standards Codification), to value any Indebtedness of the Issuer or any Subsidiary at “fair value,” as defined therein and (b) the amount of any Indebtedness under GAAP with respect to Capitalized Lease Obligations shall be determined in accordance with the definition of Capitalized Lease Obligations. At any time after the Issue Date, the Issuer may elect to apply IFRS accounting principles in lieu of GAAP and, upon any such election, references herein to GAAP shall thereafter be construed to mean IFRS (except as otherwise provided in this Indenture); provided that any such election, once made, shall be irrevocable; provided, further, any calculation or determination in this Indenture that requires the application of GAAP for periods that include fiscal quarters ended prior to the Issuer’s election to apply IFRS shall remain as previously calculated or determined in accordance with GAAP. The Issuer shall give notice of any such election made in accordance with this definition to the Trustee. For the avoidance of doubt, solely making an election (without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action) referred to in this definition will not be treated as an incurrence of Indebtedness.</w:t>
      </w:r>
    </w:p>
    <w:p>
      <w:pPr>
        <w:spacing w:after="0" w:line="77"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If there occurs a change in IFRS or GAAP, as the case may be, and such change would cause a change in the method of calculation of any standards, terms or measures used in this Indenture (an “</w:t>
      </w:r>
      <w:r>
        <w:rPr>
          <w:rFonts w:ascii="Times New Roman" w:cs="Times New Roman" w:eastAsia="Times New Roman" w:hAnsi="Times New Roman"/>
          <w:sz w:val="19"/>
          <w:szCs w:val="19"/>
          <w:u w:val="single" w:color="auto"/>
          <w:color w:val="auto"/>
        </w:rPr>
        <w:t>Accounting Change</w:t>
      </w:r>
      <w:r>
        <w:rPr>
          <w:rFonts w:ascii="Times New Roman" w:cs="Times New Roman" w:eastAsia="Times New Roman" w:hAnsi="Times New Roman"/>
          <w:sz w:val="19"/>
          <w:szCs w:val="19"/>
          <w:color w:val="auto"/>
        </w:rPr>
        <w:t>”), then the Issuer may elect that such standards, terms or measures shall be calculated as if such Accounting Change had or had not occurred.</w:t>
      </w:r>
    </w:p>
    <w:p>
      <w:pPr>
        <w:spacing w:after="0" w:line="171"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Global Note Legend</w:t>
      </w:r>
      <w:r>
        <w:rPr>
          <w:rFonts w:ascii="Times New Roman" w:cs="Times New Roman" w:eastAsia="Times New Roman" w:hAnsi="Times New Roman"/>
          <w:sz w:val="19"/>
          <w:szCs w:val="19"/>
          <w:color w:val="auto"/>
        </w:rPr>
        <w:t>” means the legend set forth in Section 2.06(g)(ii) hereof, which is required to be placed on all Global Notes issued under this Indenture.</w:t>
      </w:r>
    </w:p>
    <w:p>
      <w:pPr>
        <w:spacing w:after="0" w:line="111"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Global Notes</w:t>
      </w:r>
      <w:r>
        <w:rPr>
          <w:rFonts w:ascii="Times New Roman" w:cs="Times New Roman" w:eastAsia="Times New Roman" w:hAnsi="Times New Roman"/>
          <w:sz w:val="19"/>
          <w:szCs w:val="19"/>
          <w:color w:val="auto"/>
        </w:rPr>
        <w:t xml:space="preserve">” means, individually and collectively, each of the Restricted Global Notes and the Unrestricted Global Notes,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issued in accordance with Section 2.01, 2.06(b) or 2.06(d) hereof.</w:t>
      </w:r>
    </w:p>
    <w:p>
      <w:pPr>
        <w:spacing w:after="0" w:line="138"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62"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Grantors</w:t>
      </w:r>
      <w:r>
        <w:rPr>
          <w:rFonts w:ascii="Times New Roman" w:cs="Times New Roman" w:eastAsia="Times New Roman" w:hAnsi="Times New Roman"/>
          <w:sz w:val="19"/>
          <w:szCs w:val="19"/>
          <w:color w:val="auto"/>
        </w:rPr>
        <w:t>” means the Issuer, Holdings, the Guarantors and any future Guarantor that becomes a party to the Notes Security Agreement or any other Collateral Document pursuant to Section 4.15 hereof.</w:t>
      </w:r>
    </w:p>
    <w:p>
      <w:pPr>
        <w:spacing w:after="0" w:line="152"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monetary obligations.</w:t>
      </w:r>
    </w:p>
    <w:p>
      <w:pPr>
        <w:spacing w:after="0" w:line="165" w:lineRule="exact"/>
        <w:rPr>
          <w:sz w:val="20"/>
          <w:szCs w:val="20"/>
          <w:color w:val="auto"/>
        </w:rPr>
      </w:pPr>
    </w:p>
    <w:p>
      <w:pPr>
        <w:jc w:val="both"/>
        <w:ind w:right="140"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in any manner, whether directly or indirectly, and including any obligation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60"/>
          </w:cols>
          <w:pgMar w:left="580" w:top="1440" w:right="559" w:bottom="1440" w:gutter="0" w:footer="0" w:header="0"/>
        </w:sectPr>
      </w:pPr>
    </w:p>
    <w:bookmarkStart w:id="83" w:name="page84"/>
    <w:bookmarkEnd w:id="83"/>
    <w:p>
      <w:pPr>
        <w:spacing w:after="0" w:line="18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w:t>
      </w:r>
    </w:p>
    <w:p>
      <w:pPr>
        <w:spacing w:after="0" w:line="2" w:lineRule="exact"/>
        <w:rPr>
          <w:sz w:val="20"/>
          <w:szCs w:val="20"/>
          <w:color w:val="auto"/>
        </w:rPr>
      </w:pPr>
    </w:p>
    <w:p>
      <w:pPr>
        <w:ind w:firstLine="1"/>
        <w:spacing w:after="0" w:line="230" w:lineRule="auto"/>
        <w:tabs>
          <w:tab w:leader="none" w:pos="26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an account party in respect of any letter of credit or letter of guaranty issued to support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endorsements for collection or deposit in the ordinary course of business or customary and reasonable indemnity obligations in effect on the Issue Date or entered into in connection with any acquisition or disposition of assets permitted under this Indenture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61"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each Restricted Subsidiary that Guarantees the Notes, until such Note Guarantee is released in accordance with the terms of this Indenture. For avoidance of doubt, the term “Guarantor” does not include Holdings.</w:t>
      </w:r>
    </w:p>
    <w:p>
      <w:pPr>
        <w:spacing w:after="0" w:line="138"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Hedging Obligations</w:t>
      </w:r>
      <w:r>
        <w:rPr>
          <w:rFonts w:ascii="Times New Roman" w:cs="Times New Roman" w:eastAsia="Times New Roman" w:hAnsi="Times New Roman"/>
          <w:sz w:val="19"/>
          <w:szCs w:val="19"/>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 currency swap agreement or similar agreement providing for the transfer or mitigation of interest rate, commodity price or currency risks either generally or under specific contingencies.</w:t>
      </w:r>
    </w:p>
    <w:p>
      <w:pPr>
        <w:spacing w:after="0" w:line="162" w:lineRule="exact"/>
        <w:rPr>
          <w:sz w:val="20"/>
          <w:szCs w:val="20"/>
          <w:color w:val="auto"/>
        </w:rPr>
      </w:pPr>
    </w:p>
    <w:p>
      <w:pPr>
        <w:ind w:right="36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 means each Person in whose name a Note is registered on the Registrar’s books, which shall initially be the nominee of DTC in the case of Global Notes.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has the meaning set forth in the preamble hereto and its permitted successors.</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Holding Company</w:t>
      </w:r>
      <w:r>
        <w:rPr>
          <w:rFonts w:ascii="Times New Roman" w:cs="Times New Roman" w:eastAsia="Times New Roman" w:hAnsi="Times New Roman"/>
          <w:sz w:val="19"/>
          <w:szCs w:val="19"/>
          <w:color w:val="auto"/>
        </w:rPr>
        <w:t>” means any Person so long as such Person directly or indirectly holds 100% of the total voting power of the Voting Stock of the Issuer,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w:t>
      </w:r>
    </w:p>
    <w:p>
      <w:pPr>
        <w:spacing w:after="0" w:line="177"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IFRS</w:t>
      </w:r>
      <w:r>
        <w:rPr>
          <w:rFonts w:ascii="Times New Roman" w:cs="Times New Roman" w:eastAsia="Times New Roman" w:hAnsi="Times New Roman"/>
          <w:sz w:val="19"/>
          <w:szCs w:val="19"/>
          <w:color w:val="auto"/>
        </w:rPr>
        <w:t>” means the international financial reporting standards as issued by the International Accounting Standards Board as in effect from time to time.</w:t>
      </w:r>
    </w:p>
    <w:p>
      <w:pPr>
        <w:spacing w:after="0" w:line="152" w:lineRule="exact"/>
        <w:rPr>
          <w:sz w:val="20"/>
          <w:szCs w:val="20"/>
          <w:color w:val="auto"/>
        </w:rPr>
      </w:pPr>
    </w:p>
    <w:p>
      <w:pPr>
        <w:jc w:val="both"/>
        <w:ind w:firstLine="649"/>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Subsidiary</w:t>
      </w:r>
      <w:r>
        <w:rPr>
          <w:rFonts w:ascii="Times New Roman" w:cs="Times New Roman" w:eastAsia="Times New Roman" w:hAnsi="Times New Roman"/>
          <w:sz w:val="19"/>
          <w:szCs w:val="19"/>
          <w:color w:val="auto"/>
        </w:rPr>
        <w:t>” means, at any date of determination, each Restricted Subsidiary of the Issuer that (i) has not guaranteed any other Indebtedness of the Issuer and (ii) has Total Assets and revenues, in each case, of less than 2.5% of Total Assets and revenues and, together with all other Immaterial Subsidiaries, has Total Assets and revenues of less than 10.0% of Total Assets and revenues, in each case, measured at the end of the most recent fiscal period for which consolidated financial statements are available (which may, at the Issuer’s election, be internal consolidated financial statements)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189"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Immediate Family Members</w:t>
      </w:r>
      <w:r>
        <w:rPr>
          <w:rFonts w:ascii="Times New Roman" w:cs="Times New Roman" w:eastAsia="Times New Roman" w:hAnsi="Times New Roman"/>
          <w:sz w:val="19"/>
          <w:szCs w:val="19"/>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60"/>
          </w:cols>
          <w:pgMar w:left="580" w:top="1440" w:right="559" w:bottom="1440" w:gutter="0" w:footer="0" w:header="0"/>
        </w:sectPr>
      </w:pPr>
    </w:p>
    <w:bookmarkStart w:id="84" w:name="page85"/>
    <w:bookmarkEnd w:id="84"/>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individuals or any private foundation or fund that is controlled by any of the foregoing individuals or any donor-advised fund of which any such individual is the donor.</w:t>
      </w:r>
    </w:p>
    <w:p>
      <w:pPr>
        <w:spacing w:after="0" w:line="166" w:lineRule="exact"/>
        <w:rPr>
          <w:sz w:val="20"/>
          <w:szCs w:val="20"/>
          <w:color w:val="auto"/>
        </w:rPr>
      </w:pPr>
    </w:p>
    <w:p>
      <w:pPr>
        <w:jc w:val="both"/>
        <w:ind w:right="20" w:firstLine="64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incur</w:t>
      </w:r>
      <w:r>
        <w:rPr>
          <w:rFonts w:ascii="Times New Roman" w:cs="Times New Roman" w:eastAsia="Times New Roman" w:hAnsi="Times New Roman"/>
          <w:sz w:val="19"/>
          <w:szCs w:val="19"/>
          <w:color w:val="auto"/>
        </w:rPr>
        <w:t xml:space="preserve">” means issue, create, assume, enter into any Guarantee of, incur, extend or otherwise become liable 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means, with respect to any Person, without duplication:</w:t>
      </w:r>
    </w:p>
    <w:p>
      <w:pPr>
        <w:spacing w:after="0" w:line="214" w:lineRule="exact"/>
        <w:rPr>
          <w:sz w:val="20"/>
          <w:szCs w:val="20"/>
          <w:color w:val="auto"/>
        </w:rPr>
      </w:pPr>
    </w:p>
    <w:p>
      <w:pPr>
        <w:ind w:left="1940" w:hanging="641"/>
        <w:spacing w:after="0"/>
        <w:tabs>
          <w:tab w:leader="none" w:pos="19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indebtedness of such Person:</w:t>
      </w:r>
    </w:p>
    <w:p>
      <w:pPr>
        <w:spacing w:after="0" w:line="227"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borrowed money;</w:t>
      </w:r>
    </w:p>
    <w:p>
      <w:pPr>
        <w:spacing w:after="0" w:line="200" w:lineRule="exact"/>
        <w:rPr>
          <w:rFonts w:ascii="Times New Roman" w:cs="Times New Roman" w:eastAsia="Times New Roman" w:hAnsi="Times New Roman"/>
          <w:sz w:val="19"/>
          <w:szCs w:val="19"/>
          <w:color w:val="auto"/>
        </w:rPr>
      </w:pPr>
    </w:p>
    <w:p>
      <w:pPr>
        <w:jc w:val="both"/>
        <w:ind w:left="1300" w:firstLine="647"/>
        <w:spacing w:after="0"/>
        <w:tabs>
          <w:tab w:leader="none" w:pos="233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evidenced by bonds, notes, debentures or similar instruments or letters of credit or bankers’ acceptances (or, without duplication, reimbursement agreements in respect thereof)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w:t>
      </w:r>
    </w:p>
    <w:p>
      <w:pPr>
        <w:spacing w:after="0" w:line="28" w:lineRule="exact"/>
        <w:rPr>
          <w:rFonts w:ascii="Times New Roman" w:cs="Times New Roman" w:eastAsia="Times New Roman" w:hAnsi="Times New Roman"/>
          <w:sz w:val="19"/>
          <w:szCs w:val="19"/>
          <w:color w:val="auto"/>
        </w:rPr>
      </w:pPr>
    </w:p>
    <w:p>
      <w:pPr>
        <w:jc w:val="both"/>
        <w:ind w:left="1300" w:right="20" w:firstLine="647"/>
        <w:spacing w:after="0" w:line="252" w:lineRule="auto"/>
        <w:tabs>
          <w:tab w:leader="none" w:pos="2333"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representing the balance deferred and unpaid of the purchase price of any property, which purchase price is due more than one year after the date of placing such property in service or taking final delivery and title thereto, and Capitalized Lease Obligations, except (i) any such balance that constitutes a trade payable or similar obligation to a trade creditor, in each case accrued in the ordinary course of business and (ii) any earn-out obligations until, after 30 days of becoming due and payable, has not been paid and such obligation becomes a liability on the balance sheet of such Person in accordance with GAAP and any purchase price holdbacks in respect of a portion of the purchase price of an asset to satisfy warranty or other unperformed obligations of the seller; or</w:t>
      </w:r>
    </w:p>
    <w:p>
      <w:pPr>
        <w:spacing w:after="0" w:line="149" w:lineRule="exact"/>
        <w:rPr>
          <w:rFonts w:ascii="Times New Roman" w:cs="Times New Roman" w:eastAsia="Times New Roman" w:hAnsi="Times New Roman"/>
          <w:sz w:val="19"/>
          <w:szCs w:val="19"/>
          <w:color w:val="auto"/>
        </w:rPr>
      </w:pPr>
    </w:p>
    <w:p>
      <w:pPr>
        <w:jc w:val="both"/>
        <w:ind w:left="1300" w:firstLine="647"/>
        <w:spacing w:after="0" w:line="244" w:lineRule="auto"/>
        <w:tabs>
          <w:tab w:leader="none" w:pos="233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representing any Hedging Obligations to the extent not otherwise included in this definition (the amount of any such obligations to be equal at any time to the net payments under such agreement or arrangement giving rise to such obligation that would be payable by such Person at the termination of such agreement or arrangement);</w:t>
      </w:r>
    </w:p>
    <w:p>
      <w:pPr>
        <w:spacing w:after="0" w:line="157" w:lineRule="exact"/>
        <w:rPr>
          <w:sz w:val="20"/>
          <w:szCs w:val="20"/>
          <w:color w:val="auto"/>
        </w:rPr>
      </w:pPr>
    </w:p>
    <w:p>
      <w:pPr>
        <w:ind w:left="660"/>
        <w:spacing w:after="0" w:line="280" w:lineRule="auto"/>
        <w:rPr>
          <w:sz w:val="20"/>
          <w:szCs w:val="20"/>
          <w:color w:val="auto"/>
        </w:rPr>
      </w:pPr>
      <w:r>
        <w:rPr>
          <w:rFonts w:ascii="Times New Roman" w:cs="Times New Roman" w:eastAsia="Times New Roman" w:hAnsi="Times New Roman"/>
          <w:sz w:val="19"/>
          <w:szCs w:val="19"/>
          <w:color w:val="auto"/>
        </w:rPr>
        <w:t>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52" w:lineRule="exact"/>
        <w:rPr>
          <w:sz w:val="20"/>
          <w:szCs w:val="20"/>
          <w:color w:val="auto"/>
        </w:rPr>
      </w:pPr>
    </w:p>
    <w:p>
      <w:pPr>
        <w:jc w:val="both"/>
        <w:ind w:left="660" w:firstLine="639"/>
        <w:spacing w:after="0" w:line="234" w:lineRule="auto"/>
        <w:tabs>
          <w:tab w:leader="none" w:pos="169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otherwise included, any Guarantee by such Person on the principal components of the obligations of the type referred to in clause (1) of a third Person to the extent Guaranteed by such Person, other than by endorsement of negotiable instruments for collection in the ordinary course of business; provided that the amount of Indebtedness of any Person for purposes of this clause (2) shall be deemed to be equal to the lesser of (i) the aggregate unpaid amount of such Indebtedness and (ii) the fair market value of the property encumbered thereby as determined by such Person in good faith; and</w:t>
      </w:r>
    </w:p>
    <w:p>
      <w:pPr>
        <w:spacing w:after="0" w:line="190" w:lineRule="exact"/>
        <w:rPr>
          <w:rFonts w:ascii="Times New Roman" w:cs="Times New Roman" w:eastAsia="Times New Roman" w:hAnsi="Times New Roman"/>
          <w:sz w:val="19"/>
          <w:szCs w:val="19"/>
          <w:color w:val="auto"/>
        </w:rPr>
      </w:pPr>
    </w:p>
    <w:p>
      <w:pPr>
        <w:jc w:val="both"/>
        <w:ind w:left="660" w:firstLine="639"/>
        <w:spacing w:after="0" w:line="244" w:lineRule="auto"/>
        <w:tabs>
          <w:tab w:leader="none" w:pos="169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not otherwise included, the obligations of the type referred to in clause (1) of a third Person secured by a Lien on any asset owned by such first Person, whether or not such Indebtedness is assumed by such first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amount of such Indebtedness will be the lesser of (a) the fair market value of such asset at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60"/>
          </w:cols>
          <w:pgMar w:left="580" w:top="1440" w:right="559" w:bottom="1440" w:gutter="0" w:footer="0" w:header="0"/>
        </w:sectPr>
      </w:pPr>
    </w:p>
    <w:bookmarkStart w:id="85" w:name="page86"/>
    <w:bookmarkEnd w:id="85"/>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(as determined in good faith by the Issuer) and (b) the amount of such Indebtedness of such other Persons;</w:t>
      </w:r>
    </w:p>
    <w:p>
      <w:pPr>
        <w:spacing w:after="0" w:line="200"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the foregoing, Indebtedness shall be deemed not to include (a) Contingent Obligations incurred in the ordinary course of business or consistent with past practice or industry practice, (b) obligations under or in respect of Receivables Facilities, (c) Indebtedness of any Parent Entity appearing on the balance sheet of the Issuer, or solely by reason of push down accounting under GAAP, (d) intercompany liabilities arising from their cash management, tax, and accounting operations, (e) intercompany loans, advances or Indebtedness having a term not exceeding 364 days (inclusive of any rollover or extensions of terms) and made in the ordinary course of business, (f) Cash Management Obligations, (g) any lease, concession or license of property (or Guarantee thereof) which would be considered an operating lease under GAAP as in effect on the Issue Date, Non-Financing Lease Obligations, Sale and Lease-back Transactions or any prepayments of deposits received from clients or customers in the ordinary course of business or consistent with past practice, (h) obligations under any license, permit or other approval (or Guarantees given in respect of such obligations) incurred prior to the Issue Date or in the ordinary course of business or consistent with past practice, (i) in connection with the purchase by the Issuer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in a timely manner, (j) for the avoidance of doubt, any obligations in respect of workers’ compensation claims, early retirement or termination obligations, pension fund obligations or contributions or similar claims, obligations or contributions or social security or wage Taxes, (k) Capital Stock, (l) 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Section 5.01 hereof, (m) deferred obligations under any investor management agreement, (n) accrued obligations in the ordinary course of business, (o) royalty payments made in the ordinary course of business, (p) any accruals for payroll and other noninterest bearing liabilities in the ordinary course of business, (q) deferred rent obligations, taxes and compensation, (r) customary payables with respect to money orders or wire transfers and (s) customary obligations under employment agreements.</w:t>
      </w:r>
    </w:p>
    <w:p>
      <w:pPr>
        <w:spacing w:after="0" w:line="131" w:lineRule="exact"/>
        <w:rPr>
          <w:sz w:val="20"/>
          <w:szCs w:val="20"/>
          <w:color w:val="auto"/>
        </w:rPr>
      </w:pPr>
    </w:p>
    <w:p>
      <w:pPr>
        <w:ind w:firstLine="649"/>
        <w:spacing w:after="0" w:line="254" w:lineRule="auto"/>
        <w:rPr>
          <w:sz w:val="20"/>
          <w:szCs w:val="20"/>
          <w:color w:val="auto"/>
        </w:rPr>
      </w:pPr>
      <w:r>
        <w:rPr>
          <w:rFonts w:ascii="Times New Roman" w:cs="Times New Roman" w:eastAsia="Times New Roman" w:hAnsi="Times New Roman"/>
          <w:sz w:val="19"/>
          <w:szCs w:val="19"/>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Indenture as a result of accounting for any embedded derivatives created by the terms of such Indebtedness.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means this Indenture, as amended or supplemented from time to time.</w:t>
      </w:r>
    </w:p>
    <w:p>
      <w:pPr>
        <w:spacing w:after="0" w:line="200" w:lineRule="exact"/>
        <w:rPr>
          <w:sz w:val="20"/>
          <w:szCs w:val="20"/>
          <w:color w:val="auto"/>
        </w:rPr>
      </w:pPr>
    </w:p>
    <w:p>
      <w:pPr>
        <w:ind w:right="1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 Financial Advisor</w:t>
      </w:r>
      <w:r>
        <w:rPr>
          <w:rFonts w:ascii="Times New Roman" w:cs="Times New Roman" w:eastAsia="Times New Roman" w:hAnsi="Times New Roman"/>
          <w:sz w:val="19"/>
          <w:szCs w:val="19"/>
          <w:color w:val="auto"/>
        </w:rPr>
        <w:t>” means an accounting, appraisal, investment banking firm or consultant to Persons engaged in Similar Businesses of nationally recognized standing; provided, however, that such firm or appraiser is not an Affiliate of the Issuer.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Indirect Participant</w:t>
      </w:r>
      <w:r>
        <w:rPr>
          <w:rFonts w:ascii="Times New Roman" w:cs="Times New Roman" w:eastAsia="Times New Roman" w:hAnsi="Times New Roman"/>
          <w:sz w:val="19"/>
          <w:szCs w:val="19"/>
          <w:color w:val="auto"/>
        </w:rPr>
        <w:t>” means a Person who holds a beneficial interest in a Global Note through a Participant.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Notes</w:t>
      </w:r>
      <w:r>
        <w:rPr>
          <w:rFonts w:ascii="Times New Roman" w:cs="Times New Roman" w:eastAsia="Times New Roman" w:hAnsi="Times New Roman"/>
          <w:sz w:val="19"/>
          <w:szCs w:val="19"/>
          <w:color w:val="auto"/>
        </w:rPr>
        <w:t>” has the meaning set forth in the recitals hereto.</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Purchasers</w:t>
      </w:r>
      <w:r>
        <w:rPr>
          <w:rFonts w:ascii="Times New Roman" w:cs="Times New Roman" w:eastAsia="Times New Roman" w:hAnsi="Times New Roman"/>
          <w:sz w:val="19"/>
          <w:szCs w:val="19"/>
          <w:color w:val="auto"/>
        </w:rPr>
        <w:t>” means the persons named as initial purchasers in the Purchase Agreement, dated as of May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60"/>
          </w:cols>
          <w:pgMar w:left="580" w:top="1440" w:right="459" w:bottom="1440" w:gutter="0" w:footer="0" w:header="0"/>
        </w:sectPr>
      </w:pPr>
    </w:p>
    <w:bookmarkStart w:id="86" w:name="page87"/>
    <w:bookmarkEnd w:id="86"/>
    <w:p>
      <w:pPr>
        <w:spacing w:after="0" w:line="159" w:lineRule="exact"/>
        <w:rPr>
          <w:sz w:val="20"/>
          <w:szCs w:val="20"/>
          <w:color w:val="auto"/>
        </w:rPr>
      </w:pPr>
    </w:p>
    <w:p>
      <w:pPr>
        <w:jc w:val="both"/>
        <w:ind w:right="20" w:firstLine="6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Instructions</w:t>
      </w:r>
      <w:r>
        <w:rPr>
          <w:rFonts w:ascii="Times New Roman" w:cs="Times New Roman" w:eastAsia="Times New Roman" w:hAnsi="Times New Roman"/>
          <w:sz w:val="19"/>
          <w:szCs w:val="19"/>
          <w:color w:val="auto"/>
        </w:rPr>
        <w:t>” means any written notices, directions or instructions received (including for the avoidance of doubt by Electronic Means) by the Trustee or the Agents from an Authorized Person or from a person reasonably believed by the Trustee or the respective Agent to be an Authorized Person.</w:t>
      </w:r>
    </w:p>
    <w:p>
      <w:pPr>
        <w:spacing w:after="0" w:line="159"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means, with respect to any Person, all intellectual property rights of every kind and nature, whether now or hereafter owned or licensed by any such Person, including such rights in inventions, Patents, Copyrights, Trademarks and Licenses, rights in trade secrets and know-how, rights in domain names, rights in confidential or proprietary technical, business or other information, and rights in software and databases.</w:t>
      </w:r>
    </w:p>
    <w:p>
      <w:pPr>
        <w:spacing w:after="0" w:line="175"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Intercompany License Agreement</w:t>
      </w:r>
      <w:r>
        <w:rPr>
          <w:rFonts w:ascii="Times New Roman" w:cs="Times New Roman" w:eastAsia="Times New Roman" w:hAnsi="Times New Roman"/>
          <w:sz w:val="19"/>
          <w:szCs w:val="19"/>
          <w:color w:val="auto"/>
        </w:rPr>
        <w:t>”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Issuer or a Restricted Subsidiary.</w:t>
      </w:r>
    </w:p>
    <w:p>
      <w:pPr>
        <w:spacing w:after="0" w:line="152" w:lineRule="exact"/>
        <w:rPr>
          <w:sz w:val="20"/>
          <w:szCs w:val="20"/>
          <w:color w:val="auto"/>
        </w:rPr>
      </w:pPr>
    </w:p>
    <w:p>
      <w:pPr>
        <w:ind w:right="80" w:firstLine="6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Intercreditor Agreement</w:t>
      </w:r>
      <w:r>
        <w:rPr>
          <w:rFonts w:ascii="Times New Roman" w:cs="Times New Roman" w:eastAsia="Times New Roman" w:hAnsi="Times New Roman"/>
          <w:sz w:val="19"/>
          <w:szCs w:val="19"/>
          <w:color w:val="auto"/>
        </w:rPr>
        <w:t>” means, collectively, (i) the Pari Passu Intercreditor Agreement, (ii) the ABL Intercreditor Agreement, and (iii) the Second Lien Intercreditor Agreement, as applicable.</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June 1 and December 1 of each year to stated maturity.</w:t>
      </w:r>
    </w:p>
    <w:p>
      <w:pPr>
        <w:spacing w:after="0" w:line="119" w:lineRule="exact"/>
        <w:rPr>
          <w:sz w:val="20"/>
          <w:szCs w:val="20"/>
          <w:color w:val="auto"/>
        </w:rPr>
      </w:pPr>
    </w:p>
    <w:p>
      <w:pPr>
        <w:ind w:right="14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Grade Rating</w:t>
      </w:r>
      <w:r>
        <w:rPr>
          <w:rFonts w:ascii="Times New Roman" w:cs="Times New Roman" w:eastAsia="Times New Roman" w:hAnsi="Times New Roman"/>
          <w:sz w:val="19"/>
          <w:szCs w:val="19"/>
          <w:color w:val="auto"/>
        </w:rPr>
        <w:t>” means a rating equal to or higher than (x) Baa3 (or the equivalent) by Moody’s, (y) BBB-(or the equivalent) by S&amp;P or (z) a rating of BBB- (or the equivalent) by Fitch, as applicable, or if the Notes are not then rated by Moody’s, S&amp;P or Fitch, an equivalent rating by any other Rating Agency.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Grade Securities</w:t>
      </w:r>
      <w:r>
        <w:rPr>
          <w:rFonts w:ascii="Times New Roman" w:cs="Times New Roman" w:eastAsia="Times New Roman" w:hAnsi="Times New Roman"/>
          <w:sz w:val="19"/>
          <w:szCs w:val="19"/>
          <w:color w:val="auto"/>
        </w:rPr>
        <w:t>” means:</w:t>
      </w:r>
    </w:p>
    <w:p>
      <w:pPr>
        <w:spacing w:after="0" w:line="214" w:lineRule="exact"/>
        <w:rPr>
          <w:sz w:val="20"/>
          <w:szCs w:val="20"/>
          <w:color w:val="auto"/>
        </w:rPr>
      </w:pPr>
    </w:p>
    <w:p>
      <w:pPr>
        <w:ind w:left="660" w:right="20" w:firstLine="639"/>
        <w:spacing w:after="0" w:line="280" w:lineRule="auto"/>
        <w:tabs>
          <w:tab w:leader="none" w:pos="1691"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issued or directly and fully guaranteed or insured by the United States government or any agency or instrumentality thereof (other than Cash Equivalents);</w:t>
      </w:r>
    </w:p>
    <w:p>
      <w:pPr>
        <w:spacing w:after="0" w:line="151" w:lineRule="exact"/>
        <w:rPr>
          <w:rFonts w:ascii="Times New Roman" w:cs="Times New Roman" w:eastAsia="Times New Roman" w:hAnsi="Times New Roman"/>
          <w:sz w:val="19"/>
          <w:szCs w:val="19"/>
          <w:color w:val="auto"/>
        </w:rPr>
      </w:pPr>
    </w:p>
    <w:p>
      <w:pPr>
        <w:ind w:left="660" w:right="20" w:firstLine="639"/>
        <w:spacing w:after="0" w:line="250" w:lineRule="auto"/>
        <w:tabs>
          <w:tab w:leader="none" w:pos="1691"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issued or directly and fully guaranteed or insured by the Canadian, United Kingdom or Japanese governments, a member state of the European Union, or any agency or instrumentality thereof (other than Cash Equivalents);</w:t>
      </w:r>
    </w:p>
    <w:p>
      <w:pPr>
        <w:spacing w:after="0" w:line="165"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1"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securities or debt instruments with an Investment Grade Rating, but excluding any debt securities or instruments constituting loans or advances among the Issuer and its Subsidiaries;</w:t>
      </w:r>
    </w:p>
    <w:p>
      <w:pPr>
        <w:spacing w:after="0" w:line="16" w:lineRule="exact"/>
        <w:rPr>
          <w:rFonts w:ascii="Times New Roman" w:cs="Times New Roman" w:eastAsia="Times New Roman" w:hAnsi="Times New Roman"/>
          <w:sz w:val="19"/>
          <w:szCs w:val="19"/>
          <w:color w:val="auto"/>
        </w:rPr>
      </w:pPr>
    </w:p>
    <w:p>
      <w:pPr>
        <w:ind w:left="660" w:firstLine="639"/>
        <w:spacing w:after="0" w:line="265" w:lineRule="auto"/>
        <w:tabs>
          <w:tab w:leader="none" w:pos="1691"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any fund that invests exclusively in investments of the type described in clauses (1), (2) and (3) above which fund may also hold cash and Cash Equivalents pending investment or distribution; and</w:t>
      </w:r>
    </w:p>
    <w:p>
      <w:pPr>
        <w:spacing w:after="0" w:line="138"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corresponding instruments in countries other than the United States of America customarily utilized for high quality</w:t>
      </w:r>
    </w:p>
    <w:p>
      <w:pPr>
        <w:spacing w:after="0" w:line="25"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w:t>
      </w:r>
    </w:p>
    <w:p>
      <w:pPr>
        <w:spacing w:after="0" w:line="199" w:lineRule="exact"/>
        <w:rPr>
          <w:sz w:val="20"/>
          <w:szCs w:val="20"/>
          <w:color w:val="auto"/>
        </w:rPr>
      </w:pPr>
    </w:p>
    <w:p>
      <w:pPr>
        <w:jc w:val="both"/>
        <w:ind w:firstLine="649"/>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means, with respect to any Person, all investments by such Person in other Persons (including Affiliates) in the form of loans (including guarantees), advances, capital contributions and other extensions of credit (excluding (i) accounts receivable, credit card and debit card receivables, trade credit, advances or extensions of credit to customers, distributors, suppliers, past, present or former employees, directors, officers, managers, contractors, consultants or advisors (or their respective Controlled Investment Affiliates or Immediate Family Members), commission, travel and similar advances to past, present or former employees, directors, officers, managers, distributors, contractors, consultants or advisors (or their respective Controlled Investment Affiliates or Immediate Family Members) in each case made in the ordinary course of business or consistent with past practice or industry practice, (ii) any debt or extension of credit represented by a bank deposit other than a time deposit, (iii) 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60"/>
          </w:cols>
          <w:pgMar w:left="580" w:top="1440" w:right="559" w:bottom="1440" w:gutter="0" w:footer="0" w:header="0"/>
        </w:sectPr>
      </w:pPr>
    </w:p>
    <w:bookmarkStart w:id="87" w:name="page88"/>
    <w:bookmarkEnd w:id="87"/>
    <w:p>
      <w:pPr>
        <w:spacing w:after="0" w:line="186"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9"/>
          <w:szCs w:val="19"/>
          <w:color w:val="auto"/>
        </w:rPr>
        <w:t>purchases or other acquisitions for consideration of Indebtedness, Equity Interests or other securities issued by any other Person and investments that are required by GAAP to be classified on the balance sheet (excluding the footnotes) of the Issuer in the same manner as the other investments included in this definition to the extent such transactions involve the transfer of cash or other property; provided that endorsements of negotiable instruments and documents in the ordinary course of business or consistent with past practice or industry practice will not be deemed to be an Investment.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For purposes of the definition of “Unrestricted Subsidiary” and Section 4.07 hereof:</w:t>
      </w:r>
    </w:p>
    <w:p>
      <w:pPr>
        <w:spacing w:after="0" w:line="214" w:lineRule="exact"/>
        <w:rPr>
          <w:sz w:val="20"/>
          <w:szCs w:val="20"/>
          <w:color w:val="auto"/>
        </w:rPr>
      </w:pPr>
    </w:p>
    <w:p>
      <w:pPr>
        <w:jc w:val="both"/>
        <w:ind w:left="660" w:right="160" w:firstLine="639"/>
        <w:spacing w:after="0"/>
        <w:tabs>
          <w:tab w:leader="none" w:pos="169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shall include the portion (proportionate to the Issuer’s direct or indirect equity interest in such Subsidiary) of the fair market value of the net assets of a Subsidiary of the Issuer at the time that such Subsidiary is designated an Unrestricted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upon a redesignation of such Subsidiary as a Restricted Subsidiary, the Issuer or the applicable Restricted Subsidiary shall be deemed to continue to have a permanent “Investment” in an Unrestricted Subsidiary in an amount (if positive) equal to:</w:t>
      </w:r>
    </w:p>
    <w:p>
      <w:pPr>
        <w:spacing w:after="0" w:line="163"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“Investment” in such Subsidiary at the time of such redesignation; less</w:t>
      </w:r>
    </w:p>
    <w:p>
      <w:pPr>
        <w:spacing w:after="0" w:line="213" w:lineRule="exact"/>
        <w:rPr>
          <w:rFonts w:ascii="Times New Roman" w:cs="Times New Roman" w:eastAsia="Times New Roman" w:hAnsi="Times New Roman"/>
          <w:sz w:val="19"/>
          <w:szCs w:val="19"/>
          <w:color w:val="auto"/>
        </w:rPr>
      </w:pPr>
    </w:p>
    <w:p>
      <w:pPr>
        <w:ind w:left="1300" w:right="180" w:firstLine="647"/>
        <w:spacing w:after="0" w:line="280" w:lineRule="auto"/>
        <w:tabs>
          <w:tab w:leader="none" w:pos="2330"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(proportionate to the Issuer’s equity interest in such Subsidiary) of the fair market value of the net assets of such Subsidiary at the time of such redesignation;</w:t>
      </w:r>
    </w:p>
    <w:p>
      <w:pPr>
        <w:spacing w:after="0" w:line="124" w:lineRule="exact"/>
        <w:rPr>
          <w:rFonts w:ascii="Times New Roman" w:cs="Times New Roman" w:eastAsia="Times New Roman" w:hAnsi="Times New Roman"/>
          <w:sz w:val="19"/>
          <w:szCs w:val="19"/>
          <w:color w:val="auto"/>
        </w:rPr>
      </w:pPr>
    </w:p>
    <w:p>
      <w:pPr>
        <w:ind w:left="660" w:right="180" w:firstLine="639"/>
        <w:spacing w:after="0" w:line="280" w:lineRule="auto"/>
        <w:tabs>
          <w:tab w:leader="none" w:pos="169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property transferred to or from an Unrestricted Subsidiary shall be valued at its fair market value at the time of such transfer, in each case as determined in good faith by the Issuer; and</w:t>
      </w:r>
    </w:p>
    <w:p>
      <w:pPr>
        <w:spacing w:after="0" w:line="124" w:lineRule="exact"/>
        <w:rPr>
          <w:rFonts w:ascii="Times New Roman" w:cs="Times New Roman" w:eastAsia="Times New Roman" w:hAnsi="Times New Roman"/>
          <w:sz w:val="19"/>
          <w:szCs w:val="19"/>
          <w:color w:val="auto"/>
        </w:rPr>
      </w:pPr>
    </w:p>
    <w:p>
      <w:pPr>
        <w:jc w:val="both"/>
        <w:ind w:left="660" w:right="160" w:firstLine="639"/>
        <w:spacing w:after="0" w:line="241" w:lineRule="auto"/>
        <w:tabs>
          <w:tab w:leader="none" w:pos="169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or any Restricted Subsidiary issues, sells or otherwise disposes of Capital Stock of a Person that is a Restricted Subsidiary such that, after giving effect thereto, such Person is no longer a Restricted Subsidiary, any investment by the Issuer or any Restricted Subsidiary in such Person remaining after giving effect thereto shall not be deemed to be an Investment at such time.</w:t>
      </w:r>
    </w:p>
    <w:p>
      <w:pPr>
        <w:spacing w:after="0" w:line="148" w:lineRule="exact"/>
        <w:rPr>
          <w:sz w:val="20"/>
          <w:szCs w:val="20"/>
          <w:color w:val="auto"/>
        </w:rPr>
      </w:pPr>
    </w:p>
    <w:p>
      <w:pPr>
        <w:jc w:val="both"/>
        <w:ind w:right="160" w:firstLine="649"/>
        <w:spacing w:after="0" w:line="266" w:lineRule="auto"/>
        <w:rPr>
          <w:sz w:val="20"/>
          <w:szCs w:val="20"/>
          <w:color w:val="auto"/>
        </w:rPr>
      </w:pPr>
      <w:r>
        <w:rPr>
          <w:rFonts w:ascii="Times New Roman" w:cs="Times New Roman" w:eastAsia="Times New Roman" w:hAnsi="Times New Roman"/>
          <w:sz w:val="19"/>
          <w:szCs w:val="19"/>
          <w:color w:val="auto"/>
        </w:rPr>
        <w:t>The amount of any Investment outstanding at any time shall be the original cost of such Investment, reduced by any dividend, distribution, interest payment, return of capital, repayment or other amount received in cash, Cash Equivalents or other property by the Issuer or a Restricted Subsidiary in respect of such Investment.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Issue Date</w:t>
      </w:r>
      <w:r>
        <w:rPr>
          <w:rFonts w:ascii="Times New Roman" w:cs="Times New Roman" w:eastAsia="Times New Roman" w:hAnsi="Times New Roman"/>
          <w:sz w:val="19"/>
          <w:szCs w:val="19"/>
          <w:color w:val="auto"/>
        </w:rPr>
        <w:t>” means May 30, 2024 (the first date the Initial Notes are issued under this Indenture).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 has the meaning set forth in the preamble hereto and its permitted successors.</w:t>
      </w:r>
    </w:p>
    <w:p>
      <w:pPr>
        <w:spacing w:after="0" w:line="241" w:lineRule="exact"/>
        <w:rPr>
          <w:sz w:val="20"/>
          <w:szCs w:val="20"/>
          <w:color w:val="auto"/>
        </w:rPr>
      </w:pPr>
    </w:p>
    <w:p>
      <w:pPr>
        <w:ind w:left="660"/>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Issuer Order</w:t>
      </w:r>
      <w:r>
        <w:rPr>
          <w:rFonts w:ascii="Times New Roman" w:cs="Times New Roman" w:eastAsia="Times New Roman" w:hAnsi="Times New Roman"/>
          <w:sz w:val="19"/>
          <w:szCs w:val="19"/>
          <w:color w:val="auto"/>
        </w:rPr>
        <w:t>” means a written request or order signed on behalf of the Issuer by an Officer of the Issuer and delivered to the Trustee or an Agent.</w:t>
      </w:r>
    </w:p>
    <w:p>
      <w:pPr>
        <w:spacing w:after="0" w:line="161" w:lineRule="exact"/>
        <w:rPr>
          <w:sz w:val="20"/>
          <w:szCs w:val="20"/>
          <w:color w:val="auto"/>
        </w:rPr>
      </w:pPr>
    </w:p>
    <w:p>
      <w:pPr>
        <w:jc w:val="both"/>
        <w:ind w:right="180"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Lien Priority</w:t>
      </w:r>
      <w:r>
        <w:rPr>
          <w:rFonts w:ascii="Times New Roman" w:cs="Times New Roman" w:eastAsia="Times New Roman" w:hAnsi="Times New Roman"/>
          <w:sz w:val="19"/>
          <w:szCs w:val="19"/>
          <w:color w:val="auto"/>
        </w:rPr>
        <w:t>” means Indebtedness that is secured by a Lien on the Collateral that is junior in priority to the Liens on the Collateral securing the Obligations under the Notes and is subject to a Second Lien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w:t>
      </w:r>
    </w:p>
    <w:p>
      <w:pPr>
        <w:spacing w:after="0" w:line="162" w:lineRule="exact"/>
        <w:rPr>
          <w:sz w:val="20"/>
          <w:szCs w:val="20"/>
          <w:color w:val="auto"/>
        </w:rPr>
      </w:pPr>
    </w:p>
    <w:p>
      <w:pPr>
        <w:jc w:val="both"/>
        <w:ind w:right="200" w:firstLine="6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w:t>
      </w:r>
      <w:r>
        <w:rPr>
          <w:rFonts w:ascii="Times New Roman" w:cs="Times New Roman" w:eastAsia="Times New Roman" w:hAnsi="Times New Roman"/>
          <w:sz w:val="19"/>
          <w:szCs w:val="19"/>
          <w:color w:val="auto"/>
        </w:rPr>
        <w:t>” means any letter of credit or bank guarantee by an issuing bank issued pursuant to the Credit Agreement or deemed outstanding under the Credit Agreement.</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License</w:t>
      </w:r>
      <w:r>
        <w:rPr>
          <w:rFonts w:ascii="Times New Roman" w:cs="Times New Roman" w:eastAsia="Times New Roman" w:hAnsi="Times New Roman"/>
          <w:sz w:val="19"/>
          <w:szCs w:val="19"/>
          <w:color w:val="auto"/>
        </w:rPr>
        <w:t>” means any Patent License, Trademark License or Copyright License.</w:t>
      </w:r>
    </w:p>
    <w:p>
      <w:pPr>
        <w:spacing w:after="0" w:line="214" w:lineRule="exact"/>
        <w:rPr>
          <w:sz w:val="20"/>
          <w:szCs w:val="20"/>
          <w:color w:val="auto"/>
        </w:rPr>
      </w:pPr>
    </w:p>
    <w:p>
      <w:pPr>
        <w:jc w:val="both"/>
        <w:ind w:right="16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any mortgage, pledge, hypothecation, assignment, deposit arrangement, encumbrance, lien (statutory or otherwise), charge or other security interest of any kind or nature whatsoever (including any conditional sale or other title retention agreement and any Capitalized Lease having substantially the same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580" w:top="1440" w:right="399" w:bottom="1440" w:gutter="0" w:footer="0" w:header="0"/>
        </w:sectPr>
      </w:pPr>
    </w:p>
    <w:bookmarkStart w:id="88" w:name="page89"/>
    <w:bookmarkEnd w:id="88"/>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economic effect as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Non-Financing Lease Obligations be deemed to constitute a Lien.</w:t>
      </w:r>
    </w:p>
    <w:p>
      <w:pPr>
        <w:spacing w:after="0" w:line="187" w:lineRule="exact"/>
        <w:rPr>
          <w:sz w:val="20"/>
          <w:szCs w:val="20"/>
          <w:color w:val="auto"/>
        </w:rPr>
      </w:pPr>
    </w:p>
    <w:p>
      <w:pPr>
        <w:jc w:val="both"/>
        <w:ind w:right="60"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Transaction</w:t>
      </w:r>
      <w:r>
        <w:rPr>
          <w:rFonts w:ascii="Times New Roman" w:cs="Times New Roman" w:eastAsia="Times New Roman" w:hAnsi="Times New Roman"/>
          <w:sz w:val="19"/>
          <w:szCs w:val="19"/>
          <w:color w:val="auto"/>
        </w:rPr>
        <w:t>” means (1) any Investment or acquisition (whether by merger, amalgamation, consolidation or other business combination or the acquisition of Equity Interests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 Indebtedness, Disqualified Stock or Preferred Stock requiring irrevocable notice in advance of such redemption, repurchase, defeasance, satisfaction and discharge or repayment; (3) any Restricted Payment requiring irrevocable notice in advance thereof; and (4) any asset sale or a disposition excluded from the definition of “Asset Sale.”</w:t>
      </w:r>
    </w:p>
    <w:p>
      <w:pPr>
        <w:spacing w:after="0" w:line="164" w:lineRule="exact"/>
        <w:rPr>
          <w:sz w:val="20"/>
          <w:szCs w:val="20"/>
          <w:color w:val="auto"/>
        </w:rPr>
      </w:pPr>
    </w:p>
    <w:p>
      <w:pPr>
        <w:jc w:val="both"/>
        <w:ind w:right="80"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Long Derivative Instrument</w:t>
      </w:r>
      <w:r>
        <w:rPr>
          <w:rFonts w:ascii="Times New Roman" w:cs="Times New Roman" w:eastAsia="Times New Roman" w:hAnsi="Times New Roman"/>
          <w:sz w:val="19"/>
          <w:szCs w:val="19"/>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75" w:lineRule="exact"/>
        <w:rPr>
          <w:sz w:val="20"/>
          <w:szCs w:val="20"/>
          <w:color w:val="auto"/>
        </w:rPr>
      </w:pPr>
    </w:p>
    <w:p>
      <w:pPr>
        <w:jc w:val="both"/>
        <w:ind w:right="8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LTM EBITDA</w:t>
      </w:r>
      <w:r>
        <w:rPr>
          <w:rFonts w:ascii="Times New Roman" w:cs="Times New Roman" w:eastAsia="Times New Roman" w:hAnsi="Times New Roman"/>
          <w:sz w:val="19"/>
          <w:szCs w:val="19"/>
          <w:color w:val="auto"/>
        </w:rPr>
        <w:t>” means EBITDA of the Issuer for the most recently completed Test Period in each case with such pro forma adjustments giving effect to such Indebtedness, acquisition or Investment, as applicable, since the start of such Test Period and as are consistent with the pro forma adjustments set forth in the definition of “Fixed Charge Coverage Ratio.”</w:t>
      </w:r>
    </w:p>
    <w:p>
      <w:pPr>
        <w:spacing w:after="0" w:line="157" w:lineRule="exact"/>
        <w:rPr>
          <w:sz w:val="20"/>
          <w:szCs w:val="20"/>
          <w:color w:val="auto"/>
        </w:rPr>
      </w:pPr>
    </w:p>
    <w:p>
      <w:pPr>
        <w:ind w:right="300"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Management Investors</w:t>
      </w:r>
      <w:r>
        <w:rPr>
          <w:rFonts w:ascii="Times New Roman" w:cs="Times New Roman" w:eastAsia="Times New Roman" w:hAnsi="Times New Roman"/>
          <w:sz w:val="19"/>
          <w:szCs w:val="19"/>
          <w:color w:val="auto"/>
        </w:rPr>
        <w:t>” means the members of the Board of Directors, officers and employees of Holdings, the Issuer and/or its Subsidiaries who are (directly or indirectly through one or more investment vehicles) investors in Holdings (or any direct or indirect parent thereof).</w:t>
      </w:r>
    </w:p>
    <w:p>
      <w:pPr>
        <w:spacing w:after="0" w:line="165" w:lineRule="exact"/>
        <w:rPr>
          <w:sz w:val="20"/>
          <w:szCs w:val="20"/>
          <w:color w:val="auto"/>
        </w:rPr>
      </w:pPr>
    </w:p>
    <w:p>
      <w:pPr>
        <w:jc w:val="both"/>
        <w:ind w:right="6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Market Capitalization</w:t>
      </w:r>
      <w:r>
        <w:rPr>
          <w:rFonts w:ascii="Times New Roman" w:cs="Times New Roman" w:eastAsia="Times New Roman" w:hAnsi="Times New Roman"/>
          <w:sz w:val="19"/>
          <w:szCs w:val="19"/>
          <w:color w:val="auto"/>
        </w:rPr>
        <w:t>” means an amount equal to (i) the total number of issued and outstanding shares of common Capital Stock of the Issuer or any Parent Entity on the date of the declaration of a Restricted Payment permitted pursuant to clause (9) of Section 4.07(b) multiplied by (ii) the arithmetic mean of the closing prices per share of such common Capital Stock on the principal securities exchange on which such common Capital Stock are traded for the 30 consecutive trading days immediately preceding the date of declaration of such Restricted Payment.</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 and any successor or assign Rating Agency.</w:t>
      </w:r>
    </w:p>
    <w:p>
      <w:pPr>
        <w:spacing w:after="0" w:line="335" w:lineRule="exact"/>
        <w:rPr>
          <w:sz w:val="20"/>
          <w:szCs w:val="20"/>
          <w:color w:val="auto"/>
        </w:rPr>
      </w:pPr>
    </w:p>
    <w:p>
      <w:pPr>
        <w:jc w:val="both"/>
        <w:ind w:right="60"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Income</w:t>
      </w:r>
      <w:r>
        <w:rPr>
          <w:rFonts w:ascii="Times New Roman" w:cs="Times New Roman" w:eastAsia="Times New Roman" w:hAnsi="Times New Roman"/>
          <w:sz w:val="19"/>
          <w:szCs w:val="19"/>
          <w:color w:val="auto"/>
        </w:rPr>
        <w:t>” means, with respect to any Person, the net income (loss) of such Person, determined in accordance with GAAP and before any reduction in respect of Preferred Stock dividends.</w:t>
      </w:r>
    </w:p>
    <w:p>
      <w:pPr>
        <w:spacing w:after="0" w:line="125" w:lineRule="exact"/>
        <w:rPr>
          <w:sz w:val="20"/>
          <w:szCs w:val="20"/>
          <w:color w:val="auto"/>
        </w:rPr>
      </w:pPr>
    </w:p>
    <w:p>
      <w:pPr>
        <w:jc w:val="both"/>
        <w:ind w:firstLine="649"/>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Proceeds</w:t>
      </w:r>
      <w:r>
        <w:rPr>
          <w:rFonts w:ascii="Times New Roman" w:cs="Times New Roman" w:eastAsia="Times New Roman" w:hAnsi="Times New Roman"/>
          <w:sz w:val="19"/>
          <w:szCs w:val="19"/>
          <w:color w:val="auto"/>
        </w:rPr>
        <w:t>” means the aggregate cash proceeds received by the Issuer or any of its Restricted Subsidiaries in respect of any Asset Sale, including any cash received upon the sale or other disposition of any Designated Non-cash Consideration received in any Asset Sale, but only as and when received, but excluding any other consideration received in the form of assumption by the acquiring Person of Indebtedness or other obligations relating to the properties or assets that are the subject of such Asset Sale or received in any other non-cash form, net of the costs relating to such Asset Sale and the sale or disposition of such Designated Non-cash Consideration, including legal, accounting, consulting and investment banking fees, payments made in order to obtain a necessary consent or required by applicable law, and brokerage and sales commissions, distributions and other payments required to be made to non- controlling interest or minority interest holders (other than the Issuer or any of its Subsidiaries) in Subsidiaries or joint ventures as a result of such transaction, the amount of any purchase price or similar adjustment claimed by any Person to be owed by the Issuer or any Restricted Subsidiary, until such time as such claim will have been settled or otherwise finally resolved, or paid or payable by the Issuer or any Restricted Subsidiary, in either case in respect of such Asset Sale, any relocation expenses incurred as a result thereof, commissions, premiums (including tender premiums), defeasance costs, underwriting discounts, fees, costs and expenses (including original issue discount, upfront fees or similar fees), all costs associated with unwinding any related Hedging Obligations in connection with such transaction,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20"/>
          </w:cols>
          <w:pgMar w:left="580" w:top="1440" w:right="499" w:bottom="1440" w:gutter="0" w:footer="0" w:header="0"/>
        </w:sectPr>
      </w:pPr>
    </w:p>
    <w:bookmarkStart w:id="89" w:name="page90"/>
    <w:bookmarkEnd w:id="89"/>
    <w:p>
      <w:pPr>
        <w:spacing w:after="0" w:line="172"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9"/>
          <w:szCs w:val="19"/>
          <w:color w:val="auto"/>
        </w:rPr>
        <w:t>fees and expenses, including title and recordation expenses, title insurance premiums, survey costs, Taxes paid or estimated to be payable as a result thereof (after taking into account any available Tax credits or deductions and any Tax sharing arrangements) or any transactions occurring or deemed to occur to effectuate a payment under this Indenture, Tax reserves set aside or payable or accrued as a liability under GAAP (including, for the avoidance of doubt, any income, withholding and other Taxes payable as a result of the distribution or deemed distribution of such proceeds to the Issuer or any of its Subsidiaries, transfer taxes, deed or mortgage recording taxes and taxes that would be payable in connection with any repatriation of such proceeds), as a consequence of such transaction, including distributions for Related Taxes or any transactions occurring or deemed to occur to effectuate a payment under this Indenture, amounts required to be applied to the repayment of principal, premium, if any, and interest on Indebtedness (other than Subordinated Indebtedness) or amounts required to be applied to the repayments of Indebtedness which is (x) secured by a Lien on such assets, (y) is owed by a Non-Guarantor Subsidiary or (z) required (other than required by clause (1) of Section 4.10(b)) by applicable law to be paid out of the proceeds from such transaction, any deduction of appropriate amounts to be provided by the Issuer or any of its Restricted Subsidiaries as a reserve in accordance with GAAP against any liabilities associated with the asset disposed of in such transaction and retained by the Issuer or any of its Restricted Subsidiaries after such sale or other disposition thereof, including pension and other post- employment benefit liabilities and liabilities related to environmental matters or against any indemnification obligations associated with such transaction, any portion of the purchase price from such transaction placed in escrow, whether for the satisfaction of any indemnification obligations in respect of such transaction, as a reserve for adjustments to the purchase price associated with any such transaction or otherwise in connection with such transaction and the amount of any liabilities (other than Indebtedness in respect of the Credit Agreement, the Notes or other Indebtedness secured by substantially all of the Collateral) directly associated with such asset being sold and retained by the Issuer or any of its Restricted Subsidiaries.</w:t>
      </w:r>
    </w:p>
    <w:p>
      <w:pPr>
        <w:spacing w:after="0" w:line="183" w:lineRule="exact"/>
        <w:rPr>
          <w:sz w:val="20"/>
          <w:szCs w:val="20"/>
          <w:color w:val="auto"/>
        </w:rPr>
      </w:pPr>
    </w:p>
    <w:p>
      <w:pPr>
        <w:jc w:val="both"/>
        <w:ind w:right="180" w:firstLine="64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Short</w:t>
      </w:r>
      <w:r>
        <w:rPr>
          <w:rFonts w:ascii="Times New Roman" w:cs="Times New Roman" w:eastAsia="Times New Roman" w:hAnsi="Times New Roman"/>
          <w:sz w:val="19"/>
          <w:szCs w:val="19"/>
          <w:color w:val="auto"/>
        </w:rPr>
        <w:t xml:space="preserve">” means, with respect to a Holder or beneficial owner, as of a date of determination, either (i) the value of its Short Derivative Instruments exceeds the sum of the (x) the value of its Notes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Holdings or any Guarantor immediately prior to such date of determination.</w:t>
      </w:r>
    </w:p>
    <w:p>
      <w:pPr>
        <w:spacing w:after="0" w:line="150" w:lineRule="exact"/>
        <w:rPr>
          <w:sz w:val="20"/>
          <w:szCs w:val="20"/>
          <w:color w:val="auto"/>
        </w:rPr>
      </w:pPr>
    </w:p>
    <w:p>
      <w:pPr>
        <w:jc w:val="both"/>
        <w:ind w:right="20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Non-Financing Lease Obligation</w:t>
      </w:r>
      <w:r>
        <w:rPr>
          <w:rFonts w:ascii="Times New Roman" w:cs="Times New Roman" w:eastAsia="Times New Roman" w:hAnsi="Times New Roman"/>
          <w:sz w:val="19"/>
          <w:szCs w:val="19"/>
          <w:color w:val="auto"/>
        </w:rPr>
        <w:t>” means a lease obligation that is not required to be accounted for as a financing or capital lease in accordance with GAAP. For the avoidance of doubt, a straight-line or operating lease shall be considered a Non-Financing Lease Obligation.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Non-Guarantor Subsidiary</w:t>
      </w:r>
      <w:r>
        <w:rPr>
          <w:rFonts w:ascii="Times New Roman" w:cs="Times New Roman" w:eastAsia="Times New Roman" w:hAnsi="Times New Roman"/>
          <w:sz w:val="19"/>
          <w:szCs w:val="19"/>
          <w:color w:val="auto"/>
        </w:rPr>
        <w:t>” means any Restricted Subsidiary that is not a Guarantor.</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Non-U.S. Person</w:t>
      </w:r>
      <w:r>
        <w:rPr>
          <w:rFonts w:ascii="Times New Roman" w:cs="Times New Roman" w:eastAsia="Times New Roman" w:hAnsi="Times New Roman"/>
          <w:sz w:val="19"/>
          <w:szCs w:val="19"/>
          <w:color w:val="auto"/>
        </w:rPr>
        <w:t>” means a Person who is not a U.S. Person.</w:t>
      </w:r>
    </w:p>
    <w:p>
      <w:pPr>
        <w:spacing w:after="0" w:line="200"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 Guarantees</w:t>
      </w:r>
      <w:r>
        <w:rPr>
          <w:rFonts w:ascii="Times New Roman" w:cs="Times New Roman" w:eastAsia="Times New Roman" w:hAnsi="Times New Roman"/>
          <w:sz w:val="19"/>
          <w:szCs w:val="19"/>
          <w:color w:val="auto"/>
        </w:rPr>
        <w:t>” means the Guarantees of the Issuer’s obligations under this Indenture and the Notes provided by the Guarantors (and each, a “</w:t>
      </w:r>
      <w:r>
        <w:rPr>
          <w:rFonts w:ascii="Times New Roman" w:cs="Times New Roman" w:eastAsia="Times New Roman" w:hAnsi="Times New Roman"/>
          <w:sz w:val="19"/>
          <w:szCs w:val="19"/>
          <w:u w:val="single" w:color="auto"/>
          <w:color w:val="auto"/>
        </w:rPr>
        <w:t>Note Guarantee</w:t>
      </w:r>
      <w:r>
        <w:rPr>
          <w:rFonts w:ascii="Times New Roman" w:cs="Times New Roman" w:eastAsia="Times New Roman" w:hAnsi="Times New Roman"/>
          <w:sz w:val="19"/>
          <w:szCs w:val="19"/>
          <w:color w:val="auto"/>
        </w:rPr>
        <w:t>”)</w:t>
      </w:r>
    </w:p>
    <w:p>
      <w:pPr>
        <w:spacing w:after="0" w:line="3" w:lineRule="exact"/>
        <w:rPr>
          <w:sz w:val="20"/>
          <w:szCs w:val="20"/>
          <w:color w:val="auto"/>
        </w:rPr>
      </w:pPr>
    </w:p>
    <w:p>
      <w:pPr>
        <w:ind w:right="18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Noteholder Secured Parties</w:t>
      </w:r>
      <w:r>
        <w:rPr>
          <w:rFonts w:ascii="Times New Roman" w:cs="Times New Roman" w:eastAsia="Times New Roman" w:hAnsi="Times New Roman"/>
          <w:sz w:val="19"/>
          <w:szCs w:val="19"/>
          <w:color w:val="auto"/>
        </w:rPr>
        <w:t>” means the Trustee, the Notes Collateral Agent, each Agent and each Holder of Notes and each other holder of, or obligee in respect of, any Notes Obligations outstanding at such time.</w:t>
      </w:r>
    </w:p>
    <w:p>
      <w:pPr>
        <w:spacing w:after="0" w:line="152" w:lineRule="exact"/>
        <w:rPr>
          <w:sz w:val="20"/>
          <w:szCs w:val="20"/>
          <w:color w:val="auto"/>
        </w:rPr>
      </w:pPr>
    </w:p>
    <w:p>
      <w:pPr>
        <w:ind w:right="180"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means the Initial Notes and more particularly means any Note authenticated and delivered under this Indenture. For all purposes of this Indenture, the term “Notes” shall also include any Additional Notes that may be issued pursuant hereto.</w:t>
      </w:r>
    </w:p>
    <w:p>
      <w:pPr>
        <w:spacing w:after="0" w:line="3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 Documents</w:t>
      </w:r>
      <w:r>
        <w:rPr>
          <w:rFonts w:ascii="Times New Roman" w:cs="Times New Roman" w:eastAsia="Times New Roman" w:hAnsi="Times New Roman"/>
          <w:sz w:val="19"/>
          <w:szCs w:val="19"/>
          <w:color w:val="auto"/>
        </w:rPr>
        <w:t>” means this Indenture, the Notes, the Note Guarantees and the Collateral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580" w:top="1440" w:right="379" w:bottom="1440" w:gutter="0" w:footer="0" w:header="0"/>
        </w:sectPr>
      </w:pPr>
    </w:p>
    <w:bookmarkStart w:id="90" w:name="page91"/>
    <w:bookmarkEnd w:id="90"/>
    <w:p>
      <w:pPr>
        <w:jc w:val="both"/>
        <w:ind w:right="60" w:firstLine="649"/>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 Obligations</w:t>
      </w:r>
      <w:r>
        <w:rPr>
          <w:rFonts w:ascii="Times New Roman" w:cs="Times New Roman" w:eastAsia="Times New Roman" w:hAnsi="Times New Roman"/>
          <w:sz w:val="19"/>
          <w:szCs w:val="19"/>
          <w:color w:val="auto"/>
        </w:rPr>
        <w:t>” means any obligation to pay any unpaid principal and interest on the Notes, and all other Obligations of the Issuer, Holdings and any Guarantor or other co-obligor under the any Notes Document, whether direct or indirect, absolute or contingent, due or to become due, or now existing or hereafter incurred, which may arise under, out of or in connection with, this Indenture, the Notes, the Collateral Documents and the related notes documentation, in each case, whether on account of principal, interest, guarantee obligations, reimbursement obligations, fees, indemnities, costs, expenses or otherwise (including, without limitation, interest accruing on or after the filing of any petition in bankruptcy or for reorganization relating to the Issuer, Holdings or any Guarantor whether or not a claim for post-petition interest is allowed in such proceedings and all fees and disbursements of counsel of any holder of Notes Obligations that are required to be paid by the Issuer, Holdings or any Guarantor or co-obligor pursuant to the terms of the relevant loan documentation).</w:t>
      </w: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 Priority Collateral</w:t>
      </w:r>
      <w:r>
        <w:rPr>
          <w:rFonts w:ascii="Times New Roman" w:cs="Times New Roman" w:eastAsia="Times New Roman" w:hAnsi="Times New Roman"/>
          <w:sz w:val="19"/>
          <w:szCs w:val="19"/>
          <w:color w:val="auto"/>
        </w:rPr>
        <w:t>” means all collateral other than the ABL Priority Collateral (if any).</w:t>
      </w:r>
    </w:p>
    <w:p>
      <w:pPr>
        <w:spacing w:after="0" w:line="119" w:lineRule="exact"/>
        <w:rPr>
          <w:sz w:val="20"/>
          <w:szCs w:val="20"/>
          <w:color w:val="auto"/>
        </w:rPr>
      </w:pPr>
    </w:p>
    <w:p>
      <w:pPr>
        <w:jc w:val="both"/>
        <w:ind w:right="60" w:firstLine="649"/>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 Security Agreement</w:t>
      </w:r>
      <w:r>
        <w:rPr>
          <w:rFonts w:ascii="Times New Roman" w:cs="Times New Roman" w:eastAsia="Times New Roman" w:hAnsi="Times New Roman"/>
          <w:sz w:val="19"/>
          <w:szCs w:val="19"/>
          <w:color w:val="auto"/>
        </w:rPr>
        <w:t>” means the Security Agreement, dated as of the Issue Date, among the Issuer, the other Grantors party thereto, the Notes Collateral Agent and the other parties thereto, as amended, restated, amended and restated, extended, supplemented or otherwise modified from time to time.</w:t>
      </w:r>
    </w:p>
    <w:p>
      <w:pPr>
        <w:spacing w:after="0" w:line="150" w:lineRule="exact"/>
        <w:rPr>
          <w:sz w:val="20"/>
          <w:szCs w:val="20"/>
          <w:color w:val="auto"/>
        </w:rPr>
      </w:pPr>
    </w:p>
    <w:p>
      <w:pPr>
        <w:jc w:val="both"/>
        <w:ind w:right="60"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Offering Memorandum</w:t>
      </w:r>
      <w:r>
        <w:rPr>
          <w:rFonts w:ascii="Times New Roman" w:cs="Times New Roman" w:eastAsia="Times New Roman" w:hAnsi="Times New Roman"/>
          <w:sz w:val="19"/>
          <w:szCs w:val="19"/>
          <w:color w:val="auto"/>
        </w:rPr>
        <w:t>” means the Offering Memorandum, dated May 23, 2024, relating to the offering of the Initial Notes.</w:t>
      </w:r>
    </w:p>
    <w:p>
      <w:pPr>
        <w:spacing w:after="0" w:line="214" w:lineRule="exact"/>
        <w:rPr>
          <w:sz w:val="20"/>
          <w:szCs w:val="20"/>
          <w:color w:val="auto"/>
        </w:rPr>
      </w:pPr>
    </w:p>
    <w:p>
      <w:pPr>
        <w:jc w:val="both"/>
        <w:ind w:right="60" w:firstLine="649"/>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Officer</w:t>
      </w:r>
      <w:r>
        <w:rPr>
          <w:rFonts w:ascii="Times New Roman" w:cs="Times New Roman" w:eastAsia="Times New Roman" w:hAnsi="Times New Roman"/>
          <w:sz w:val="19"/>
          <w:szCs w:val="19"/>
          <w:color w:val="auto"/>
        </w:rPr>
        <w:t>” means, with respect to any Person, (1) the Chairman of the Board of Directors, the Chief Executive Officer, the President, the Chief Financial Officer, any Vice President, the Treasurer, any Assistant Treasurer, any Managing Director, Director, any manager, any authorized signatory, any Executive Vice President, any Senior Vice President, the Secretary or any Assistant Secretary (a) of such Person or</w:t>
      </w:r>
    </w:p>
    <w:p>
      <w:pPr>
        <w:spacing w:after="0" w:line="2" w:lineRule="exact"/>
        <w:rPr>
          <w:sz w:val="20"/>
          <w:szCs w:val="20"/>
          <w:color w:val="auto"/>
        </w:rPr>
      </w:pPr>
    </w:p>
    <w:p>
      <w:pPr>
        <w:ind w:right="60" w:firstLine="1"/>
        <w:spacing w:after="0" w:line="234" w:lineRule="auto"/>
        <w:tabs>
          <w:tab w:leader="none" w:pos="29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Person is owned or managed by a single entity, of such entity, or (2) any other individual designated as an “Officer” for the purposes of this Indenture by the Board of Directors of such Person.</w:t>
      </w:r>
    </w:p>
    <w:p>
      <w:pPr>
        <w:spacing w:after="0" w:line="161" w:lineRule="exact"/>
        <w:rPr>
          <w:sz w:val="20"/>
          <w:szCs w:val="20"/>
          <w:color w:val="auto"/>
        </w:rPr>
      </w:pPr>
    </w:p>
    <w:p>
      <w:pPr>
        <w:ind w:right="8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Officer’s Certificate</w:t>
      </w:r>
      <w:r>
        <w:rPr>
          <w:rFonts w:ascii="Times New Roman" w:cs="Times New Roman" w:eastAsia="Times New Roman" w:hAnsi="Times New Roman"/>
          <w:sz w:val="19"/>
          <w:szCs w:val="19"/>
          <w:color w:val="auto"/>
        </w:rPr>
        <w:t>” means a certificate signed on behalf of the Issuer by an Officer of the Issuer, or on behalf of any other Person, by an Officer of such Person, as the case may be, that meets the requirements set forth in this Indenture.</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Such counsel may be an employee of or counsel to the Issuer or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Trustee.</w:t>
      </w:r>
    </w:p>
    <w:p>
      <w:pPr>
        <w:spacing w:after="0" w:line="199" w:lineRule="exact"/>
        <w:rPr>
          <w:sz w:val="20"/>
          <w:szCs w:val="20"/>
          <w:color w:val="auto"/>
        </w:rPr>
      </w:pPr>
    </w:p>
    <w:p>
      <w:pPr>
        <w:jc w:val="both"/>
        <w:ind w:right="6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Pari Passu Lien Obligations</w:t>
      </w:r>
      <w:r>
        <w:rPr>
          <w:rFonts w:ascii="Times New Roman" w:cs="Times New Roman" w:eastAsia="Times New Roman" w:hAnsi="Times New Roman"/>
          <w:sz w:val="19"/>
          <w:szCs w:val="19"/>
          <w:color w:val="auto"/>
        </w:rPr>
        <w:t>” means any Indebtedness or other Obligations having Pari Passu Lien Priority relative to the Notes with respect to the Collateral (other than the Credit Agreement Obligations); provided that an authorized representative of the holders of such Indebtedness shall have executed a joinder to the Pari Passu Intercreditor Agreement.</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 Entity</w:t>
      </w:r>
      <w:r>
        <w:rPr>
          <w:rFonts w:ascii="Times New Roman" w:cs="Times New Roman" w:eastAsia="Times New Roman" w:hAnsi="Times New Roman"/>
          <w:sz w:val="19"/>
          <w:szCs w:val="19"/>
          <w:color w:val="auto"/>
        </w:rPr>
        <w:t>” means any direct or indirect parent of the Issuer (or any successor thereof).</w:t>
      </w:r>
    </w:p>
    <w:p>
      <w:pPr>
        <w:spacing w:after="0" w:line="214" w:lineRule="exact"/>
        <w:rPr>
          <w:sz w:val="20"/>
          <w:szCs w:val="20"/>
          <w:color w:val="auto"/>
        </w:rPr>
      </w:pPr>
    </w:p>
    <w:p>
      <w:pPr>
        <w:jc w:val="both"/>
        <w:ind w:right="80" w:firstLine="692"/>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Pari Passu Indebtedness</w:t>
      </w:r>
      <w:r>
        <w:rPr>
          <w:rFonts w:ascii="Times New Roman" w:cs="Times New Roman" w:eastAsia="Times New Roman" w:hAnsi="Times New Roman"/>
          <w:sz w:val="19"/>
          <w:szCs w:val="19"/>
          <w:color w:val="auto"/>
        </w:rPr>
        <w:t>” means Indebtedness of the Issuer which ranks equally in right of payment to the Notes or of Holdings or any Guarantor if such Indebtedness ranks equally in right of payment to the Note Guarantees.</w:t>
      </w:r>
    </w:p>
    <w:p>
      <w:pPr>
        <w:spacing w:after="0" w:line="125" w:lineRule="exact"/>
        <w:rPr>
          <w:sz w:val="20"/>
          <w:szCs w:val="20"/>
          <w:color w:val="auto"/>
        </w:rPr>
      </w:pPr>
    </w:p>
    <w:p>
      <w:pPr>
        <w:jc w:val="both"/>
        <w:ind w:right="6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Pari Passu Intercreditor Agreement</w:t>
      </w:r>
      <w:r>
        <w:rPr>
          <w:rFonts w:ascii="Times New Roman" w:cs="Times New Roman" w:eastAsia="Times New Roman" w:hAnsi="Times New Roman"/>
          <w:sz w:val="19"/>
          <w:szCs w:val="19"/>
          <w:color w:val="auto"/>
        </w:rPr>
        <w:t>” means the Pari Passu Intercreditor Agreement, dated as of the Issue Date (as amended or supplemented from time to time), by and among, inter alios, the Company, the other grantors party thereto, the Credit Agreement Collateral Agent and the Notes Collateral Agent, substantially in the form attached hereto as Exhibit 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20"/>
          </w:cols>
          <w:pgMar w:left="580" w:top="1409" w:right="499" w:bottom="1440" w:gutter="0" w:footer="0" w:header="0"/>
        </w:sectPr>
      </w:pPr>
    </w:p>
    <w:bookmarkStart w:id="91" w:name="page92"/>
    <w:bookmarkEnd w:id="91"/>
    <w:p>
      <w:pPr>
        <w:spacing w:after="0" w:line="186"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Pari Passu Lien Priority</w:t>
      </w:r>
      <w:r>
        <w:rPr>
          <w:rFonts w:ascii="Times New Roman" w:cs="Times New Roman" w:eastAsia="Times New Roman" w:hAnsi="Times New Roman"/>
          <w:sz w:val="19"/>
          <w:szCs w:val="19"/>
          <w:color w:val="auto"/>
        </w:rPr>
        <w:t>” means, relative to specified Indebtedness, having equal Lien priority on specified Collateral and the holders of which are subject to the Pari Passu Intercreditor Agreement.</w:t>
      </w:r>
    </w:p>
    <w:p>
      <w:pPr>
        <w:spacing w:after="0" w:line="111"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25" w:lineRule="exact"/>
        <w:rPr>
          <w:sz w:val="20"/>
          <w:szCs w:val="20"/>
          <w:color w:val="auto"/>
        </w:rPr>
      </w:pPr>
    </w:p>
    <w:p>
      <w:pPr>
        <w:jc w:val="both"/>
        <w:ind w:right="20" w:firstLine="6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Patents</w:t>
      </w:r>
      <w:r>
        <w:rPr>
          <w:rFonts w:ascii="Times New Roman" w:cs="Times New Roman" w:eastAsia="Times New Roman" w:hAnsi="Times New Roman"/>
          <w:sz w:val="19"/>
          <w:szCs w:val="19"/>
          <w:color w:val="auto"/>
        </w:rPr>
        <w:t>” means, with respect to any Person, all of the following now owned or hereafter acquired by such Person: all letters patent of the United States and all registrations therefor and all applications for letters patent of the United States, including registrations and pending applications in the United States Patent and Trademark Office.</w:t>
      </w:r>
    </w:p>
    <w:p>
      <w:pPr>
        <w:spacing w:after="0" w:line="151"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 License</w:t>
      </w:r>
      <w:r>
        <w:rPr>
          <w:rFonts w:ascii="Times New Roman" w:cs="Times New Roman" w:eastAsia="Times New Roman" w:hAnsi="Times New Roman"/>
          <w:sz w:val="19"/>
          <w:szCs w:val="19"/>
          <w:color w:val="auto"/>
        </w:rPr>
        <w:t>” means any written agreement, now or hereafter in effect, granting to any Person any right to manufacture, use or sell any invention claimed in a Patent, now or hereafter owned by any other Person or that any other Person now or hereafter otherwise has the right to license, and all rights of any such Person under any such agreement.</w:t>
      </w:r>
    </w:p>
    <w:p>
      <w:pPr>
        <w:spacing w:after="0" w:line="152"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Paying Agent</w:t>
      </w:r>
      <w:r>
        <w:rPr>
          <w:rFonts w:ascii="Times New Roman" w:cs="Times New Roman" w:eastAsia="Times New Roman" w:hAnsi="Times New Roman"/>
          <w:sz w:val="19"/>
          <w:szCs w:val="19"/>
          <w:color w:val="auto"/>
        </w:rPr>
        <w:t>” means any Person authorized by the Issuer to pay the principal of (and premium, if any) or interest on any Note on behalf of the Issuer.</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References</w:t>
      </w:r>
      <w:r>
        <w:rPr>
          <w:rFonts w:ascii="Times New Roman" w:cs="Times New Roman" w:eastAsia="Times New Roman" w:hAnsi="Times New Roman"/>
          <w:sz w:val="19"/>
          <w:szCs w:val="19"/>
          <w:color w:val="auto"/>
        </w:rPr>
        <w:t>” has the meaning set forth for such term in the definition of Derivative Instrument.</w:t>
      </w:r>
    </w:p>
    <w:p>
      <w:pPr>
        <w:spacing w:after="0" w:line="241" w:lineRule="exact"/>
        <w:rPr>
          <w:sz w:val="20"/>
          <w:szCs w:val="20"/>
          <w:color w:val="auto"/>
        </w:rPr>
      </w:pPr>
    </w:p>
    <w:p>
      <w:pPr>
        <w:jc w:val="both"/>
        <w:ind w:firstLine="6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Asset Swap</w:t>
      </w:r>
      <w:r>
        <w:rPr>
          <w:rFonts w:ascii="Times New Roman" w:cs="Times New Roman" w:eastAsia="Times New Roman" w:hAnsi="Times New Roman"/>
          <w:sz w:val="19"/>
          <w:szCs w:val="19"/>
          <w:color w:val="auto"/>
        </w:rPr>
        <w:t xml:space="preserve">” means the concurrent purchase and sale or exchange of assets used or useful in a Similar Business or a combination of such assets and cash or Cash Equivalents between the Issuer or any of its Restricted Subsidiaries and another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cash or Cash Equivalents received in excess of the value of any cash or Cash Equivalents sold or exchanged must be applied in accordance with Section 4.10 hereof.</w:t>
      </w:r>
    </w:p>
    <w:p>
      <w:pPr>
        <w:spacing w:after="0" w:line="170" w:lineRule="exact"/>
        <w:rPr>
          <w:sz w:val="20"/>
          <w:szCs w:val="20"/>
          <w:color w:val="auto"/>
        </w:rPr>
      </w:pPr>
    </w:p>
    <w:p>
      <w:pPr>
        <w:ind w:right="20" w:firstLine="6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(a) each Sponsor, (b) the Management Investors, (c) any Person who is acting solely as an underwriter in connection with a public or private offering of Equity Interests of any parent entity of the Issuer or the Issuer,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150"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Intercompany Activities</w:t>
      </w:r>
      <w:r>
        <w:rPr>
          <w:rFonts w:ascii="Times New Roman" w:cs="Times New Roman" w:eastAsia="Times New Roman" w:hAnsi="Times New Roman"/>
          <w:sz w:val="19"/>
          <w:szCs w:val="19"/>
          <w:color w:val="auto"/>
        </w:rPr>
        <w:t>” means any transactions (A) between or among the Issuer and its Restricted Subsidiaries that are entered into in the ordinary course of business or consistent with past practice of the Issuer and its Restricted Subsidiaries and, in the reasonable determination of the Issuer are necessary or advisable in connection with the ownership or operation of the business of the Issuer and its Restricted Subsidiaries, including (i) payroll, cash management, purchasing, insurance and hedging arrangements; (ii) management, technology and licensing arrangements; and (iii) customary loyalty and rewards programs, (B) [reserved] or (C) constituting Permitted Tax Restructurings.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Investments</w:t>
      </w:r>
      <w:r>
        <w:rPr>
          <w:rFonts w:ascii="Times New Roman" w:cs="Times New Roman" w:eastAsia="Times New Roman" w:hAnsi="Times New Roman"/>
          <w:sz w:val="19"/>
          <w:szCs w:val="19"/>
          <w:color w:val="auto"/>
        </w:rPr>
        <w:t>” means:</w:t>
      </w:r>
    </w:p>
    <w:p>
      <w:pPr>
        <w:spacing w:after="0" w:line="187" w:lineRule="exact"/>
        <w:rPr>
          <w:sz w:val="20"/>
          <w:szCs w:val="20"/>
          <w:color w:val="auto"/>
        </w:rPr>
      </w:pPr>
    </w:p>
    <w:p>
      <w:pPr>
        <w:jc w:val="both"/>
        <w:ind w:left="660" w:firstLine="639"/>
        <w:spacing w:after="0" w:line="266" w:lineRule="auto"/>
        <w:tabs>
          <w:tab w:leader="none" w:pos="169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 (a) the Issuer or any of its Restricted Subsidiaries (including the Equity Interests of, or guarantees of obligations of, a Restricted Subsidiary) or (b) a Person (including the Capital Stock of any such Person) that will, upon the making of such Investment, become a Restricted Subsidiary;</w:t>
      </w:r>
    </w:p>
    <w:p>
      <w:pPr>
        <w:spacing w:after="0" w:line="16"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 cash and Cash Equivalents or Investment Grade Securities;</w:t>
      </w:r>
    </w:p>
    <w:p>
      <w:pPr>
        <w:spacing w:after="0" w:line="200" w:lineRule="exact"/>
        <w:rPr>
          <w:rFonts w:ascii="Times New Roman" w:cs="Times New Roman" w:eastAsia="Times New Roman" w:hAnsi="Times New Roman"/>
          <w:sz w:val="19"/>
          <w:szCs w:val="19"/>
          <w:color w:val="auto"/>
        </w:rPr>
      </w:pPr>
    </w:p>
    <w:p>
      <w:pPr>
        <w:ind w:left="660" w:right="20" w:firstLine="639"/>
        <w:spacing w:after="0" w:line="265" w:lineRule="auto"/>
        <w:tabs>
          <w:tab w:leader="none" w:pos="169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 a Person (including, to the extent constituting an Investment, in assets of a Person that represent substantially all of its assets or a division, business unit or product line 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60"/>
          </w:cols>
          <w:pgMar w:left="580" w:top="1440" w:right="559" w:bottom="1440" w:gutter="0" w:footer="0" w:header="0"/>
        </w:sectPr>
      </w:pPr>
    </w:p>
    <w:bookmarkStart w:id="92" w:name="page93"/>
    <w:bookmarkEnd w:id="92"/>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line of business, including research and development and related assets in respect of any product); provided that as a result of such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w:t>
      </w:r>
    </w:p>
    <w:p>
      <w:pPr>
        <w:spacing w:after="0" w:line="180" w:lineRule="exact"/>
        <w:rPr>
          <w:sz w:val="20"/>
          <w:szCs w:val="20"/>
          <w:color w:val="auto"/>
        </w:rPr>
      </w:pPr>
    </w:p>
    <w:p>
      <w:pPr>
        <w:ind w:left="640" w:right="20" w:firstLine="647"/>
        <w:spacing w:after="0" w:line="265" w:lineRule="auto"/>
        <w:tabs>
          <w:tab w:leader="none" w:pos="167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upon the consummation of such purchase or acquisition, will be a Restricted Subsidiary (including as a result of a merger, amalgamation or consolidation between any Subsidiary and such Person); or</w:t>
      </w:r>
    </w:p>
    <w:p>
      <w:pPr>
        <w:spacing w:after="0" w:line="152" w:lineRule="exact"/>
        <w:rPr>
          <w:rFonts w:ascii="Times New Roman" w:cs="Times New Roman" w:eastAsia="Times New Roman" w:hAnsi="Times New Roman"/>
          <w:sz w:val="19"/>
          <w:szCs w:val="19"/>
          <w:color w:val="auto"/>
        </w:rPr>
      </w:pPr>
    </w:p>
    <w:p>
      <w:pPr>
        <w:jc w:val="both"/>
        <w:ind w:left="640" w:firstLine="647"/>
        <w:spacing w:after="0" w:line="237" w:lineRule="auto"/>
        <w:tabs>
          <w:tab w:leader="none" w:pos="167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Person, in one transaction or a series of related transactions, is amalgamated, merged or consolidated or otherwise combined with or into, or transfers or conveys substantially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of its assets (or a division, business unit or product line, including any research and development and related assets in respect of any product), or is liquidated into, the Issuer or a Restricted Subsidiary,</w:t>
      </w:r>
    </w:p>
    <w:p>
      <w:pPr>
        <w:spacing w:after="0" w:line="177" w:lineRule="exact"/>
        <w:rPr>
          <w:sz w:val="20"/>
          <w:szCs w:val="20"/>
          <w:color w:val="auto"/>
        </w:rPr>
      </w:pPr>
    </w:p>
    <w:p>
      <w:pPr>
        <w:ind w:right="920"/>
        <w:spacing w:after="0" w:line="280" w:lineRule="auto"/>
        <w:rPr>
          <w:sz w:val="20"/>
          <w:szCs w:val="20"/>
          <w:color w:val="auto"/>
        </w:rPr>
      </w:pPr>
      <w:r>
        <w:rPr>
          <w:rFonts w:ascii="Times New Roman" w:cs="Times New Roman" w:eastAsia="Times New Roman" w:hAnsi="Times New Roman"/>
          <w:sz w:val="19"/>
          <w:szCs w:val="19"/>
          <w:color w:val="auto"/>
        </w:rPr>
        <w:t xml:space="preserve">and, in each case, any Investment held by such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Investment was not acquired by such Person in contemplation of such acquisition, merger, amalgamation, consolidation or transfer;</w:t>
      </w:r>
    </w:p>
    <w:p>
      <w:pPr>
        <w:spacing w:after="0" w:line="125" w:lineRule="exact"/>
        <w:rPr>
          <w:sz w:val="20"/>
          <w:szCs w:val="20"/>
          <w:color w:val="auto"/>
        </w:rPr>
      </w:pPr>
    </w:p>
    <w:p>
      <w:pPr>
        <w:jc w:val="both"/>
        <w:ind w:firstLine="639"/>
        <w:spacing w:after="0" w:line="258" w:lineRule="auto"/>
        <w:tabs>
          <w:tab w:leader="none" w:pos="103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 securities, promissory notes or other assets not constituting cash, Cash Equivalents or Investment Grade Securities (including earn-outs) and received in connection with an Asset Sale made pursuant to the provisions of Section 4.10 hereof or any other disposition of assets not constituting an Asset Sale;</w:t>
      </w:r>
    </w:p>
    <w:p>
      <w:pPr>
        <w:spacing w:after="0" w:line="145" w:lineRule="exact"/>
        <w:rPr>
          <w:rFonts w:ascii="Times New Roman" w:cs="Times New Roman" w:eastAsia="Times New Roman" w:hAnsi="Times New Roman"/>
          <w:sz w:val="19"/>
          <w:szCs w:val="19"/>
          <w:color w:val="auto"/>
        </w:rPr>
      </w:pPr>
    </w:p>
    <w:p>
      <w:pPr>
        <w:jc w:val="both"/>
        <w:ind w:firstLine="639"/>
        <w:spacing w:after="0" w:line="248" w:lineRule="auto"/>
        <w:tabs>
          <w:tab w:leader="none" w:pos="103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Investment existing or made pursuant to binding commitments, agreements or arrangements in effect on the Issue Date or an Investment consisting of any extension, replacement, reinvestment, modification or renewal of any such Investment and (b) any Investment existing on the Issue Date by the Issuer or any Restricted Subsidiary in the Issuer or any Restricted Subsidiary or an Investment consisting of any extension, replacement, reinvestment, modification or renewal of any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such Investment may be increased in such extension, replacement, reinvestment, modification or renewal only (i) as required by the terms of such Investment or binding commitment as in existence on the Issue Date (including in respect of any unused commitment), plus any accrued but unpaid interest (including as a result of the accrual or accretion of interest or original issue discount or the issuance of pay-in-kind securities) and premium payable by the terms of such Investment thereon and fees and expenses associated therewith as of the Issue Date or (ii) as otherwise permitted under this Indenture;</w:t>
      </w:r>
    </w:p>
    <w:p>
      <w:pPr>
        <w:spacing w:after="0" w:line="167"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(including debt obligations and Equity Interests) acquired by the Issuer or any of its Restricted</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Subsidiaries:</w:t>
      </w:r>
    </w:p>
    <w:p>
      <w:pPr>
        <w:spacing w:after="0" w:line="158" w:lineRule="exact"/>
        <w:rPr>
          <w:rFonts w:ascii="Times New Roman" w:cs="Times New Roman" w:eastAsia="Times New Roman" w:hAnsi="Times New Roman"/>
          <w:sz w:val="19"/>
          <w:szCs w:val="19"/>
          <w:color w:val="auto"/>
        </w:rPr>
      </w:pPr>
    </w:p>
    <w:p>
      <w:pPr>
        <w:ind w:left="640" w:firstLine="647"/>
        <w:spacing w:after="0" w:line="280" w:lineRule="auto"/>
        <w:tabs>
          <w:tab w:leader="none" w:pos="1673"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consisting of extensions of trade credit and accommodation guarantees in the ordinary course of business including extensions of credit in the nature of accounts receivable or notes receivable arising from the grant of trade credit;</w:t>
      </w:r>
    </w:p>
    <w:p>
      <w:pPr>
        <w:spacing w:after="0" w:line="138" w:lineRule="exact"/>
        <w:rPr>
          <w:rFonts w:ascii="Times New Roman" w:cs="Times New Roman" w:eastAsia="Times New Roman" w:hAnsi="Times New Roman"/>
          <w:sz w:val="19"/>
          <w:szCs w:val="19"/>
          <w:color w:val="auto"/>
        </w:rPr>
      </w:pPr>
    </w:p>
    <w:p>
      <w:pPr>
        <w:jc w:val="both"/>
        <w:ind w:left="640" w:firstLine="647"/>
        <w:spacing w:after="0" w:line="244" w:lineRule="auto"/>
        <w:tabs>
          <w:tab w:leader="none" w:pos="1670"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exchange for any other Investment or accounts receivable, endorsements for collection or deposit held by the Issuer or any such Restricted Subsidiary in connection with or as a result of a bankruptcy, workout, reorganization or recapitalization of the issuer of such other Investment or accounts receivable (including any trade creditor or customer);</w:t>
      </w:r>
    </w:p>
    <w:p>
      <w:pPr>
        <w:spacing w:after="0" w:line="211" w:lineRule="exact"/>
        <w:rPr>
          <w:rFonts w:ascii="Times New Roman" w:cs="Times New Roman" w:eastAsia="Times New Roman" w:hAnsi="Times New Roman"/>
          <w:sz w:val="19"/>
          <w:szCs w:val="19"/>
          <w:color w:val="auto"/>
        </w:rPr>
      </w:pPr>
    </w:p>
    <w:p>
      <w:pPr>
        <w:ind w:left="1920" w:hanging="632"/>
        <w:spacing w:after="0"/>
        <w:tabs>
          <w:tab w:leader="none" w:pos="1920"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satisfaction of judgments against other Persons;</w:t>
      </w:r>
    </w:p>
    <w:p>
      <w:pPr>
        <w:spacing w:after="0" w:line="186" w:lineRule="exact"/>
        <w:rPr>
          <w:rFonts w:ascii="Times New Roman" w:cs="Times New Roman" w:eastAsia="Times New Roman" w:hAnsi="Times New Roman"/>
          <w:sz w:val="19"/>
          <w:szCs w:val="19"/>
          <w:color w:val="auto"/>
        </w:rPr>
      </w:pPr>
    </w:p>
    <w:p>
      <w:pPr>
        <w:ind w:left="640" w:firstLine="647"/>
        <w:spacing w:after="0" w:line="280" w:lineRule="auto"/>
        <w:tabs>
          <w:tab w:leader="none" w:pos="1670"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result of a foreclosure, perfection or enforcement by the Issuer or any of its Restricted Subsidiaries with respect to any secured Investment or other transfer of title with respect to any secured Investment in default;</w:t>
      </w:r>
    </w:p>
    <w:p>
      <w:pPr>
        <w:spacing w:after="0" w:line="16" w:lineRule="exact"/>
        <w:rPr>
          <w:rFonts w:ascii="Times New Roman" w:cs="Times New Roman" w:eastAsia="Times New Roman" w:hAnsi="Times New Roman"/>
          <w:sz w:val="19"/>
          <w:szCs w:val="19"/>
          <w:color w:val="auto"/>
        </w:rPr>
      </w:pPr>
    </w:p>
    <w:p>
      <w:pPr>
        <w:jc w:val="both"/>
        <w:ind w:left="640" w:firstLine="647"/>
        <w:spacing w:after="0" w:line="244" w:lineRule="auto"/>
        <w:tabs>
          <w:tab w:leader="none" w:pos="1673"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 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100"/>
          </w:cols>
          <w:pgMar w:left="1240" w:top="1440" w:right="559" w:bottom="1440" w:gutter="0" w:footer="0" w:header="0"/>
        </w:sectPr>
      </w:pPr>
    </w:p>
    <w:bookmarkStart w:id="93" w:name="page94"/>
    <w:bookmarkEnd w:id="93"/>
    <w:p>
      <w:pPr>
        <w:spacing w:after="0" w:line="186" w:lineRule="exact"/>
        <w:rPr>
          <w:sz w:val="20"/>
          <w:szCs w:val="20"/>
          <w:color w:val="auto"/>
        </w:rPr>
      </w:pPr>
    </w:p>
    <w:p>
      <w:pPr>
        <w:ind w:left="440" w:firstLine="647"/>
        <w:spacing w:after="0" w:line="280" w:lineRule="auto"/>
        <w:tabs>
          <w:tab w:leader="none" w:pos="1479"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received in settlement, compromise or resolution of debts created in the ordinary course of business or consistent with past practice or industry practice;</w:t>
      </w:r>
    </w:p>
    <w:p>
      <w:pPr>
        <w:spacing w:after="0" w:line="124" w:lineRule="exact"/>
        <w:rPr>
          <w:rFonts w:ascii="Times New Roman" w:cs="Times New Roman" w:eastAsia="Times New Roman" w:hAnsi="Times New Roman"/>
          <w:sz w:val="19"/>
          <w:szCs w:val="19"/>
          <w:color w:val="auto"/>
        </w:rPr>
      </w:pPr>
    </w:p>
    <w:p>
      <w:pPr>
        <w:ind w:left="1080" w:hanging="641"/>
        <w:spacing w:after="0"/>
        <w:tabs>
          <w:tab w:leader="none" w:pos="108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Hedging Obligations not prohibited by Section 4.09 hereof;</w:t>
      </w:r>
    </w:p>
    <w:p>
      <w:pPr>
        <w:spacing w:after="0" w:line="200" w:lineRule="exact"/>
        <w:rPr>
          <w:rFonts w:ascii="Times New Roman" w:cs="Times New Roman" w:eastAsia="Times New Roman" w:hAnsi="Times New Roman"/>
          <w:sz w:val="19"/>
          <w:szCs w:val="19"/>
          <w:color w:val="auto"/>
        </w:rPr>
      </w:pPr>
    </w:p>
    <w:p>
      <w:pPr>
        <w:jc w:val="both"/>
        <w:ind w:left="-200" w:firstLine="639"/>
        <w:spacing w:after="0" w:line="234" w:lineRule="auto"/>
        <w:tabs>
          <w:tab w:leader="none" w:pos="83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Investment in a Similar Business having an aggregate fair market value, taken together with all other Investments made pursuant to this clause (8) that are at that time outstanding, not to exceed the greater of $81.3 million and 15.0% of LTM EBITDA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4.07 hereof of any amounts increasing the sum of subclauses (a)-(f) of clause (2) of Section 4.07(a)) with the fair market value of each Investment being measured at the time made and without giving effect to subsequent changes in value;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Investment pursuant to this clause (8) is made in any Person that is not the Issuer or a Restricted Subsidiary at the date of the making of such Investment and such Person becomes the Issuer or a Restricted Subsidiary after such date, such Investment shall thereafter be deemed to have been made pursuant to clause (1) or (3) above and shall cease to have been made pursuant to this clause (8);</w:t>
      </w:r>
    </w:p>
    <w:p>
      <w:pPr>
        <w:spacing w:after="0" w:line="167" w:lineRule="exact"/>
        <w:rPr>
          <w:rFonts w:ascii="Times New Roman" w:cs="Times New Roman" w:eastAsia="Times New Roman" w:hAnsi="Times New Roman"/>
          <w:sz w:val="19"/>
          <w:szCs w:val="19"/>
          <w:color w:val="auto"/>
        </w:rPr>
      </w:pPr>
    </w:p>
    <w:p>
      <w:pPr>
        <w:ind w:left="-200" w:firstLine="639"/>
        <w:spacing w:after="0" w:line="295" w:lineRule="auto"/>
        <w:tabs>
          <w:tab w:leader="none" w:pos="83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and other acquisitions the payment for which consists of Equity Interests (other than Disqualified Stock) of the Issuer, any Parent Entity or Unrestricted Subsidiary;</w:t>
      </w:r>
    </w:p>
    <w:p>
      <w:pPr>
        <w:spacing w:after="0" w:line="97" w:lineRule="exact"/>
        <w:rPr>
          <w:rFonts w:ascii="Times New Roman" w:cs="Times New Roman" w:eastAsia="Times New Roman" w:hAnsi="Times New Roman"/>
          <w:sz w:val="19"/>
          <w:szCs w:val="19"/>
          <w:color w:val="auto"/>
        </w:rPr>
      </w:pPr>
    </w:p>
    <w:p>
      <w:pPr>
        <w:jc w:val="both"/>
        <w:ind w:left="-200" w:firstLine="639"/>
        <w:spacing w:after="0"/>
        <w:tabs>
          <w:tab w:leader="none" w:pos="83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Indebtedness and guarantees of Indebtedness permitted under Section 4.09 hereof and (other than with respect to Indebtedness) guarantees, keepwells and similar arrangements in the ordinary course of business or consistent with past practice, and the creation of Liens on the assets of the Issuer or any Restricted Subsidiary in compliance with Section 4.12 hereof and Restricted Payments permitted under Section 4.07 hereof (other than by reference to this clause (10)) and (ii) performance guarantees and Contingent Obligations with respect to obligations that are permitted by this Indenture;</w:t>
      </w:r>
    </w:p>
    <w:p>
      <w:pPr>
        <w:spacing w:after="0" w:line="149" w:lineRule="exact"/>
        <w:rPr>
          <w:rFonts w:ascii="Times New Roman" w:cs="Times New Roman" w:eastAsia="Times New Roman" w:hAnsi="Times New Roman"/>
          <w:sz w:val="19"/>
          <w:szCs w:val="19"/>
          <w:color w:val="auto"/>
        </w:rPr>
      </w:pPr>
    </w:p>
    <w:p>
      <w:pPr>
        <w:ind w:left="-200" w:right="20" w:firstLine="639"/>
        <w:spacing w:after="0" w:line="280" w:lineRule="auto"/>
        <w:tabs>
          <w:tab w:leader="none" w:pos="82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transaction to the extent it constitutes an Investment that is permitted by and made in accordance with the provisions of Section 4.11(b) hereof (except transactions described in Sections 4.11(b)(2) and (5) hereof) or Section 5.01 hereof;</w:t>
      </w:r>
    </w:p>
    <w:p>
      <w:pPr>
        <w:spacing w:after="0" w:line="124" w:lineRule="exact"/>
        <w:rPr>
          <w:rFonts w:ascii="Times New Roman" w:cs="Times New Roman" w:eastAsia="Times New Roman" w:hAnsi="Times New Roman"/>
          <w:sz w:val="19"/>
          <w:szCs w:val="19"/>
          <w:color w:val="auto"/>
        </w:rPr>
      </w:pPr>
    </w:p>
    <w:p>
      <w:pPr>
        <w:jc w:val="both"/>
        <w:ind w:left="-200" w:firstLine="639"/>
        <w:spacing w:after="0" w:line="261" w:lineRule="auto"/>
        <w:tabs>
          <w:tab w:leader="none" w:pos="83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they constitute Investments, purchases and other acquisitions of inventory, supplies, materials or equipment or purchases, acquisitions, licenses, sublicenses, cross-licenses, assignments, contributions, leases, or subleases of other assets, intellectual property, receivables owing to the Issuer or any Restricted Subsidiary or other rights, in each case in the ordinary course of business;</w:t>
      </w:r>
    </w:p>
    <w:p>
      <w:pPr>
        <w:spacing w:after="0" w:line="156" w:lineRule="exact"/>
        <w:rPr>
          <w:rFonts w:ascii="Times New Roman" w:cs="Times New Roman" w:eastAsia="Times New Roman" w:hAnsi="Times New Roman"/>
          <w:sz w:val="19"/>
          <w:szCs w:val="19"/>
          <w:color w:val="auto"/>
        </w:rPr>
      </w:pPr>
    </w:p>
    <w:p>
      <w:pPr>
        <w:jc w:val="both"/>
        <w:ind w:left="-200" w:right="20" w:firstLine="639"/>
        <w:spacing w:after="0" w:line="227" w:lineRule="auto"/>
        <w:tabs>
          <w:tab w:leader="none" w:pos="83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Investments having an aggregate fair market value, taken together with all other Investments made pursuant to this clause (13) that are at that time outstanding, not to exceed the greater of $325.2 million and 60.0% of LTM EBITDA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4.07 hereof of increasing the sum of subclauses (a)-(f) of clause (2)of Section 4.07(a) hereof) with the fair market value of each Investment being measured at the time made and without giving effect to subsequent changes in value; provided, however, that if any Investment pursuant to this clause (13) is made in any Person that is not the Issuer or a Restricted Subsidiary at the date of the making of such Investment and such Person becomes the Issuer or a Restricted Subsidiary after such date, such Investment shall thereafter be deemed to have been made pursuant to clause (1) or (3) above and shall cease to have been made pursuant to this clause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900"/>
          </w:cols>
          <w:pgMar w:left="1440" w:top="1440" w:right="559" w:bottom="1440" w:gutter="0" w:footer="0" w:header="0"/>
        </w:sectPr>
      </w:pPr>
    </w:p>
    <w:bookmarkStart w:id="94" w:name="page95"/>
    <w:bookmarkEnd w:id="94"/>
    <w:p>
      <w:pPr>
        <w:spacing w:after="0" w:line="186" w:lineRule="exact"/>
        <w:rPr>
          <w:sz w:val="20"/>
          <w:szCs w:val="20"/>
          <w:color w:val="auto"/>
        </w:rPr>
      </w:pPr>
    </w:p>
    <w:p>
      <w:pPr>
        <w:jc w:val="both"/>
        <w:ind w:left="9" w:firstLine="639"/>
        <w:spacing w:after="0" w:line="241" w:lineRule="auto"/>
        <w:tabs>
          <w:tab w:leader="none" w:pos="10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relating to a Receivables Subsidiary that, in the good faith determination of the Issuer are necessary or advisable to effect any Receivables Facility, distributions or payments of Receivables Fees or any repurchase obligation in connection therewith including, without limitation, Investments of funds held in accounts permitted or required by the arrangements governing such Receivables Facilities or any related Indebtedness;</w:t>
      </w:r>
    </w:p>
    <w:p>
      <w:pPr>
        <w:spacing w:after="0" w:line="148" w:lineRule="exact"/>
        <w:rPr>
          <w:rFonts w:ascii="Times New Roman" w:cs="Times New Roman" w:eastAsia="Times New Roman" w:hAnsi="Times New Roman"/>
          <w:sz w:val="19"/>
          <w:szCs w:val="19"/>
          <w:color w:val="auto"/>
        </w:rPr>
      </w:pPr>
    </w:p>
    <w:p>
      <w:pPr>
        <w:ind w:left="1289" w:hanging="641"/>
        <w:spacing w:after="0"/>
        <w:tabs>
          <w:tab w:leader="none" w:pos="128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advances to, or guarantees of Indebtedness of, employees not in excess of the greater of</w:t>
      </w:r>
    </w:p>
    <w:p>
      <w:pPr>
        <w:spacing w:after="0" w:line="2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$54.2 million and 10.0% of LTM EBITDA outstanding at any one time, in the aggregate;</w:t>
      </w:r>
    </w:p>
    <w:p>
      <w:pPr>
        <w:spacing w:after="0" w:line="199" w:lineRule="exact"/>
        <w:rPr>
          <w:sz w:val="20"/>
          <w:szCs w:val="20"/>
          <w:color w:val="auto"/>
        </w:rPr>
      </w:pPr>
    </w:p>
    <w:p>
      <w:pPr>
        <w:jc w:val="both"/>
        <w:ind w:left="9" w:firstLine="639"/>
        <w:spacing w:after="0" w:line="235" w:lineRule="auto"/>
        <w:tabs>
          <w:tab w:leader="none" w:pos="1040"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loans and advances to officers, directors and employees of any Parent Entity, the Issuer and its Restricted Subsidiaries (i) for business-related travel expenses, entertainment, moving expenses and other similar expenses for ordinary business purposes, (ii) to fund such Person’s purchase of Equity Interests of the Issuer or any direct or indirect parent company thereof and (iii) for payroll payments and</w:t>
      </w:r>
    </w:p>
    <w:p>
      <w:pPr>
        <w:spacing w:after="0" w:line="1" w:lineRule="exact"/>
        <w:rPr>
          <w:rFonts w:ascii="Times New Roman" w:cs="Times New Roman" w:eastAsia="Times New Roman" w:hAnsi="Times New Roman"/>
          <w:sz w:val="19"/>
          <w:szCs w:val="19"/>
          <w:color w:val="auto"/>
        </w:rPr>
      </w:pPr>
    </w:p>
    <w:p>
      <w:pPr>
        <w:ind w:left="269" w:hanging="269"/>
        <w:spacing w:after="0"/>
        <w:tabs>
          <w:tab w:leader="none" w:pos="2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Recruitment Notes and other recruiting costs to certain employees or financial advisors in the ordinary</w:t>
      </w:r>
    </w:p>
    <w:p>
      <w:pPr>
        <w:spacing w:after="0" w:line="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course of business;</w:t>
      </w:r>
    </w:p>
    <w:p>
      <w:pPr>
        <w:spacing w:after="0" w:line="185" w:lineRule="exact"/>
        <w:rPr>
          <w:sz w:val="20"/>
          <w:szCs w:val="20"/>
          <w:color w:val="auto"/>
        </w:rPr>
      </w:pPr>
    </w:p>
    <w:p>
      <w:pPr>
        <w:ind w:left="1289" w:hanging="641"/>
        <w:spacing w:after="0"/>
        <w:tabs>
          <w:tab w:leader="none" w:pos="1289"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3" w:lineRule="exact"/>
        <w:rPr>
          <w:rFonts w:ascii="Times New Roman" w:cs="Times New Roman" w:eastAsia="Times New Roman" w:hAnsi="Times New Roman"/>
          <w:sz w:val="19"/>
          <w:szCs w:val="19"/>
          <w:color w:val="auto"/>
        </w:rPr>
      </w:pPr>
    </w:p>
    <w:p>
      <w:pPr>
        <w:jc w:val="both"/>
        <w:ind w:left="9" w:firstLine="639"/>
        <w:spacing w:after="0" w:line="251" w:lineRule="auto"/>
        <w:tabs>
          <w:tab w:leader="none" w:pos="104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contributions to a “rabbi” trust for the benefit of employees, directors, officers, consultants, contractors or other service providers or other grantor trust subject to claims of creditors in the case of a bankruptcy of the Issuer, and Investments relating to non-qualified deferred payment plans in the ordinary course of business or consistent with past practice;</w:t>
      </w:r>
    </w:p>
    <w:p>
      <w:pPr>
        <w:spacing w:after="0" w:line="147" w:lineRule="exact"/>
        <w:rPr>
          <w:rFonts w:ascii="Times New Roman" w:cs="Times New Roman" w:eastAsia="Times New Roman" w:hAnsi="Times New Roman"/>
          <w:sz w:val="19"/>
          <w:szCs w:val="19"/>
          <w:color w:val="auto"/>
        </w:rPr>
      </w:pPr>
    </w:p>
    <w:p>
      <w:pPr>
        <w:jc w:val="both"/>
        <w:ind w:left="9" w:firstLine="639"/>
        <w:spacing w:after="0" w:line="246" w:lineRule="auto"/>
        <w:tabs>
          <w:tab w:leader="none" w:pos="104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other Investment;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after giving effect to such Investment (i) the Consolidated First Lien Net Debt Ratio would be equal to or less than 7.75 to 1.00 or (ii) the Consolidated First Lien Net Debt Ratio would not be higher than it was immediately prior to such Investment;</w:t>
      </w:r>
    </w:p>
    <w:p>
      <w:pPr>
        <w:spacing w:after="0" w:line="209" w:lineRule="exact"/>
        <w:rPr>
          <w:rFonts w:ascii="Times New Roman" w:cs="Times New Roman" w:eastAsia="Times New Roman" w:hAnsi="Times New Roman"/>
          <w:sz w:val="19"/>
          <w:szCs w:val="19"/>
          <w:color w:val="auto"/>
        </w:rPr>
      </w:pPr>
    </w:p>
    <w:p>
      <w:pPr>
        <w:ind w:left="1289" w:hanging="641"/>
        <w:spacing w:after="0"/>
        <w:tabs>
          <w:tab w:leader="none" w:pos="1289"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0" w:lineRule="exact"/>
        <w:rPr>
          <w:rFonts w:ascii="Times New Roman" w:cs="Times New Roman" w:eastAsia="Times New Roman" w:hAnsi="Times New Roman"/>
          <w:sz w:val="19"/>
          <w:szCs w:val="19"/>
          <w:color w:val="auto"/>
        </w:rPr>
      </w:pPr>
    </w:p>
    <w:p>
      <w:pPr>
        <w:jc w:val="both"/>
        <w:ind w:left="9" w:firstLine="639"/>
        <w:spacing w:after="0" w:line="244" w:lineRule="auto"/>
        <w:tabs>
          <w:tab w:leader="none" w:pos="104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the ordinary course of business consisting of UCC Article 3 endorsements for collection or deposit and UCC Article 4 customary trade arrangements (or any comparable or similar provisions in other applicable jurisdictions) with customers in the ordinary course of business or consistent with past practices or industry practice;</w:t>
      </w:r>
    </w:p>
    <w:p>
      <w:pPr>
        <w:spacing w:after="0" w:line="184" w:lineRule="exact"/>
        <w:rPr>
          <w:rFonts w:ascii="Times New Roman" w:cs="Times New Roman" w:eastAsia="Times New Roman" w:hAnsi="Times New Roman"/>
          <w:sz w:val="19"/>
          <w:szCs w:val="19"/>
          <w:color w:val="auto"/>
        </w:rPr>
      </w:pPr>
    </w:p>
    <w:p>
      <w:pPr>
        <w:jc w:val="both"/>
        <w:ind w:left="9" w:firstLine="639"/>
        <w:spacing w:after="0" w:line="237" w:lineRule="auto"/>
        <w:tabs>
          <w:tab w:leader="none" w:pos="104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and advances to any Parent Entity (x) in lieu of, and not in excess of the amount of (after giving effect to any other loans, advances or Restricted Payments in respect thereof), Restricted Payments to the extent permitted to be made to such companies in accordance with Sections 4.07(a) and (b) hereof and (y) to the extent the proceeds thereof are contributed or loaned or advanced to the Issuer or a Restricted Subsidiary;</w:t>
      </w:r>
    </w:p>
    <w:p>
      <w:pPr>
        <w:spacing w:after="0" w:line="176" w:lineRule="exact"/>
        <w:rPr>
          <w:rFonts w:ascii="Times New Roman" w:cs="Times New Roman" w:eastAsia="Times New Roman" w:hAnsi="Times New Roman"/>
          <w:sz w:val="19"/>
          <w:szCs w:val="19"/>
          <w:color w:val="auto"/>
        </w:rPr>
      </w:pPr>
    </w:p>
    <w:p>
      <w:pPr>
        <w:ind w:left="9" w:firstLine="639"/>
        <w:spacing w:after="0" w:line="265" w:lineRule="auto"/>
        <w:tabs>
          <w:tab w:leader="none" w:pos="104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 for utilities, security deposits, leases and similar prepaid expenses incurred in the ordinary course of business and (B) trade accounts created, or prepaid expenses accrued, in the ordinary course of business;</w:t>
      </w:r>
    </w:p>
    <w:p>
      <w:pPr>
        <w:spacing w:after="0" w:line="138" w:lineRule="exact"/>
        <w:rPr>
          <w:rFonts w:ascii="Times New Roman" w:cs="Times New Roman" w:eastAsia="Times New Roman" w:hAnsi="Times New Roman"/>
          <w:sz w:val="19"/>
          <w:szCs w:val="19"/>
          <w:color w:val="auto"/>
        </w:rPr>
      </w:pPr>
    </w:p>
    <w:p>
      <w:pPr>
        <w:ind w:left="9" w:firstLine="639"/>
        <w:spacing w:after="0" w:line="280" w:lineRule="auto"/>
        <w:tabs>
          <w:tab w:leader="none" w:pos="104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Investments in connection with tax planning and reorganization activities, and Investments in connection with Permitted Intercompany Activities and Permitted Tax Restructurings;</w:t>
      </w:r>
    </w:p>
    <w:p>
      <w:pPr>
        <w:spacing w:after="0" w:line="138" w:lineRule="exact"/>
        <w:rPr>
          <w:rFonts w:ascii="Times New Roman" w:cs="Times New Roman" w:eastAsia="Times New Roman" w:hAnsi="Times New Roman"/>
          <w:sz w:val="19"/>
          <w:szCs w:val="19"/>
          <w:color w:val="auto"/>
        </w:rPr>
      </w:pPr>
    </w:p>
    <w:p>
      <w:pPr>
        <w:jc w:val="both"/>
        <w:ind w:left="9" w:firstLine="639"/>
        <w:spacing w:after="0" w:line="258" w:lineRule="auto"/>
        <w:tabs>
          <w:tab w:leader="none" w:pos="104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 any Subsidiary or any joint venture (including in connection with intercompany cash management arrangements, cash pooling arrangements, intercompany loans or related activities) arising in the ordinary course of business or consistent with past practice or industry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6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109"/>
          </w:cols>
          <w:pgMar w:left="1231" w:top="1440" w:right="559" w:bottom="1440" w:gutter="0" w:footer="0" w:header="0"/>
        </w:sectPr>
      </w:pPr>
    </w:p>
    <w:bookmarkStart w:id="95" w:name="page96"/>
    <w:bookmarkEnd w:id="95"/>
    <w:p>
      <w:pPr>
        <w:spacing w:after="0" w:line="51" w:lineRule="exact"/>
        <w:rPr>
          <w:sz w:val="20"/>
          <w:szCs w:val="20"/>
          <w:color w:val="auto"/>
        </w:rPr>
      </w:pPr>
    </w:p>
    <w:p>
      <w:pPr>
        <w:ind w:left="9" w:firstLine="639"/>
        <w:spacing w:after="0" w:line="280" w:lineRule="auto"/>
        <w:tabs>
          <w:tab w:leader="none" w:pos="104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an Unrestricted Subsidiary entered into prior to the day such Unrestricted Subsidiary is redesignated as a Restricted Subsidiary pursuant to the definition of “Unrestricted Subsidiary”;</w:t>
      </w:r>
    </w:p>
    <w:p>
      <w:pPr>
        <w:spacing w:after="0" w:line="151" w:lineRule="exact"/>
        <w:rPr>
          <w:rFonts w:ascii="Times New Roman" w:cs="Times New Roman" w:eastAsia="Times New Roman" w:hAnsi="Times New Roman"/>
          <w:sz w:val="19"/>
          <w:szCs w:val="19"/>
          <w:color w:val="auto"/>
        </w:rPr>
      </w:pPr>
    </w:p>
    <w:p>
      <w:pPr>
        <w:jc w:val="both"/>
        <w:ind w:left="9" w:firstLine="639"/>
        <w:spacing w:after="0"/>
        <w:tabs>
          <w:tab w:leader="none" w:pos="104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(including debt obligations and equity interests) (a) in connection with Settlements, (b) in exchange for any other Investment or accounts receivable, endorsements for collection or deposit held by the Issuer or any Restricted Subsidiary,</w:t>
      </w:r>
    </w:p>
    <w:p>
      <w:pPr>
        <w:spacing w:after="0" w:line="1" w:lineRule="exact"/>
        <w:rPr>
          <w:rFonts w:ascii="Times New Roman" w:cs="Times New Roman" w:eastAsia="Times New Roman" w:hAnsi="Times New Roman"/>
          <w:sz w:val="19"/>
          <w:szCs w:val="19"/>
          <w:color w:val="auto"/>
        </w:rPr>
      </w:pPr>
    </w:p>
    <w:p>
      <w:pPr>
        <w:jc w:val="both"/>
        <w:ind w:left="9" w:hanging="9"/>
        <w:spacing w:after="0" w:line="232" w:lineRule="auto"/>
        <w:tabs>
          <w:tab w:leader="none" w:pos="28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161" w:lineRule="exact"/>
        <w:rPr>
          <w:rFonts w:ascii="Times New Roman" w:cs="Times New Roman" w:eastAsia="Times New Roman" w:hAnsi="Times New Roman"/>
          <w:sz w:val="19"/>
          <w:szCs w:val="19"/>
          <w:color w:val="auto"/>
        </w:rPr>
      </w:pPr>
    </w:p>
    <w:p>
      <w:pPr>
        <w:jc w:val="both"/>
        <w:ind w:left="9" w:firstLine="639"/>
        <w:spacing w:after="0" w:line="237" w:lineRule="auto"/>
        <w:tabs>
          <w:tab w:leader="none" w:pos="10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 consisting of purchases and acquisitions of assets or services in the ordinary course of business or consistent with past practice, (b) made in the ordinary course of business or consistent with past practice or industry practice in connection with obtaining, maintaining or renewing client, franchisee and customer contacts and loans, (c) advances, loans, extensions of credit (including the creation of receivables) or prepayments made to, and guarantees with respect to obligations of, franchisees, distributors, suppliers, lessors, licensors and licensees in the ordinary course of business or consistent with past practice or (d) consisting of earnest money deposits required in connection with a purchase agreement, or letter of intent, or other acquisitions to the extent not otherwise prohibited by this Indenture;</w:t>
      </w:r>
    </w:p>
    <w:p>
      <w:pPr>
        <w:spacing w:after="0" w:line="177" w:lineRule="exact"/>
        <w:rPr>
          <w:rFonts w:ascii="Times New Roman" w:cs="Times New Roman" w:eastAsia="Times New Roman" w:hAnsi="Times New Roman"/>
          <w:sz w:val="19"/>
          <w:szCs w:val="19"/>
          <w:color w:val="auto"/>
        </w:rPr>
      </w:pPr>
    </w:p>
    <w:p>
      <w:pPr>
        <w:ind w:left="9" w:right="20" w:firstLine="639"/>
        <w:spacing w:after="0" w:line="280" w:lineRule="auto"/>
        <w:tabs>
          <w:tab w:leader="none" w:pos="10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receivables owing to the Issuer or any Restricted Subsidiary created or acquired in the ordinary course of business or consistent with past practice;</w:t>
      </w:r>
    </w:p>
    <w:p>
      <w:pPr>
        <w:spacing w:after="0" w:line="111" w:lineRule="exact"/>
        <w:rPr>
          <w:rFonts w:ascii="Times New Roman" w:cs="Times New Roman" w:eastAsia="Times New Roman" w:hAnsi="Times New Roman"/>
          <w:sz w:val="19"/>
          <w:szCs w:val="19"/>
          <w:color w:val="auto"/>
        </w:rPr>
      </w:pPr>
    </w:p>
    <w:p>
      <w:pPr>
        <w:jc w:val="both"/>
        <w:ind w:left="9" w:firstLine="639"/>
        <w:spacing w:after="0" w:line="241" w:lineRule="auto"/>
        <w:tabs>
          <w:tab w:leader="none" w:pos="10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of a Restricted Subsidiary acquired after the Issue Date or of an entity merged or amalgamated into or consolidated with the Issuer or merged or amalgamated into or consolidated with a Restricted Subsidiary after the Issue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75" w:lineRule="exact"/>
        <w:rPr>
          <w:rFonts w:ascii="Times New Roman" w:cs="Times New Roman" w:eastAsia="Times New Roman" w:hAnsi="Times New Roman"/>
          <w:sz w:val="19"/>
          <w:szCs w:val="19"/>
          <w:color w:val="auto"/>
        </w:rPr>
      </w:pPr>
    </w:p>
    <w:p>
      <w:pPr>
        <w:ind w:left="1029" w:hanging="381"/>
        <w:spacing w:after="0"/>
        <w:tabs>
          <w:tab w:leader="none" w:pos="1029"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repurchases of the Notes and Indebtedness (other than Subordinated Indebtedness) under the Credit Facilities;</w:t>
      </w:r>
    </w:p>
    <w:p>
      <w:pPr>
        <w:spacing w:after="0" w:line="200" w:lineRule="exact"/>
        <w:rPr>
          <w:rFonts w:ascii="Times New Roman" w:cs="Times New Roman" w:eastAsia="Times New Roman" w:hAnsi="Times New Roman"/>
          <w:sz w:val="19"/>
          <w:szCs w:val="19"/>
          <w:color w:val="auto"/>
        </w:rPr>
      </w:pPr>
    </w:p>
    <w:p>
      <w:pPr>
        <w:ind w:left="9" w:right="40" w:firstLine="639"/>
        <w:spacing w:after="0" w:line="280" w:lineRule="auto"/>
        <w:tabs>
          <w:tab w:leader="none" w:pos="10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guaranty and indemnification obligations arising in connection with surety bonds issued in the ordinary course of business or consistent with past practice;</w:t>
      </w:r>
    </w:p>
    <w:p>
      <w:pPr>
        <w:spacing w:after="0" w:line="124" w:lineRule="exact"/>
        <w:rPr>
          <w:rFonts w:ascii="Times New Roman" w:cs="Times New Roman" w:eastAsia="Times New Roman" w:hAnsi="Times New Roman"/>
          <w:sz w:val="19"/>
          <w:szCs w:val="19"/>
          <w:color w:val="auto"/>
        </w:rPr>
      </w:pPr>
    </w:p>
    <w:p>
      <w:pPr>
        <w:jc w:val="both"/>
        <w:ind w:left="9" w:right="20" w:firstLine="639"/>
        <w:spacing w:after="0" w:line="266" w:lineRule="auto"/>
        <w:tabs>
          <w:tab w:leader="none" w:pos="10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164" w:lineRule="exact"/>
        <w:rPr>
          <w:rFonts w:ascii="Times New Roman" w:cs="Times New Roman" w:eastAsia="Times New Roman" w:hAnsi="Times New Roman"/>
          <w:sz w:val="19"/>
          <w:szCs w:val="19"/>
          <w:color w:val="auto"/>
        </w:rPr>
      </w:pPr>
    </w:p>
    <w:p>
      <w:pPr>
        <w:ind w:left="9" w:right="20" w:firstLine="639"/>
        <w:spacing w:after="0" w:line="280" w:lineRule="auto"/>
        <w:tabs>
          <w:tab w:leader="none" w:pos="10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made from casualty insurance proceeds in connection with the replacement, substitution, restoration or repair of assets on account of a Casualty Event; and</w:t>
      </w:r>
    </w:p>
    <w:p>
      <w:pPr>
        <w:spacing w:after="0" w:line="111" w:lineRule="exact"/>
        <w:rPr>
          <w:rFonts w:ascii="Times New Roman" w:cs="Times New Roman" w:eastAsia="Times New Roman" w:hAnsi="Times New Roman"/>
          <w:sz w:val="19"/>
          <w:szCs w:val="19"/>
          <w:color w:val="auto"/>
        </w:rPr>
      </w:pPr>
    </w:p>
    <w:p>
      <w:pPr>
        <w:jc w:val="both"/>
        <w:ind w:left="9" w:firstLine="639"/>
        <w:spacing w:after="0" w:line="244" w:lineRule="auto"/>
        <w:tabs>
          <w:tab w:leader="none" w:pos="10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constituting Investments, advances in respect of transfer pricing and cost- sharing arrangements (i.e., “cost-plus” arrangements) that are (a) in the ordinary course of business and consistent with the Issuer’s and the Guarantors’ historical practices and (b) funded not more than 120 days in advance of the applicable transfer pricing and cost-sharing payment.</w:t>
      </w:r>
    </w:p>
    <w:p>
      <w:pPr>
        <w:spacing w:after="0" w:line="21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Liens</w:t>
      </w:r>
      <w:r>
        <w:rPr>
          <w:rFonts w:ascii="Times New Roman" w:cs="Times New Roman" w:eastAsia="Times New Roman" w:hAnsi="Times New Roman"/>
          <w:sz w:val="19"/>
          <w:szCs w:val="19"/>
          <w:color w:val="auto"/>
        </w:rPr>
        <w:t>” means, with respect to any Person:</w:t>
      </w:r>
    </w:p>
    <w:p>
      <w:pPr>
        <w:spacing w:after="0" w:line="79" w:lineRule="exact"/>
        <w:rPr>
          <w:sz w:val="20"/>
          <w:szCs w:val="20"/>
          <w:color w:val="auto"/>
        </w:rPr>
      </w:pPr>
    </w:p>
    <w:p>
      <w:pPr>
        <w:jc w:val="both"/>
        <w:ind w:left="9" w:firstLine="639"/>
        <w:spacing w:after="0" w:line="241" w:lineRule="auto"/>
        <w:tabs>
          <w:tab w:leader="none" w:pos="104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or pledges, deposits or security (a) in connection with workers’ or workmen’s compensation, payroll taxes, unemployment insurance, employers’ health tax, social security, retirement and other similar security laws or legislation, or other insurance-related obligations (including, but not limited to, in respect of deductibles, self-insured retention amounts and premiums and adjustments thereto), (b) securing liability for reimbursement 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6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109"/>
          </w:cols>
          <w:pgMar w:left="1231" w:top="1440" w:right="559" w:bottom="1440" w:gutter="0" w:footer="0" w:header="0"/>
        </w:sectPr>
      </w:pPr>
    </w:p>
    <w:bookmarkStart w:id="96" w:name="page97"/>
    <w:bookmarkEnd w:id="96"/>
    <w:p>
      <w:pPr>
        <w:spacing w:after="0" w:line="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obligations of (including obligations in respect of letters of credit or bank guarantees or similar instrument for the benefit of) insurance carriers providing property, casualty or liability insurance to the Issuer or any Restricted Subsidiary or otherwise supporting the payment of items set forth in the foregoing clause (a) or (c)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w:t>
      </w:r>
    </w:p>
    <w:p>
      <w:pPr>
        <w:spacing w:after="0"/>
        <w:rPr>
          <w:sz w:val="20"/>
          <w:szCs w:val="20"/>
          <w:color w:val="auto"/>
        </w:rPr>
      </w:pPr>
      <w:r>
        <w:rPr>
          <w:rFonts w:ascii="Times New Roman" w:cs="Times New Roman" w:eastAsia="Times New Roman" w:hAnsi="Times New Roman"/>
          <w:sz w:val="20"/>
          <w:szCs w:val="20"/>
          <w:color w:val="auto"/>
        </w:rPr>
        <w:t>ordinary course of business;</w:t>
      </w:r>
    </w:p>
    <w:p>
      <w:pPr>
        <w:spacing w:after="0" w:line="149" w:lineRule="exact"/>
        <w:rPr>
          <w:sz w:val="20"/>
          <w:szCs w:val="20"/>
          <w:color w:val="auto"/>
        </w:rPr>
      </w:pPr>
    </w:p>
    <w:p>
      <w:pPr>
        <w:jc w:val="both"/>
        <w:ind w:firstLine="639"/>
        <w:spacing w:after="0" w:line="237" w:lineRule="auto"/>
        <w:tabs>
          <w:tab w:leader="none" w:pos="1031"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with respect to outstanding motor vehicle fines and Liens arising or imposed by law or regulation, such as landlords’, carriers’, warehousemen’s, mechanics’, materialmen’s, repairmen’s, architects, or construction contractors’ Liens and other similar Liens, in each case for sums not yet overdue for a period of more than 60 days or being contested in good faith by appropriate proceedings or, if more than 60 days overdue, are unfiled and no other action has been taken to enforce such Liens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 (or other applicable accounting principles) or for property Taxes on property of the Issuer or one of its Subsidiaries that such Person has determined to abandon if the sole recourse for such Tax is to such property;</w:t>
      </w:r>
    </w:p>
    <w:p>
      <w:pPr>
        <w:spacing w:after="0" w:line="150" w:lineRule="exact"/>
        <w:rPr>
          <w:rFonts w:ascii="Times New Roman" w:cs="Times New Roman" w:eastAsia="Times New Roman" w:hAnsi="Times New Roman"/>
          <w:sz w:val="19"/>
          <w:szCs w:val="19"/>
          <w:color w:val="auto"/>
        </w:rPr>
      </w:pPr>
    </w:p>
    <w:p>
      <w:pPr>
        <w:jc w:val="both"/>
        <w:ind w:firstLine="639"/>
        <w:spacing w:after="0" w:line="251" w:lineRule="auto"/>
        <w:tabs>
          <w:tab w:leader="none" w:pos="1031"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for Taxes, assessments or other governmental charges that are not overdue for a period of more than 60 days, not yet payable or subject to penalties for nonpayment or that are being contested in good faith by appropriate proceedings for which adequate reserves with respect thereto are maintained on the books of the applicable Person in accordance with GAAP;</w:t>
      </w:r>
    </w:p>
    <w:p>
      <w:pPr>
        <w:spacing w:after="0" w:line="165" w:lineRule="exact"/>
        <w:rPr>
          <w:rFonts w:ascii="Times New Roman" w:cs="Times New Roman" w:eastAsia="Times New Roman" w:hAnsi="Times New Roman"/>
          <w:sz w:val="19"/>
          <w:szCs w:val="19"/>
          <w:color w:val="auto"/>
        </w:rPr>
      </w:pPr>
    </w:p>
    <w:p>
      <w:pPr>
        <w:jc w:val="both"/>
        <w:ind w:firstLine="639"/>
        <w:spacing w:after="0" w:line="237" w:lineRule="auto"/>
        <w:tabs>
          <w:tab w:leader="none" w:pos="1031"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spacing w:after="0" w:line="176" w:lineRule="exact"/>
        <w:rPr>
          <w:rFonts w:ascii="Times New Roman" w:cs="Times New Roman" w:eastAsia="Times New Roman" w:hAnsi="Times New Roman"/>
          <w:sz w:val="19"/>
          <w:szCs w:val="19"/>
          <w:color w:val="auto"/>
        </w:rPr>
      </w:pPr>
    </w:p>
    <w:p>
      <w:pPr>
        <w:jc w:val="both"/>
        <w:ind w:firstLine="639"/>
        <w:spacing w:after="0" w:line="229" w:lineRule="auto"/>
        <w:tabs>
          <w:tab w:leader="none" w:pos="1031"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survey exceptions, encumbrances, charges, easements (including reciprocal easement agreements), ground leases, covenants, conditions, rights-of-way, licenses, servitudes, survey exceptions, restrictions, encroachments, protrusions, by-law, reservations of, or rights of others for licenses, drains, cable television lines, sewers, electric lines, telegraph and telephone lines and other similar purposes, zoning or other restrictions (including defects and irregularities in title and similar encumbrances) and other similar encumbrances and title defects or irregularities affecting real property,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that, in the aggregate, do not materially interfere with the ordinary conduct of the business of the Issuer and its Restricted Subsidiaries, taken as a whole, (b) rights of recapture of unused real property in favor of the seller of property set forth in customary purchase agreements and related arrangements with any governmental, statutory or regulatory authority, (c) Liens arising from the right of distress enjoyed by landlords or Liens otherwise granted to landlords, in either case, to secure the payment of arrears of rent in respect of leased properties, so long as such Liens are not exercised, (d) servicing agreements, development agreements, site plan agreements and other agreements with any governmental authority pertaining to the use or development of any of the assets of the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same are complied with in all material respects and do not materially reduce the value of the assets of the Person or materially interfere with the use of such assets in the operation of the business of such Person, (e) the reservations in any original grants from the crown of any land or interest therein and statutory exceptions to title and (f) other Liens on real property (including ground leases in respect of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100"/>
          </w:cols>
          <w:pgMar w:left="1240" w:top="1440" w:right="559" w:bottom="1440" w:gutter="0" w:footer="0" w:header="0"/>
        </w:sectPr>
      </w:pPr>
    </w:p>
    <w:bookmarkStart w:id="97" w:name="page98"/>
    <w:bookmarkEnd w:id="97"/>
    <w:p>
      <w:pPr>
        <w:ind w:left="9"/>
        <w:spacing w:after="0"/>
        <w:rPr>
          <w:sz w:val="20"/>
          <w:szCs w:val="20"/>
          <w:color w:val="auto"/>
        </w:rPr>
      </w:pPr>
      <w:r>
        <w:rPr>
          <w:rFonts w:ascii="Times New Roman" w:cs="Times New Roman" w:eastAsia="Times New Roman" w:hAnsi="Times New Roman"/>
          <w:sz w:val="19"/>
          <w:szCs w:val="19"/>
          <w:color w:val="auto"/>
        </w:rPr>
        <w:t>property on which facilities owned or leased by the Issuer or any of the Restricted Subsidiaries are located);</w:t>
      </w:r>
    </w:p>
    <w:p>
      <w:pPr>
        <w:spacing w:after="0" w:line="79" w:lineRule="exact"/>
        <w:rPr>
          <w:sz w:val="20"/>
          <w:szCs w:val="20"/>
          <w:color w:val="auto"/>
        </w:rPr>
      </w:pPr>
    </w:p>
    <w:p>
      <w:pPr>
        <w:jc w:val="both"/>
        <w:ind w:left="9" w:firstLine="639"/>
        <w:spacing w:after="0" w:line="241" w:lineRule="auto"/>
        <w:tabs>
          <w:tab w:leader="none" w:pos="104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Obligations relating to any Indebtedness permitted to exist or to be incurred pursuant to clause (4), (12), (13), subclause (i) of the first proviso to clause (14), (29) or (32) of Section 4.09(b)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Liens securing Indebtedness permitted to exist or to be incurred pursuant to clauses (14) or (32) are solely on acquired property or the assets of the acquired entity, as the case may be;</w:t>
      </w:r>
    </w:p>
    <w:p>
      <w:pPr>
        <w:spacing w:after="0" w:line="175" w:lineRule="exact"/>
        <w:rPr>
          <w:rFonts w:ascii="Times New Roman" w:cs="Times New Roman" w:eastAsia="Times New Roman" w:hAnsi="Times New Roman"/>
          <w:sz w:val="19"/>
          <w:szCs w:val="19"/>
          <w:color w:val="auto"/>
        </w:rPr>
      </w:pPr>
    </w:p>
    <w:p>
      <w:pPr>
        <w:jc w:val="both"/>
        <w:ind w:left="9" w:firstLine="639"/>
        <w:spacing w:after="0" w:line="244" w:lineRule="auto"/>
        <w:tabs>
          <w:tab w:leader="none" w:pos="104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existing on the Issue Date, including Liens securing the Credit Agreement (with respect to the Indebtedness outstanding thereunder on the Issue Date) and any Liens securing any Refinancing Indebtedness of any Indebtedness secured by such Liens;</w:t>
      </w:r>
    </w:p>
    <w:p>
      <w:pPr>
        <w:spacing w:after="0" w:line="170" w:lineRule="exact"/>
        <w:rPr>
          <w:rFonts w:ascii="Times New Roman" w:cs="Times New Roman" w:eastAsia="Times New Roman" w:hAnsi="Times New Roman"/>
          <w:sz w:val="19"/>
          <w:szCs w:val="19"/>
          <w:color w:val="auto"/>
        </w:rPr>
      </w:pPr>
    </w:p>
    <w:p>
      <w:pPr>
        <w:ind w:left="1029" w:hanging="381"/>
        <w:spacing w:after="0"/>
        <w:tabs>
          <w:tab w:leader="none" w:pos="1029"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Liens on property or shares of stock or other assets of a Person at the time such Person becomes a Subsidiary and</w:t>
      </w:r>
    </w:p>
    <w:p>
      <w:pPr>
        <w:spacing w:after="0" w:line="4" w:lineRule="exact"/>
        <w:rPr>
          <w:rFonts w:ascii="Times New Roman" w:cs="Times New Roman" w:eastAsia="Times New Roman" w:hAnsi="Times New Roman"/>
          <w:sz w:val="19"/>
          <w:szCs w:val="19"/>
          <w:color w:val="auto"/>
        </w:rPr>
      </w:pPr>
    </w:p>
    <w:p>
      <w:pPr>
        <w:ind w:left="269" w:hanging="269"/>
        <w:spacing w:after="0" w:line="237" w:lineRule="auto"/>
        <w:tabs>
          <w:tab w:leader="none" w:pos="269"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Liens existing on property or shares of stock or other assets at the time of its acquisition, including any acquisition by means</w:t>
      </w:r>
    </w:p>
    <w:p>
      <w:pPr>
        <w:jc w:val="both"/>
        <w:ind w:left="9"/>
        <w:spacing w:after="0" w:line="231" w:lineRule="auto"/>
        <w:rPr>
          <w:sz w:val="20"/>
          <w:szCs w:val="20"/>
          <w:color w:val="auto"/>
        </w:rPr>
      </w:pPr>
      <w:r>
        <w:rPr>
          <w:rFonts w:ascii="Times New Roman" w:cs="Times New Roman" w:eastAsia="Times New Roman" w:hAnsi="Times New Roman"/>
          <w:sz w:val="19"/>
          <w:szCs w:val="19"/>
          <w:color w:val="auto"/>
        </w:rPr>
        <w:t xml:space="preserve">of a merger, amalgamation, consolidation or other business combination transaction with or into the Issuer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such Liens are not created or incurred in connection with, or in contemplation of, such acquisition, amalgamation, merger or consolidation;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Liens may not extend to any other property or other assets owned by the Issuer or any of its Restricted Subsidiaries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under this Indenture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180" w:lineRule="exact"/>
        <w:rPr>
          <w:sz w:val="20"/>
          <w:szCs w:val="20"/>
          <w:color w:val="auto"/>
        </w:rPr>
      </w:pPr>
    </w:p>
    <w:p>
      <w:pPr>
        <w:jc w:val="both"/>
        <w:ind w:left="9" w:firstLine="639"/>
        <w:spacing w:after="0" w:line="231" w:lineRule="auto"/>
        <w:tabs>
          <w:tab w:leader="none" w:pos="1040"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 on cash advances or escrow deposits in favor of the seller of any property to be acquired in an Investment permitted under this Indenture to be applied against the purchase price for such Investment or otherwise in connection with any escrow arrangements with respect to any such Investment or any Asset Sale permitted under this Indenture (including any letter of intent or purchase agreement with respect to such Investment or Asset Sale), (b) consisting of an agreement to sell, transfer or dispose of any property in an Asset Sale permitted under this Indenture, in each case, solely to the extent such Investment or Asset Sale, as the case may be, would have been permitted on the date of the creation of such Lien and</w:t>
      </w:r>
    </w:p>
    <w:p>
      <w:pPr>
        <w:ind w:left="249" w:hanging="249"/>
        <w:spacing w:after="0"/>
        <w:tabs>
          <w:tab w:leader="none" w:pos="2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on any cash earnest money deposits made by the Issuer or any of its Restricted Subsidiaries in connection with any letter of</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intent or purchase agreement or other acquisitions permitted under this Indenture;</w:t>
      </w:r>
    </w:p>
    <w:p>
      <w:pPr>
        <w:spacing w:after="0" w:line="153" w:lineRule="exact"/>
        <w:rPr>
          <w:sz w:val="20"/>
          <w:szCs w:val="20"/>
          <w:color w:val="auto"/>
        </w:rPr>
      </w:pPr>
    </w:p>
    <w:p>
      <w:pPr>
        <w:ind w:left="9" w:firstLine="639"/>
        <w:spacing w:after="0" w:line="280" w:lineRule="auto"/>
        <w:tabs>
          <w:tab w:leader="none" w:pos="104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Indebtedness or other obligations of the Issuer or a Restricted Subsidiary owing to the Issuer or another Restricted Subsidiary, or Liens in favor of the Issuer or any Restricted Subsidiary or Trustee;</w:t>
      </w:r>
    </w:p>
    <w:p>
      <w:pPr>
        <w:spacing w:after="0" w:line="165" w:lineRule="exact"/>
        <w:rPr>
          <w:rFonts w:ascii="Times New Roman" w:cs="Times New Roman" w:eastAsia="Times New Roman" w:hAnsi="Times New Roman"/>
          <w:sz w:val="19"/>
          <w:szCs w:val="19"/>
          <w:color w:val="auto"/>
        </w:rPr>
      </w:pPr>
    </w:p>
    <w:p>
      <w:pPr>
        <w:jc w:val="both"/>
        <w:ind w:left="9" w:firstLine="639"/>
        <w:spacing w:after="0" w:line="230" w:lineRule="auto"/>
        <w:tabs>
          <w:tab w:leader="none" w:pos="103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Liens securing Hedging Obligations or on cash or Cash Equivalents securing Hedging Obligations or Cash Management Obligations; (b) Liens on cash and Cash Equivalents used to satisfy or discharge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satisfaction or discharge is permitted under this Indenture; and (c) Liens on cash and Cash Equivalents or other marketable securities securing letters of credit of the Issuer or any Guarantor (which indebtedness represented by such letters of credit is permitted to be incurred under this Indenture) that are cash collateralized in an amount of cash, Cash Equivalents or other marketable securities with a fair market value of up to 105% of the face amount of such letters of credit being secured;</w:t>
      </w:r>
    </w:p>
    <w:p>
      <w:pPr>
        <w:spacing w:after="0" w:line="161" w:lineRule="exact"/>
        <w:rPr>
          <w:rFonts w:ascii="Times New Roman" w:cs="Times New Roman" w:eastAsia="Times New Roman" w:hAnsi="Times New Roman"/>
          <w:sz w:val="19"/>
          <w:szCs w:val="19"/>
          <w:color w:val="auto"/>
        </w:rPr>
      </w:pPr>
    </w:p>
    <w:p>
      <w:pPr>
        <w:jc w:val="both"/>
        <w:ind w:left="9" w:firstLine="639"/>
        <w:spacing w:after="0" w:line="244" w:lineRule="auto"/>
        <w:tabs>
          <w:tab w:leader="none" w:pos="104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specific items of inventory or other goods and proceeds of any Person securing such Person’s accounts payable or obligations in respect of bankers’ acceptances or trade letters of credit issued or created for the account of such Person to facilitate the purchase, shipment or storage of such inventory or other goods;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56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109"/>
          </w:cols>
          <w:pgMar w:left="1231" w:top="1436" w:right="559" w:bottom="1440" w:gutter="0" w:footer="0" w:header="0"/>
        </w:sectPr>
      </w:pPr>
    </w:p>
    <w:bookmarkStart w:id="98" w:name="page99"/>
    <w:bookmarkEnd w:id="98"/>
    <w:p>
      <w:pPr>
        <w:spacing w:after="0" w:line="51" w:lineRule="exact"/>
        <w:rPr>
          <w:sz w:val="20"/>
          <w:szCs w:val="20"/>
          <w:color w:val="auto"/>
        </w:rPr>
      </w:pPr>
    </w:p>
    <w:p>
      <w:pPr>
        <w:jc w:val="both"/>
        <w:ind w:firstLine="639"/>
        <w:spacing w:after="0" w:line="247" w:lineRule="auto"/>
        <w:tabs>
          <w:tab w:leader="none" w:pos="103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leases, subleases, licenses or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do not materially interfere with the operation of the business of the Issuer or any of its Restricted Subsidiaries, taken as a whole, (b) any interest or title of a lessor or licensee under any lease or license entered into by the Issuer or any Restricted Subsidiary in the ordinary course of its business or consistent with past practice and (c) Liens arising from grants of non-exclusive licenses or sublicenses of intellectual property made in the ordinary course of business or consistent with past practice;</w:t>
      </w:r>
    </w:p>
    <w:p>
      <w:pPr>
        <w:spacing w:after="0" w:line="154" w:lineRule="exact"/>
        <w:rPr>
          <w:rFonts w:ascii="Times New Roman" w:cs="Times New Roman" w:eastAsia="Times New Roman" w:hAnsi="Times New Roman"/>
          <w:sz w:val="19"/>
          <w:szCs w:val="19"/>
          <w:color w:val="auto"/>
        </w:rPr>
      </w:pPr>
    </w:p>
    <w:p>
      <w:pPr>
        <w:jc w:val="both"/>
        <w:ind w:firstLine="639"/>
        <w:spacing w:after="0" w:line="251" w:lineRule="auto"/>
        <w:tabs>
          <w:tab w:leader="none" w:pos="103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from UCC (or equivalent statute) financing statement filings regarding operating leases or consignments entered into by the Issuer and its Restricted Subsidiaries in the ordinary course of business or consistent with past practice and other Liens arising solely from precautionary UCC financing statements or similar filings;</w:t>
      </w:r>
    </w:p>
    <w:p>
      <w:pPr>
        <w:spacing w:after="0" w:line="165" w:lineRule="exact"/>
        <w:rPr>
          <w:rFonts w:ascii="Times New Roman" w:cs="Times New Roman" w:eastAsia="Times New Roman" w:hAnsi="Times New Roman"/>
          <w:sz w:val="19"/>
          <w:szCs w:val="19"/>
          <w:color w:val="auto"/>
        </w:rPr>
      </w:pPr>
    </w:p>
    <w:p>
      <w:pPr>
        <w:ind w:left="1280" w:hanging="641"/>
        <w:spacing w:after="0"/>
        <w:tabs>
          <w:tab w:leader="none" w:pos="128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the Issuer or any Guarantor;</w:t>
      </w:r>
    </w:p>
    <w:p>
      <w:pPr>
        <w:spacing w:after="0" w:line="200" w:lineRule="exact"/>
        <w:rPr>
          <w:rFonts w:ascii="Times New Roman" w:cs="Times New Roman" w:eastAsia="Times New Roman" w:hAnsi="Times New Roman"/>
          <w:sz w:val="19"/>
          <w:szCs w:val="19"/>
          <w:color w:val="auto"/>
        </w:rPr>
      </w:pPr>
    </w:p>
    <w:p>
      <w:pPr>
        <w:ind w:right="20" w:firstLine="639"/>
        <w:spacing w:after="0" w:line="280" w:lineRule="auto"/>
        <w:tabs>
          <w:tab w:leader="none" w:pos="103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vehicles or equipment of the Issuer or any of its Restricted Subsidiaries granted in the ordinary course of business or consistent with past practice;</w:t>
      </w:r>
    </w:p>
    <w:p>
      <w:pPr>
        <w:spacing w:after="0" w:line="138" w:lineRule="exact"/>
        <w:rPr>
          <w:rFonts w:ascii="Times New Roman" w:cs="Times New Roman" w:eastAsia="Times New Roman" w:hAnsi="Times New Roman"/>
          <w:sz w:val="19"/>
          <w:szCs w:val="19"/>
          <w:color w:val="auto"/>
        </w:rPr>
      </w:pPr>
    </w:p>
    <w:p>
      <w:pPr>
        <w:ind w:left="1280" w:hanging="641"/>
        <w:spacing w:after="0"/>
        <w:tabs>
          <w:tab w:leader="none" w:pos="128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accounts receivable and related assets incurred in connection with a Receivables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Facility;</w:t>
      </w:r>
    </w:p>
    <w:p>
      <w:pPr>
        <w:spacing w:after="0" w:line="185" w:lineRule="exact"/>
        <w:rPr>
          <w:sz w:val="20"/>
          <w:szCs w:val="20"/>
          <w:color w:val="auto"/>
        </w:rPr>
      </w:pPr>
    </w:p>
    <w:p>
      <w:pPr>
        <w:ind w:left="1280" w:hanging="641"/>
        <w:spacing w:after="0"/>
        <w:tabs>
          <w:tab w:leader="none" w:pos="128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Refinancing Indebtedness incurred to refinance Indebtedness that was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previously so secured, and permitted to be secured under this Indenture; provided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w:t>
      </w:r>
    </w:p>
    <w:p>
      <w:pPr>
        <w:spacing w:after="0" w:line="174" w:lineRule="exact"/>
        <w:rPr>
          <w:sz w:val="20"/>
          <w:szCs w:val="20"/>
          <w:color w:val="auto"/>
        </w:rPr>
      </w:pPr>
    </w:p>
    <w:p>
      <w:pPr>
        <w:jc w:val="both"/>
        <w:ind w:firstLine="639"/>
        <w:spacing w:after="0" w:line="251" w:lineRule="auto"/>
        <w:tabs>
          <w:tab w:leader="none" w:pos="103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deposits made or other security provided in the ordinary course of business or consistent with past practice or industry practice to secure liability to insurance carriers and (b) Liens on insurance policies and the proceeds thereof securing the financing of the premiums with respect thereto;</w:t>
      </w:r>
    </w:p>
    <w:p>
      <w:pPr>
        <w:spacing w:after="0" w:line="151" w:lineRule="exact"/>
        <w:rPr>
          <w:rFonts w:ascii="Times New Roman" w:cs="Times New Roman" w:eastAsia="Times New Roman" w:hAnsi="Times New Roman"/>
          <w:sz w:val="19"/>
          <w:szCs w:val="19"/>
          <w:color w:val="auto"/>
        </w:rPr>
      </w:pPr>
    </w:p>
    <w:p>
      <w:pPr>
        <w:ind w:right="20" w:firstLine="639"/>
        <w:spacing w:after="0" w:line="280" w:lineRule="auto"/>
        <w:tabs>
          <w:tab w:leader="none" w:pos="103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Indebtedness and other Obligations in an aggregate principal amount not to exceed the greater of $162.6 million and 30.0% of LTM EBITDA at the time incurred;</w:t>
      </w:r>
    </w:p>
    <w:p>
      <w:pPr>
        <w:spacing w:after="0" w:line="151" w:lineRule="exact"/>
        <w:rPr>
          <w:rFonts w:ascii="Times New Roman" w:cs="Times New Roman" w:eastAsia="Times New Roman" w:hAnsi="Times New Roman"/>
          <w:sz w:val="19"/>
          <w:szCs w:val="19"/>
          <w:color w:val="auto"/>
        </w:rPr>
      </w:pPr>
    </w:p>
    <w:p>
      <w:pPr>
        <w:ind w:right="20" w:firstLine="639"/>
        <w:spacing w:after="0" w:line="265" w:lineRule="auto"/>
        <w:tabs>
          <w:tab w:leader="none" w:pos="103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or otherwise arising from, judgments, decrees, attachments, orders or awards for the payment of money not constituting an Event of Default under Section 6.01(a)(5) hereof;</w:t>
      </w:r>
    </w:p>
    <w:p>
      <w:pPr>
        <w:spacing w:after="0" w:line="165" w:lineRule="exact"/>
        <w:rPr>
          <w:rFonts w:ascii="Times New Roman" w:cs="Times New Roman" w:eastAsia="Times New Roman" w:hAnsi="Times New Roman"/>
          <w:sz w:val="19"/>
          <w:szCs w:val="19"/>
          <w:color w:val="auto"/>
        </w:rPr>
      </w:pPr>
    </w:p>
    <w:p>
      <w:pPr>
        <w:ind w:right="20" w:firstLine="639"/>
        <w:spacing w:after="0" w:line="280" w:lineRule="auto"/>
        <w:tabs>
          <w:tab w:leader="none" w:pos="103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customs and revenue authorities arising a s a matter of law to secure payment of customs duties in connection with the importation of goods;</w:t>
      </w:r>
    </w:p>
    <w:p>
      <w:pPr>
        <w:spacing w:after="0" w:line="124" w:lineRule="exact"/>
        <w:rPr>
          <w:rFonts w:ascii="Times New Roman" w:cs="Times New Roman" w:eastAsia="Times New Roman" w:hAnsi="Times New Roman"/>
          <w:sz w:val="19"/>
          <w:szCs w:val="19"/>
          <w:color w:val="auto"/>
        </w:rPr>
      </w:pPr>
    </w:p>
    <w:p>
      <w:pPr>
        <w:jc w:val="both"/>
        <w:ind w:firstLine="639"/>
        <w:spacing w:after="0" w:line="241" w:lineRule="auto"/>
        <w:tabs>
          <w:tab w:leader="none" w:pos="103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 of a collection bank arising under applicable law, including Section 4-210 of the UCC, or any comparable or successor provision, on items in the course of collection; (b) attaching to pooling, commodity or securities trading accounts or other commodity or securities brokerage accounts incurred in the ordinary course of business; or (c) in favor of a banking or other financial institution or entity, or electronic payment service provider, arising as a matter of law or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100"/>
          </w:cols>
          <w:pgMar w:left="1240" w:top="1440" w:right="559" w:bottom="1440" w:gutter="0" w:footer="0" w:header="0"/>
        </w:sectPr>
      </w:pPr>
    </w:p>
    <w:bookmarkStart w:id="99" w:name="page100"/>
    <w:bookmarkEnd w:id="99"/>
    <w:p>
      <w:pPr>
        <w:spacing w:after="0" w:line="159" w:lineRule="exact"/>
        <w:rPr>
          <w:sz w:val="20"/>
          <w:szCs w:val="20"/>
          <w:color w:val="auto"/>
        </w:rPr>
      </w:pPr>
    </w:p>
    <w:p>
      <w:pPr>
        <w:jc w:val="both"/>
        <w:ind w:left="9" w:right="220"/>
        <w:spacing w:after="0"/>
        <w:rPr>
          <w:sz w:val="20"/>
          <w:szCs w:val="20"/>
          <w:color w:val="auto"/>
        </w:rPr>
      </w:pPr>
      <w:r>
        <w:rPr>
          <w:rFonts w:ascii="Times New Roman" w:cs="Times New Roman" w:eastAsia="Times New Roman" w:hAnsi="Times New Roman"/>
          <w:sz w:val="19"/>
          <w:szCs w:val="19"/>
          <w:color w:val="auto"/>
        </w:rPr>
        <w:t>customary terms and conditions encumbering deposits or other funds maintained with a financial institution (including the right of setoff) and which are within the general parameters customary in the banking or finance industry or arising pursuant to such banking or financial institution’s general terms and conditions (including Liens in favor of deposit banks or securities intermediaries securing customary fees, expenses or charges in connection with the establishment, operation or maintenance of deposit accounts or securities accounts);</w:t>
      </w:r>
    </w:p>
    <w:p>
      <w:pPr>
        <w:spacing w:after="0" w:line="42" w:lineRule="exact"/>
        <w:rPr>
          <w:sz w:val="20"/>
          <w:szCs w:val="20"/>
          <w:color w:val="auto"/>
        </w:rPr>
      </w:pPr>
    </w:p>
    <w:p>
      <w:pPr>
        <w:jc w:val="both"/>
        <w:ind w:left="9" w:right="220" w:firstLine="639"/>
        <w:spacing w:after="0" w:line="241" w:lineRule="auto"/>
        <w:tabs>
          <w:tab w:leader="none" w:pos="1040"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deemed to exist in connection with Investments in repurchase agreements permitted under Section 4.09 hereof, including Liens deemed to exist in connection with Investments in repurchase agreements under clause (12) of the definition of the term “Cash Equivalents”;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Liens do not extend to any assets other than those that are the subject of such repurchase agreement;</w:t>
      </w:r>
    </w:p>
    <w:p>
      <w:pPr>
        <w:spacing w:after="0" w:line="161" w:lineRule="exact"/>
        <w:rPr>
          <w:rFonts w:ascii="Times New Roman" w:cs="Times New Roman" w:eastAsia="Times New Roman" w:hAnsi="Times New Roman"/>
          <w:sz w:val="19"/>
          <w:szCs w:val="19"/>
          <w:color w:val="auto"/>
        </w:rPr>
      </w:pPr>
    </w:p>
    <w:p>
      <w:pPr>
        <w:jc w:val="both"/>
        <w:ind w:left="9" w:right="240" w:firstLine="639"/>
        <w:spacing w:after="0" w:line="258" w:lineRule="auto"/>
        <w:tabs>
          <w:tab w:leader="none" w:pos="1040"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encumbering reasonable customary initial deposits and margin deposits and similar Liens attaching to commodity trading accounts or other brokerage accounts incurred in the ordinary course of business or consistent with past practice or industry practice and not for speculative purposes;</w:t>
      </w:r>
    </w:p>
    <w:p>
      <w:pPr>
        <w:spacing w:after="0" w:line="159" w:lineRule="exact"/>
        <w:rPr>
          <w:rFonts w:ascii="Times New Roman" w:cs="Times New Roman" w:eastAsia="Times New Roman" w:hAnsi="Times New Roman"/>
          <w:sz w:val="19"/>
          <w:szCs w:val="19"/>
          <w:color w:val="auto"/>
        </w:rPr>
      </w:pPr>
    </w:p>
    <w:p>
      <w:pPr>
        <w:jc w:val="both"/>
        <w:ind w:left="9" w:firstLine="640"/>
        <w:spacing w:after="0" w:line="242" w:lineRule="auto"/>
        <w:tabs>
          <w:tab w:leader="none" w:pos="1040"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that are contractual rights of setoff, banker’s lien, netting agreements and other Liens (a) relating to deposit accounts, securities accounts, cash management arrangements or in connection with the issuance of Indebtedness, including letters of credit, bank guarantees or other similar instruments, (b) relating to pooled deposit or sweep accounts to permit satisfaction of overdraft or similar obligations incurred in the ordinary course of business or consistent with past practice or industry practice of the Issuer and its Restricted Subsidiaries or (c) relating to purchase orders and other agreements entered into with customers of the Issuer or any of its Restricted Subsidiaries in the ordinary course of business or consistent with past practice or industry practice;</w:t>
      </w:r>
    </w:p>
    <w:p>
      <w:pPr>
        <w:spacing w:after="0" w:line="163" w:lineRule="exact"/>
        <w:rPr>
          <w:rFonts w:ascii="Times New Roman" w:cs="Times New Roman" w:eastAsia="Times New Roman" w:hAnsi="Times New Roman"/>
          <w:sz w:val="19"/>
          <w:szCs w:val="19"/>
          <w:color w:val="auto"/>
        </w:rPr>
      </w:pPr>
    </w:p>
    <w:p>
      <w:pPr>
        <w:jc w:val="both"/>
        <w:ind w:left="9" w:right="220" w:firstLine="639"/>
        <w:spacing w:after="0"/>
        <w:tabs>
          <w:tab w:leader="none" w:pos="1040"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(a) Indebtedness and other Obligations permitted to be incurred under any Credit Facility, including any letter of credit facility relating thereto, that was permitted by the terms of this Indenture to be incurred pursuant to clause (1) of Section 4.09(b) hereof and (b) obligations of the Issuer or any Subsidiary in respect of any Cash Management Obligation or Hedging Obligation provided by any lender party to any Credit Facility or any Affiliate of such lender (or any Person that was a lender or an Affiliate of a lender at the time the applicable agreements pursuant to which such Cash Management Obligation or Hedging Obligation are provided were entered into) or any other Person designated for such purchase under any Credit Facility;</w:t>
      </w:r>
    </w:p>
    <w:p>
      <w:pPr>
        <w:spacing w:after="0" w:line="147" w:lineRule="exact"/>
        <w:rPr>
          <w:rFonts w:ascii="Times New Roman" w:cs="Times New Roman" w:eastAsia="Times New Roman" w:hAnsi="Times New Roman"/>
          <w:sz w:val="19"/>
          <w:szCs w:val="19"/>
          <w:color w:val="auto"/>
        </w:rPr>
      </w:pPr>
    </w:p>
    <w:p>
      <w:pPr>
        <w:jc w:val="both"/>
        <w:ind w:left="9" w:right="220" w:firstLine="639"/>
        <w:spacing w:after="0" w:line="247" w:lineRule="auto"/>
        <w:tabs>
          <w:tab w:leader="none" w:pos="10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to secure Obligations in respect of any Indebtedness permitted to be incurred pursuant to Section 4.09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Liens securing Obligations permitted under this clause (28), at the time of incurrence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(including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application of the net proceeds from such Indebtedness), (x) in the case of Indebtedness secured by a Lien on the Collateral (other than Indebtedness secured by the Collateral with Junior Lien Priority relative to the Notes and the Note Guarantees), the Consolidated First Lien Net Debt Ratio would be no greater than 6.00 to 1.00 outstanding at any one time, (y) in the case of Indebtedness secured by Lien on the Collateral with Junior Lien Priority relative to the Notes and the Note Guarantees, the Consolidated Secured Net Debt Ratio would be no greater than 7.75 to 1.00 outstanding at any one time, or</w:t>
      </w:r>
    </w:p>
    <w:p>
      <w:pPr>
        <w:ind w:left="289" w:hanging="289"/>
        <w:spacing w:after="0" w:line="237" w:lineRule="auto"/>
        <w:tabs>
          <w:tab w:leader="none" w:pos="289"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such Indebtedness described in the foregoing clauses (x) or (y) incurred to finance any investment or</w:t>
      </w:r>
    </w:p>
    <w:p>
      <w:pPr>
        <w:jc w:val="both"/>
        <w:ind w:left="9" w:right="220"/>
        <w:spacing w:after="0" w:line="233" w:lineRule="auto"/>
        <w:rPr>
          <w:sz w:val="20"/>
          <w:szCs w:val="20"/>
          <w:color w:val="auto"/>
        </w:rPr>
      </w:pPr>
      <w:r>
        <w:rPr>
          <w:rFonts w:ascii="Times New Roman" w:cs="Times New Roman" w:eastAsia="Times New Roman" w:hAnsi="Times New Roman"/>
          <w:sz w:val="19"/>
          <w:szCs w:val="19"/>
          <w:color w:val="auto"/>
        </w:rPr>
        <w:t xml:space="preserve">acquisition or incurred as a result of Person being acquired by the Issuer or any Restricted Subsidiary or merged into or consolidated with the Issuer or a Restricted Subsidiary in accordance with the terms of this Indenture, the Consolidated First Lien Net Debt Ratio or Consolidated Secured Net Debt Ratio, respectively, would be equal to or less than it was immediately prior to such acquisition or merger, in each case as of the date on which such additional Indebtedness is incurred, determined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(including a </w:t>
      </w:r>
      <w:r>
        <w:rPr>
          <w:rFonts w:ascii="Times New Roman" w:cs="Times New Roman" w:eastAsia="Times New Roman" w:hAnsi="Times New Roman"/>
          <w:sz w:val="19"/>
          <w:szCs w:val="19"/>
          <w:i w:val="1"/>
          <w:iCs w:val="1"/>
          <w:color w:val="auto"/>
        </w:rPr>
        <w:t xml:space="preserve">pro forma </w:t>
      </w:r>
      <w:r>
        <w:rPr>
          <w:rFonts w:ascii="Times New Roman" w:cs="Times New Roman" w:eastAsia="Times New Roman" w:hAnsi="Times New Roman"/>
          <w:sz w:val="19"/>
          <w:szCs w:val="19"/>
          <w:color w:val="auto"/>
        </w:rPr>
        <w:t>application of the net proceeds therefrom);</w:t>
      </w:r>
    </w:p>
    <w:p>
      <w:pPr>
        <w:spacing w:after="0" w:line="161" w:lineRule="exact"/>
        <w:rPr>
          <w:sz w:val="20"/>
          <w:szCs w:val="20"/>
          <w:color w:val="auto"/>
        </w:rPr>
      </w:pPr>
    </w:p>
    <w:p>
      <w:pPr>
        <w:ind w:left="1289" w:hanging="641"/>
        <w:spacing w:after="0"/>
        <w:tabs>
          <w:tab w:leader="none" w:pos="1289"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Settlement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6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329"/>
          </w:cols>
          <w:pgMar w:left="1231" w:top="1440" w:right="339" w:bottom="1440" w:gutter="0" w:footer="0" w:header="0"/>
        </w:sectPr>
      </w:pPr>
    </w:p>
    <w:bookmarkStart w:id="100" w:name="page101"/>
    <w:bookmarkEnd w:id="100"/>
    <w:p>
      <w:pPr>
        <w:spacing w:after="0" w:line="186" w:lineRule="exact"/>
        <w:rPr>
          <w:sz w:val="20"/>
          <w:szCs w:val="20"/>
          <w:color w:val="auto"/>
        </w:rPr>
      </w:pPr>
    </w:p>
    <w:p>
      <w:pPr>
        <w:jc w:val="both"/>
        <w:ind w:firstLine="639"/>
        <w:spacing w:after="0" w:line="251"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goods the purchase price of which is financed by a documentary letter of credit issued for the account of the Issuer or any of its Subsidiaries or Liens on bills of lading, drafts or other documents of title arising by operation of law or pursuant to the standard terms of agreements relating to letters of credit, bank guarantees and other similar instruments;</w:t>
      </w:r>
    </w:p>
    <w:p>
      <w:pPr>
        <w:spacing w:after="0" w:line="151" w:lineRule="exact"/>
        <w:rPr>
          <w:rFonts w:ascii="Times New Roman" w:cs="Times New Roman" w:eastAsia="Times New Roman" w:hAnsi="Times New Roman"/>
          <w:sz w:val="19"/>
          <w:szCs w:val="19"/>
          <w:color w:val="auto"/>
        </w:rPr>
      </w:pPr>
    </w:p>
    <w:p>
      <w:pPr>
        <w:ind w:firstLine="639"/>
        <w:spacing w:after="0" w:line="280"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Capital Stock or other securities or assets of an Unrestricted Subsidiary that secure Indebtedness or other obligations of such Unrestricted Subsidiary;</w:t>
      </w:r>
    </w:p>
    <w:p>
      <w:pPr>
        <w:spacing w:after="0" w:line="16" w:lineRule="exact"/>
        <w:rPr>
          <w:rFonts w:ascii="Times New Roman" w:cs="Times New Roman" w:eastAsia="Times New Roman" w:hAnsi="Times New Roman"/>
          <w:sz w:val="19"/>
          <w:szCs w:val="19"/>
          <w:color w:val="auto"/>
        </w:rPr>
      </w:pPr>
    </w:p>
    <w:p>
      <w:pPr>
        <w:ind w:right="20" w:firstLine="639"/>
        <w:spacing w:after="0" w:line="265"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of progress payments and advances from customers in the ordinary course of business to the extent the same creates a Lien on the related inventory and proceeds thereof;</w:t>
      </w:r>
    </w:p>
    <w:p>
      <w:pPr>
        <w:spacing w:after="0" w:line="165" w:lineRule="exact"/>
        <w:rPr>
          <w:rFonts w:ascii="Times New Roman" w:cs="Times New Roman" w:eastAsia="Times New Roman" w:hAnsi="Times New Roman"/>
          <w:sz w:val="19"/>
          <w:szCs w:val="19"/>
          <w:color w:val="auto"/>
        </w:rPr>
      </w:pPr>
    </w:p>
    <w:p>
      <w:pPr>
        <w:jc w:val="both"/>
        <w:ind w:firstLine="639"/>
        <w:spacing w:after="0" w:line="251"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Equity Interests of any joint venture securing financing arrangement, joint venture or similar arrangement (a) securing obligations of such joint venture securing financing arrangement, joint venture or similar arrangement or (b) pursuant to the relevant joint venture securing financing arrangement, joint venture agreement or similar arrangement or agreement;</w:t>
      </w:r>
    </w:p>
    <w:p>
      <w:pPr>
        <w:spacing w:after="0" w:line="138" w:lineRule="exact"/>
        <w:rPr>
          <w:rFonts w:ascii="Times New Roman" w:cs="Times New Roman" w:eastAsia="Times New Roman" w:hAnsi="Times New Roman"/>
          <w:sz w:val="19"/>
          <w:szCs w:val="19"/>
          <w:color w:val="auto"/>
        </w:rPr>
      </w:pPr>
    </w:p>
    <w:p>
      <w:pPr>
        <w:jc w:val="both"/>
        <w:ind w:right="20" w:firstLine="639"/>
        <w:spacing w:after="0" w:line="266"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out of conditional sale, title retention, consignment, hire purchase or similar arrangements for the sale or purchase of goods entered into by the Issuer or any Restricted Subsidiary in the ordinary course of business or consistent with past practice;</w:t>
      </w:r>
    </w:p>
    <w:p>
      <w:pPr>
        <w:spacing w:after="0" w:line="151" w:lineRule="exact"/>
        <w:rPr>
          <w:rFonts w:ascii="Times New Roman" w:cs="Times New Roman" w:eastAsia="Times New Roman" w:hAnsi="Times New Roman"/>
          <w:sz w:val="19"/>
          <w:szCs w:val="19"/>
          <w:color w:val="auto"/>
        </w:rPr>
      </w:pPr>
    </w:p>
    <w:p>
      <w:pPr>
        <w:jc w:val="both"/>
        <w:ind w:firstLine="639"/>
        <w:spacing w:after="0" w:line="264" w:lineRule="auto"/>
        <w:tabs>
          <w:tab w:leader="none" w:pos="103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reserved or vested in any Person or government, statutory or regulatory authority by the terms of any lease, license, franchise, grant or permit held by the Issuer or any Restricted Subsidiary thereof or by a statutory provision, to terminate any such lease, license, franchise, grant or permit, or to require annual or periodic payments as a condition to the continuance thereof;</w:t>
      </w:r>
    </w:p>
    <w:p>
      <w:pPr>
        <w:spacing w:after="0" w:line="153" w:lineRule="exact"/>
        <w:rPr>
          <w:rFonts w:ascii="Times New Roman" w:cs="Times New Roman" w:eastAsia="Times New Roman" w:hAnsi="Times New Roman"/>
          <w:sz w:val="18"/>
          <w:szCs w:val="18"/>
          <w:color w:val="auto"/>
        </w:rPr>
      </w:pPr>
    </w:p>
    <w:p>
      <w:pPr>
        <w:ind w:right="20" w:firstLine="639"/>
        <w:spacing w:after="0" w:line="280"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assets or property of a Restricted Subsidiary that is not a Guarantor securing Indebtedness and other Obligations of any Restricted Subsidiary that is not a Guarantor;</w:t>
      </w:r>
    </w:p>
    <w:p>
      <w:pPr>
        <w:spacing w:after="0" w:line="138" w:lineRule="exact"/>
        <w:rPr>
          <w:rFonts w:ascii="Times New Roman" w:cs="Times New Roman" w:eastAsia="Times New Roman" w:hAnsi="Times New Roman"/>
          <w:sz w:val="19"/>
          <w:szCs w:val="19"/>
          <w:color w:val="auto"/>
        </w:rPr>
      </w:pPr>
    </w:p>
    <w:p>
      <w:pPr>
        <w:jc w:val="both"/>
        <w:ind w:firstLine="639"/>
        <w:spacing w:after="0" w:line="233"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 securing Capitalized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provided that (i) the aggregate principal amount of Indebtedness secured by such Liens is otherwise permitted to be incurred under this Indenture and (ii) any such Liens may not extend to any assets or property of the Issuer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Capitalized Lease Obligations or Non-Financing Lease Obligations;</w:t>
      </w:r>
    </w:p>
    <w:p>
      <w:pPr>
        <w:spacing w:after="0" w:line="164" w:lineRule="exact"/>
        <w:rPr>
          <w:rFonts w:ascii="Times New Roman" w:cs="Times New Roman" w:eastAsia="Times New Roman" w:hAnsi="Times New Roman"/>
          <w:sz w:val="19"/>
          <w:szCs w:val="19"/>
          <w:color w:val="auto"/>
        </w:rPr>
      </w:pPr>
    </w:p>
    <w:p>
      <w:pPr>
        <w:jc w:val="both"/>
        <w:ind w:firstLine="639"/>
        <w:spacing w:after="0" w:line="246"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mortgages, liens, security interests, restrictions, encumbrances or any other matters of record that have been placed by any government, statutory or regulatory authority, developer, landlord or other third party on property over which the Issuer or any Restricted Subsidiary has easement rights or on any leased property and subordination or similar arrangements relating thereto and (b) any condemnation or eminent domain proceedings affecting any real property;</w:t>
      </w:r>
    </w:p>
    <w:p>
      <w:pPr>
        <w:spacing w:after="0" w:line="170" w:lineRule="exact"/>
        <w:rPr>
          <w:rFonts w:ascii="Times New Roman" w:cs="Times New Roman" w:eastAsia="Times New Roman" w:hAnsi="Times New Roman"/>
          <w:sz w:val="19"/>
          <w:szCs w:val="19"/>
          <w:color w:val="auto"/>
        </w:rPr>
      </w:pPr>
    </w:p>
    <w:p>
      <w:pPr>
        <w:ind w:firstLine="639"/>
        <w:spacing w:after="0" w:line="280" w:lineRule="auto"/>
        <w:tabs>
          <w:tab w:leader="none" w:pos="103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property or assets under construction (and related rights) in favor of a contractor or developer or arising from progress or partial payments by a third party relating to such property or assets;</w:t>
      </w:r>
    </w:p>
    <w:p>
      <w:pPr>
        <w:spacing w:after="0" w:line="111"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Indebtedness and other Obligations of any Non-Guarantor Subsidiary covering only assets of such</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100"/>
          </w:cols>
          <w:pgMar w:left="1240" w:top="1440" w:right="559" w:bottom="1440" w:gutter="0" w:footer="0" w:header="0"/>
        </w:sectPr>
      </w:pPr>
    </w:p>
    <w:bookmarkStart w:id="101" w:name="page102"/>
    <w:bookmarkEnd w:id="101"/>
    <w:p>
      <w:pPr>
        <w:spacing w:after="0" w:line="186" w:lineRule="exact"/>
        <w:rPr>
          <w:sz w:val="20"/>
          <w:szCs w:val="20"/>
          <w:color w:val="auto"/>
        </w:rPr>
      </w:pPr>
    </w:p>
    <w:p>
      <w:pPr>
        <w:ind w:left="1680" w:hanging="381"/>
        <w:spacing w:after="0"/>
        <w:tabs>
          <w:tab w:leader="none" w:pos="168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deemed to exist in connection with Investments permitted under clause (4) of the definition of “Cash</w:t>
      </w:r>
    </w:p>
    <w:p>
      <w:pPr>
        <w:spacing w:after="0" w:line="17"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Equivalents”;</w:t>
      </w:r>
    </w:p>
    <w:p>
      <w:pPr>
        <w:spacing w:after="0" w:line="180"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assets or securities deemed to arise in connection with and solely as a result of the execution, delivery or performance of contracts to sell such assets or securities if such sale is otherwise permitted by this Indenture;</w:t>
      </w:r>
    </w:p>
    <w:p>
      <w:pPr>
        <w:spacing w:after="0" w:line="16" w:lineRule="exact"/>
        <w:rPr>
          <w:rFonts w:ascii="Times New Roman" w:cs="Times New Roman" w:eastAsia="Times New Roman" w:hAnsi="Times New Roman"/>
          <w:sz w:val="19"/>
          <w:szCs w:val="19"/>
          <w:color w:val="auto"/>
        </w:rPr>
      </w:pPr>
    </w:p>
    <w:p>
      <w:pPr>
        <w:ind w:left="660" w:right="20" w:firstLine="639"/>
        <w:spacing w:after="0" w:line="265"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then existing with respect to assets of an Unrestricted Subsidiary on the day such Unrestricted Subsidiary is redesignated as a Restricted Subsidiary as described under the definition of “Unrestricted Subsidiaries”;</w:t>
      </w:r>
    </w:p>
    <w:p>
      <w:pPr>
        <w:spacing w:after="0" w:line="138" w:lineRule="exact"/>
        <w:rPr>
          <w:rFonts w:ascii="Times New Roman" w:cs="Times New Roman" w:eastAsia="Times New Roman" w:hAnsi="Times New Roman"/>
          <w:sz w:val="19"/>
          <w:szCs w:val="19"/>
          <w:color w:val="auto"/>
        </w:rPr>
      </w:pPr>
    </w:p>
    <w:p>
      <w:pPr>
        <w:jc w:val="both"/>
        <w:ind w:left="660" w:firstLine="639"/>
        <w:spacing w:after="0" w:line="241"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restrictive covenants affecting the use to which real property may be put and Liens or covenants restricting or prohibiting access to or from lands abutting on controlled access highways or covenants affecting the use to which lands may be put; provided that such Liens or covenants do not interfere with the ordinary conduct of the business of the Issuer or any Restricted Subsidiary;</w:t>
      </w:r>
    </w:p>
    <w:p>
      <w:pPr>
        <w:spacing w:after="0" w:line="175"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property, assets or Permitted Investments used to defease or to satisfy or discharge Indebtedness; provided that such defeasance, satisfaction or discharge is not prohibited by this Indenture;</w:t>
      </w:r>
    </w:p>
    <w:p>
      <w:pPr>
        <w:spacing w:after="0" w:line="124" w:lineRule="exact"/>
        <w:rPr>
          <w:rFonts w:ascii="Times New Roman" w:cs="Times New Roman" w:eastAsia="Times New Roman" w:hAnsi="Times New Roman"/>
          <w:sz w:val="19"/>
          <w:szCs w:val="19"/>
          <w:color w:val="auto"/>
        </w:rPr>
      </w:pPr>
    </w:p>
    <w:p>
      <w:pPr>
        <w:jc w:val="both"/>
        <w:ind w:left="660" w:firstLine="639"/>
        <w:spacing w:after="0" w:line="235"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174"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the Notes (other than any Additional Notes) and the related Note Guarantees;</w:t>
      </w:r>
    </w:p>
    <w:p>
      <w:pPr>
        <w:spacing w:after="0" w:line="213"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in connection with any Permitted Intercompany Activities and Permitted Tax Restructurings;</w:t>
      </w:r>
    </w:p>
    <w:p>
      <w:pPr>
        <w:spacing w:after="0" w:line="200"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connection with Sale and Lease-Back Transactions;</w:t>
      </w:r>
    </w:p>
    <w:p>
      <w:pPr>
        <w:spacing w:after="0" w:line="213" w:lineRule="exact"/>
        <w:rPr>
          <w:rFonts w:ascii="Times New Roman" w:cs="Times New Roman" w:eastAsia="Times New Roman" w:hAnsi="Times New Roman"/>
          <w:sz w:val="19"/>
          <w:szCs w:val="19"/>
          <w:color w:val="auto"/>
        </w:rPr>
      </w:pPr>
    </w:p>
    <w:p>
      <w:pPr>
        <w:ind w:left="660" w:firstLine="639"/>
        <w:spacing w:after="0" w:line="280"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cash and Cash Equivalents used to satisfy or discharge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satisfaction or discharge is not prohibited under this Indenture;</w:t>
      </w:r>
    </w:p>
    <w:p>
      <w:pPr>
        <w:spacing w:after="0" w:line="138"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rights of consignors of goods, whether or not perfected by the filing of a financing statement or other registration, record or filing;</w:t>
      </w:r>
    </w:p>
    <w:p>
      <w:pPr>
        <w:spacing w:after="0" w:line="111" w:lineRule="exact"/>
        <w:rPr>
          <w:rFonts w:ascii="Times New Roman" w:cs="Times New Roman" w:eastAsia="Times New Roman" w:hAnsi="Times New Roman"/>
          <w:sz w:val="19"/>
          <w:szCs w:val="19"/>
          <w:color w:val="auto"/>
        </w:rPr>
      </w:pPr>
    </w:p>
    <w:p>
      <w:pPr>
        <w:ind w:left="660" w:firstLine="639"/>
        <w:spacing w:after="0" w:line="280"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dispositions of assets to be disposed of pursuant to merger agreements, stock or asset purchase agreements and similar agreements, in each case, solely to the extent such disposition would not be prohibited by this Indenture; and</w:t>
      </w:r>
    </w:p>
    <w:p>
      <w:pPr>
        <w:spacing w:after="0" w:line="138" w:lineRule="exact"/>
        <w:rPr>
          <w:rFonts w:ascii="Times New Roman" w:cs="Times New Roman" w:eastAsia="Times New Roman" w:hAnsi="Times New Roman"/>
          <w:sz w:val="19"/>
          <w:szCs w:val="19"/>
          <w:color w:val="auto"/>
        </w:rPr>
      </w:pPr>
    </w:p>
    <w:p>
      <w:pPr>
        <w:jc w:val="both"/>
        <w:ind w:left="660" w:right="20" w:firstLine="639"/>
        <w:spacing w:after="0" w:line="258" w:lineRule="auto"/>
        <w:tabs>
          <w:tab w:leader="none" w:pos="16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ABL Priority Collateral securing any Obligations under any ABL Facility permitted to be incurred in accordance with this Indenture, which Liens may be senior in priority to the Liens on the Collateral securing the Notes Obligations solely with respect to such ABL Priority Collateral.</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For purposes of this definition, the term “Indebtedness” shall be deemed to include interest on such Indebtedness.</w:t>
      </w:r>
    </w:p>
    <w:p>
      <w:pPr>
        <w:spacing w:after="0" w:line="173" w:lineRule="exact"/>
        <w:rPr>
          <w:sz w:val="20"/>
          <w:szCs w:val="20"/>
          <w:color w:val="auto"/>
        </w:rPr>
      </w:pPr>
    </w:p>
    <w:p>
      <w:pPr>
        <w:ind w:firstLine="649"/>
        <w:spacing w:after="0" w:line="265" w:lineRule="auto"/>
        <w:rPr>
          <w:sz w:val="20"/>
          <w:szCs w:val="20"/>
          <w:color w:val="auto"/>
        </w:rPr>
      </w:pPr>
      <w:r>
        <w:rPr>
          <w:rFonts w:ascii="Times New Roman" w:cs="Times New Roman" w:eastAsia="Times New Roman" w:hAnsi="Times New Roman"/>
          <w:sz w:val="19"/>
          <w:szCs w:val="19"/>
          <w:color w:val="auto"/>
        </w:rPr>
        <w:t>In the event that a Permitted Lien meets the criteria of more than one of the types of Permitted Liens (at the time of incurrence or at a later date), the Issuer in its sole discretion may divide, classify or from time to</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60"/>
          </w:cols>
          <w:pgMar w:left="580" w:top="1440" w:right="559" w:bottom="1440" w:gutter="0" w:footer="0" w:header="0"/>
        </w:sectPr>
      </w:pPr>
    </w:p>
    <w:bookmarkStart w:id="102" w:name="page103"/>
    <w:bookmarkEnd w:id="102"/>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time reclassify all or any portion of such Permitted Lien in any manner that complies with this Indenture and such Permitted Lien shall be treated as having been made pursuant only to the clause or clauses of the definition of Permitted Lien to which such Permitted Lien has been classified or reclassified.</w:t>
      </w:r>
    </w:p>
    <w:p>
      <w:pPr>
        <w:spacing w:after="0" w:line="152" w:lineRule="exact"/>
        <w:rPr>
          <w:sz w:val="20"/>
          <w:szCs w:val="20"/>
          <w:color w:val="auto"/>
        </w:rPr>
      </w:pPr>
    </w:p>
    <w:p>
      <w:pPr>
        <w:jc w:val="both"/>
        <w:ind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Plan</w:t>
      </w:r>
      <w:r>
        <w:rPr>
          <w:rFonts w:ascii="Times New Roman" w:cs="Times New Roman" w:eastAsia="Times New Roman" w:hAnsi="Times New Roman"/>
          <w:sz w:val="19"/>
          <w:szCs w:val="19"/>
          <w:color w:val="auto"/>
        </w:rPr>
        <w:t>” means any employee benefits plan of the Issuer or any of its Affiliates and any Person acting in its capacity as trustee, agent or other fiduciary or administrator of any such plan.</w:t>
      </w:r>
    </w:p>
    <w:p>
      <w:pPr>
        <w:spacing w:after="0" w:line="31" w:lineRule="exact"/>
        <w:rPr>
          <w:sz w:val="20"/>
          <w:szCs w:val="20"/>
          <w:color w:val="auto"/>
        </w:rPr>
      </w:pPr>
    </w:p>
    <w:p>
      <w:pPr>
        <w:jc w:val="both"/>
        <w:ind w:firstLine="6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Tax Restructuring</w:t>
      </w:r>
      <w:r>
        <w:rPr>
          <w:rFonts w:ascii="Times New Roman" w:cs="Times New Roman" w:eastAsia="Times New Roman" w:hAnsi="Times New Roman"/>
          <w:sz w:val="19"/>
          <w:szCs w:val="19"/>
          <w:color w:val="auto"/>
        </w:rPr>
        <w:t>” means any reorganizations and other activities related to Tax planning and Tax reorganization entered into prior to, on or after the Issue Date so long as such Permitted Tax Restructuring is not materially adverse to the Holders of the Notes (as reasonably determined by the Issuer).</w:t>
      </w:r>
    </w:p>
    <w:p>
      <w:pPr>
        <w:spacing w:after="0" w:line="146" w:lineRule="exact"/>
        <w:rPr>
          <w:sz w:val="20"/>
          <w:szCs w:val="20"/>
          <w:color w:val="auto"/>
        </w:rPr>
      </w:pPr>
    </w:p>
    <w:p>
      <w:pPr>
        <w:jc w:val="both"/>
        <w:ind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52"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means any Equity Interest with preferential rights of payment of dividends or upon liquidation, dissolution, or winding up.</w:t>
      </w:r>
    </w:p>
    <w:p>
      <w:pPr>
        <w:spacing w:after="0" w:line="138"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Private Placement Legend</w:t>
      </w:r>
      <w:r>
        <w:rPr>
          <w:rFonts w:ascii="Times New Roman" w:cs="Times New Roman" w:eastAsia="Times New Roman" w:hAnsi="Times New Roman"/>
          <w:sz w:val="19"/>
          <w:szCs w:val="19"/>
          <w:color w:val="auto"/>
        </w:rPr>
        <w:t>” means the legend set forth in Section 2.06(g)(i) hereof to be placed on all Notes issued under this Indenture, except where otherwise permitted by the provisions of this Indenture.</w:t>
      </w:r>
    </w:p>
    <w:p>
      <w:pPr>
        <w:spacing w:after="0" w:line="152"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Issuer Costs</w:t>
      </w:r>
      <w:r>
        <w:rPr>
          <w:rFonts w:ascii="Times New Roman" w:cs="Times New Roman" w:eastAsia="Times New Roman" w:hAnsi="Times New Roman"/>
          <w:sz w:val="19"/>
          <w:szCs w:val="19"/>
          <w:color w:val="auto"/>
        </w:rPr>
        <w:t>”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77" w:lineRule="exact"/>
        <w:rPr>
          <w:sz w:val="20"/>
          <w:szCs w:val="20"/>
          <w:color w:val="auto"/>
        </w:rPr>
      </w:pPr>
    </w:p>
    <w:p>
      <w:pPr>
        <w:jc w:val="both"/>
        <w:ind w:right="20"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Money Obligations</w:t>
      </w:r>
      <w:r>
        <w:rPr>
          <w:rFonts w:ascii="Times New Roman" w:cs="Times New Roman" w:eastAsia="Times New Roman" w:hAnsi="Times New Roman"/>
          <w:sz w:val="19"/>
          <w:szCs w:val="19"/>
          <w:color w:val="auto"/>
        </w:rPr>
        <w:t>” means any Indebtedness incurred to finance or refinance the acquisition, leasing, expansion, construction, installation, replacement, repair or improvement of property (real or personal), equipment or assets (including Equity Interests), and whether acquired through the direct acquisition of such property or assets, or the acquisition of the Equity Interests of any Person owning such property or assets, or otherwise.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QIB</w:t>
      </w:r>
      <w:r>
        <w:rPr>
          <w:rFonts w:ascii="Times New Roman" w:cs="Times New Roman" w:eastAsia="Times New Roman" w:hAnsi="Times New Roman"/>
          <w:sz w:val="19"/>
          <w:szCs w:val="19"/>
          <w:color w:val="auto"/>
        </w:rPr>
        <w:t>” means a “qualified institutional buyer” as defined in Rule 144A.</w:t>
      </w:r>
    </w:p>
    <w:p>
      <w:pPr>
        <w:spacing w:after="0" w:line="187"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Proceeds</w:t>
      </w:r>
      <w:r>
        <w:rPr>
          <w:rFonts w:ascii="Times New Roman" w:cs="Times New Roman" w:eastAsia="Times New Roman" w:hAnsi="Times New Roman"/>
          <w:sz w:val="19"/>
          <w:szCs w:val="19"/>
          <w:color w:val="auto"/>
        </w:rPr>
        <w:t xml:space="preserve">” means assets that are used or useful in, or Capital Stock of any Person engaged in, a Similar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fair market value of any such assets or Capital Stock shall be determined by the Issuer in good faith.</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Securitization Facility</w:t>
      </w:r>
      <w:r>
        <w:rPr>
          <w:rFonts w:ascii="Times New Roman" w:cs="Times New Roman" w:eastAsia="Times New Roman" w:hAnsi="Times New Roman"/>
          <w:sz w:val="19"/>
          <w:szCs w:val="19"/>
          <w:color w:val="auto"/>
        </w:rPr>
        <w:t>” means any Securitization Facility that meets the following conditions:</w:t>
      </w:r>
    </w:p>
    <w:p>
      <w:pPr>
        <w:spacing w:after="0" w:line="18" w:lineRule="exact"/>
        <w:rPr>
          <w:sz w:val="20"/>
          <w:szCs w:val="20"/>
          <w:color w:val="auto"/>
        </w:rPr>
      </w:pPr>
    </w:p>
    <w:p>
      <w:pPr>
        <w:jc w:val="both"/>
        <w:ind w:firstLine="1"/>
        <w:spacing w:after="0" w:line="235" w:lineRule="auto"/>
        <w:tabs>
          <w:tab w:leader="none" w:pos="385"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Issuer shall have determined in good faith that such Securitization Facility (including financing terms, covenants, termination events and other provisions) is in the aggregate economically fair and reasonable to the Issuer and the applicable Securitization Subsidiary and (b) the financing terms, covenants, termination events and other provisions thereof shall be market terms (as determined in good faith by the Issuer).</w:t>
      </w:r>
    </w:p>
    <w:p>
      <w:pPr>
        <w:spacing w:after="0" w:line="150"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Rating Agencies</w:t>
      </w:r>
      <w:r>
        <w:rPr>
          <w:rFonts w:ascii="Times New Roman" w:cs="Times New Roman" w:eastAsia="Times New Roman" w:hAnsi="Times New Roman"/>
          <w:sz w:val="19"/>
          <w:szCs w:val="19"/>
          <w:color w:val="auto"/>
        </w:rPr>
        <w:t>” means Moody’s, S&amp;P and Fitch or if Moody’s, S&amp;P or Fitch (or any combination thereof) shall not make a rating on the Notes publicly available, a nationally recognized statistical rating agency or agencies, as the case may be, selected by the Issuer which shall be substituted for Moody’s, S&amp;P or Fitch (or such combination thereof), as the case may be.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Ratings Decline Period</w:t>
      </w:r>
      <w:r>
        <w:rPr>
          <w:rFonts w:ascii="Times New Roman" w:cs="Times New Roman" w:eastAsia="Times New Roman" w:hAnsi="Times New Roman"/>
          <w:sz w:val="19"/>
          <w:szCs w:val="19"/>
          <w:color w:val="auto"/>
        </w:rPr>
        <w:t>” means the period that (i) begins on the earlier of (a) a Change of Control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60"/>
          </w:cols>
          <w:pgMar w:left="580" w:top="1440" w:right="559" w:bottom="1440" w:gutter="0" w:footer="0" w:header="0"/>
        </w:sectPr>
      </w:pPr>
    </w:p>
    <w:bookmarkStart w:id="103" w:name="page104"/>
    <w:bookmarkEnd w:id="103"/>
    <w:p>
      <w:pPr>
        <w:jc w:val="both"/>
        <w:ind w:right="20" w:firstLine="1"/>
        <w:spacing w:after="0" w:line="244" w:lineRule="auto"/>
        <w:tabs>
          <w:tab w:leader="none" w:pos="38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first public notice of the intention by the Issuer to affect a Change of Control and (ii) extends 30 days following the consummation of such Change of Control;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such period will be extended so long as the rating of the Notes is under publicly announced consideration for a possible downgrade by any of the Rating Agencies.</w:t>
      </w:r>
    </w:p>
    <w:p>
      <w:pPr>
        <w:spacing w:after="0" w:line="234" w:lineRule="exact"/>
        <w:rPr>
          <w:sz w:val="20"/>
          <w:szCs w:val="20"/>
          <w:color w:val="auto"/>
        </w:rPr>
      </w:pPr>
    </w:p>
    <w:p>
      <w:pPr>
        <w:jc w:val="both"/>
        <w:ind w:right="20" w:firstLine="649"/>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Ratings Event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means (x) a downgrade by one or more gradations (including gradations within ratings categories as well as between categories) or withdrawal of the rating of the Notes within the Ratings Decline Period by two or more Rating Agencies if each such Rating Agency shall have put forth a statement to the effect that such downgrade is attributable to the applicable Change of Control and (y) the Notes do not have a rating of Investment Grade from any such Rating Agency;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Ratings Event otherwise arising by virtue of a particular reduction in rating shall not be deemed a Ratings Event for purposes of the definition of “Change of Control Repurchase Event” if the applicable Rating Agencies making the reduction in rating to which this definition would otherwise apply do not announce or publicly confirm that the reduction was the result, in whole or in part, of any event or circumstance comprised of or arising as a result of, or in respect of, the applicable Change of Control (whether or not the applicable Change of Control shall have occurred at the time of the Ratings Event ).</w:t>
      </w:r>
    </w:p>
    <w:p>
      <w:pPr>
        <w:spacing w:after="0" w:line="155"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Assets</w:t>
      </w:r>
      <w:r>
        <w:rPr>
          <w:rFonts w:ascii="Times New Roman" w:cs="Times New Roman" w:eastAsia="Times New Roman" w:hAnsi="Times New Roman"/>
          <w:sz w:val="19"/>
          <w:szCs w:val="19"/>
          <w:color w:val="auto"/>
        </w:rPr>
        <w:t>” means accounts receivable, royalty and other similar rights to payment and any other assets related thereto subject to a Receivables Facility that are customarily sold or pledged in connection with receivables transactions and the proceeds thereof.</w:t>
      </w:r>
    </w:p>
    <w:p>
      <w:pPr>
        <w:spacing w:after="0" w:line="138"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Facility</w:t>
      </w:r>
      <w:r>
        <w:rPr>
          <w:rFonts w:ascii="Times New Roman" w:cs="Times New Roman" w:eastAsia="Times New Roman" w:hAnsi="Times New Roman"/>
          <w:sz w:val="19"/>
          <w:szCs w:val="19"/>
          <w:color w:val="auto"/>
        </w:rPr>
        <w:t>” means any of one or more receivables securitization financing facilities as amended, supplemented, modified, extended, renewed, restated or refunded from time to time, the Obligations of which are non- recourse (except for customary representations, warranties, covenants and indemnities made in connection with such facilities) to the Issuer or any of its Restricted Subsidiaries (other than a Receivables Subsidiary) pursuant to which the Issuer or any of its Restricted Subsidiaries sells or grants a security interest in its accounts receivable or assets related thereto that are customarily sold or pledged in connection with securitization transactions to either (a) a Person that is not a Restricted Subsidiary or (b) a Receivables Subsidiary that in turn sells its accounts receivable to a Person that is not a Restricted Subsidiary.</w:t>
      </w:r>
    </w:p>
    <w:p>
      <w:pPr>
        <w:spacing w:after="0" w:line="150" w:lineRule="exact"/>
        <w:rPr>
          <w:sz w:val="20"/>
          <w:szCs w:val="20"/>
          <w:color w:val="auto"/>
        </w:rPr>
      </w:pPr>
    </w:p>
    <w:p>
      <w:pPr>
        <w:jc w:val="both"/>
        <w:ind w:right="40" w:firstLine="6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Fees</w:t>
      </w:r>
      <w:r>
        <w:rPr>
          <w:rFonts w:ascii="Times New Roman" w:cs="Times New Roman" w:eastAsia="Times New Roman" w:hAnsi="Times New Roman"/>
          <w:sz w:val="19"/>
          <w:szCs w:val="19"/>
          <w:color w:val="auto"/>
        </w:rPr>
        <w:t>” means distributions or payments made directly or by means of discounts with respect to any accounts receivable or participation interest therein issued or sold in connection with, and other fees paid to a Person that is not a Restricted Subsidiary in connection with, any Receivables Facility.</w:t>
      </w:r>
    </w:p>
    <w:p>
      <w:pPr>
        <w:spacing w:after="0" w:line="151" w:lineRule="exact"/>
        <w:rPr>
          <w:sz w:val="20"/>
          <w:szCs w:val="20"/>
          <w:color w:val="auto"/>
        </w:rPr>
      </w:pPr>
    </w:p>
    <w:p>
      <w:pPr>
        <w:jc w:val="both"/>
        <w:ind w:right="4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Subsidiary</w:t>
      </w:r>
      <w:r>
        <w:rPr>
          <w:rFonts w:ascii="Times New Roman" w:cs="Times New Roman" w:eastAsia="Times New Roman" w:hAnsi="Times New Roman"/>
          <w:sz w:val="19"/>
          <w:szCs w:val="19"/>
          <w:color w:val="auto"/>
        </w:rPr>
        <w:t>” means any Subsidiary formed for the purpose of, and that solely engages only in one or more Receivables Facilities and other activities reasonably related or incidental thereto.</w:t>
      </w:r>
    </w:p>
    <w:p>
      <w:pPr>
        <w:spacing w:after="0" w:line="111" w:lineRule="exact"/>
        <w:rPr>
          <w:sz w:val="20"/>
          <w:szCs w:val="20"/>
          <w:color w:val="auto"/>
        </w:rPr>
      </w:pPr>
    </w:p>
    <w:p>
      <w:pPr>
        <w:jc w:val="both"/>
        <w:ind w:right="4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Record Date</w:t>
      </w:r>
      <w:r>
        <w:rPr>
          <w:rFonts w:ascii="Times New Roman" w:cs="Times New Roman" w:eastAsia="Times New Roman" w:hAnsi="Times New Roman"/>
          <w:sz w:val="19"/>
          <w:szCs w:val="19"/>
          <w:color w:val="auto"/>
        </w:rPr>
        <w:t>” for the interest payable on any applicable Interest Payment Date means May 15 or November 15 (whether or not a Business Da y) next preceding such Interest Payment Date.</w:t>
      </w:r>
    </w:p>
    <w:p>
      <w:pPr>
        <w:spacing w:after="0" w:line="152" w:lineRule="exact"/>
        <w:rPr>
          <w:sz w:val="20"/>
          <w:szCs w:val="20"/>
          <w:color w:val="auto"/>
        </w:rPr>
      </w:pPr>
    </w:p>
    <w:p>
      <w:pPr>
        <w:jc w:val="both"/>
        <w:ind w:right="40"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Recruitment Notes</w:t>
      </w:r>
      <w:r>
        <w:rPr>
          <w:rFonts w:ascii="Times New Roman" w:cs="Times New Roman" w:eastAsia="Times New Roman" w:hAnsi="Times New Roman"/>
          <w:sz w:val="19"/>
          <w:szCs w:val="19"/>
          <w:color w:val="auto"/>
        </w:rPr>
        <w:t>” means forgivable promissory notes issued from time to time by a Restricted Subsidiary to certain employees or financial advisors in the ordinary course of business.</w:t>
      </w:r>
    </w:p>
    <w:p>
      <w:pPr>
        <w:spacing w:after="0" w:line="166" w:lineRule="exact"/>
        <w:rPr>
          <w:sz w:val="20"/>
          <w:szCs w:val="20"/>
          <w:color w:val="auto"/>
        </w:rPr>
      </w:pPr>
    </w:p>
    <w:p>
      <w:pPr>
        <w:ind w:right="6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Redemption Date</w:t>
      </w:r>
      <w:r>
        <w:rPr>
          <w:rFonts w:ascii="Times New Roman" w:cs="Times New Roman" w:eastAsia="Times New Roman" w:hAnsi="Times New Roman"/>
          <w:sz w:val="19"/>
          <w:szCs w:val="19"/>
          <w:color w:val="auto"/>
        </w:rPr>
        <w:t>” when used with respect to any Note to be redeemed, means the date fixed for such redemption by or pursuant to this Indenture.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S</w:t>
      </w:r>
      <w:r>
        <w:rPr>
          <w:rFonts w:ascii="Times New Roman" w:cs="Times New Roman" w:eastAsia="Times New Roman" w:hAnsi="Times New Roman"/>
          <w:sz w:val="19"/>
          <w:szCs w:val="19"/>
          <w:color w:val="auto"/>
        </w:rPr>
        <w:t>” means Regulation S promulgated under the Securities Act.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S Global Note</w:t>
      </w:r>
      <w:r>
        <w:rPr>
          <w:rFonts w:ascii="Times New Roman" w:cs="Times New Roman" w:eastAsia="Times New Roman" w:hAnsi="Times New Roman"/>
          <w:sz w:val="19"/>
          <w:szCs w:val="19"/>
          <w:color w:val="auto"/>
        </w:rPr>
        <w:t>” has the meaning assigned to it in Section 2.01(c).</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Taxes</w:t>
      </w:r>
      <w:r>
        <w:rPr>
          <w:rFonts w:ascii="Times New Roman" w:cs="Times New Roman" w:eastAsia="Times New Roman" w:hAnsi="Times New Roman"/>
          <w:sz w:val="19"/>
          <w:szCs w:val="19"/>
          <w:color w:val="auto"/>
        </w:rPr>
        <w:t>” means:</w:t>
      </w:r>
    </w:p>
    <w:p>
      <w:pPr>
        <w:spacing w:after="0" w:line="196" w:lineRule="exact"/>
        <w:rPr>
          <w:sz w:val="20"/>
          <w:szCs w:val="20"/>
          <w:color w:val="auto"/>
        </w:rPr>
      </w:pPr>
    </w:p>
    <w:p>
      <w:pPr>
        <w:jc w:val="both"/>
        <w:ind w:left="660" w:right="20" w:firstLine="639"/>
        <w:spacing w:after="0" w:line="253" w:lineRule="auto"/>
        <w:tabs>
          <w:tab w:leader="none" w:pos="1691"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Taxes, including sales, use, transfer, rental, </w:t>
      </w:r>
      <w:r>
        <w:rPr>
          <w:rFonts w:ascii="Times New Roman" w:cs="Times New Roman" w:eastAsia="Times New Roman" w:hAnsi="Times New Roman"/>
          <w:sz w:val="19"/>
          <w:szCs w:val="19"/>
          <w:i w:val="1"/>
          <w:iCs w:val="1"/>
          <w:color w:val="auto"/>
        </w:rPr>
        <w:t>ad valorem</w:t>
      </w:r>
      <w:r>
        <w:rPr>
          <w:rFonts w:ascii="Times New Roman" w:cs="Times New Roman" w:eastAsia="Times New Roman" w:hAnsi="Times New Roman"/>
          <w:sz w:val="19"/>
          <w:szCs w:val="19"/>
          <w:color w:val="auto"/>
        </w:rPr>
        <w:t>, value added, stamp, property, consumption, franchise, license, capital, registration, business, customs, net worth, gross receipts, excise, occupancy, intangibles or similar Taxes and other fees and expenses (other than (x)</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80"/>
          </w:cols>
          <w:pgMar w:left="580" w:top="1423" w:right="539" w:bottom="1440" w:gutter="0" w:footer="0" w:header="0"/>
        </w:sectPr>
      </w:pPr>
    </w:p>
    <w:bookmarkStart w:id="104" w:name="page105"/>
    <w:bookmarkEnd w:id="104"/>
    <w:p>
      <w:pPr>
        <w:spacing w:after="0" w:line="172" w:lineRule="exact"/>
        <w:rPr>
          <w:sz w:val="20"/>
          <w:szCs w:val="20"/>
          <w:color w:val="auto"/>
        </w:rPr>
      </w:pPr>
    </w:p>
    <w:p>
      <w:pPr>
        <w:ind w:left="660" w:right="80"/>
        <w:spacing w:after="0" w:line="265" w:lineRule="auto"/>
        <w:rPr>
          <w:sz w:val="20"/>
          <w:szCs w:val="20"/>
          <w:color w:val="auto"/>
        </w:rPr>
      </w:pPr>
      <w:r>
        <w:rPr>
          <w:rFonts w:ascii="Times New Roman" w:cs="Times New Roman" w:eastAsia="Times New Roman" w:hAnsi="Times New Roman"/>
          <w:sz w:val="19"/>
          <w:szCs w:val="19"/>
          <w:color w:val="auto"/>
        </w:rPr>
        <w:t>Taxes measured by income and (y) withholding Taxes), required to be 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Taxes are in fact paid) by any Parent Entity by virtue of its:</w:t>
      </w:r>
    </w:p>
    <w:p>
      <w:pPr>
        <w:spacing w:after="0" w:line="139" w:lineRule="exact"/>
        <w:rPr>
          <w:sz w:val="20"/>
          <w:szCs w:val="20"/>
          <w:color w:val="auto"/>
        </w:rPr>
      </w:pPr>
    </w:p>
    <w:p>
      <w:pPr>
        <w:jc w:val="both"/>
        <w:ind w:left="1300" w:right="80" w:firstLine="647"/>
        <w:spacing w:after="0" w:line="244" w:lineRule="auto"/>
        <w:tabs>
          <w:tab w:leader="none" w:pos="2333"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being organized or having Capital Stock outstanding (but not by virtue of owning stock or other equity interests of any corporation or other entity other than, directly or indirectly, the Issuer or any of the Issuer’s Subsidiaries) or otherwise maintain its existence or good standing under applicable law,</w:t>
      </w:r>
    </w:p>
    <w:p>
      <w:pPr>
        <w:spacing w:after="0" w:line="170" w:lineRule="exact"/>
        <w:rPr>
          <w:rFonts w:ascii="Times New Roman" w:cs="Times New Roman" w:eastAsia="Times New Roman" w:hAnsi="Times New Roman"/>
          <w:sz w:val="19"/>
          <w:szCs w:val="19"/>
          <w:color w:val="auto"/>
        </w:rPr>
      </w:pPr>
    </w:p>
    <w:p>
      <w:pPr>
        <w:ind w:left="2320" w:hanging="373"/>
        <w:spacing w:after="0"/>
        <w:tabs>
          <w:tab w:leader="none" w:pos="2320"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being a holding company parent, directly or indirectly, of the Issuer or any Subsidiaries of the Issuer,</w:t>
      </w:r>
    </w:p>
    <w:p>
      <w:pPr>
        <w:spacing w:after="0" w:line="78" w:lineRule="exact"/>
        <w:rPr>
          <w:rFonts w:ascii="Times New Roman" w:cs="Times New Roman" w:eastAsia="Times New Roman" w:hAnsi="Times New Roman"/>
          <w:sz w:val="19"/>
          <w:szCs w:val="19"/>
          <w:color w:val="auto"/>
        </w:rPr>
      </w:pPr>
    </w:p>
    <w:p>
      <w:pPr>
        <w:ind w:left="1300" w:right="100" w:firstLine="647"/>
        <w:spacing w:after="0" w:line="280" w:lineRule="auto"/>
        <w:tabs>
          <w:tab w:leader="none" w:pos="2333"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receiving dividends from or other distributions in respect of the Capital Stock of, directly or indirectly, the Issuer or any Subsidiaries of the Issuer, or</w:t>
      </w:r>
    </w:p>
    <w:p>
      <w:pPr>
        <w:spacing w:after="0" w:line="138" w:lineRule="exact"/>
        <w:rPr>
          <w:rFonts w:ascii="Times New Roman" w:cs="Times New Roman" w:eastAsia="Times New Roman" w:hAnsi="Times New Roman"/>
          <w:sz w:val="19"/>
          <w:szCs w:val="19"/>
          <w:color w:val="auto"/>
        </w:rPr>
      </w:pPr>
    </w:p>
    <w:p>
      <w:pPr>
        <w:ind w:left="1300" w:right="100" w:firstLine="647"/>
        <w:spacing w:after="0" w:line="280" w:lineRule="auto"/>
        <w:tabs>
          <w:tab w:leader="none" w:pos="2330"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having made any payment in respect to any of the items for which the Issuer is permitted to make payments to any Parent Entity pursuant to Section 4.07 hereof; and</w:t>
      </w:r>
    </w:p>
    <w:p>
      <w:pPr>
        <w:spacing w:after="0" w:line="151"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Tax Distributions.</w:t>
      </w:r>
    </w:p>
    <w:p>
      <w:pPr>
        <w:spacing w:after="0" w:line="214" w:lineRule="exact"/>
        <w:rPr>
          <w:sz w:val="20"/>
          <w:szCs w:val="20"/>
          <w:color w:val="auto"/>
        </w:rPr>
      </w:pPr>
    </w:p>
    <w:p>
      <w:pPr>
        <w:ind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Requirements of Law</w:t>
      </w:r>
      <w:r>
        <w:rPr>
          <w:rFonts w:ascii="Times New Roman" w:cs="Times New Roman" w:eastAsia="Times New Roman" w:hAnsi="Times New Roman"/>
          <w:sz w:val="19"/>
          <w:szCs w:val="19"/>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57" w:lineRule="exact"/>
        <w:rPr>
          <w:sz w:val="20"/>
          <w:szCs w:val="20"/>
          <w:color w:val="auto"/>
        </w:rPr>
      </w:pPr>
    </w:p>
    <w:p>
      <w:pPr>
        <w:jc w:val="both"/>
        <w:ind w:right="80"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means any officer within the corporate trust department of the Trustee, who shall have direct responsibility for the administration of this Indenture, and any other officer of the Trustee to whom any corporate trust matter relating to this Indenture is referred because of such officer’s knowledge of and familiarity with the particular subject and means, when used with respect to the Notes Collateral Agent, any officer within the corporate trust department of the Notes Collateral Agent, who shall have direct responsibility for the administration of this Indenture, and any other officer of the Notes Collateral Agent to whom any corporate trust matter relating to this Indenture is referred because of such officer’s knowledge of and familiarity with the particular subject.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Definitive Note</w:t>
      </w:r>
      <w:r>
        <w:rPr>
          <w:rFonts w:ascii="Times New Roman" w:cs="Times New Roman" w:eastAsia="Times New Roman" w:hAnsi="Times New Roman"/>
          <w:sz w:val="19"/>
          <w:szCs w:val="19"/>
          <w:color w:val="auto"/>
        </w:rPr>
        <w:t>” means a Definitive Note bearing the Private Placement Legend.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Global Note</w:t>
      </w:r>
      <w:r>
        <w:rPr>
          <w:rFonts w:ascii="Times New Roman" w:cs="Times New Roman" w:eastAsia="Times New Roman" w:hAnsi="Times New Roman"/>
          <w:sz w:val="19"/>
          <w:szCs w:val="19"/>
          <w:color w:val="auto"/>
        </w:rPr>
        <w:t>” means a Global Note bearing the Private Placement Legend.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Investment</w:t>
      </w:r>
      <w:r>
        <w:rPr>
          <w:rFonts w:ascii="Times New Roman" w:cs="Times New Roman" w:eastAsia="Times New Roman" w:hAnsi="Times New Roman"/>
          <w:sz w:val="19"/>
          <w:szCs w:val="19"/>
          <w:color w:val="auto"/>
        </w:rPr>
        <w:t>” means an Investment other than a Permitted Investment.</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Period</w:t>
      </w:r>
      <w:r>
        <w:rPr>
          <w:rFonts w:ascii="Times New Roman" w:cs="Times New Roman" w:eastAsia="Times New Roman" w:hAnsi="Times New Roman"/>
          <w:sz w:val="19"/>
          <w:szCs w:val="19"/>
          <w:color w:val="auto"/>
        </w:rPr>
        <w:t>” means the 40-day distribution compliance period as defined in Regulation S.</w:t>
      </w:r>
    </w:p>
    <w:p>
      <w:pPr>
        <w:spacing w:after="0" w:line="187" w:lineRule="exact"/>
        <w:rPr>
          <w:sz w:val="20"/>
          <w:szCs w:val="20"/>
          <w:color w:val="auto"/>
        </w:rPr>
      </w:pPr>
    </w:p>
    <w:p>
      <w:pPr>
        <w:jc w:val="both"/>
        <w:ind w:right="80"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Subsidiary</w:t>
      </w:r>
      <w:r>
        <w:rPr>
          <w:rFonts w:ascii="Times New Roman" w:cs="Times New Roman" w:eastAsia="Times New Roman" w:hAnsi="Times New Roman"/>
          <w:sz w:val="19"/>
          <w:szCs w:val="19"/>
          <w:color w:val="auto"/>
        </w:rPr>
        <w:t xml:space="preserve">” means, at any time, any direct or indirect Subsidiary of the Issuer (including any Foreign Subsidiary) that is not then an Unrestricted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upon the occurrence of an Unrestricted Subsidiary ceasing to be an Unrestricted Subsidiary, such Subsidiary shall be included in the definition of “Restricted Subsidiary.” Unless otherwise specified or the context otherwise requires, a reference to a “Restricted Subsidiary” shall be a reference to a Restricted Subsidiary of the Issuer.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Rule 144</w:t>
      </w:r>
      <w:r>
        <w:rPr>
          <w:rFonts w:ascii="Times New Roman" w:cs="Times New Roman" w:eastAsia="Times New Roman" w:hAnsi="Times New Roman"/>
          <w:sz w:val="19"/>
          <w:szCs w:val="19"/>
          <w:color w:val="auto"/>
        </w:rPr>
        <w:t>” means Rule 144 promulgated under the Securities Act.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Rule 144A</w:t>
      </w:r>
      <w:r>
        <w:rPr>
          <w:rFonts w:ascii="Times New Roman" w:cs="Times New Roman" w:eastAsia="Times New Roman" w:hAnsi="Times New Roman"/>
          <w:sz w:val="19"/>
          <w:szCs w:val="19"/>
          <w:color w:val="auto"/>
        </w:rPr>
        <w:t>” means Rule 144A promulgated under the Securities Act.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Rule 903</w:t>
      </w:r>
      <w:r>
        <w:rPr>
          <w:rFonts w:ascii="Times New Roman" w:cs="Times New Roman" w:eastAsia="Times New Roman" w:hAnsi="Times New Roman"/>
          <w:sz w:val="19"/>
          <w:szCs w:val="19"/>
          <w:color w:val="auto"/>
        </w:rPr>
        <w:t>” means Rule 903 promulgated under the Securities Act.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Rule 904</w:t>
      </w:r>
      <w:r>
        <w:rPr>
          <w:rFonts w:ascii="Times New Roman" w:cs="Times New Roman" w:eastAsia="Times New Roman" w:hAnsi="Times New Roman"/>
          <w:sz w:val="19"/>
          <w:szCs w:val="19"/>
          <w:color w:val="auto"/>
        </w:rPr>
        <w:t>” means Rule 904 promulgated under the Securities Act.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S&amp;P Global Ratings, and any successor or assign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40"/>
          </w:cols>
          <w:pgMar w:left="580" w:top="1440" w:right="479" w:bottom="1440" w:gutter="0" w:footer="0" w:header="0"/>
        </w:sectPr>
      </w:pPr>
    </w:p>
    <w:bookmarkStart w:id="105" w:name="page106"/>
    <w:bookmarkEnd w:id="105"/>
    <w:p>
      <w:pPr>
        <w:spacing w:after="0" w:line="172" w:lineRule="exact"/>
        <w:rPr>
          <w:sz w:val="20"/>
          <w:szCs w:val="20"/>
          <w:color w:val="auto"/>
        </w:rPr>
      </w:pPr>
    </w:p>
    <w:p>
      <w:pPr>
        <w:jc w:val="both"/>
        <w:ind w:firstLine="6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Sale and Lease-Back Transaction</w:t>
      </w:r>
      <w:r>
        <w:rPr>
          <w:rFonts w:ascii="Times New Roman" w:cs="Times New Roman" w:eastAsia="Times New Roman" w:hAnsi="Times New Roman"/>
          <w:sz w:val="19"/>
          <w:szCs w:val="19"/>
          <w:color w:val="auto"/>
        </w:rPr>
        <w:t>” means any arrangement providing for the leasing by the Issuer or any of its Restricted Subsidiaries of any real or tangible personal property, which property has been or is to be sold or transferred by the Issuer or such Restricted Subsidiary to a third Person in contemplation of such leasing.</w:t>
      </w:r>
    </w:p>
    <w:p>
      <w:pPr>
        <w:spacing w:after="0" w:line="159"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Screened Affiliate</w:t>
      </w:r>
      <w:r>
        <w:rPr>
          <w:rFonts w:ascii="Times New Roman" w:cs="Times New Roman" w:eastAsia="Times New Roman" w:hAnsi="Times New Roman"/>
          <w:sz w:val="19"/>
          <w:szCs w:val="19"/>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U.S. Securities and Exchange Commission.</w:t>
      </w:r>
    </w:p>
    <w:p>
      <w:pPr>
        <w:spacing w:after="0" w:line="200"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Second Lien Intercreditor Agreement</w:t>
      </w:r>
      <w:r>
        <w:rPr>
          <w:rFonts w:ascii="Times New Roman" w:cs="Times New Roman" w:eastAsia="Times New Roman" w:hAnsi="Times New Roman"/>
          <w:sz w:val="19"/>
          <w:szCs w:val="19"/>
          <w:color w:val="auto"/>
        </w:rPr>
        <w:t xml:space="preserve">” means an intercreditor agreement (as amended or supplemented from time to time), among the Notes Collateral Agent, the Credit Agreement Collateral Agent and one or more representatives for holders of other Indebtedness secured by the Collateral on a Junior Lien Priority basis that is subject to such intercreditor agreement, which intercreditor agreement is (a) substantially in the form of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xml:space="preserve"> hereto or (b) in customary form (as determined by the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case of this clause (b), the terms of such intercreditor agreement, taken as a whole, are no less favorable (as determined by the Issuer) to the Noteholder Secured Parties than the terms in the form attached hereto as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xml:space="preserve"> entered into pursuant to Section 13.09(m).</w:t>
      </w:r>
    </w:p>
    <w:p>
      <w:pPr>
        <w:spacing w:after="0" w:line="157" w:lineRule="exact"/>
        <w:rPr>
          <w:sz w:val="20"/>
          <w:szCs w:val="20"/>
          <w:color w:val="auto"/>
        </w:rPr>
      </w:pPr>
    </w:p>
    <w:p>
      <w:pPr>
        <w:jc w:val="both"/>
        <w:ind w:firstLine="64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Hedge Agreement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means any agreement with respect to Hedging Obligations that (a) is entered into by the Issuer and any Person that, at the time such Person entered into such Secured Hedge Agreement, was (i) is an agent or lender under the Credit Agreement or any of their respective affiliates, (ii) is a lender under the Credit Agreement or an affiliate thereof on the Issue Date, (iii) was an agent or lender under the Credit Agreement or an affiliate of an agent or a lender at the time such obligations were incurred or (iv) designated by the Issuer by written notice to the agent and (b) is secured by the Collateral pursuant to the loan documentation relating to the Credit Agreement.</w:t>
      </w:r>
    </w:p>
    <w:p>
      <w:pPr>
        <w:spacing w:after="0" w:line="176"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Indebtedness</w:t>
      </w:r>
      <w:r>
        <w:rPr>
          <w:rFonts w:ascii="Times New Roman" w:cs="Times New Roman" w:eastAsia="Times New Roman" w:hAnsi="Times New Roman"/>
          <w:sz w:val="19"/>
          <w:szCs w:val="19"/>
          <w:color w:val="auto"/>
        </w:rPr>
        <w:t>” means any Indebtedness of the Issuer or any of its Restricted Subsidiaries secured by a Lien other than Indebtedness with respect to Cash Management Obligations.</w:t>
      </w:r>
    </w:p>
    <w:p>
      <w:pPr>
        <w:spacing w:after="0" w:line="111"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Securities Act of 1933, as amended, and the rules and regulations of the SEC promulgated thereunder, as amended.</w:t>
      </w:r>
    </w:p>
    <w:p>
      <w:pPr>
        <w:spacing w:after="0" w:line="152" w:lineRule="exact"/>
        <w:rPr>
          <w:sz w:val="20"/>
          <w:szCs w:val="20"/>
          <w:color w:val="auto"/>
        </w:rPr>
      </w:pPr>
    </w:p>
    <w:p>
      <w:pPr>
        <w:jc w:val="both"/>
        <w:ind w:right="2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Securitization Assets</w:t>
      </w:r>
      <w:r>
        <w:rPr>
          <w:rFonts w:ascii="Times New Roman" w:cs="Times New Roman" w:eastAsia="Times New Roman" w:hAnsi="Times New Roman"/>
          <w:sz w:val="19"/>
          <w:szCs w:val="19"/>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171"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Securitization Subsidiary</w:t>
      </w:r>
      <w:r>
        <w:rPr>
          <w:rFonts w:ascii="Times New Roman" w:cs="Times New Roman" w:eastAsia="Times New Roman" w:hAnsi="Times New Roman"/>
          <w:sz w:val="19"/>
          <w:szCs w:val="19"/>
          <w:color w:val="auto"/>
        </w:rPr>
        <w:t>” means any Subsidiary formed for the purpose of, and that solely engages only in one or more Qualified Securitization Facilities and other activities reasonably related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Indebtedness</w:t>
      </w:r>
      <w:r>
        <w:rPr>
          <w:rFonts w:ascii="Times New Roman" w:cs="Times New Roman" w:eastAsia="Times New Roman" w:hAnsi="Times New Roman"/>
          <w:sz w:val="19"/>
          <w:szCs w:val="19"/>
          <w:color w:val="auto"/>
        </w:rPr>
        <w:t>” means:</w:t>
      </w:r>
    </w:p>
    <w:p>
      <w:pPr>
        <w:spacing w:after="0" w:line="200" w:lineRule="exact"/>
        <w:rPr>
          <w:sz w:val="20"/>
          <w:szCs w:val="20"/>
          <w:color w:val="auto"/>
        </w:rPr>
      </w:pPr>
    </w:p>
    <w:p>
      <w:pPr>
        <w:jc w:val="both"/>
        <w:ind w:left="1300" w:hanging="650"/>
        <w:spacing w:after="0" w:line="235" w:lineRule="auto"/>
        <w:tabs>
          <w:tab w:leader="none" w:pos="129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Indebtedness of the Issuer, Holdings or any Guarantor outstanding under any of the Credit Agreement, the Notes and the related Guarantees (including interest accruing on or after the filing of any petition in bankruptcy or similar proceeding or for reorganization of the Issuer, Holdings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the Issuer, Holdings or any Guarantor to reimburse any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60"/>
          </w:cols>
          <w:pgMar w:left="580" w:top="1440" w:right="559" w:bottom="1440" w:gutter="0" w:footer="0" w:header="0"/>
        </w:sectPr>
      </w:pPr>
    </w:p>
    <w:bookmarkStart w:id="106" w:name="page107"/>
    <w:bookmarkEnd w:id="106"/>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or other Person in respect of amounts paid under letters of credit, acceptances or other similar instruments;</w:t>
      </w:r>
    </w:p>
    <w:p>
      <w:pPr>
        <w:spacing w:after="0" w:line="187" w:lineRule="exact"/>
        <w:rPr>
          <w:sz w:val="20"/>
          <w:szCs w:val="20"/>
          <w:color w:val="auto"/>
        </w:rPr>
      </w:pPr>
    </w:p>
    <w:p>
      <w:pPr>
        <w:jc w:val="both"/>
        <w:ind w:left="1300" w:right="20" w:hanging="650"/>
        <w:spacing w:after="0" w:line="246" w:lineRule="auto"/>
        <w:tabs>
          <w:tab w:leader="none" w:pos="129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Hedging Obligations (and guarantees thereof) owing to a Lender (as defined in the Credit Agreement) or any Affiliate of such Lender (or any Person that was a Lender or an Affiliate of such Lender at the time the applicable agreement giving rise to such Hedging Obligation was entered into);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Hedging Obligations are permitted to be incurred under the terms of this Indenture;</w:t>
      </w:r>
    </w:p>
    <w:p>
      <w:pPr>
        <w:spacing w:after="0" w:line="35" w:lineRule="exact"/>
        <w:rPr>
          <w:rFonts w:ascii="Times New Roman" w:cs="Times New Roman" w:eastAsia="Times New Roman" w:hAnsi="Times New Roman"/>
          <w:sz w:val="19"/>
          <w:szCs w:val="19"/>
          <w:color w:val="auto"/>
        </w:rPr>
      </w:pPr>
    </w:p>
    <w:p>
      <w:pPr>
        <w:jc w:val="both"/>
        <w:ind w:left="1300" w:hanging="650"/>
        <w:spacing w:after="0" w:line="283" w:lineRule="auto"/>
        <w:tabs>
          <w:tab w:leader="none" w:pos="129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Indebtedness of the Issuer, Holdings or any Guarantor permitted to be incurred under the terms of this Indenture, unless the instrument under which such Indebtedness is incurred expressly provides that it is subordinated in right of payment to the Notes or any related Note Guarantee; and</w:t>
      </w:r>
    </w:p>
    <w:p>
      <w:pPr>
        <w:spacing w:after="0" w:line="145"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with respect to the items listed in the preceding clauses (1), (2) and (3);</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Senior Indebtedness shall not include:</w:t>
      </w:r>
    </w:p>
    <w:p>
      <w:pPr>
        <w:spacing w:after="0" w:line="204" w:lineRule="exact"/>
        <w:rPr>
          <w:sz w:val="20"/>
          <w:szCs w:val="20"/>
          <w:color w:val="auto"/>
        </w:rPr>
      </w:pPr>
    </w:p>
    <w:p>
      <w:pPr>
        <w:ind w:left="1300" w:hanging="649"/>
        <w:spacing w:after="0"/>
        <w:tabs>
          <w:tab w:leader="none" w:pos="130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obligation of such Person to the Issuer or any of its Subsidiaries;</w:t>
      </w:r>
    </w:p>
    <w:p>
      <w:pPr>
        <w:spacing w:after="0" w:line="227"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liability for federal, state, local or other Taxes owed or owing by such Person;</w:t>
      </w:r>
    </w:p>
    <w:p>
      <w:pPr>
        <w:spacing w:after="0" w:line="213"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accounts payable or other liability to trade creditors arising in the ordinary course of business;</w:t>
      </w:r>
    </w:p>
    <w:p>
      <w:pPr>
        <w:spacing w:after="0" w:line="200" w:lineRule="exact"/>
        <w:rPr>
          <w:rFonts w:ascii="Times New Roman" w:cs="Times New Roman" w:eastAsia="Times New Roman" w:hAnsi="Times New Roman"/>
          <w:sz w:val="19"/>
          <w:szCs w:val="19"/>
          <w:color w:val="auto"/>
        </w:rPr>
      </w:pPr>
    </w:p>
    <w:p>
      <w:pPr>
        <w:ind w:left="1300" w:right="40" w:hanging="650"/>
        <w:spacing w:after="0" w:line="280" w:lineRule="auto"/>
        <w:tabs>
          <w:tab w:leader="none" w:pos="129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Indebtedness or other Obligation of such Person which is subordinate or junior in any respect to any other Indebtedness or other Obligation of such Person; or</w:t>
      </w:r>
    </w:p>
    <w:p>
      <w:pPr>
        <w:spacing w:after="0" w:line="138" w:lineRule="exact"/>
        <w:rPr>
          <w:rFonts w:ascii="Times New Roman" w:cs="Times New Roman" w:eastAsia="Times New Roman" w:hAnsi="Times New Roman"/>
          <w:sz w:val="19"/>
          <w:szCs w:val="19"/>
          <w:color w:val="auto"/>
        </w:rPr>
      </w:pPr>
    </w:p>
    <w:p>
      <w:pPr>
        <w:ind w:left="1300" w:hanging="650"/>
        <w:spacing w:after="0"/>
        <w:tabs>
          <w:tab w:leader="none" w:pos="130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portion of any Indebtedness which at the time of incurrence is incurred in violation of this Indenture.</w:t>
      </w:r>
    </w:p>
    <w:p>
      <w:pPr>
        <w:spacing w:after="0" w:line="173"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57"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Settlement Asset</w:t>
      </w:r>
      <w:r>
        <w:rPr>
          <w:rFonts w:ascii="Times New Roman" w:cs="Times New Roman" w:eastAsia="Times New Roman" w:hAnsi="Times New Roman"/>
          <w:sz w:val="19"/>
          <w:szCs w:val="19"/>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Settlement Indebtedness</w:t>
      </w:r>
      <w:r>
        <w:rPr>
          <w:rFonts w:ascii="Times New Roman" w:cs="Times New Roman" w:eastAsia="Times New Roman" w:hAnsi="Times New Roman"/>
          <w:sz w:val="19"/>
          <w:szCs w:val="19"/>
          <w:color w:val="auto"/>
        </w:rPr>
        <w:t>” means any payment or reimbursement obligation in respect of a Settlement Payment.</w:t>
      </w:r>
    </w:p>
    <w:p>
      <w:pPr>
        <w:spacing w:after="0" w:line="200"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Settlement Lien</w:t>
      </w:r>
      <w:r>
        <w:rPr>
          <w:rFonts w:ascii="Times New Roman" w:cs="Times New Roman" w:eastAsia="Times New Roman" w:hAnsi="Times New Roman"/>
          <w:sz w:val="19"/>
          <w:szCs w:val="19"/>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52"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Settlement Payment</w:t>
      </w:r>
      <w:r>
        <w:rPr>
          <w:rFonts w:ascii="Times New Roman" w:cs="Times New Roman" w:eastAsia="Times New Roman" w:hAnsi="Times New Roman"/>
          <w:sz w:val="19"/>
          <w:szCs w:val="19"/>
          <w:color w:val="auto"/>
        </w:rPr>
        <w:t>” means the transfer, or contractual undertaking (including by automated clearing house transaction) to effect a transfer, of cash or other property to effect a Settlement.</w:t>
      </w:r>
    </w:p>
    <w:p>
      <w:pPr>
        <w:spacing w:after="0" w:line="152"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Settlement Receivable</w:t>
      </w:r>
      <w:r>
        <w:rPr>
          <w:rFonts w:ascii="Times New Roman" w:cs="Times New Roman" w:eastAsia="Times New Roman" w:hAnsi="Times New Roman"/>
          <w:sz w:val="19"/>
          <w:szCs w:val="19"/>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60"/>
          </w:cols>
          <w:pgMar w:left="580" w:top="1440" w:right="559" w:bottom="1440" w:gutter="0" w:footer="0" w:header="0"/>
        </w:sectPr>
      </w:pPr>
    </w:p>
    <w:bookmarkStart w:id="107" w:name="page108"/>
    <w:bookmarkEnd w:id="107"/>
    <w:p>
      <w:pPr>
        <w:spacing w:after="0" w:line="186"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Short Derivative Instrument</w:t>
      </w:r>
      <w:r>
        <w:rPr>
          <w:rFonts w:ascii="Times New Roman" w:cs="Times New Roman" w:eastAsia="Times New Roman" w:hAnsi="Times New Roman"/>
          <w:sz w:val="19"/>
          <w:szCs w:val="19"/>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62"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Significant Subsidiary</w:t>
      </w:r>
      <w:r>
        <w:rPr>
          <w:rFonts w:ascii="Times New Roman" w:cs="Times New Roman" w:eastAsia="Times New Roman" w:hAnsi="Times New Roman"/>
          <w:sz w:val="19"/>
          <w:szCs w:val="19"/>
          <w:color w:val="auto"/>
        </w:rPr>
        <w:t>” means any Restricted Subsidiary that would be a “significant subsidiary” as defined in Article 1, Rule 1-02(w)(2) of Regulation S-X, promulgated pursuant to the Securities Act, as such regulation is in effect on the Issue Date.</w:t>
      </w:r>
    </w:p>
    <w:p>
      <w:pPr>
        <w:spacing w:after="0" w:line="138"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Similar Business</w:t>
      </w:r>
      <w:r>
        <w:rPr>
          <w:rFonts w:ascii="Times New Roman" w:cs="Times New Roman" w:eastAsia="Times New Roman" w:hAnsi="Times New Roman"/>
          <w:sz w:val="19"/>
          <w:szCs w:val="19"/>
          <w:color w:val="auto"/>
        </w:rPr>
        <w:t>” means (1) any business, services or other activities conducted or proposed to be conducted by the Issuer or any of its Subsidiaries or any Associates on the Issue Date, (2) any business, services or other activities that are similar, incidental, ancillary, complementary or related to, or an extension, development or expansion of, the businesses, services or other activities in which the Issuer and any of its Subsidiaries or any Associates were engaged on the Issue Date and (3) a Person conducting a business, service or activity specified in clauses (1) and (2), and any Subsidiary thereof. For the avoidance of doubt, any Person that invests in or owns Capital Stock or Indebtedness of another Person that is engaged in a Similar Business shall be deemed to be engaged in a Similar Business.</w:t>
      </w:r>
    </w:p>
    <w:p>
      <w:pPr>
        <w:spacing w:after="0" w:line="174"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Sponsor</w:t>
      </w:r>
      <w:r>
        <w:rPr>
          <w:rFonts w:ascii="Times New Roman" w:cs="Times New Roman" w:eastAsia="Times New Roman" w:hAnsi="Times New Roman"/>
          <w:sz w:val="19"/>
          <w:szCs w:val="19"/>
          <w:color w:val="auto"/>
        </w:rPr>
        <w:t>” means Warburg Pincus LLC or GTCR LLC and each of their respective Affiliates, but not including, however, any portfolio companies of the foregoing.</w:t>
      </w:r>
    </w:p>
    <w:p>
      <w:pPr>
        <w:spacing w:after="0" w:line="138"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Stated Maturity</w:t>
      </w:r>
      <w:r>
        <w:rPr>
          <w:rFonts w:ascii="Times New Roman" w:cs="Times New Roman" w:eastAsia="Times New Roman" w:hAnsi="Times New Roman"/>
          <w:sz w:val="19"/>
          <w:szCs w:val="19"/>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Subordinated Indebtedness</w:t>
      </w:r>
      <w:r>
        <w:rPr>
          <w:rFonts w:ascii="Times New Roman" w:cs="Times New Roman" w:eastAsia="Times New Roman" w:hAnsi="Times New Roman"/>
          <w:sz w:val="19"/>
          <w:szCs w:val="19"/>
          <w:color w:val="auto"/>
        </w:rPr>
        <w:t>” means, with respect to the Notes,</w:t>
      </w:r>
    </w:p>
    <w:p>
      <w:pPr>
        <w:spacing w:after="0" w:line="200" w:lineRule="exact"/>
        <w:rPr>
          <w:sz w:val="20"/>
          <w:szCs w:val="20"/>
          <w:color w:val="auto"/>
        </w:rPr>
      </w:pPr>
    </w:p>
    <w:p>
      <w:pPr>
        <w:jc w:val="both"/>
        <w:ind w:left="660" w:firstLine="639"/>
        <w:spacing w:after="0" w:line="244" w:lineRule="auto"/>
        <w:tabs>
          <w:tab w:leader="none" w:pos="1691"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Indebtedness (other than (i) any permitted intercompany Indebtedness owing to any Parent Entity, the Issuer or any Restricted Subsidiary or (ii) any Indebtedness in an aggregate principal amount not exceeding the greater of $54.2 million and 10% of LTM EBITDA) of the Issuer which is by its terms subordinated in right of payment to the Notes, and</w:t>
      </w:r>
    </w:p>
    <w:p>
      <w:pPr>
        <w:spacing w:after="0" w:line="170" w:lineRule="exact"/>
        <w:rPr>
          <w:rFonts w:ascii="Times New Roman" w:cs="Times New Roman" w:eastAsia="Times New Roman" w:hAnsi="Times New Roman"/>
          <w:sz w:val="19"/>
          <w:szCs w:val="19"/>
          <w:color w:val="auto"/>
        </w:rPr>
      </w:pPr>
    </w:p>
    <w:p>
      <w:pPr>
        <w:jc w:val="both"/>
        <w:ind w:left="660" w:right="20" w:firstLine="639"/>
        <w:spacing w:after="0" w:line="272" w:lineRule="auto"/>
        <w:tabs>
          <w:tab w:leader="none" w:pos="16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(other than (i) any permitted intercompany Indebtedness owing to any Parent Entity, the Issuer or any Restricted Subsidiary or (ii) any Indebtedness in an aggregate principal amount not exceeding the greater of $54.2 million and 10% of LTM EBITDA) of any Guarantor which is by its terms subordinated in right of payment to the Note Guarantee of such entity.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w:t>
      </w:r>
    </w:p>
    <w:p>
      <w:pPr>
        <w:spacing w:after="0" w:line="214" w:lineRule="exact"/>
        <w:rPr>
          <w:sz w:val="20"/>
          <w:szCs w:val="20"/>
          <w:color w:val="auto"/>
        </w:rPr>
      </w:pPr>
    </w:p>
    <w:p>
      <w:pPr>
        <w:jc w:val="both"/>
        <w:ind w:left="660" w:firstLine="639"/>
        <w:spacing w:after="0" w:line="237" w:lineRule="auto"/>
        <w:tabs>
          <w:tab w:leader="none" w:pos="1691"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176"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partnership, joint venture, limited liability company or similar entity of which</w:t>
      </w:r>
    </w:p>
    <w:p>
      <w:pPr>
        <w:spacing w:after="0" w:line="200" w:lineRule="exact"/>
        <w:rPr>
          <w:rFonts w:ascii="Times New Roman" w:cs="Times New Roman" w:eastAsia="Times New Roman" w:hAnsi="Times New Roman"/>
          <w:sz w:val="19"/>
          <w:szCs w:val="19"/>
          <w:color w:val="auto"/>
        </w:rPr>
      </w:pPr>
    </w:p>
    <w:p>
      <w:pPr>
        <w:jc w:val="both"/>
        <w:ind w:left="1300" w:firstLine="647"/>
        <w:spacing w:after="0" w:line="241" w:lineRule="auto"/>
        <w:tabs>
          <w:tab w:leader="none" w:pos="2330"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60"/>
          </w:cols>
          <w:pgMar w:left="580" w:top="1440" w:right="559" w:bottom="1440" w:gutter="0" w:footer="0" w:header="0"/>
        </w:sectPr>
      </w:pPr>
    </w:p>
    <w:bookmarkStart w:id="108" w:name="page109"/>
    <w:bookmarkEnd w:id="108"/>
    <w:p>
      <w:pPr>
        <w:spacing w:after="0" w:line="186" w:lineRule="exact"/>
        <w:rPr>
          <w:sz w:val="20"/>
          <w:szCs w:val="20"/>
          <w:color w:val="auto"/>
        </w:rPr>
      </w:pPr>
    </w:p>
    <w:p>
      <w:pPr>
        <w:ind w:left="1940"/>
        <w:spacing w:after="0"/>
        <w:tabs>
          <w:tab w:leader="none" w:pos="2300" w:val="left"/>
        </w:tabs>
        <w:rPr>
          <w:sz w:val="20"/>
          <w:szCs w:val="20"/>
          <w:color w:val="auto"/>
        </w:rPr>
      </w:pPr>
      <w:r>
        <w:rPr>
          <w:rFonts w:ascii="Times New Roman" w:cs="Times New Roman" w:eastAsia="Times New Roman" w:hAnsi="Times New Roman"/>
          <w:sz w:val="19"/>
          <w:szCs w:val="19"/>
          <w:color w:val="auto"/>
        </w:rPr>
        <w:t>(y)</w:t>
        <w:tab/>
        <w:t>such Person or any Subsidiary of such Person is a controlling general partner or otherwise controls such entity;</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or</w:t>
      </w:r>
    </w:p>
    <w:p>
      <w:pPr>
        <w:spacing w:after="0" w:line="158" w:lineRule="exact"/>
        <w:rPr>
          <w:sz w:val="20"/>
          <w:szCs w:val="20"/>
          <w:color w:val="auto"/>
        </w:rPr>
      </w:pPr>
    </w:p>
    <w:p>
      <w:pPr>
        <w:ind w:left="660" w:firstLine="639"/>
        <w:spacing w:after="0" w:line="265" w:lineRule="auto"/>
        <w:tabs>
          <w:tab w:leader="none" w:pos="1691"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election of the Issuer, any partnership, joint venture, limited liability company or similar entity of which such Person or any Subsidiary of such Person is a controlling general partner or otherwise controls such entity.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Unless otherwise specified, a reference to “Subsidiaries” shall mean the Subsidiaries of the Issuer.</w:t>
      </w:r>
    </w:p>
    <w:p>
      <w:pPr>
        <w:spacing w:after="0" w:line="200" w:lineRule="exact"/>
        <w:rPr>
          <w:sz w:val="20"/>
          <w:szCs w:val="20"/>
          <w:color w:val="auto"/>
        </w:rPr>
      </w:pPr>
    </w:p>
    <w:p>
      <w:pPr>
        <w:jc w:val="both"/>
        <w:ind w:firstLine="649"/>
        <w:spacing w:after="0" w:line="30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and future taxes, levies, imposts, deductions, charges, duties and withholdings and any charges of a similar nature (including interest, penalties and other liabilities with respect thereto) that are imposed by any government or other taxing authority.</w:t>
      </w: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Test Period</w:t>
      </w:r>
      <w:r>
        <w:rPr>
          <w:rFonts w:ascii="Times New Roman" w:cs="Times New Roman" w:eastAsia="Times New Roman" w:hAnsi="Times New Roman"/>
          <w:sz w:val="19"/>
          <w:szCs w:val="19"/>
          <w:color w:val="auto"/>
        </w:rPr>
        <w:t>” means, as of any date of determination, the most recently completed four fiscal quarters of the Issuer ending on or prior to such date for which internal financial statements are available immediately preceding such date of determination.</w:t>
      </w:r>
    </w:p>
    <w:p>
      <w:pPr>
        <w:spacing w:after="0" w:line="135" w:lineRule="exact"/>
        <w:rPr>
          <w:sz w:val="20"/>
          <w:szCs w:val="20"/>
          <w:color w:val="auto"/>
        </w:rPr>
      </w:pPr>
    </w:p>
    <w:p>
      <w:pPr>
        <w:jc w:val="both"/>
        <w:ind w:firstLine="649"/>
        <w:spacing w:after="0" w:line="246"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u w:val="single" w:color="auto"/>
          <w:color w:val="auto"/>
        </w:rPr>
        <w:t>Total Assets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means, as of any date, the total consolidated assets of the Issuer and its Restricted Subsidiaries on a consolidated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basis, as shown on the most recent consolidated balance sheet of the Issuer and its Restricted Subsidiaries, determined on a pro forma basis in a manner consistent with the pro forma basis contained in the definition of Fixed Charge Coverage Ratio.</w:t>
      </w:r>
    </w:p>
    <w:p>
      <w:pPr>
        <w:spacing w:after="0" w:line="169"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Trademarks</w:t>
      </w:r>
      <w:r>
        <w:rPr>
          <w:rFonts w:ascii="Times New Roman" w:cs="Times New Roman" w:eastAsia="Times New Roman" w:hAnsi="Times New Roman"/>
          <w:sz w:val="19"/>
          <w:szCs w:val="19"/>
          <w:color w:val="auto"/>
        </w:rPr>
        <w:t>” means, with respect to any Person, all of the following now owned or hereafter acquired by such Person: (a) all trademarks, service marks, trade names, corporate names, company names, trade dress, logos and other similar source identifiers, in each case subject to the trademark laws of the United States now existing or hereafter adopted or acquired, all registrations therefor, and all registrations and applications filed in connection therewith in the United States Patent and Trademark Office and, (b) all goodwill associated with the use of and symbolized by the items in category (a) of this definition.</w:t>
      </w:r>
    </w:p>
    <w:p>
      <w:pPr>
        <w:spacing w:after="0" w:line="177" w:lineRule="exact"/>
        <w:rPr>
          <w:sz w:val="20"/>
          <w:szCs w:val="20"/>
          <w:color w:val="auto"/>
        </w:rPr>
      </w:pPr>
    </w:p>
    <w:p>
      <w:pPr>
        <w:jc w:val="both"/>
        <w:ind w:right="20" w:firstLine="64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Trademark License</w:t>
      </w:r>
      <w:r>
        <w:rPr>
          <w:rFonts w:ascii="Times New Roman" w:cs="Times New Roman" w:eastAsia="Times New Roman" w:hAnsi="Times New Roman"/>
          <w:sz w:val="19"/>
          <w:szCs w:val="19"/>
          <w:color w:val="auto"/>
        </w:rPr>
        <w:t>” means any written agreement, now or hereafter in effect, granting to any Person any right to use any Trademark now or hereafter owned by any other Person or that any other Person otherwise has the right to license and all rights of any such Person under any such agreement.</w:t>
      </w:r>
    </w:p>
    <w:p>
      <w:pPr>
        <w:spacing w:after="0" w:line="171"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Costs</w:t>
      </w:r>
      <w:r>
        <w:rPr>
          <w:rFonts w:ascii="Times New Roman" w:cs="Times New Roman" w:eastAsia="Times New Roman" w:hAnsi="Times New Roman"/>
          <w:sz w:val="19"/>
          <w:szCs w:val="19"/>
          <w:color w:val="auto"/>
        </w:rPr>
        <w:t>” means all fees, costs and expenses incurred or payable by the Issuer or any other Subsidiary in connection with the Transactions (including all legal, accounting and other professional fees, costs and expenses).</w:t>
      </w:r>
    </w:p>
    <w:p>
      <w:pPr>
        <w:spacing w:after="0" w:line="138" w:lineRule="exact"/>
        <w:rPr>
          <w:sz w:val="20"/>
          <w:szCs w:val="20"/>
          <w:color w:val="auto"/>
        </w:rPr>
      </w:pPr>
    </w:p>
    <w:p>
      <w:pPr>
        <w:ind w:right="20" w:firstLine="64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xml:space="preserve">” means (i) the issuance of the Notes offered and the application of proceeds therefrom as described in the Offering Memorandum, (ii) the entry into an amendment to the Credit Agreement (the “ </w:t>
      </w:r>
      <w:r>
        <w:rPr>
          <w:rFonts w:ascii="Times New Roman" w:cs="Times New Roman" w:eastAsia="Times New Roman" w:hAnsi="Times New Roman"/>
          <w:sz w:val="19"/>
          <w:szCs w:val="19"/>
          <w:i w:val="1"/>
          <w:iCs w:val="1"/>
          <w:color w:val="auto"/>
        </w:rPr>
        <w:t>Credit Agreement Amendment</w:t>
      </w:r>
      <w:r>
        <w:rPr>
          <w:rFonts w:ascii="Times New Roman" w:cs="Times New Roman" w:eastAsia="Times New Roman" w:hAnsi="Times New Roman"/>
          <w:sz w:val="19"/>
          <w:szCs w:val="19"/>
          <w:color w:val="auto"/>
        </w:rPr>
        <w:t>”) providing for, among other things, the incurrence of a new term loan under the Credit Agreement (the “</w:t>
      </w:r>
      <w:r>
        <w:rPr>
          <w:rFonts w:ascii="Times New Roman" w:cs="Times New Roman" w:eastAsia="Times New Roman" w:hAnsi="Times New Roman"/>
          <w:sz w:val="19"/>
          <w:szCs w:val="19"/>
          <w:i w:val="1"/>
          <w:iCs w:val="1"/>
          <w:color w:val="auto"/>
        </w:rPr>
        <w:t>New Term Loan</w:t>
      </w:r>
      <w:r>
        <w:rPr>
          <w:rFonts w:ascii="Times New Roman" w:cs="Times New Roman" w:eastAsia="Times New Roman" w:hAnsi="Times New Roman"/>
          <w:sz w:val="19"/>
          <w:szCs w:val="19"/>
          <w:color w:val="auto"/>
        </w:rPr>
        <w:t>”) and (iii) the payment of Transaction Costs, other related transactions as described in the Offering Memorandum and the consummation of any other transaction in connection with any of the foregoing.</w:t>
      </w:r>
    </w:p>
    <w:p>
      <w:pPr>
        <w:spacing w:after="0" w:line="163" w:lineRule="exact"/>
        <w:rPr>
          <w:sz w:val="20"/>
          <w:szCs w:val="20"/>
          <w:color w:val="auto"/>
        </w:rPr>
      </w:pPr>
    </w:p>
    <w:p>
      <w:pPr>
        <w:jc w:val="both"/>
        <w:ind w:firstLine="649"/>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Treasury Rate</w:t>
      </w:r>
      <w:r>
        <w:rPr>
          <w:rFonts w:ascii="Times New Roman" w:cs="Times New Roman" w:eastAsia="Times New Roman" w:hAnsi="Times New Roman"/>
          <w:sz w:val="19"/>
          <w:szCs w:val="19"/>
          <w:color w:val="auto"/>
        </w:rPr>
        <w:t xml:space="preserve">” means the weekly average for each Business Day during the most recent week that has ended at least two Business Days prior to the Redemption Date of the yield to maturity at the time of computation of United States Treasury securities with a constant maturity (as compiled and published in the Federal Reserve Statistical Release H.15 (or, if such statistical release is not so published or available, any publicly available source of similar market data selected by the Issuer in good faith)) most nearly equal to the period from the Redemption Date to June 1, 2027;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the period from the Redemption Date to June 1, 2027 is not equal to the constant maturity of a United States Treasury security for which a yield is given, the Treasury Rate shall be obtained by linear interpolation (calculated to the nearest one-twelfth of a year) from the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Trust Indenture Act</w:t>
      </w:r>
      <w:r>
        <w:rPr>
          <w:rFonts w:ascii="Times New Roman" w:cs="Times New Roman" w:eastAsia="Times New Roman" w:hAnsi="Times New Roman"/>
          <w:sz w:val="19"/>
          <w:szCs w:val="19"/>
          <w:color w:val="auto"/>
        </w:rPr>
        <w:t>” means the Trust Indenture Act of 1939,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60"/>
          </w:cols>
          <w:pgMar w:left="580" w:top="1440" w:right="559" w:bottom="1440" w:gutter="0" w:footer="0" w:header="0"/>
        </w:sectPr>
      </w:pPr>
    </w:p>
    <w:bookmarkStart w:id="109" w:name="page110"/>
    <w:bookmarkEnd w:id="109"/>
    <w:p>
      <w:pPr>
        <w:spacing w:after="0" w:line="186"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means Wilmington Trust, National Association, as trustee, until a successor replaces it in accordance with the applicable provisions of this Indenture and thereafter means the successor serving hereunder.</w:t>
      </w:r>
    </w:p>
    <w:p>
      <w:pPr>
        <w:spacing w:after="0" w:line="125"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UCC</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Uniform Commercial Code</w:t>
      </w:r>
      <w:r>
        <w:rPr>
          <w:rFonts w:ascii="Times New Roman" w:cs="Times New Roman" w:eastAsia="Times New Roman" w:hAnsi="Times New Roman"/>
          <w:sz w:val="19"/>
          <w:szCs w:val="19"/>
          <w:color w:val="auto"/>
        </w:rPr>
        <w:t>” means the Uniform Commercial Code (or equivalent statute) as in effect from time to time in the State of New York; provided, however, that at any time, if by reason of mandatory provisions of law, any or all of the perfection or priority of a collateral agent’s security interest in any item or portion of the collateral is governed by the Uniform Commercial Code as in effect in a U.S. jurisdiction other than the State of New York, the term “UCC” or “</w:t>
      </w:r>
      <w:r>
        <w:rPr>
          <w:rFonts w:ascii="Times New Roman" w:cs="Times New Roman" w:eastAsia="Times New Roman" w:hAnsi="Times New Roman"/>
          <w:sz w:val="19"/>
          <w:szCs w:val="19"/>
          <w:u w:val="single" w:color="auto"/>
          <w:color w:val="auto"/>
        </w:rPr>
        <w:t>Uniform Commercial Code</w:t>
      </w:r>
      <w:r>
        <w:rPr>
          <w:rFonts w:ascii="Times New Roman" w:cs="Times New Roman" w:eastAsia="Times New Roman" w:hAnsi="Times New Roman"/>
          <w:sz w:val="19"/>
          <w:szCs w:val="19"/>
          <w:color w:val="auto"/>
        </w:rPr>
        <w:t>” shall mean the Uniform Commercial Code as in effect, at such time, in such other jurisdiction for purposes of the provisions hereof relating to such perfection or priority and for purposes of definitions relating to such provisions.</w:t>
      </w:r>
    </w:p>
    <w:p>
      <w:pPr>
        <w:spacing w:after="0" w:line="161"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Definitive Note</w:t>
      </w:r>
      <w:r>
        <w:rPr>
          <w:rFonts w:ascii="Times New Roman" w:cs="Times New Roman" w:eastAsia="Times New Roman" w:hAnsi="Times New Roman"/>
          <w:sz w:val="19"/>
          <w:szCs w:val="19"/>
          <w:color w:val="auto"/>
        </w:rPr>
        <w:t>” means one or more Definitive Notes that do not bear and are not required to bear the Private Placement Legend.</w:t>
      </w:r>
    </w:p>
    <w:p>
      <w:pPr>
        <w:spacing w:after="0" w:line="166"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Global Note</w:t>
      </w:r>
      <w:r>
        <w:rPr>
          <w:rFonts w:ascii="Times New Roman" w:cs="Times New Roman" w:eastAsia="Times New Roman" w:hAnsi="Times New Roman"/>
          <w:sz w:val="19"/>
          <w:szCs w:val="19"/>
          <w:color w:val="auto"/>
        </w:rPr>
        <w:t xml:space="preserve">” means a permanent Global Note,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that bears the Global Note Legend and that has the “Schedule of Increases and Decreases in the Global Note” attached thereto, representing Notes that do not bear the Private Placement Legend.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Subsidiary</w:t>
      </w:r>
      <w:r>
        <w:rPr>
          <w:rFonts w:ascii="Times New Roman" w:cs="Times New Roman" w:eastAsia="Times New Roman" w:hAnsi="Times New Roman"/>
          <w:sz w:val="19"/>
          <w:szCs w:val="19"/>
          <w:color w:val="auto"/>
        </w:rPr>
        <w:t>” means:</w:t>
      </w:r>
    </w:p>
    <w:p>
      <w:pPr>
        <w:spacing w:after="0" w:line="200" w:lineRule="exact"/>
        <w:rPr>
          <w:sz w:val="20"/>
          <w:szCs w:val="20"/>
          <w:color w:val="auto"/>
        </w:rPr>
      </w:pPr>
    </w:p>
    <w:p>
      <w:pPr>
        <w:ind w:left="660" w:right="20" w:firstLine="639"/>
        <w:spacing w:after="0" w:line="265" w:lineRule="auto"/>
        <w:tabs>
          <w:tab w:leader="none" w:pos="1691"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of the Issuer that at the time of determination is an Unrestricted Subsidiary (as designated by the Issuer, as provided below); and</w:t>
      </w:r>
    </w:p>
    <w:p>
      <w:pPr>
        <w:spacing w:after="0" w:line="179"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of an Unrestricted Subsidiary.</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Issuer may designate any Subsidiary of the Issuer (including any existing Subsidiary and any newly acquired or newly formed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Subsidiary) to be an Unrestricted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72" w:lineRule="exact"/>
        <w:rPr>
          <w:sz w:val="20"/>
          <w:szCs w:val="20"/>
          <w:color w:val="auto"/>
        </w:rPr>
      </w:pPr>
    </w:p>
    <w:p>
      <w:pPr>
        <w:ind w:left="1940" w:hanging="641"/>
        <w:spacing w:after="0"/>
        <w:tabs>
          <w:tab w:leader="none" w:pos="19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designation is not prohibited by Section 4.07 hereof; and</w:t>
      </w:r>
    </w:p>
    <w:p>
      <w:pPr>
        <w:spacing w:after="0" w:line="200" w:lineRule="exact"/>
        <w:rPr>
          <w:rFonts w:ascii="Times New Roman" w:cs="Times New Roman" w:eastAsia="Times New Roman" w:hAnsi="Times New Roman"/>
          <w:sz w:val="19"/>
          <w:szCs w:val="19"/>
          <w:color w:val="auto"/>
        </w:rPr>
      </w:pPr>
    </w:p>
    <w:p>
      <w:pPr>
        <w:jc w:val="both"/>
        <w:ind w:left="660" w:firstLine="639"/>
        <w:spacing w:after="0" w:line="258" w:lineRule="auto"/>
        <w:tabs>
          <w:tab w:leader="none" w:pos="1691"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such designation, such Subsidiary or any of its Subsidiaries does not own any Equity Interests of the Issuer or any other Subsidiary of the Issuer which is not a Subsidiary of the Subsidiary to be so designated or otherwise an Unrestricted Subsidiary.</w:t>
      </w:r>
    </w:p>
    <w:p>
      <w:pPr>
        <w:spacing w:after="0" w:line="159" w:lineRule="exact"/>
        <w:rPr>
          <w:sz w:val="20"/>
          <w:szCs w:val="20"/>
          <w:color w:val="auto"/>
        </w:rPr>
      </w:pPr>
    </w:p>
    <w:p>
      <w:pPr>
        <w:jc w:val="both"/>
        <w:ind w:firstLine="649"/>
        <w:spacing w:after="0" w:line="246" w:lineRule="auto"/>
        <w:rPr>
          <w:sz w:val="20"/>
          <w:szCs w:val="20"/>
          <w:color w:val="auto"/>
        </w:rPr>
      </w:pPr>
      <w:r>
        <w:rPr>
          <w:rFonts w:ascii="Times New Roman" w:cs="Times New Roman" w:eastAsia="Times New Roman" w:hAnsi="Times New Roman"/>
          <w:sz w:val="19"/>
          <w:szCs w:val="19"/>
          <w:color w:val="auto"/>
        </w:rPr>
        <w:t xml:space="preserve">The Issuer may designate any Unrestricted Subsidiary to be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after giving effect to such designation, (i) no Default shall have occurred and be continuing and (ii) the Indebtedness is permitted under Section 4.09 hereof (including pursuant to clause (b)(14) thereof treating such redesignation as an acquisition for the purpose of such clause), calculated on a pro forma basis as if such designation had occurred at the beginning of the applicable reference period.</w:t>
      </w:r>
    </w:p>
    <w:p>
      <w:pPr>
        <w:spacing w:after="0" w:line="157" w:lineRule="exact"/>
        <w:rPr>
          <w:sz w:val="20"/>
          <w:szCs w:val="20"/>
          <w:color w:val="auto"/>
        </w:rPr>
      </w:pPr>
    </w:p>
    <w:p>
      <w:pPr>
        <w:ind w:right="20" w:firstLine="649"/>
        <w:spacing w:after="0" w:line="295" w:lineRule="auto"/>
        <w:rPr>
          <w:sz w:val="20"/>
          <w:szCs w:val="20"/>
          <w:color w:val="auto"/>
        </w:rPr>
      </w:pPr>
      <w:r>
        <w:rPr>
          <w:rFonts w:ascii="Times New Roman" w:cs="Times New Roman" w:eastAsia="Times New Roman" w:hAnsi="Times New Roman"/>
          <w:sz w:val="19"/>
          <w:szCs w:val="19"/>
          <w:color w:val="auto"/>
        </w:rPr>
        <w:t>Any such designation by the Issuer shall be notified by the Issuer to the Trustee by an Officer’s Certificate certifying that such designation complied with the foregoing provisions.</w:t>
      </w:r>
    </w:p>
    <w:p>
      <w:pPr>
        <w:spacing w:after="0" w:line="97"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Unsecured Capitalized Lease Obligations</w:t>
      </w:r>
      <w:r>
        <w:rPr>
          <w:rFonts w:ascii="Times New Roman" w:cs="Times New Roman" w:eastAsia="Times New Roman" w:hAnsi="Times New Roman"/>
          <w:sz w:val="19"/>
          <w:szCs w:val="19"/>
          <w:color w:val="auto"/>
        </w:rPr>
        <w:t>” means Capitalized Lease Obligations not secured by a Lien and any other lease obligation that is not required to be accounted for as a financing or capital lease on both the balance sheet and the income statement for financial reporting purposes in accordance with GAAP. For the avoidance of doubt, an operating lease shall be considered an Unsecured Capitalized Lease Obligation.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Unsecured Capitalized Leases</w:t>
      </w:r>
      <w:r>
        <w:rPr>
          <w:rFonts w:ascii="Times New Roman" w:cs="Times New Roman" w:eastAsia="Times New Roman" w:hAnsi="Times New Roman"/>
          <w:sz w:val="19"/>
          <w:szCs w:val="19"/>
          <w:color w:val="auto"/>
        </w:rPr>
        <w:t>” means all leases underlying Unsecured Capitalized Lease Obligations.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w:t>
      </w:r>
      <w:r>
        <w:rPr>
          <w:rFonts w:ascii="Times New Roman" w:cs="Times New Roman" w:eastAsia="Times New Roman" w:hAnsi="Times New Roman"/>
          <w:sz w:val="19"/>
          <w:szCs w:val="19"/>
          <w:color w:val="auto"/>
        </w:rPr>
        <w:t>” means securities that are:</w:t>
      </w:r>
    </w:p>
    <w:p>
      <w:pPr>
        <w:spacing w:after="0" w:line="200" w:lineRule="exact"/>
        <w:rPr>
          <w:sz w:val="20"/>
          <w:szCs w:val="20"/>
          <w:color w:val="auto"/>
        </w:rPr>
      </w:pPr>
    </w:p>
    <w:p>
      <w:pPr>
        <w:jc w:val="center"/>
        <w:ind w:right="40"/>
        <w:spacing w:after="0"/>
        <w:tabs>
          <w:tab w:leader="none" w:pos="14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8"/>
          <w:szCs w:val="18"/>
          <w:color w:val="auto"/>
        </w:rPr>
        <w:t>direct obligations of the United States of America for the timely payment of which its full faith and credit is pledged; or</w:t>
      </w:r>
    </w:p>
    <w:p>
      <w:pPr>
        <w:sectPr>
          <w:pgSz w:w="11900" w:h="16838" w:orient="portrait"/>
          <w:cols w:equalWidth="0" w:num="1">
            <w:col w:w="10760"/>
          </w:cols>
          <w:pgMar w:left="580" w:top="144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760"/>
          </w:cols>
          <w:pgMar w:left="580" w:top="1440" w:right="559" w:bottom="1440" w:gutter="0" w:footer="0" w:header="0"/>
          <w:type w:val="continuous"/>
        </w:sectPr>
      </w:pPr>
    </w:p>
    <w:bookmarkStart w:id="110" w:name="page111"/>
    <w:bookmarkEnd w:id="110"/>
    <w:p>
      <w:pPr>
        <w:spacing w:after="0" w:line="159" w:lineRule="exact"/>
        <w:rPr>
          <w:sz w:val="20"/>
          <w:szCs w:val="20"/>
          <w:color w:val="auto"/>
        </w:rPr>
      </w:pPr>
    </w:p>
    <w:p>
      <w:pPr>
        <w:jc w:val="both"/>
        <w:ind w:firstLine="1"/>
        <w:spacing w:after="0" w:line="235" w:lineRule="auto"/>
        <w:tabs>
          <w:tab w:leader="none" w:pos="38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as custodian with respect to any such U.S. Government Securities or a specific payment of principal of or interest on any such U.S. Government Securities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Securities or the specific payment of principal of or interest on the U.S. Government Securities evidenced by such depository receipt.</w:t>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means a U.S. person as defined in Rule 902(k) under the Securities Act.</w:t>
      </w:r>
    </w:p>
    <w:p>
      <w:pPr>
        <w:spacing w:after="0" w:line="214"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Stock</w:t>
      </w:r>
      <w:r>
        <w:rPr>
          <w:rFonts w:ascii="Times New Roman" w:cs="Times New Roman" w:eastAsia="Times New Roman" w:hAnsi="Times New Roman"/>
          <w:sz w:val="19"/>
          <w:szCs w:val="19"/>
          <w:color w:val="auto"/>
        </w:rPr>
        <w:t>” of any Person as of any date means the Capital Stock of such Person then outstanding that is at the time entitled to vote in the election of the Board of Directors of such Person.</w:t>
      </w:r>
    </w:p>
    <w:p>
      <w:pPr>
        <w:spacing w:after="0" w:line="111"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means, when applied to any Indebtedness, Disqualified Stock or Preferred Stock, as the case may be, at any date, the quotient (in number of years) obtained by dividing:</w:t>
      </w:r>
    </w:p>
    <w:p>
      <w:pPr>
        <w:spacing w:after="0" w:line="152" w:lineRule="exact"/>
        <w:rPr>
          <w:sz w:val="20"/>
          <w:szCs w:val="20"/>
          <w:color w:val="auto"/>
        </w:rPr>
      </w:pPr>
    </w:p>
    <w:p>
      <w:pPr>
        <w:jc w:val="both"/>
        <w:ind w:left="660" w:firstLine="639"/>
        <w:spacing w:after="0" w:line="244" w:lineRule="auto"/>
        <w:tabs>
          <w:tab w:leader="none" w:pos="1691"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the products obtained by multiplying (a) the number of years (calculated to the nearest one-twelfth) from the date of determination to the date of each successive scheduled principal payment of such Indebtedness or redemption or similar payment with respect to such Disqualified Stock or Preferred Stock, by (b) the amount of such payment; by</w:t>
      </w:r>
    </w:p>
    <w:p>
      <w:pPr>
        <w:spacing w:after="0" w:line="170"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all such payments;</w:t>
      </w:r>
    </w:p>
    <w:p>
      <w:pPr>
        <w:spacing w:after="0" w:line="214"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determining the Weighted Average Life to Maturity of any Indebtedness, the effects of any prepayments or amortization made on such Indebtedness prior to the date of such determination will be disregarded.</w:t>
      </w:r>
    </w:p>
    <w:p>
      <w:pPr>
        <w:spacing w:after="0" w:line="139"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Wholly Owned Domestic Subsidiary</w:t>
      </w:r>
      <w:r>
        <w:rPr>
          <w:rFonts w:ascii="Times New Roman" w:cs="Times New Roman" w:eastAsia="Times New Roman" w:hAnsi="Times New Roman"/>
          <w:sz w:val="19"/>
          <w:szCs w:val="19"/>
          <w:color w:val="auto"/>
        </w:rPr>
        <w:t>” means a Domestic Subsidiary of the Issuer, all of the Capital Stock of which is owned by the Issuer or a Guarantor.</w:t>
      </w:r>
    </w:p>
    <w:p>
      <w:pPr>
        <w:spacing w:after="0" w:line="138" w:lineRule="exact"/>
        <w:rPr>
          <w:sz w:val="20"/>
          <w:szCs w:val="20"/>
          <w:color w:val="auto"/>
        </w:rPr>
      </w:pPr>
    </w:p>
    <w:p>
      <w:pPr>
        <w:jc w:val="both"/>
        <w:ind w:firstLine="6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means a Subsidiary of such Person, 100% of the outstanding Equity Interests of which (other than directors’ qualifying shares and shares issued to foreign nationals as required by applicable law) shall at the time be owned by such Person or by one or more Wholly Owned Subsidiaries of such Person or by such Person and one or more Wholly Owned Subsidiaries of</w:t>
      </w:r>
    </w:p>
    <w:tbl>
      <w:tblPr>
        <w:tblLayout w:type="fixed"/>
        <w:tblInd w:w="0" w:type="dxa"/>
        <w:tblCellMar>
          <w:top w:w="0" w:type="dxa"/>
          <w:left w:w="0" w:type="dxa"/>
          <w:bottom w:w="0" w:type="dxa"/>
          <w:right w:w="0" w:type="dxa"/>
        </w:tblCellMar>
      </w:tblPr>
      <w:tr>
        <w:trPr>
          <w:trHeight w:val="244"/>
        </w:trPr>
        <w:tc>
          <w:tcPr>
            <w:tcW w:w="578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such Person.</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578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Section 1.02  Other Definitions.</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Term</w:t>
            </w:r>
          </w:p>
        </w:tc>
        <w:tc>
          <w:tcPr>
            <w:tcW w:w="132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4420" w:type="dxa"/>
            <w:vAlign w:val="bottom"/>
          </w:tcPr>
          <w:p>
            <w:pPr>
              <w:jc w:val="center"/>
              <w:ind w:left="2846"/>
              <w:spacing w:after="0"/>
              <w:rPr>
                <w:sz w:val="20"/>
                <w:szCs w:val="20"/>
                <w:color w:val="auto"/>
              </w:rPr>
            </w:pPr>
            <w:r>
              <w:rPr>
                <w:rFonts w:ascii="Times New Roman" w:cs="Times New Roman" w:eastAsia="Times New Roman" w:hAnsi="Times New Roman"/>
                <w:sz w:val="19"/>
                <w:szCs w:val="19"/>
                <w:color w:val="auto"/>
                <w:w w:val="99"/>
              </w:rPr>
              <w:t>Defined in</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420" w:type="dxa"/>
            <w:vAlign w:val="bottom"/>
          </w:tcPr>
          <w:p>
            <w:pPr>
              <w:jc w:val="center"/>
              <w:ind w:left="2846"/>
              <w:spacing w:after="0"/>
              <w:rPr>
                <w:sz w:val="20"/>
                <w:szCs w:val="20"/>
                <w:color w:val="auto"/>
              </w:rPr>
            </w:pPr>
            <w:r>
              <w:rPr>
                <w:rFonts w:ascii="Times New Roman" w:cs="Times New Roman" w:eastAsia="Times New Roman" w:hAnsi="Times New Roman"/>
                <w:sz w:val="19"/>
                <w:szCs w:val="19"/>
                <w:color w:val="auto"/>
                <w:w w:val="98"/>
              </w:rPr>
              <w:t>Section</w:t>
            </w: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100" w:type="dxa"/>
            <w:vAlign w:val="bottom"/>
          </w:tcPr>
          <w:p>
            <w:pPr>
              <w:spacing w:after="0"/>
              <w:rPr>
                <w:sz w:val="24"/>
                <w:szCs w:val="24"/>
                <w:color w:val="auto"/>
              </w:rPr>
            </w:pPr>
          </w:p>
        </w:tc>
        <w:tc>
          <w:tcPr>
            <w:tcW w:w="5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9"/>
                <w:szCs w:val="19"/>
                <w:color w:val="auto"/>
              </w:rPr>
              <w:t>“Acceptable Commitment”</w:t>
            </w:r>
          </w:p>
        </w:tc>
        <w:tc>
          <w:tcPr>
            <w:tcW w:w="4420" w:type="dxa"/>
            <w:vAlign w:val="bottom"/>
          </w:tcPr>
          <w:p>
            <w:pPr>
              <w:jc w:val="center"/>
              <w:ind w:left="2846"/>
              <w:spacing w:after="0"/>
              <w:rPr>
                <w:sz w:val="20"/>
                <w:szCs w:val="20"/>
                <w:color w:val="auto"/>
              </w:rPr>
            </w:pPr>
            <w:r>
              <w:rPr>
                <w:rFonts w:ascii="Times New Roman" w:cs="Times New Roman" w:eastAsia="Times New Roman" w:hAnsi="Times New Roman"/>
                <w:sz w:val="19"/>
                <w:szCs w:val="19"/>
                <w:color w:val="auto"/>
                <w:w w:val="96"/>
              </w:rPr>
              <w:t>4.10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0100" w:type="dxa"/>
            <w:vAlign w:val="bottom"/>
            <w:gridSpan w:val="4"/>
            <w:vMerge w:val="continue"/>
          </w:tcPr>
          <w:p>
            <w:pPr>
              <w:ind w:left="2080"/>
              <w:spacing w:after="0" w:line="173"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w w:val="77"/>
              </w:rPr>
              <w:t>“Advance Offer” ............................................................................................................................</w:t>
            </w:r>
          </w:p>
        </w:tc>
        <w:tc>
          <w:tcPr>
            <w:tcW w:w="4420" w:type="dxa"/>
            <w:vAlign w:val="bottom"/>
          </w:tcPr>
          <w:p>
            <w:pPr>
              <w:jc w:val="center"/>
              <w:ind w:left="2846"/>
              <w:spacing w:after="0"/>
              <w:rPr>
                <w:sz w:val="20"/>
                <w:szCs w:val="20"/>
                <w:color w:val="auto"/>
              </w:rPr>
            </w:pPr>
            <w:r>
              <w:rPr>
                <w:rFonts w:ascii="Times New Roman" w:cs="Times New Roman" w:eastAsia="Times New Roman" w:hAnsi="Times New Roman"/>
                <w:sz w:val="19"/>
                <w:szCs w:val="19"/>
                <w:color w:val="auto"/>
                <w:w w:val="96"/>
              </w:rPr>
              <w:t>4.10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w w:val="77"/>
              </w:rPr>
              <w:t>“Advance Portion” .........................................................................................................................</w:t>
            </w:r>
          </w:p>
        </w:tc>
        <w:tc>
          <w:tcPr>
            <w:tcW w:w="4420" w:type="dxa"/>
            <w:vAlign w:val="bottom"/>
          </w:tcPr>
          <w:p>
            <w:pPr>
              <w:jc w:val="center"/>
              <w:ind w:left="2846"/>
              <w:spacing w:after="0"/>
              <w:rPr>
                <w:sz w:val="20"/>
                <w:szCs w:val="20"/>
                <w:color w:val="auto"/>
              </w:rPr>
            </w:pPr>
            <w:r>
              <w:rPr>
                <w:rFonts w:ascii="Times New Roman" w:cs="Times New Roman" w:eastAsia="Times New Roman" w:hAnsi="Times New Roman"/>
                <w:sz w:val="19"/>
                <w:szCs w:val="19"/>
                <w:color w:val="auto"/>
                <w:w w:val="96"/>
              </w:rPr>
              <w:t>4.10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w w:val="78"/>
              </w:rPr>
              <w:t>“Affiliate Transaction”..................................................................................................................</w:t>
            </w:r>
          </w:p>
        </w:tc>
        <w:tc>
          <w:tcPr>
            <w:tcW w:w="4420" w:type="dxa"/>
            <w:vAlign w:val="bottom"/>
          </w:tcPr>
          <w:p>
            <w:pPr>
              <w:jc w:val="center"/>
              <w:ind w:left="2846"/>
              <w:spacing w:after="0"/>
              <w:rPr>
                <w:sz w:val="20"/>
                <w:szCs w:val="20"/>
                <w:color w:val="auto"/>
              </w:rPr>
            </w:pPr>
            <w:r>
              <w:rPr>
                <w:rFonts w:ascii="Times New Roman" w:cs="Times New Roman" w:eastAsia="Times New Roman" w:hAnsi="Times New Roman"/>
                <w:sz w:val="19"/>
                <w:szCs w:val="19"/>
                <w:color w:val="auto"/>
                <w:w w:val="96"/>
              </w:rPr>
              <w:t>4.11</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w w:val="77"/>
              </w:rPr>
              <w:t>“Alternate Offer” ............................................................................................................................</w:t>
            </w:r>
          </w:p>
        </w:tc>
        <w:tc>
          <w:tcPr>
            <w:tcW w:w="4420" w:type="dxa"/>
            <w:vAlign w:val="bottom"/>
          </w:tcPr>
          <w:p>
            <w:pPr>
              <w:jc w:val="center"/>
              <w:ind w:left="2846"/>
              <w:spacing w:after="0"/>
              <w:rPr>
                <w:sz w:val="20"/>
                <w:szCs w:val="20"/>
                <w:color w:val="auto"/>
              </w:rPr>
            </w:pPr>
            <w:r>
              <w:rPr>
                <w:rFonts w:ascii="Times New Roman" w:cs="Times New Roman" w:eastAsia="Times New Roman" w:hAnsi="Times New Roman"/>
                <w:sz w:val="19"/>
                <w:szCs w:val="19"/>
                <w:color w:val="auto"/>
                <w:w w:val="96"/>
              </w:rPr>
              <w:t>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60"/>
          </w:cols>
          <w:pgMar w:left="580" w:top="1440" w:right="559" w:bottom="1440" w:gutter="0" w:footer="0" w:header="0"/>
        </w:sectPr>
      </w:pPr>
    </w:p>
    <w:bookmarkStart w:id="111" w:name="page112"/>
    <w:bookmarkEnd w:id="111"/>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“Applicable Premium Deficit”......................................................................................................</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8.04</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“Asset Sale Offer”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4.10</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“Authentication Order”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2.02</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“Available Proceeds”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4.10</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“Change of Control Offer”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4.14</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“Change of Control Payment”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4.14</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“Change of Control Payment Date”...........................................................................................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4.14</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“Contributed Holdings Investments”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4.07</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“Covenant Defeasance”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8.03</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“Covenant Suspension Event”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4.16</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“Declined Excess Proceeds”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4.10</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“Directing Holder”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6.01</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“Election Date”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4.07</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“Event of Default”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6.01</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“Excess Proceeds”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4.10</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“Increased 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4.12</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“Initial Lien”....................................................................................................................................</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4.12</w:t>
            </w:r>
          </w:p>
        </w:tc>
        <w:tc>
          <w:tcPr>
            <w:tcW w:w="0" w:type="dxa"/>
            <w:vAlign w:val="bottom"/>
          </w:tcPr>
          <w:p>
            <w:pPr>
              <w:spacing w:after="0"/>
              <w:rPr>
                <w:sz w:val="1"/>
                <w:szCs w:val="1"/>
                <w:color w:val="auto"/>
              </w:rPr>
            </w:pPr>
          </w:p>
        </w:tc>
      </w:tr>
      <w:tr>
        <w:trPr>
          <w:trHeight w:val="244"/>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“Investment Grade Status”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4.16</w:t>
            </w:r>
          </w:p>
        </w:tc>
        <w:tc>
          <w:tcPr>
            <w:tcW w:w="0" w:type="dxa"/>
            <w:vAlign w:val="bottom"/>
          </w:tcPr>
          <w:p>
            <w:pPr>
              <w:spacing w:after="0"/>
              <w:rPr>
                <w:sz w:val="1"/>
                <w:szCs w:val="1"/>
                <w:color w:val="auto"/>
              </w:rPr>
            </w:pPr>
          </w:p>
        </w:tc>
      </w:tr>
      <w:tr>
        <w:trPr>
          <w:trHeight w:val="579"/>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Term</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Defined in</w:t>
            </w:r>
          </w:p>
        </w:tc>
        <w:tc>
          <w:tcPr>
            <w:tcW w:w="0" w:type="dxa"/>
            <w:vAlign w:val="bottom"/>
          </w:tcPr>
          <w:p>
            <w:pPr>
              <w:spacing w:after="0"/>
              <w:rPr>
                <w:sz w:val="1"/>
                <w:szCs w:val="1"/>
                <w:color w:val="auto"/>
              </w:rPr>
            </w:pPr>
          </w:p>
        </w:tc>
      </w:tr>
      <w:tr>
        <w:trPr>
          <w:trHeight w:val="244"/>
        </w:trPr>
        <w:tc>
          <w:tcPr>
            <w:tcW w:w="86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Section</w:t>
            </w:r>
          </w:p>
        </w:tc>
        <w:tc>
          <w:tcPr>
            <w:tcW w:w="0" w:type="dxa"/>
            <w:vAlign w:val="bottom"/>
          </w:tcPr>
          <w:p>
            <w:pPr>
              <w:spacing w:after="0"/>
              <w:rPr>
                <w:sz w:val="1"/>
                <w:szCs w:val="1"/>
                <w:color w:val="auto"/>
              </w:rPr>
            </w:pPr>
          </w:p>
        </w:tc>
      </w:tr>
      <w:tr>
        <w:trPr>
          <w:trHeight w:val="25"/>
        </w:trPr>
        <w:tc>
          <w:tcPr>
            <w:tcW w:w="8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86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“LCT Election”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4.09</w:t>
            </w:r>
          </w:p>
        </w:tc>
        <w:tc>
          <w:tcPr>
            <w:tcW w:w="0" w:type="dxa"/>
            <w:vAlign w:val="bottom"/>
          </w:tcPr>
          <w:p>
            <w:pPr>
              <w:spacing w:after="0"/>
              <w:rPr>
                <w:sz w:val="1"/>
                <w:szCs w:val="1"/>
                <w:color w:val="auto"/>
              </w:rPr>
            </w:pPr>
          </w:p>
        </w:tc>
      </w:tr>
      <w:tr>
        <w:trPr>
          <w:trHeight w:val="215"/>
        </w:trPr>
        <w:tc>
          <w:tcPr>
            <w:tcW w:w="860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“LCT Public Offer”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4.09</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“LCT Test Date”.............................................................................................................................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4.09</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“Legal Defeasance”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8.02</w:t>
            </w:r>
          </w:p>
        </w:tc>
        <w:tc>
          <w:tcPr>
            <w:tcW w:w="0" w:type="dxa"/>
            <w:vAlign w:val="bottom"/>
          </w:tcPr>
          <w:p>
            <w:pPr>
              <w:spacing w:after="0"/>
              <w:rPr>
                <w:sz w:val="1"/>
                <w:szCs w:val="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“Note Register”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2.03</w:t>
            </w:r>
          </w:p>
        </w:tc>
        <w:tc>
          <w:tcPr>
            <w:tcW w:w="0" w:type="dxa"/>
            <w:vAlign w:val="bottom"/>
          </w:tcPr>
          <w:p>
            <w:pPr>
              <w:spacing w:after="0"/>
              <w:rPr>
                <w:sz w:val="1"/>
                <w:szCs w:val="1"/>
                <w:color w:val="auto"/>
              </w:rPr>
            </w:pPr>
          </w:p>
        </w:tc>
      </w:tr>
      <w:tr>
        <w:trPr>
          <w:trHeight w:val="244"/>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auto"/>
              </w:rPr>
              <w:t>“Noteholder Direction” ..................................................................................................................</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6.01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080"/>
          </w:cols>
          <w:pgMar w:left="700" w:top="1440" w:right="1119" w:bottom="1440" w:gutter="0" w:footer="0" w:header="0"/>
        </w:sectPr>
      </w:pPr>
    </w:p>
    <w:bookmarkStart w:id="112" w:name="page113"/>
    <w:bookmarkEnd w:id="112"/>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“Offer Amount”..............................................................................................................................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“Paying Agent”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“Permitted Payments”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“Position Representation”.............................................................................................................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6.01</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“Proceeds Application Period”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“Purchase Date”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“Refinancing Indebtedness”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4.09</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“Refunding Capital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“Registrar”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“Reserved Indebtedness Amount”..............................................................................................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4.09</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“Restricted Payments”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“Reversion Date”............................................................................................................................</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“Second Commitment”.................................................................................................................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“Successor Company”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5.01</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“Successor Guarantor”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5.01</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“Suspended Covenants”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“Suspension Period”.......................................................................................................................</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“Tax Distribution”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“Tax Group”....................................................................................................................................</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w:t>
            </w:r>
          </w:p>
        </w:tc>
      </w:tr>
      <w:tr>
        <w:trPr>
          <w:trHeight w:val="243"/>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“Treasury Capital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w:t>
            </w:r>
          </w:p>
        </w:tc>
      </w:tr>
      <w:tr>
        <w:trPr>
          <w:trHeight w:val="244"/>
        </w:trPr>
        <w:tc>
          <w:tcPr>
            <w:tcW w:w="8240" w:type="dxa"/>
            <w:vAlign w:val="bottom"/>
          </w:tcPr>
          <w:p>
            <w:pPr>
              <w:spacing w:after="0"/>
              <w:rPr>
                <w:sz w:val="20"/>
                <w:szCs w:val="20"/>
                <w:color w:val="auto"/>
              </w:rPr>
            </w:pPr>
            <w:r>
              <w:rPr>
                <w:rFonts w:ascii="Times New Roman" w:cs="Times New Roman" w:eastAsia="Times New Roman" w:hAnsi="Times New Roman"/>
                <w:sz w:val="19"/>
                <w:szCs w:val="19"/>
                <w:color w:val="auto"/>
              </w:rPr>
              <w:t>“Verification Covenant” ...............................................................................................................</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6.01</w:t>
            </w:r>
          </w:p>
        </w:tc>
      </w:tr>
    </w:tbl>
    <w:p>
      <w:pPr>
        <w:spacing w:after="0" w:line="3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1.03</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1.04</w:t>
      </w:r>
      <w:r>
        <w:rPr>
          <w:sz w:val="20"/>
          <w:szCs w:val="20"/>
          <w:color w:val="auto"/>
        </w:rPr>
        <w:tab/>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Unless the context otherwise requires:</w:t>
      </w:r>
    </w:p>
    <w:p>
      <w:pPr>
        <w:spacing w:after="0" w:line="214" w:lineRule="exact"/>
        <w:rPr>
          <w:sz w:val="20"/>
          <w:szCs w:val="20"/>
          <w:color w:val="auto"/>
        </w:rPr>
      </w:pPr>
    </w:p>
    <w:p>
      <w:pPr>
        <w:ind w:left="1300" w:hanging="649"/>
        <w:spacing w:after="0"/>
        <w:tabs>
          <w:tab w:leader="none" w:pos="130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term has the meaning assigned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879"/>
          </w:cols>
          <w:pgMar w:left="580" w:top="1440" w:right="1440" w:bottom="1440" w:gutter="0" w:footer="0" w:header="0"/>
        </w:sectPr>
      </w:pPr>
    </w:p>
    <w:bookmarkStart w:id="113" w:name="page114"/>
    <w:bookmarkEnd w:id="113"/>
    <w:p>
      <w:pPr>
        <w:spacing w:after="0" w:line="199" w:lineRule="exact"/>
        <w:rPr>
          <w:sz w:val="20"/>
          <w:szCs w:val="20"/>
          <w:color w:val="auto"/>
        </w:rPr>
      </w:pPr>
    </w:p>
    <w:p>
      <w:pPr>
        <w:ind w:left="1280" w:hanging="629"/>
        <w:spacing w:after="0"/>
        <w:tabs>
          <w:tab w:leader="none" w:pos="128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accounting term not otherwise defined has the meaning assigned to it in accordance with GAAP;</w:t>
      </w:r>
    </w:p>
    <w:p>
      <w:pPr>
        <w:spacing w:after="0" w:line="213"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is not exclusive;</w:t>
      </w:r>
    </w:p>
    <w:p>
      <w:pPr>
        <w:spacing w:after="0" w:line="213"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words in the singular include the plural, and in the plural include the singular;</w:t>
      </w:r>
    </w:p>
    <w:p>
      <w:pPr>
        <w:spacing w:after="0" w:line="213"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shall be interpreted to express a command;</w:t>
      </w:r>
    </w:p>
    <w:p>
      <w:pPr>
        <w:spacing w:after="0" w:line="213"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apply to successive events and transactions;</w:t>
      </w:r>
    </w:p>
    <w:p>
      <w:pPr>
        <w:spacing w:after="0" w:line="200" w:lineRule="exact"/>
        <w:rPr>
          <w:rFonts w:ascii="Times New Roman" w:cs="Times New Roman" w:eastAsia="Times New Roman" w:hAnsi="Times New Roman"/>
          <w:sz w:val="19"/>
          <w:szCs w:val="19"/>
          <w:color w:val="auto"/>
        </w:rPr>
      </w:pPr>
    </w:p>
    <w:p>
      <w:pPr>
        <w:ind w:right="20" w:firstLine="650"/>
        <w:spacing w:after="0" w:line="280" w:lineRule="auto"/>
        <w:tabs>
          <w:tab w:leader="none" w:pos="1031"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sections, or rules under, the Securities Act shall be deemed to include substitute, replacement or successor sections or rules adopted by the SEC from time to time;</w:t>
      </w:r>
    </w:p>
    <w:p>
      <w:pPr>
        <w:spacing w:after="0" w:line="16" w:lineRule="exact"/>
        <w:rPr>
          <w:rFonts w:ascii="Times New Roman" w:cs="Times New Roman" w:eastAsia="Times New Roman" w:hAnsi="Times New Roman"/>
          <w:sz w:val="19"/>
          <w:szCs w:val="19"/>
          <w:color w:val="auto"/>
        </w:rPr>
      </w:pPr>
    </w:p>
    <w:p>
      <w:pPr>
        <w:ind w:right="20" w:firstLine="650"/>
        <w:spacing w:after="0" w:line="265" w:lineRule="auto"/>
        <w:tabs>
          <w:tab w:leader="none" w:pos="1031"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context otherwise requires, any reference to an “Article,” “Section,” “clause” or “Exhibit” refers to an Article, Section, clause or Exhibit, as the case may be, of this Indenture;</w:t>
      </w:r>
    </w:p>
    <w:p>
      <w:pPr>
        <w:spacing w:after="0" w:line="165" w:lineRule="exact"/>
        <w:rPr>
          <w:rFonts w:ascii="Times New Roman" w:cs="Times New Roman" w:eastAsia="Times New Roman" w:hAnsi="Times New Roman"/>
          <w:sz w:val="19"/>
          <w:szCs w:val="19"/>
          <w:color w:val="auto"/>
        </w:rPr>
      </w:pPr>
    </w:p>
    <w:p>
      <w:pPr>
        <w:ind w:firstLine="650"/>
        <w:spacing w:after="0" w:line="280" w:lineRule="auto"/>
        <w:tabs>
          <w:tab w:leader="none" w:pos="104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“herein,” “hereof” and “hereunder” and other words of similar import refer to this Indenture as a whole and not any particular Article, Section, clause, other subdivision or Exhibit;</w:t>
      </w:r>
    </w:p>
    <w:p>
      <w:pPr>
        <w:spacing w:after="0" w:line="138" w:lineRule="exact"/>
        <w:rPr>
          <w:rFonts w:ascii="Times New Roman" w:cs="Times New Roman" w:eastAsia="Times New Roman" w:hAnsi="Times New Roman"/>
          <w:sz w:val="19"/>
          <w:szCs w:val="19"/>
          <w:color w:val="auto"/>
        </w:rPr>
      </w:pPr>
    </w:p>
    <w:p>
      <w:pPr>
        <w:ind w:right="20" w:firstLine="650"/>
        <w:spacing w:after="0" w:line="295" w:lineRule="auto"/>
        <w:tabs>
          <w:tab w:leader="none" w:pos="104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amounts expressed in this Indenture or in any of the Notes in terms of money refer to the lawful currency of the United States of America;</w:t>
      </w:r>
    </w:p>
    <w:p>
      <w:pPr>
        <w:spacing w:after="0" w:line="97" w:lineRule="exact"/>
        <w:rPr>
          <w:rFonts w:ascii="Times New Roman" w:cs="Times New Roman" w:eastAsia="Times New Roman" w:hAnsi="Times New Roman"/>
          <w:sz w:val="19"/>
          <w:szCs w:val="19"/>
          <w:color w:val="auto"/>
        </w:rPr>
      </w:pPr>
    </w:p>
    <w:p>
      <w:pPr>
        <w:jc w:val="both"/>
        <w:ind w:firstLine="650"/>
        <w:spacing w:after="0" w:line="251" w:lineRule="auto"/>
        <w:tabs>
          <w:tab w:leader="none" w:pos="1031"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w:t>
      </w:r>
    </w:p>
    <w:p>
      <w:pPr>
        <w:spacing w:after="0" w:line="165"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“including” means “including, without limitation”;</w:t>
      </w:r>
    </w:p>
    <w:p>
      <w:pPr>
        <w:spacing w:after="0" w:line="227"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“property,” “properties,” “asset” and “assets” shall have the same meaning; and</w:t>
      </w:r>
    </w:p>
    <w:p>
      <w:pPr>
        <w:spacing w:after="0" w:line="186"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the terms “dissolution” and “liquidation” do not include a merger, amalgamation or similar</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Acts of Holders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50"/>
        <w:spacing w:after="0" w:line="237" w:lineRule="auto"/>
        <w:tabs>
          <w:tab w:leader="none" w:pos="1034"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to the Issuer. Proof of execution of any such instrument or of a writing appointing any such agent, or the holding by any Person of a Note, shall be sufficient for any purpose of this Indenture and (subject to Section 7.01) conclusive in favor of the Trustee and the Issuer, if made in the manner provided in this Section 1.05.</w:t>
      </w:r>
    </w:p>
    <w:p>
      <w:pPr>
        <w:spacing w:after="0" w:line="163" w:lineRule="exact"/>
        <w:rPr>
          <w:rFonts w:ascii="Times New Roman" w:cs="Times New Roman" w:eastAsia="Times New Roman" w:hAnsi="Times New Roman"/>
          <w:sz w:val="19"/>
          <w:szCs w:val="19"/>
          <w:color w:val="auto"/>
        </w:rPr>
      </w:pPr>
    </w:p>
    <w:p>
      <w:pPr>
        <w:jc w:val="both"/>
        <w:ind w:firstLine="650"/>
        <w:spacing w:after="0" w:line="235" w:lineRule="auto"/>
        <w:tabs>
          <w:tab w:leader="none" w:pos="1031"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fact and date of the execution by any Person of any such instrument or writing may be proved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214"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ownership of Notes shall be proved by the Note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60"/>
          </w:cols>
          <w:pgMar w:left="580" w:top="1440" w:right="559" w:bottom="1440" w:gutter="0" w:footer="0" w:header="0"/>
        </w:sectPr>
      </w:pPr>
    </w:p>
    <w:bookmarkStart w:id="114" w:name="page115"/>
    <w:bookmarkEnd w:id="114"/>
    <w:p>
      <w:pPr>
        <w:spacing w:after="0" w:line="172" w:lineRule="exact"/>
        <w:rPr>
          <w:sz w:val="20"/>
          <w:szCs w:val="20"/>
          <w:color w:val="auto"/>
        </w:rPr>
      </w:pPr>
    </w:p>
    <w:p>
      <w:pPr>
        <w:jc w:val="both"/>
        <w:ind w:right="20" w:firstLine="650"/>
        <w:spacing w:after="0" w:line="241" w:lineRule="auto"/>
        <w:tabs>
          <w:tab w:leader="none" w:pos="103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spacing w:after="0" w:line="188" w:lineRule="exact"/>
        <w:rPr>
          <w:rFonts w:ascii="Times New Roman" w:cs="Times New Roman" w:eastAsia="Times New Roman" w:hAnsi="Times New Roman"/>
          <w:sz w:val="19"/>
          <w:szCs w:val="19"/>
          <w:color w:val="auto"/>
        </w:rPr>
      </w:pPr>
    </w:p>
    <w:p>
      <w:pPr>
        <w:ind w:firstLine="650"/>
        <w:spacing w:after="0" w:line="235" w:lineRule="auto"/>
        <w:tabs>
          <w:tab w:leader="none" w:pos="1034"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spacing w:after="0" w:line="52" w:lineRule="exact"/>
        <w:rPr>
          <w:rFonts w:ascii="Times New Roman" w:cs="Times New Roman" w:eastAsia="Times New Roman" w:hAnsi="Times New Roman"/>
          <w:sz w:val="19"/>
          <w:szCs w:val="19"/>
          <w:color w:val="auto"/>
        </w:rPr>
      </w:pPr>
    </w:p>
    <w:p>
      <w:pPr>
        <w:jc w:val="both"/>
        <w:ind w:right="20" w:firstLine="650"/>
        <w:spacing w:after="0"/>
        <w:tabs>
          <w:tab w:leader="none" w:pos="104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1.05(f) shall have the same effect as if given or taken by separate Holders of each such different part.</w:t>
      </w:r>
    </w:p>
    <w:p>
      <w:pPr>
        <w:spacing w:after="0" w:line="163" w:lineRule="exact"/>
        <w:rPr>
          <w:rFonts w:ascii="Times New Roman" w:cs="Times New Roman" w:eastAsia="Times New Roman" w:hAnsi="Times New Roman"/>
          <w:sz w:val="19"/>
          <w:szCs w:val="19"/>
          <w:color w:val="auto"/>
        </w:rPr>
      </w:pPr>
    </w:p>
    <w:p>
      <w:pPr>
        <w:jc w:val="both"/>
        <w:ind w:firstLine="650"/>
        <w:spacing w:after="0" w:line="246" w:lineRule="auto"/>
        <w:tabs>
          <w:tab w:leader="none" w:pos="103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a Holder, including DTC that is the Holder of a Global Note, may make, give or take, by a proxy or proxies duly appointed in writing, any request, demand, authorization, direction, notice, consent, waiver or other action provided in this Indenture to be made, given or taken by Holders, and DTC that is the Holder of a Global Note may provide its proxy or proxies to the beneficial owners of interests in any such Global Notes through the standing instructions and customary practices of DTC.</w:t>
      </w:r>
    </w:p>
    <w:p>
      <w:pPr>
        <w:spacing w:after="0" w:line="157" w:lineRule="exact"/>
        <w:rPr>
          <w:rFonts w:ascii="Times New Roman" w:cs="Times New Roman" w:eastAsia="Times New Roman" w:hAnsi="Times New Roman"/>
          <w:sz w:val="19"/>
          <w:szCs w:val="19"/>
          <w:color w:val="auto"/>
        </w:rPr>
      </w:pPr>
    </w:p>
    <w:p>
      <w:pPr>
        <w:jc w:val="both"/>
        <w:ind w:firstLine="650"/>
        <w:spacing w:after="0" w:line="235" w:lineRule="auto"/>
        <w:tabs>
          <w:tab w:leader="none" w:pos="103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may fix a record date for the purpose of determining the Persons who are beneficial owners of interests in any Global Note held by DTC entitled under the procedures of DTC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w:t>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2 THE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Form and Dating; Terms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right="20" w:firstLine="650"/>
        <w:spacing w:after="0" w:line="241" w:lineRule="auto"/>
        <w:tabs>
          <w:tab w:leader="none" w:pos="1034"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The Notes and the Trustee’s certificate of authentication shall be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The Notes may have notations, legends or endorsements required by law, stock exchange rules or usage. Each Note shall be dated the date of its authentication. The Notes shall be in minimum denominations of $2,000 and integral multiples of $1,000 in excess thereof. For the avoidance of doubt, none of the Depositary, the Trustee or any Agent is required to monitor or enforce the minimum authorized amount.</w:t>
      </w:r>
    </w:p>
    <w:p>
      <w:pPr>
        <w:spacing w:after="0" w:line="161" w:lineRule="exact"/>
        <w:rPr>
          <w:rFonts w:ascii="Times New Roman" w:cs="Times New Roman" w:eastAsia="Times New Roman" w:hAnsi="Times New Roman"/>
          <w:sz w:val="19"/>
          <w:szCs w:val="19"/>
          <w:color w:val="auto"/>
        </w:rPr>
      </w:pPr>
    </w:p>
    <w:p>
      <w:pPr>
        <w:jc w:val="both"/>
        <w:ind w:firstLine="650"/>
        <w:spacing w:after="0" w:line="241" w:lineRule="auto"/>
        <w:tabs>
          <w:tab w:leader="none" w:pos="1031"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Global Notes</w:t>
      </w:r>
      <w:r>
        <w:rPr>
          <w:rFonts w:ascii="Times New Roman" w:cs="Times New Roman" w:eastAsia="Times New Roman" w:hAnsi="Times New Roman"/>
          <w:sz w:val="19"/>
          <w:szCs w:val="19"/>
          <w:color w:val="auto"/>
        </w:rPr>
        <w:t xml:space="preserve">. Notes issued in global form shall be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(including the Global Note Legend thereon and the “Schedule of Increases and Decreases in the Global Note” attached thereto). Notes issued in definitive form shall be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(but without the Global Note Legend thereon and without the “Schedule of Increases and Decreases in the Global Note” attached thereto). Each Global Note shall represent such of the outstanding Notes as shall be specified in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760"/>
          </w:cols>
          <w:pgMar w:left="580" w:top="1440" w:right="559" w:bottom="1440" w:gutter="0" w:footer="0" w:header="0"/>
        </w:sectPr>
      </w:pPr>
    </w:p>
    <w:bookmarkStart w:id="115" w:name="page116"/>
    <w:bookmarkEnd w:id="115"/>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“Schedule of Increases and Decreases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transfers, exchanges, repurchases and redemptions. Any endorsement of a Global Note to reflect the amount of any increase or decrease in the aggregate principal amount of outstanding Notes represented thereby shall be made by the Trustee (or by the Custodian, at the direction of the Trustee) in accordance with instructions given by the Holder thereof as required by Section 2.06 hereof.</w:t>
      </w:r>
    </w:p>
    <w:p>
      <w:pPr>
        <w:spacing w:after="0" w:line="150" w:lineRule="exact"/>
        <w:rPr>
          <w:sz w:val="20"/>
          <w:szCs w:val="20"/>
          <w:color w:val="auto"/>
        </w:rPr>
      </w:pPr>
    </w:p>
    <w:p>
      <w:pPr>
        <w:jc w:val="both"/>
        <w:ind w:firstLine="650"/>
        <w:spacing w:after="0" w:line="244" w:lineRule="auto"/>
        <w:tabs>
          <w:tab w:leader="none" w:pos="103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Regulation S Global Notes</w:t>
      </w:r>
      <w:r>
        <w:rPr>
          <w:rFonts w:ascii="Times New Roman" w:cs="Times New Roman" w:eastAsia="Times New Roman" w:hAnsi="Times New Roman"/>
          <w:sz w:val="19"/>
          <w:szCs w:val="19"/>
          <w:color w:val="auto"/>
        </w:rPr>
        <w:t>. Notes sold outside the United States pursuant to Regulation S under the Securities Act will be issued in the form of one or more permanent Global Notes without interest coupons attached (each, a “</w:t>
      </w:r>
      <w:r>
        <w:rPr>
          <w:rFonts w:ascii="Times New Roman" w:cs="Times New Roman" w:eastAsia="Times New Roman" w:hAnsi="Times New Roman"/>
          <w:sz w:val="19"/>
          <w:szCs w:val="19"/>
          <w:u w:val="single" w:color="auto"/>
          <w:color w:val="auto"/>
        </w:rPr>
        <w:t>Regulation S Global Note</w:t>
      </w:r>
      <w:r>
        <w:rPr>
          <w:rFonts w:ascii="Times New Roman" w:cs="Times New Roman" w:eastAsia="Times New Roman" w:hAnsi="Times New Roman"/>
          <w:sz w:val="19"/>
          <w:szCs w:val="19"/>
          <w:color w:val="auto"/>
        </w:rPr>
        <w:t>”). The Regulation S Global Notes shall be deposited on behalf of the purchasers of the Notes represented thereby with the Trustee, as Custodian for the Depositary, and registered in the name of the Depositary, duly executed by the Issuer and authenticated by the Trustee as hereinafter provided.</w:t>
      </w:r>
    </w:p>
    <w:p>
      <w:pPr>
        <w:spacing w:after="0" w:line="36" w:lineRule="exact"/>
        <w:rPr>
          <w:rFonts w:ascii="Times New Roman" w:cs="Times New Roman" w:eastAsia="Times New Roman" w:hAnsi="Times New Roman"/>
          <w:sz w:val="19"/>
          <w:szCs w:val="19"/>
          <w:color w:val="auto"/>
        </w:rPr>
      </w:pPr>
    </w:p>
    <w:p>
      <w:pPr>
        <w:jc w:val="both"/>
        <w:ind w:firstLine="650"/>
        <w:spacing w:after="0" w:line="253" w:lineRule="auto"/>
        <w:tabs>
          <w:tab w:leader="none" w:pos="1031"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144A Global Notes</w:t>
      </w:r>
      <w:r>
        <w:rPr>
          <w:rFonts w:ascii="Times New Roman" w:cs="Times New Roman" w:eastAsia="Times New Roman" w:hAnsi="Times New Roman"/>
          <w:sz w:val="19"/>
          <w:szCs w:val="19"/>
          <w:color w:val="auto"/>
        </w:rPr>
        <w:t>. Notes sold within the United States to qualified institutional buyers pursuant to Rule 144A under the Securities Act will initially be represented by one or more 144A Global Notes without interest coupons attached. The 144A Global Notes shall be deposited on behalf of the purchasers of the Notes represented thereby with the Trustee, as Custodian for the Depositary, and registered in the name of the Depositary, duly executed by the Issuer and authenticated by the Trustee as hereinafter provided.</w:t>
      </w:r>
    </w:p>
    <w:p>
      <w:pPr>
        <w:spacing w:after="0" w:line="145"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Terms</w:t>
      </w:r>
      <w:r>
        <w:rPr>
          <w:rFonts w:ascii="Times New Roman" w:cs="Times New Roman" w:eastAsia="Times New Roman" w:hAnsi="Times New Roman"/>
          <w:sz w:val="19"/>
          <w:szCs w:val="19"/>
          <w:color w:val="auto"/>
        </w:rPr>
        <w:t>. The aggregate principal amount of Notes that may be authenticated and delivered under this Indenture is unlimited.</w:t>
      </w:r>
    </w:p>
    <w:p>
      <w:pPr>
        <w:spacing w:after="0" w:line="200"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The terms and provisions contained in the Notes shall constitute, and are hereby expressly made, a part of this Indenture and the Issuer, Holdings,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62"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The Notes shall be subject to repurchase by the Issuer pursuant to an Asset Sale Offer as provided in Section 4.10 hereof or a Change of Control Offer as provided in Section 4.14 hereof. The Notes shall not be redeemable, other than as provided in Article 3 hereof.</w:t>
      </w:r>
    </w:p>
    <w:p>
      <w:pPr>
        <w:spacing w:after="0" w:line="134" w:lineRule="exact"/>
        <w:rPr>
          <w:sz w:val="20"/>
          <w:szCs w:val="20"/>
          <w:color w:val="auto"/>
        </w:rPr>
      </w:pPr>
    </w:p>
    <w:p>
      <w:pPr>
        <w:jc w:val="both"/>
        <w:ind w:firstLine="649"/>
        <w:spacing w:after="0" w:line="234" w:lineRule="auto"/>
        <w:rPr>
          <w:sz w:val="20"/>
          <w:szCs w:val="20"/>
          <w:color w:val="auto"/>
        </w:rPr>
      </w:pPr>
      <w:r>
        <w:rPr>
          <w:rFonts w:ascii="Times New Roman" w:cs="Times New Roman" w:eastAsia="Times New Roman" w:hAnsi="Times New Roman"/>
          <w:sz w:val="19"/>
          <w:szCs w:val="19"/>
          <w:color w:val="auto"/>
        </w:rPr>
        <w:t xml:space="preserve">Additional Notes ranking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the Initial Notes may be created and issued from time to time by the Issuer without notice to or consent of the Holders and shall be consolidated with and form a single class with the Initial Notes and shall have the same terms as to status, redemption or otherwise as the Initial Notes, except that the Additional Notes may have different issue prices and will have different issue dates, first Interest Payment Dates and first dates from which interest will accrue;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Issuer’s ability to issue Additional Notes shall be subject to the Issuer’s compliance with Section 4.09 and Section 4.12 hereof;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any Additional Notes will be issued with a separate CUSIP, ISIN or other identifying number unless the Additional Notes are issued pursuant to a “qualified reopening” of the original series, are otherwise treated as part of the same “issue” of debt instruments as the original series or are issued with less than a de minimis amount of original issue discount, in each case for U.S. federal income tax purposes. The terms of any Additional Notes, to the extent differing from the terms set forth in this Indenture and not otherwise specified in the Global Note or Definitive Note, as applicable, representing such Additional Notes, shall be set forth in an indenture supplemental to this Indenture.</w:t>
      </w:r>
    </w:p>
    <w:p>
      <w:pPr>
        <w:spacing w:after="0" w:line="169" w:lineRule="exact"/>
        <w:rPr>
          <w:sz w:val="20"/>
          <w:szCs w:val="20"/>
          <w:color w:val="auto"/>
        </w:rPr>
      </w:pPr>
    </w:p>
    <w:p>
      <w:pPr>
        <w:ind w:firstLine="650"/>
        <w:spacing w:after="0" w:line="280" w:lineRule="auto"/>
        <w:tabs>
          <w:tab w:leader="none" w:pos="104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Applicable Procedures</w:t>
      </w:r>
      <w:r>
        <w:rPr>
          <w:rFonts w:ascii="Times New Roman" w:cs="Times New Roman" w:eastAsia="Times New Roman" w:hAnsi="Times New Roman"/>
          <w:sz w:val="19"/>
          <w:szCs w:val="19"/>
          <w:color w:val="auto"/>
        </w:rPr>
        <w:t>. The Applicable Procedures shall be applicable to transfers of beneficial interests in the Global Notes that are held by Participants through DTC.</w:t>
      </w:r>
    </w:p>
    <w:p>
      <w:pPr>
        <w:spacing w:after="0" w:line="1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2.02</w:t>
      </w:r>
      <w:r>
        <w:rPr>
          <w:sz w:val="20"/>
          <w:szCs w:val="20"/>
          <w:color w:val="auto"/>
        </w:rPr>
        <w:tab/>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One Officer shall execute the Notes on behalf of each of the Issuer by manual, facsimile or other 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760"/>
          </w:cols>
          <w:pgMar w:left="580" w:top="1440" w:right="559" w:bottom="1440" w:gutter="0" w:footer="0" w:header="0"/>
        </w:sectPr>
      </w:pPr>
    </w:p>
    <w:bookmarkStart w:id="116" w:name="page117"/>
    <w:bookmarkEnd w:id="116"/>
    <w:p>
      <w:pPr>
        <w:spacing w:after="0" w:line="186" w:lineRule="exact"/>
        <w:rPr>
          <w:sz w:val="20"/>
          <w:szCs w:val="20"/>
          <w:color w:val="auto"/>
        </w:rPr>
      </w:pPr>
    </w:p>
    <w:p>
      <w:pPr>
        <w:ind w:right="40" w:firstLine="649"/>
        <w:spacing w:after="0" w:line="280" w:lineRule="auto"/>
        <w:rPr>
          <w:sz w:val="20"/>
          <w:szCs w:val="20"/>
          <w:color w:val="auto"/>
        </w:rPr>
      </w:pPr>
      <w:r>
        <w:rPr>
          <w:rFonts w:ascii="Times New Roman" w:cs="Times New Roman" w:eastAsia="Times New Roman" w:hAnsi="Times New Roman"/>
          <w:sz w:val="19"/>
          <w:szCs w:val="19"/>
          <w:color w:val="auto"/>
        </w:rPr>
        <w:t>If an Officer whose signature is on a Note no longer holds that office at the time a Note is authenticated, the Note shall nevertheless be valid.</w:t>
      </w:r>
    </w:p>
    <w:p>
      <w:pPr>
        <w:spacing w:after="0" w:line="125"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 xml:space="preserve">A Note shall not be entitled to any benefit under this Indenture or be valid or obligatory for any purpose until authenticated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by the manual signature of the Trustee. The signature shall be conclusive evidence that the Note has been duly authenticated and delivered under this Indenture. Notwithstanding the foregoing, if any Note shall have been authenticated and delivered hereunder but never issued and sold by the Issuer, the Issuer shall deliver such Note to the Trustee for cancellation as provided for in Section 2.11.</w:t>
      </w:r>
    </w:p>
    <w:p>
      <w:pPr>
        <w:spacing w:after="0" w:line="158" w:lineRule="exact"/>
        <w:rPr>
          <w:sz w:val="20"/>
          <w:szCs w:val="20"/>
          <w:color w:val="auto"/>
        </w:rPr>
      </w:pPr>
    </w:p>
    <w:p>
      <w:pPr>
        <w:jc w:val="both"/>
        <w:ind w:right="40" w:firstLine="649"/>
        <w:spacing w:after="0" w:line="251" w:lineRule="auto"/>
        <w:rPr>
          <w:sz w:val="20"/>
          <w:szCs w:val="20"/>
          <w:color w:val="auto"/>
        </w:rPr>
      </w:pPr>
      <w:r>
        <w:rPr>
          <w:rFonts w:ascii="Times New Roman" w:cs="Times New Roman" w:eastAsia="Times New Roman" w:hAnsi="Times New Roman"/>
          <w:sz w:val="19"/>
          <w:szCs w:val="19"/>
          <w:color w:val="auto"/>
        </w:rPr>
        <w:t>On the Issue Date, the Trustee shall, upon receipt of an Issuer Order (an “</w:t>
      </w:r>
      <w:r>
        <w:rPr>
          <w:rFonts w:ascii="Times New Roman" w:cs="Times New Roman" w:eastAsia="Times New Roman" w:hAnsi="Times New Roman"/>
          <w:sz w:val="19"/>
          <w:szCs w:val="19"/>
          <w:u w:val="single" w:color="auto"/>
          <w:color w:val="auto"/>
        </w:rPr>
        <w:t>Authentication Order</w:t>
      </w:r>
      <w:r>
        <w:rPr>
          <w:rFonts w:ascii="Times New Roman" w:cs="Times New Roman" w:eastAsia="Times New Roman" w:hAnsi="Times New Roman"/>
          <w:sz w:val="19"/>
          <w:szCs w:val="19"/>
          <w:color w:val="auto"/>
        </w:rPr>
        <w:t>”), authenticate and deliver the Initial Notes.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spacing w:after="0" w:line="165" w:lineRule="exact"/>
        <w:rPr>
          <w:sz w:val="20"/>
          <w:szCs w:val="20"/>
          <w:color w:val="auto"/>
        </w:rPr>
      </w:pPr>
    </w:p>
    <w:p>
      <w:pPr>
        <w:jc w:val="both"/>
        <w:ind w:right="40" w:firstLine="649"/>
        <w:spacing w:after="0" w:line="244" w:lineRule="auto"/>
        <w:rPr>
          <w:sz w:val="20"/>
          <w:szCs w:val="20"/>
          <w:color w:val="auto"/>
        </w:rPr>
      </w:pPr>
      <w:r>
        <w:rPr>
          <w:rFonts w:ascii="Times New Roman" w:cs="Times New Roman" w:eastAsia="Times New Roman" w:hAnsi="Times New Roman"/>
          <w:sz w:val="19"/>
          <w:szCs w:val="19"/>
          <w:color w:val="auto"/>
        </w:rPr>
        <w:t>The Issuer may appoint an authenticating agent acceptable to the Trustee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2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2.03</w:t>
      </w:r>
      <w:r>
        <w:rPr>
          <w:sz w:val="20"/>
          <w:szCs w:val="20"/>
          <w:color w:val="auto"/>
        </w:rPr>
        <w:tab/>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right="20" w:firstLine="649"/>
        <w:spacing w:after="0" w:line="272" w:lineRule="auto"/>
        <w:rPr>
          <w:sz w:val="20"/>
          <w:szCs w:val="20"/>
          <w:color w:val="auto"/>
        </w:rPr>
      </w:pPr>
      <w:r>
        <w:rPr>
          <w:rFonts w:ascii="Times New Roman" w:cs="Times New Roman" w:eastAsia="Times New Roman" w:hAnsi="Times New Roman"/>
          <w:sz w:val="18"/>
          <w:szCs w:val="18"/>
          <w:color w:val="auto"/>
        </w:rPr>
        <w:t>The Issuer shall maintain an office or agency where Notes may be presented for registration of transfer or for exchange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 office or agency to facilitate the transfer of the Notes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and an office or agency where the Notes may be presented for payment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The Registrar shall keep a register of the Notes (“</w:t>
      </w:r>
      <w:r>
        <w:rPr>
          <w:rFonts w:ascii="Times New Roman" w:cs="Times New Roman" w:eastAsia="Times New Roman" w:hAnsi="Times New Roman"/>
          <w:sz w:val="18"/>
          <w:szCs w:val="18"/>
          <w:u w:val="single" w:color="auto"/>
          <w:color w:val="auto"/>
        </w:rPr>
        <w:t>Note Register</w:t>
      </w:r>
      <w:r>
        <w:rPr>
          <w:rFonts w:ascii="Times New Roman" w:cs="Times New Roman" w:eastAsia="Times New Roman" w:hAnsi="Times New Roman"/>
          <w:sz w:val="18"/>
          <w:szCs w:val="18"/>
          <w:color w:val="auto"/>
        </w:rPr>
        <w:t>”) and of their transfer and exchange.</w:t>
      </w:r>
    </w:p>
    <w:p>
      <w:pPr>
        <w:spacing w:after="0" w:line="147" w:lineRule="exact"/>
        <w:rPr>
          <w:sz w:val="20"/>
          <w:szCs w:val="20"/>
          <w:color w:val="auto"/>
        </w:rPr>
      </w:pPr>
    </w:p>
    <w:p>
      <w:pPr>
        <w:jc w:val="both"/>
        <w:ind w:right="20" w:firstLine="649"/>
        <w:spacing w:after="0"/>
        <w:rPr>
          <w:sz w:val="20"/>
          <w:szCs w:val="20"/>
          <w:color w:val="auto"/>
        </w:rPr>
      </w:pPr>
      <w:r>
        <w:rPr>
          <w:rFonts w:ascii="Times New Roman" w:cs="Times New Roman" w:eastAsia="Times New Roman" w:hAnsi="Times New Roman"/>
          <w:sz w:val="19"/>
          <w:szCs w:val="19"/>
          <w:color w:val="auto"/>
        </w:rPr>
        <w:t>The Issuer may appoint one or more co-registrars and one or more additional paying agents. The term “Registrar” includes any co-registrar, and the term “Paying Agent” includes any additional paying agent. The Issuer may change any Paying Agent or Registrar without prior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Issuer initially appoints DTC to act as Depositary with respect to the Global Notes.</w:t>
      </w:r>
    </w:p>
    <w:p>
      <w:pPr>
        <w:spacing w:after="0" w:line="214" w:lineRule="exact"/>
        <w:rPr>
          <w:sz w:val="20"/>
          <w:szCs w:val="20"/>
          <w:color w:val="auto"/>
        </w:rPr>
      </w:pPr>
    </w:p>
    <w:p>
      <w:pPr>
        <w:ind w:right="60" w:firstLine="649"/>
        <w:spacing w:after="0" w:line="280" w:lineRule="auto"/>
        <w:rPr>
          <w:sz w:val="20"/>
          <w:szCs w:val="20"/>
          <w:color w:val="auto"/>
        </w:rPr>
      </w:pPr>
      <w:r>
        <w:rPr>
          <w:rFonts w:ascii="Times New Roman" w:cs="Times New Roman" w:eastAsia="Times New Roman" w:hAnsi="Times New Roman"/>
          <w:sz w:val="19"/>
          <w:szCs w:val="19"/>
          <w:color w:val="auto"/>
        </w:rPr>
        <w:t>The Issuer initially appoints the Trustee to act as the Paying Agent and Registrar for the Notes. The Trustee hereby accepts such appointment.</w:t>
      </w:r>
    </w:p>
    <w:p>
      <w:pPr>
        <w:spacing w:after="0" w:line="1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2.04</w:t>
      </w:r>
      <w:r>
        <w:rPr>
          <w:sz w:val="20"/>
          <w:szCs w:val="20"/>
          <w:color w:val="auto"/>
        </w:rPr>
        <w:tab/>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right="20" w:firstLine="649"/>
        <w:spacing w:after="0" w:line="234" w:lineRule="auto"/>
        <w:rPr>
          <w:sz w:val="20"/>
          <w:szCs w:val="20"/>
          <w:color w:val="auto"/>
        </w:rPr>
      </w:pPr>
      <w:r>
        <w:rPr>
          <w:rFonts w:ascii="Times New Roman" w:cs="Times New Roman" w:eastAsia="Times New Roman" w:hAnsi="Times New Roman"/>
          <w:sz w:val="19"/>
          <w:szCs w:val="19"/>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insolvency, bankruptcy or reorganization proceedings relating to the Issuer, the Trustee shall serve as Paying Agent for the Notes. A Paying Agent shall not be obliged to pay the Holders of the Notes (or make any other payments) unless and until such time as it has confirmed receipt of funds sufficient to make the relevant payment.</w:t>
      </w:r>
    </w:p>
    <w:p>
      <w:pPr>
        <w:spacing w:after="0" w:line="2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2.05</w:t>
      </w:r>
      <w:r>
        <w:rPr>
          <w:sz w:val="20"/>
          <w:szCs w:val="20"/>
          <w:color w:val="auto"/>
        </w:rPr>
        <w:tab/>
      </w:r>
      <w:r>
        <w:rPr>
          <w:rFonts w:ascii="Times New Roman" w:cs="Times New Roman" w:eastAsia="Times New Roman" w:hAnsi="Times New Roman"/>
          <w:sz w:val="18"/>
          <w:szCs w:val="18"/>
          <w:u w:val="single" w:color="auto"/>
          <w:color w:val="auto"/>
        </w:rPr>
        <w:t>Holder Lists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80"/>
          </w:cols>
          <w:pgMar w:left="580" w:top="1440" w:right="539" w:bottom="1440" w:gutter="0" w:footer="0" w:header="0"/>
        </w:sectPr>
      </w:pPr>
    </w:p>
    <w:bookmarkStart w:id="117" w:name="page118"/>
    <w:bookmarkEnd w:id="117"/>
    <w:p>
      <w:pPr>
        <w:spacing w:after="0" w:line="172" w:lineRule="exact"/>
        <w:rPr>
          <w:sz w:val="20"/>
          <w:szCs w:val="20"/>
          <w:color w:val="auto"/>
        </w:rPr>
      </w:pPr>
    </w:p>
    <w:p>
      <w:pPr>
        <w:jc w:val="both"/>
        <w:ind w:right="20" w:firstLine="649"/>
        <w:spacing w:after="0" w:line="241" w:lineRule="auto"/>
        <w:rPr>
          <w:sz w:val="20"/>
          <w:szCs w:val="20"/>
          <w:color w:val="auto"/>
        </w:rPr>
      </w:pPr>
      <w:r>
        <w:rPr>
          <w:rFonts w:ascii="Times New Roman" w:cs="Times New Roman" w:eastAsia="Times New Roman" w:hAnsi="Times New Roman"/>
          <w:sz w:val="19"/>
          <w:szCs w:val="19"/>
          <w:color w:val="auto"/>
        </w:rPr>
        <w:t>The Trustee shall preserve in as current a form as is reasonably practicable the most recent list available to it of the names and addresses of all Holders of the Notes.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w:t>
      </w: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2.06</w:t>
      </w:r>
      <w:r>
        <w:rPr>
          <w:sz w:val="20"/>
          <w:szCs w:val="20"/>
          <w:color w:val="auto"/>
        </w:rPr>
        <w:tab/>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1300" w:hanging="649"/>
        <w:spacing w:after="0"/>
        <w:tabs>
          <w:tab w:leader="none" w:pos="1300"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Global Notes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left="660" w:firstLine="726"/>
        <w:spacing w:after="0" w:line="239" w:lineRule="auto"/>
        <w:tabs>
          <w:tab w:leader="none" w:pos="1695" w:val="left"/>
        </w:tabs>
        <w:numPr>
          <w:ilvl w:val="2"/>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Global Notes</w:t>
      </w:r>
      <w:r>
        <w:rPr>
          <w:rFonts w:ascii="Times New Roman" w:cs="Times New Roman" w:eastAsia="Times New Roman" w:hAnsi="Times New Roman"/>
          <w:sz w:val="19"/>
          <w:szCs w:val="19"/>
          <w:color w:val="auto"/>
        </w:rPr>
        <w:t>. Except as otherwise set forth in this Section 2.06, a Global Note may be transferred, in whole and not in part, only to another nominee of the Depositary or to a successor Depositary or a nominee of such successor Depositary. A beneficial interest in a Global Note may not be exchanged for a Definitive Note unless (A) the Depositary</w:t>
      </w:r>
    </w:p>
    <w:p>
      <w:pPr>
        <w:spacing w:after="0" w:line="1" w:lineRule="exact"/>
        <w:rPr>
          <w:rFonts w:ascii="Times New Roman" w:cs="Times New Roman" w:eastAsia="Times New Roman" w:hAnsi="Times New Roman"/>
          <w:sz w:val="19"/>
          <w:szCs w:val="19"/>
          <w:color w:val="auto"/>
        </w:rPr>
      </w:pPr>
    </w:p>
    <w:p>
      <w:pPr>
        <w:jc w:val="both"/>
        <w:ind w:left="660" w:hanging="9"/>
        <w:spacing w:after="0" w:line="230" w:lineRule="auto"/>
        <w:tabs>
          <w:tab w:leader="none" w:pos="935"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notifies the Issuer that it is unwilling or unable to continue as Depositary for such Global Note or (y) has ceased to be a clearing agency registered under the Exchange Act and, in either case, a successor Depositary is not appointed by the Issuer within 180 days of such notice, (B) the Issuer, at its option, notifies the Trustee in writing that it elects to cause the issuance of Definitive Notes (provided that Regulation S Global Notes at the Issuer’s election pursuant to this clause may not be exchanged for Definitive Notes prior to (a) the expiration of the Restricted Period and (b) the receipt by the Issuer of any certificates required under the provisions of Regulation S) or (C) there shall have occurred and be continuing an Event of Default with respect to the Notes and the Depositary shall have requested the issuance of Definitive Notes. Upon the occurrence of any of the preceding events in (A), (B) or (C) above, Definitive Notes delivered in exchange for any Global Note or beneficial interests therein will be registered in the names, and issued in any approved denominations, requested by or on behalf of the Depositary (in accordance with its customary procedures).</w:t>
      </w:r>
    </w:p>
    <w:p>
      <w:pPr>
        <w:spacing w:after="0" w:line="174" w:lineRule="exact"/>
        <w:rPr>
          <w:rFonts w:ascii="Times New Roman" w:cs="Times New Roman" w:eastAsia="Times New Roman" w:hAnsi="Times New Roman"/>
          <w:sz w:val="19"/>
          <w:szCs w:val="19"/>
          <w:color w:val="auto"/>
        </w:rPr>
      </w:pPr>
    </w:p>
    <w:p>
      <w:pPr>
        <w:jc w:val="both"/>
        <w:ind w:left="660" w:firstLine="683"/>
        <w:spacing w:after="0" w:line="235" w:lineRule="auto"/>
        <w:tabs>
          <w:tab w:leader="none" w:pos="1691" w:val="left"/>
        </w:tabs>
        <w:numPr>
          <w:ilvl w:val="2"/>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except for Definitive Notes issued subsequent to any of the preceding events in (i) above and pursuant to Section 2.06(b)(ii)(B) and 2.06(c) hereof. A Global Note may not be exchanged for another Note other than as provided in this Section 2.06(a);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beneficial interests in a Global Note may be transferred and exchanged as provided in Section 2.06(b) or (c) hereof.</w:t>
      </w:r>
    </w:p>
    <w:p>
      <w:pPr>
        <w:spacing w:after="0" w:line="174" w:lineRule="exact"/>
        <w:rPr>
          <w:rFonts w:ascii="Times New Roman" w:cs="Times New Roman" w:eastAsia="Times New Roman" w:hAnsi="Times New Roman"/>
          <w:sz w:val="19"/>
          <w:szCs w:val="19"/>
          <w:color w:val="auto"/>
        </w:rPr>
      </w:pPr>
    </w:p>
    <w:p>
      <w:pPr>
        <w:jc w:val="both"/>
        <w:ind w:firstLine="650"/>
        <w:spacing w:after="0" w:line="239" w:lineRule="auto"/>
        <w:tabs>
          <w:tab w:leader="none" w:pos="1031"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Beneficial Interests in the Global Notes</w:t>
      </w:r>
      <w:r>
        <w:rPr>
          <w:rFonts w:ascii="Times New Roman" w:cs="Times New Roman" w:eastAsia="Times New Roman" w:hAnsi="Times New Roman"/>
          <w:sz w:val="19"/>
          <w:szCs w:val="19"/>
          <w:color w:val="auto"/>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subclauses (i) or</w:t>
      </w:r>
    </w:p>
    <w:p>
      <w:pPr>
        <w:ind w:left="280" w:hanging="279"/>
        <w:spacing w:after="0"/>
        <w:tabs>
          <w:tab w:leader="none" w:pos="28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below, as applicable, as well as one or more of the other following subclauses, as applicable:</w:t>
      </w:r>
    </w:p>
    <w:p>
      <w:pPr>
        <w:spacing w:after="0" w:line="166" w:lineRule="exact"/>
        <w:rPr>
          <w:rFonts w:ascii="Times New Roman" w:cs="Times New Roman" w:eastAsia="Times New Roman" w:hAnsi="Times New Roman"/>
          <w:sz w:val="19"/>
          <w:szCs w:val="19"/>
          <w:color w:val="auto"/>
        </w:rPr>
      </w:pPr>
    </w:p>
    <w:p>
      <w:pPr>
        <w:jc w:val="both"/>
        <w:ind w:left="660" w:firstLine="726"/>
        <w:spacing w:after="0" w:line="237" w:lineRule="auto"/>
        <w:tabs>
          <w:tab w:leader="none" w:pos="1695"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of Beneficial Interests in the Same Global Note</w:t>
      </w:r>
      <w:r>
        <w:rPr>
          <w:rFonts w:ascii="Times New Roman" w:cs="Times New Roman" w:eastAsia="Times New Roman" w:hAnsi="Times New Roman"/>
          <w:sz w:val="19"/>
          <w:szCs w:val="19"/>
          <w:color w:val="auto"/>
        </w:rPr>
        <w:t>. Beneficial interests in any Restricted Global Note may be transferred to Persons who take delivery thereof in the form of a beneficial interest in the same Restricted Global Note in accordance with the transfer restrictions set forth in the Private Placement Legend.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176" w:lineRule="exact"/>
        <w:rPr>
          <w:rFonts w:ascii="Times New Roman" w:cs="Times New Roman" w:eastAsia="Times New Roman" w:hAnsi="Times New Roman"/>
          <w:sz w:val="19"/>
          <w:szCs w:val="19"/>
          <w:color w:val="auto"/>
        </w:rPr>
      </w:pPr>
    </w:p>
    <w:p>
      <w:pPr>
        <w:jc w:val="both"/>
        <w:ind w:left="660" w:firstLine="683"/>
        <w:spacing w:after="0" w:line="237" w:lineRule="auto"/>
        <w:tabs>
          <w:tab w:leader="none" w:pos="1691"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All Other Transfers and Exchanges of Beneficial Interests in Global Notes</w:t>
      </w:r>
      <w:r>
        <w:rPr>
          <w:rFonts w:ascii="Times New Roman" w:cs="Times New Roman" w:eastAsia="Times New Roman" w:hAnsi="Times New Roman"/>
          <w:sz w:val="19"/>
          <w:szCs w:val="19"/>
          <w:color w:val="auto"/>
        </w:rPr>
        <w:t>.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760"/>
          </w:cols>
          <w:pgMar w:left="580" w:top="1440" w:right="559" w:bottom="1440" w:gutter="0" w:footer="0" w:header="0"/>
        </w:sectPr>
      </w:pPr>
    </w:p>
    <w:bookmarkStart w:id="118" w:name="page119"/>
    <w:bookmarkEnd w:id="118"/>
    <w:p>
      <w:pPr>
        <w:spacing w:after="0" w:line="19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Upon satisfaction of all of the requirements for transfer or exchange of beneficial interests in Global Notes contained in this Indenture and the Notes or otherwise applicable under the Securities Act, the Trustee shall adjust the principal amount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relevant Global Note(s) pursuant to Section 2.06(h) hereof.</w:t>
      </w:r>
    </w:p>
    <w:p>
      <w:pPr>
        <w:spacing w:after="0" w:line="185" w:lineRule="exact"/>
        <w:rPr>
          <w:sz w:val="20"/>
          <w:szCs w:val="20"/>
          <w:color w:val="auto"/>
        </w:rPr>
      </w:pPr>
    </w:p>
    <w:p>
      <w:pPr>
        <w:jc w:val="both"/>
        <w:ind w:firstLine="624"/>
        <w:spacing w:after="0" w:line="244" w:lineRule="auto"/>
        <w:tabs>
          <w:tab w:leader="none" w:pos="103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of Beneficial Interests to Another Restricted Global Note</w:t>
      </w:r>
      <w:r>
        <w:rPr>
          <w:rFonts w:ascii="Times New Roman" w:cs="Times New Roman" w:eastAsia="Times New Roman" w:hAnsi="Times New Roman"/>
          <w:sz w:val="19"/>
          <w:szCs w:val="19"/>
          <w:color w:val="auto"/>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p>
    <w:p>
      <w:pPr>
        <w:spacing w:after="0" w:line="170" w:lineRule="exact"/>
        <w:rPr>
          <w:rFonts w:ascii="Times New Roman" w:cs="Times New Roman" w:eastAsia="Times New Roman" w:hAnsi="Times New Roman"/>
          <w:sz w:val="19"/>
          <w:szCs w:val="19"/>
          <w:color w:val="auto"/>
        </w:rPr>
      </w:pPr>
    </w:p>
    <w:p>
      <w:pPr>
        <w:ind w:left="640" w:firstLine="647"/>
        <w:spacing w:after="0" w:line="265" w:lineRule="auto"/>
        <w:tabs>
          <w:tab w:leader="none" w:pos="1672"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transferee will take delivery in the form of a beneficial interest in a 144A Global Note,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(1) thereof; or</w:t>
      </w:r>
    </w:p>
    <w:p>
      <w:pPr>
        <w:spacing w:after="0" w:line="17" w:lineRule="exact"/>
        <w:rPr>
          <w:rFonts w:ascii="Times New Roman" w:cs="Times New Roman" w:eastAsia="Times New Roman" w:hAnsi="Times New Roman"/>
          <w:sz w:val="19"/>
          <w:szCs w:val="19"/>
          <w:color w:val="auto"/>
        </w:rPr>
      </w:pPr>
    </w:p>
    <w:p>
      <w:pPr>
        <w:ind w:left="640" w:firstLine="647"/>
        <w:spacing w:after="0" w:line="265" w:lineRule="auto"/>
        <w:tabs>
          <w:tab w:leader="none" w:pos="1675"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(2) thereof.</w:t>
      </w:r>
    </w:p>
    <w:p>
      <w:pPr>
        <w:spacing w:after="0" w:line="138" w:lineRule="exact"/>
        <w:rPr>
          <w:rFonts w:ascii="Times New Roman" w:cs="Times New Roman" w:eastAsia="Times New Roman" w:hAnsi="Times New Roman"/>
          <w:sz w:val="19"/>
          <w:szCs w:val="19"/>
          <w:color w:val="auto"/>
        </w:rPr>
      </w:pPr>
    </w:p>
    <w:p>
      <w:pPr>
        <w:jc w:val="both"/>
        <w:ind w:firstLine="639"/>
        <w:spacing w:after="0"/>
        <w:tabs>
          <w:tab w:leader="none" w:pos="103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19"/>
          <w:szCs w:val="19"/>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 the Registrar receives the following:</w:t>
      </w:r>
    </w:p>
    <w:p>
      <w:pPr>
        <w:spacing w:after="0" w:line="163" w:lineRule="exact"/>
        <w:rPr>
          <w:rFonts w:ascii="Times New Roman" w:cs="Times New Roman" w:eastAsia="Times New Roman" w:hAnsi="Times New Roman"/>
          <w:sz w:val="19"/>
          <w:szCs w:val="19"/>
          <w:color w:val="auto"/>
        </w:rPr>
      </w:pPr>
    </w:p>
    <w:p>
      <w:pPr>
        <w:jc w:val="both"/>
        <w:ind w:left="640" w:firstLine="647"/>
        <w:spacing w:after="0" w:line="244" w:lineRule="auto"/>
        <w:tabs>
          <w:tab w:leader="none" w:pos="1672"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beneficial interest in a Restricted Global Note proposes to exchange such beneficial interest for a beneficial interest in an Unrestricted Global Note, a certificate from the transferor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(1)(a) thereof; or</w:t>
      </w:r>
    </w:p>
    <w:p>
      <w:pPr>
        <w:spacing w:after="0" w:line="170" w:lineRule="exact"/>
        <w:rPr>
          <w:rFonts w:ascii="Times New Roman" w:cs="Times New Roman" w:eastAsia="Times New Roman" w:hAnsi="Times New Roman"/>
          <w:sz w:val="19"/>
          <w:szCs w:val="19"/>
          <w:color w:val="auto"/>
        </w:rPr>
      </w:pPr>
    </w:p>
    <w:p>
      <w:pPr>
        <w:jc w:val="both"/>
        <w:ind w:left="640" w:right="20" w:firstLine="647"/>
        <w:spacing w:after="0" w:line="244" w:lineRule="auto"/>
        <w:tabs>
          <w:tab w:leader="none" w:pos="1675"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the transferor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(4) thereof;</w:t>
      </w:r>
    </w:p>
    <w:p>
      <w:pPr>
        <w:spacing w:after="0" w:line="15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9"/>
          <w:szCs w:val="19"/>
          <w:color w:val="auto"/>
        </w:rPr>
        <w:t>and, in each such case set forth in this Section 2.06(b)(iv), if the Registrar or Issuer so request or if the Applicable Procedures so require,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7" w:lineRule="exact"/>
        <w:rPr>
          <w:sz w:val="20"/>
          <w:szCs w:val="20"/>
          <w:color w:val="auto"/>
        </w:rPr>
      </w:pPr>
    </w:p>
    <w:p>
      <w:pPr>
        <w:jc w:val="both"/>
        <w:ind w:firstLine="649"/>
        <w:spacing w:after="0" w:line="246" w:lineRule="auto"/>
        <w:rPr>
          <w:sz w:val="20"/>
          <w:szCs w:val="20"/>
          <w:color w:val="auto"/>
        </w:rPr>
      </w:pPr>
      <w:r>
        <w:rPr>
          <w:rFonts w:ascii="Times New Roman" w:cs="Times New Roman" w:eastAsia="Times New Roman" w:hAnsi="Times New Roman"/>
          <w:sz w:val="19"/>
          <w:szCs w:val="19"/>
          <w:color w:val="auto"/>
        </w:rPr>
        <w:t>If any such transfer is effected pursuant to this Section 2.06(b)(iv)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Section 2.06(b)(iv).</w:t>
      </w:r>
    </w:p>
    <w:p>
      <w:pPr>
        <w:spacing w:after="0" w:line="157" w:lineRule="exact"/>
        <w:rPr>
          <w:sz w:val="20"/>
          <w:szCs w:val="20"/>
          <w:color w:val="auto"/>
        </w:rPr>
      </w:pPr>
    </w:p>
    <w:p>
      <w:pPr>
        <w:ind w:right="20" w:firstLine="649"/>
        <w:spacing w:after="0" w:line="265" w:lineRule="auto"/>
        <w:rPr>
          <w:sz w:val="20"/>
          <w:szCs w:val="20"/>
          <w:color w:val="auto"/>
        </w:rPr>
      </w:pPr>
      <w:r>
        <w:rPr>
          <w:rFonts w:ascii="Times New Roman" w:cs="Times New Roman" w:eastAsia="Times New Roman" w:hAnsi="Times New Roman"/>
          <w:sz w:val="19"/>
          <w:szCs w:val="19"/>
          <w:color w:val="auto"/>
        </w:rPr>
        <w:t>Beneficial interests in an Unrestricted Global Note cannot be exchanged for, or transferred to Persons who take delivery thereof in the form of, a beneficial interest in a Restricted Global Note.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100"/>
          </w:cols>
          <w:pgMar w:left="1240" w:top="1440" w:right="559" w:bottom="1440" w:gutter="0" w:footer="0" w:header="0"/>
        </w:sectPr>
      </w:pPr>
    </w:p>
    <w:bookmarkStart w:id="119" w:name="page120"/>
    <w:bookmarkEnd w:id="119"/>
    <w:p>
      <w:pPr>
        <w:spacing w:after="0" w:line="199" w:lineRule="exact"/>
        <w:rPr>
          <w:sz w:val="20"/>
          <w:szCs w:val="20"/>
          <w:color w:val="auto"/>
        </w:rPr>
      </w:pPr>
    </w:p>
    <w:p>
      <w:pPr>
        <w:ind w:left="1300" w:hanging="649"/>
        <w:spacing w:after="0"/>
        <w:tabs>
          <w:tab w:leader="none" w:pos="130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or Exchange of Beneficial Interests for Definitive Notes</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jc w:val="both"/>
        <w:ind w:left="660" w:firstLine="726"/>
        <w:spacing w:after="0" w:line="246" w:lineRule="auto"/>
        <w:tabs>
          <w:tab w:leader="none" w:pos="1695" w:val="left"/>
        </w:tabs>
        <w:numPr>
          <w:ilvl w:val="2"/>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Beneficial Interests in Restricted Global Notes to Restricted Definitive Notes</w:t>
      </w:r>
      <w:r>
        <w:rPr>
          <w:rFonts w:ascii="Times New Roman" w:cs="Times New Roman" w:eastAsia="Times New Roman" w:hAnsi="Times New Roman"/>
          <w:sz w:val="19"/>
          <w:szCs w:val="19"/>
          <w:color w:val="auto"/>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clause (i) of Section 2.06(a) hereof and receipt by the Registrar of the following documentation:</w:t>
      </w:r>
    </w:p>
    <w:p>
      <w:pPr>
        <w:spacing w:after="0" w:line="143" w:lineRule="exact"/>
        <w:rPr>
          <w:rFonts w:ascii="Times New Roman" w:cs="Times New Roman" w:eastAsia="Times New Roman" w:hAnsi="Times New Roman"/>
          <w:sz w:val="19"/>
          <w:szCs w:val="19"/>
          <w:color w:val="auto"/>
        </w:rPr>
      </w:pPr>
    </w:p>
    <w:p>
      <w:pPr>
        <w:jc w:val="both"/>
        <w:ind w:left="660" w:right="20" w:firstLine="639"/>
        <w:spacing w:after="0" w:line="266" w:lineRule="auto"/>
        <w:tabs>
          <w:tab w:leader="none" w:pos="1693"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beneficial interest in a Restricted Global Note proposes to exchange such beneficial interest for a Restricted Definitive Note, a certificate from such holder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(2)(a) thereof;</w:t>
      </w:r>
    </w:p>
    <w:p>
      <w:pPr>
        <w:spacing w:after="0" w:line="137"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6"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to a QIB in accordance with Rule 144A,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(1) thereof;</w:t>
      </w:r>
    </w:p>
    <w:p>
      <w:pPr>
        <w:spacing w:after="0" w:line="151" w:lineRule="exact"/>
        <w:rPr>
          <w:rFonts w:ascii="Times New Roman" w:cs="Times New Roman" w:eastAsia="Times New Roman" w:hAnsi="Times New Roman"/>
          <w:sz w:val="19"/>
          <w:szCs w:val="19"/>
          <w:color w:val="auto"/>
        </w:rPr>
      </w:pPr>
    </w:p>
    <w:p>
      <w:pPr>
        <w:ind w:left="660" w:firstLine="639"/>
        <w:spacing w:after="0" w:line="265" w:lineRule="auto"/>
        <w:tabs>
          <w:tab w:leader="none" w:pos="1696"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to a Non-U.S. Person in an offshore transaction in accordance with Rule 903 or Rule 904,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(2) thereof;</w:t>
      </w:r>
    </w:p>
    <w:p>
      <w:pPr>
        <w:spacing w:after="0" w:line="30" w:lineRule="exact"/>
        <w:rPr>
          <w:rFonts w:ascii="Times New Roman" w:cs="Times New Roman" w:eastAsia="Times New Roman" w:hAnsi="Times New Roman"/>
          <w:sz w:val="19"/>
          <w:szCs w:val="19"/>
          <w:color w:val="auto"/>
        </w:rPr>
      </w:pPr>
    </w:p>
    <w:p>
      <w:pPr>
        <w:jc w:val="both"/>
        <w:ind w:left="660" w:right="20" w:firstLine="639"/>
        <w:spacing w:after="0" w:line="251" w:lineRule="auto"/>
        <w:tabs>
          <w:tab w:leader="none" w:pos="1693"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(3)(a ) thereof;</w:t>
      </w:r>
    </w:p>
    <w:p>
      <w:pPr>
        <w:spacing w:after="0" w:line="151"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9"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to the Issuer or any of its Restricted Subsidiaries,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(3)(b) thereof; or</w:t>
      </w:r>
    </w:p>
    <w:p>
      <w:pPr>
        <w:spacing w:after="0" w:line="138" w:lineRule="exact"/>
        <w:rPr>
          <w:rFonts w:ascii="Times New Roman" w:cs="Times New Roman" w:eastAsia="Times New Roman" w:hAnsi="Times New Roman"/>
          <w:sz w:val="19"/>
          <w:szCs w:val="19"/>
          <w:color w:val="auto"/>
        </w:rPr>
      </w:pPr>
    </w:p>
    <w:p>
      <w:pPr>
        <w:ind w:left="660" w:firstLine="639"/>
        <w:spacing w:after="0" w:line="265" w:lineRule="auto"/>
        <w:tabs>
          <w:tab w:leader="none" w:pos="1688"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pursuant to an effective registration statement under the Securities Act,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(3)(c) thereof,</w:t>
      </w:r>
    </w:p>
    <w:p>
      <w:pPr>
        <w:spacing w:after="0" w:line="15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Trustee shall cause the aggregate principal amount of the applicable Global Note to be reduced accordingly pursuant to Section 2.06(h) hereof, and the Issuer shall execute and upon receipt of an Authentication Order,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spacing w:after="0" w:line="151" w:lineRule="exact"/>
        <w:rPr>
          <w:sz w:val="20"/>
          <w:szCs w:val="20"/>
          <w:color w:val="auto"/>
        </w:rPr>
      </w:pPr>
    </w:p>
    <w:p>
      <w:pPr>
        <w:jc w:val="both"/>
        <w:ind w:left="660" w:firstLine="683"/>
        <w:spacing w:after="0" w:line="241" w:lineRule="auto"/>
        <w:tabs>
          <w:tab w:leader="none" w:pos="1691"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Beneficial Interests in Restricted Global Notes to Unrestricted Definitive Notes</w:t>
      </w:r>
      <w:r>
        <w:rPr>
          <w:rFonts w:ascii="Times New Roman" w:cs="Times New Roman" w:eastAsia="Times New Roman" w:hAnsi="Times New Roman"/>
          <w:sz w:val="19"/>
          <w:szCs w:val="19"/>
          <w:color w:val="auto"/>
        </w:rPr>
        <w:t>.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clause (i) of Section 2.06(a) hereof and if the Registrar receives the following:</w:t>
      </w:r>
    </w:p>
    <w:p>
      <w:pPr>
        <w:spacing w:after="0" w:line="175" w:lineRule="exact"/>
        <w:rPr>
          <w:rFonts w:ascii="Times New Roman" w:cs="Times New Roman" w:eastAsia="Times New Roman" w:hAnsi="Times New Roman"/>
          <w:sz w:val="19"/>
          <w:szCs w:val="19"/>
          <w:color w:val="auto"/>
        </w:rPr>
      </w:pPr>
    </w:p>
    <w:p>
      <w:pPr>
        <w:jc w:val="both"/>
        <w:ind w:left="660" w:right="20" w:firstLine="639"/>
        <w:spacing w:after="0" w:line="251" w:lineRule="auto"/>
        <w:tabs>
          <w:tab w:leader="none" w:pos="1693"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(1)(b) thereof; or</w:t>
      </w:r>
    </w:p>
    <w:p>
      <w:pPr>
        <w:spacing w:after="0" w:line="151" w:lineRule="exact"/>
        <w:rPr>
          <w:rFonts w:ascii="Times New Roman" w:cs="Times New Roman" w:eastAsia="Times New Roman" w:hAnsi="Times New Roman"/>
          <w:sz w:val="19"/>
          <w:szCs w:val="19"/>
          <w:color w:val="auto"/>
        </w:rPr>
      </w:pPr>
    </w:p>
    <w:p>
      <w:pPr>
        <w:ind w:left="660" w:firstLine="639"/>
        <w:spacing w:after="0" w:line="265" w:lineRule="auto"/>
        <w:tabs>
          <w:tab w:leader="none" w:pos="169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beneficial interest in a Restricted Global Note proposes to transfer such beneficial interest to a Person who shall take delivery thereof in the form of an Unrestricted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60"/>
          </w:cols>
          <w:pgMar w:left="580" w:top="1440" w:right="559" w:bottom="1440" w:gutter="0" w:footer="0" w:header="0"/>
        </w:sectPr>
      </w:pPr>
    </w:p>
    <w:bookmarkStart w:id="120" w:name="page121"/>
    <w:bookmarkEnd w:id="120"/>
    <w:p>
      <w:pPr>
        <w:spacing w:after="0" w:line="172" w:lineRule="exact"/>
        <w:rPr>
          <w:sz w:val="20"/>
          <w:szCs w:val="20"/>
          <w:color w:val="auto"/>
        </w:rPr>
      </w:pPr>
    </w:p>
    <w:p>
      <w:pPr>
        <w:ind w:left="660"/>
        <w:spacing w:after="0" w:line="265" w:lineRule="auto"/>
        <w:rPr>
          <w:sz w:val="20"/>
          <w:szCs w:val="20"/>
          <w:color w:val="auto"/>
        </w:rPr>
      </w:pPr>
      <w:r>
        <w:rPr>
          <w:rFonts w:ascii="Times New Roman" w:cs="Times New Roman" w:eastAsia="Times New Roman" w:hAnsi="Times New Roman"/>
          <w:sz w:val="19"/>
          <w:szCs w:val="19"/>
          <w:color w:val="auto"/>
        </w:rPr>
        <w:t xml:space="preserve">Definitive Note, a certificate from such holder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(4) thereof;</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and, in each such case, if the Registrar or Issuer so request or if the Applicable Procedures so require,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40" w:lineRule="exact"/>
        <w:rPr>
          <w:sz w:val="20"/>
          <w:szCs w:val="20"/>
          <w:color w:val="auto"/>
        </w:rPr>
      </w:pPr>
    </w:p>
    <w:p>
      <w:pPr>
        <w:jc w:val="both"/>
        <w:ind w:left="660" w:firstLine="624"/>
        <w:spacing w:after="0" w:line="235" w:lineRule="auto"/>
        <w:tabs>
          <w:tab w:leader="none" w:pos="1698" w:val="left"/>
        </w:tabs>
        <w:numPr>
          <w:ilvl w:val="2"/>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Beneficial Interests in Unrestricted Global Notes to Unrestricted Definitive Notes</w:t>
      </w:r>
      <w:r>
        <w:rPr>
          <w:rFonts w:ascii="Times New Roman" w:cs="Times New Roman" w:eastAsia="Times New Roman" w:hAnsi="Times New Roman"/>
          <w:sz w:val="19"/>
          <w:szCs w:val="19"/>
          <w:color w:val="auto"/>
        </w:rPr>
        <w:t>.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clause (i) of Section 2.06(a) hereof and satisfaction of the conditions set forth in Section 2.06(b)(ii) hereof, the Trustee shall cause the aggregate principal amount of the applicable Global Note to be reduced accordingly pursuant to Section 2.06(h) hereof, and the Issuer shall execute and, upon receipt of an Authentication Order, the Trustee shall authenticate and mail to the Person designated in the instructions a Definitive Note in the applicable principal amount. Any Definitive Note issued in exchange for a beneficial interest pursuant to this Section 2.06(c)(iii)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2.06(c)(iii) shall not bear the Private Placement Legend.</w:t>
      </w:r>
    </w:p>
    <w:p>
      <w:pPr>
        <w:spacing w:after="0" w:line="173"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Definitive Notes for Beneficial Interests</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jc w:val="both"/>
        <w:ind w:left="660" w:firstLine="726"/>
        <w:spacing w:after="0" w:line="237" w:lineRule="auto"/>
        <w:tabs>
          <w:tab w:leader="none" w:pos="1695" w:val="left"/>
        </w:tabs>
        <w:numPr>
          <w:ilvl w:val="2"/>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Definitive Notes to Beneficial Interests in Restricted Global Notes</w:t>
      </w:r>
      <w:r>
        <w:rPr>
          <w:rFonts w:ascii="Times New Roman" w:cs="Times New Roman" w:eastAsia="Times New Roman" w:hAnsi="Times New Roman"/>
          <w:sz w:val="19"/>
          <w:szCs w:val="19"/>
          <w:color w:val="auto"/>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176" w:lineRule="exact"/>
        <w:rPr>
          <w:rFonts w:ascii="Times New Roman" w:cs="Times New Roman" w:eastAsia="Times New Roman" w:hAnsi="Times New Roman"/>
          <w:sz w:val="19"/>
          <w:szCs w:val="19"/>
          <w:color w:val="auto"/>
        </w:rPr>
      </w:pPr>
    </w:p>
    <w:p>
      <w:pPr>
        <w:jc w:val="both"/>
        <w:ind w:left="660" w:right="20" w:firstLine="639"/>
        <w:spacing w:after="0" w:line="266" w:lineRule="auto"/>
        <w:tabs>
          <w:tab w:leader="none" w:pos="1693"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Restricted Definitive Note proposes to exchange such Note for a beneficial interest in a Restricted Global Note, a certificate from such Holder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(2)(b) thereof;</w:t>
      </w:r>
    </w:p>
    <w:p>
      <w:pPr>
        <w:spacing w:after="0" w:line="137" w:lineRule="exact"/>
        <w:rPr>
          <w:rFonts w:ascii="Times New Roman" w:cs="Times New Roman" w:eastAsia="Times New Roman" w:hAnsi="Times New Roman"/>
          <w:sz w:val="19"/>
          <w:szCs w:val="19"/>
          <w:color w:val="auto"/>
        </w:rPr>
      </w:pPr>
    </w:p>
    <w:p>
      <w:pPr>
        <w:ind w:left="660" w:firstLine="639"/>
        <w:spacing w:after="0" w:line="265" w:lineRule="auto"/>
        <w:tabs>
          <w:tab w:leader="none" w:pos="1696"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to a QIB in accordance with Rule 144A,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(1) thereof;</w:t>
      </w:r>
    </w:p>
    <w:p>
      <w:pPr>
        <w:spacing w:after="0" w:line="138"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6"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to a Non-U.S. Person in an offshore transaction in accordance with Rule 903 or Rule 904,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(2) thereof;</w:t>
      </w:r>
    </w:p>
    <w:p>
      <w:pPr>
        <w:spacing w:after="0" w:line="138" w:lineRule="exact"/>
        <w:rPr>
          <w:rFonts w:ascii="Times New Roman" w:cs="Times New Roman" w:eastAsia="Times New Roman" w:hAnsi="Times New Roman"/>
          <w:sz w:val="19"/>
          <w:szCs w:val="19"/>
          <w:color w:val="auto"/>
        </w:rPr>
      </w:pPr>
    </w:p>
    <w:p>
      <w:pPr>
        <w:jc w:val="both"/>
        <w:ind w:left="660" w:right="20" w:firstLine="639"/>
        <w:spacing w:after="0" w:line="258" w:lineRule="auto"/>
        <w:tabs>
          <w:tab w:leader="none" w:pos="1693"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(3)(a) thereof;</w:t>
      </w:r>
    </w:p>
    <w:p>
      <w:pPr>
        <w:spacing w:after="0" w:line="159" w:lineRule="exact"/>
        <w:rPr>
          <w:rFonts w:ascii="Times New Roman" w:cs="Times New Roman" w:eastAsia="Times New Roman" w:hAnsi="Times New Roman"/>
          <w:sz w:val="19"/>
          <w:szCs w:val="19"/>
          <w:color w:val="auto"/>
        </w:rPr>
      </w:pPr>
    </w:p>
    <w:p>
      <w:pPr>
        <w:ind w:left="660" w:right="20" w:firstLine="639"/>
        <w:spacing w:after="0" w:line="265" w:lineRule="auto"/>
        <w:tabs>
          <w:tab w:leader="none" w:pos="1699"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to the Issuer or any of its Restricted Subsidiaries,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(3)(b) thereof; or</w:t>
      </w:r>
    </w:p>
    <w:p>
      <w:pPr>
        <w:spacing w:after="0" w:line="152" w:lineRule="exact"/>
        <w:rPr>
          <w:rFonts w:ascii="Times New Roman" w:cs="Times New Roman" w:eastAsia="Times New Roman" w:hAnsi="Times New Roman"/>
          <w:sz w:val="19"/>
          <w:szCs w:val="19"/>
          <w:color w:val="auto"/>
        </w:rPr>
      </w:pPr>
    </w:p>
    <w:p>
      <w:pPr>
        <w:ind w:left="660" w:firstLine="639"/>
        <w:spacing w:after="0" w:line="280" w:lineRule="auto"/>
        <w:tabs>
          <w:tab w:leader="none" w:pos="1688"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pursuant to an effective registration statement under the Securities Act,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(3)(c) thereof,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760"/>
          </w:cols>
          <w:pgMar w:left="580" w:top="1440" w:right="559" w:bottom="1440" w:gutter="0" w:footer="0" w:header="0"/>
        </w:sectPr>
      </w:pPr>
    </w:p>
    <w:bookmarkStart w:id="121" w:name="page122"/>
    <w:bookmarkEnd w:id="121"/>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171" w:lineRule="exact"/>
        <w:rPr>
          <w:sz w:val="20"/>
          <w:szCs w:val="20"/>
          <w:color w:val="auto"/>
        </w:rPr>
      </w:pPr>
    </w:p>
    <w:p>
      <w:pPr>
        <w:jc w:val="both"/>
        <w:ind w:left="660" w:firstLine="683"/>
        <w:spacing w:after="0" w:line="241" w:lineRule="auto"/>
        <w:tabs>
          <w:tab w:leader="none" w:pos="1691"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Definitive Notes to Beneficial Interests in Unrestricted Global Notes</w:t>
      </w:r>
      <w:r>
        <w:rPr>
          <w:rFonts w:ascii="Times New Roman" w:cs="Times New Roman" w:eastAsia="Times New Roman" w:hAnsi="Times New Roman"/>
          <w:sz w:val="19"/>
          <w:szCs w:val="19"/>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61" w:lineRule="exact"/>
        <w:rPr>
          <w:rFonts w:ascii="Times New Roman" w:cs="Times New Roman" w:eastAsia="Times New Roman" w:hAnsi="Times New Roman"/>
          <w:sz w:val="19"/>
          <w:szCs w:val="19"/>
          <w:color w:val="auto"/>
        </w:rPr>
      </w:pPr>
    </w:p>
    <w:p>
      <w:pPr>
        <w:jc w:val="both"/>
        <w:ind w:left="660" w:firstLine="639"/>
        <w:spacing w:after="0" w:line="258" w:lineRule="auto"/>
        <w:tabs>
          <w:tab w:leader="none" w:pos="1693"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Definitive Notes proposes to exchange such Notes for a beneficial interest in the Unrestricted Global Note, a certificate from such Holder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(1)(c) thereof; or</w:t>
      </w:r>
    </w:p>
    <w:p>
      <w:pPr>
        <w:spacing w:after="0" w:line="159" w:lineRule="exact"/>
        <w:rPr>
          <w:rFonts w:ascii="Times New Roman" w:cs="Times New Roman" w:eastAsia="Times New Roman" w:hAnsi="Times New Roman"/>
          <w:sz w:val="19"/>
          <w:szCs w:val="19"/>
          <w:color w:val="auto"/>
        </w:rPr>
      </w:pPr>
    </w:p>
    <w:p>
      <w:pPr>
        <w:jc w:val="both"/>
        <w:ind w:left="660" w:firstLine="639"/>
        <w:spacing w:after="0" w:line="266" w:lineRule="auto"/>
        <w:tabs>
          <w:tab w:leader="none" w:pos="1696"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(4) thereof;</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and, in each such case set forth in this Section 2.06(d)(ii), if the Registrar or Issuer so request or if the Applicable Procedures so require,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2"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Upon satisfaction of the applicable conditions in this Section 2.06(d)(ii), the Trustee shall cancel the Definitive Notes and increase or cause to be increased the aggregate principal amount of the Unrestricted Global Note.</w:t>
      </w:r>
    </w:p>
    <w:p>
      <w:pPr>
        <w:spacing w:after="0" w:line="138" w:lineRule="exact"/>
        <w:rPr>
          <w:sz w:val="20"/>
          <w:szCs w:val="20"/>
          <w:color w:val="auto"/>
        </w:rPr>
      </w:pPr>
    </w:p>
    <w:p>
      <w:pPr>
        <w:jc w:val="both"/>
        <w:ind w:left="660" w:firstLine="624"/>
        <w:spacing w:after="0"/>
        <w:tabs>
          <w:tab w:leader="none" w:pos="1698"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Unrestricted Definitive Notes to Beneficial Interests in Unrestricted Global Notes</w:t>
      </w:r>
      <w:r>
        <w:rPr>
          <w:rFonts w:ascii="Times New Roman" w:cs="Times New Roman" w:eastAsia="Times New Roman" w:hAnsi="Times New Roman"/>
          <w:sz w:val="19"/>
          <w:szCs w:val="19"/>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77"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If any such exchange or transfer from a Definitive Note to a beneficial interest in an Unrestricted Global Note is effected pursuant to clauses (ii) or (iii)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63" w:lineRule="exact"/>
        <w:rPr>
          <w:sz w:val="20"/>
          <w:szCs w:val="20"/>
          <w:color w:val="auto"/>
        </w:rPr>
      </w:pPr>
    </w:p>
    <w:p>
      <w:pPr>
        <w:jc w:val="both"/>
        <w:ind w:firstLine="650"/>
        <w:spacing w:after="0"/>
        <w:tabs>
          <w:tab w:leader="none" w:pos="103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Definitive Notes for Definitive Notes</w:t>
      </w:r>
      <w:r>
        <w:rPr>
          <w:rFonts w:ascii="Times New Roman" w:cs="Times New Roman" w:eastAsia="Times New Roman" w:hAnsi="Times New Roman"/>
          <w:sz w:val="19"/>
          <w:szCs w:val="19"/>
          <w:color w:val="auto"/>
        </w:rPr>
        <w:t>. Upon request by a Holder of Definitive Notes and such Holder’s compliance with the provisions of this Section 2.06(e), the Registrar shall register the transfer or exchange of Definitive Notes for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spacing w:after="0" w:line="160" w:lineRule="exact"/>
        <w:rPr>
          <w:rFonts w:ascii="Times New Roman" w:cs="Times New Roman" w:eastAsia="Times New Roman" w:hAnsi="Times New Roman"/>
          <w:sz w:val="19"/>
          <w:szCs w:val="19"/>
          <w:color w:val="auto"/>
        </w:rPr>
      </w:pPr>
    </w:p>
    <w:p>
      <w:pPr>
        <w:jc w:val="both"/>
        <w:ind w:left="660" w:firstLine="726"/>
        <w:spacing w:after="0" w:line="251" w:lineRule="auto"/>
        <w:tabs>
          <w:tab w:leader="none" w:pos="1695"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Definitive Notes to Restricted Definitive Notes</w:t>
      </w:r>
      <w:r>
        <w:rPr>
          <w:rFonts w:ascii="Times New Roman" w:cs="Times New Roman" w:eastAsia="Times New Roman" w:hAnsi="Times New Roman"/>
          <w:sz w:val="19"/>
          <w:szCs w:val="19"/>
          <w:color w:val="auto"/>
        </w:rPr>
        <w:t>. Any Restricted Definitive Note may be transferred to and registered in the name of Persons who take delivery thereof in the form of a Restricted Definitive Note if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760"/>
          </w:cols>
          <w:pgMar w:left="580" w:top="1440" w:right="559" w:bottom="1440" w:gutter="0" w:footer="0" w:header="0"/>
        </w:sectPr>
      </w:pPr>
    </w:p>
    <w:bookmarkStart w:id="122" w:name="page123"/>
    <w:bookmarkEnd w:id="122"/>
    <w:p>
      <w:pPr>
        <w:spacing w:after="0" w:line="172" w:lineRule="exact"/>
        <w:rPr>
          <w:sz w:val="20"/>
          <w:szCs w:val="20"/>
          <w:color w:val="auto"/>
        </w:rPr>
      </w:pPr>
    </w:p>
    <w:p>
      <w:pPr>
        <w:ind w:left="1300" w:firstLine="647"/>
        <w:spacing w:after="0" w:line="280" w:lineRule="auto"/>
        <w:tabs>
          <w:tab w:leader="none" w:pos="2332"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 will be made pursuant to a QIB in accordance with Rule 144A, then the transferor must deliver a certificate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(1) thereof;</w:t>
      </w:r>
    </w:p>
    <w:p>
      <w:pPr>
        <w:spacing w:after="0" w:line="124" w:lineRule="exact"/>
        <w:rPr>
          <w:rFonts w:ascii="Times New Roman" w:cs="Times New Roman" w:eastAsia="Times New Roman" w:hAnsi="Times New Roman"/>
          <w:sz w:val="19"/>
          <w:szCs w:val="19"/>
          <w:color w:val="auto"/>
        </w:rPr>
      </w:pPr>
    </w:p>
    <w:p>
      <w:pPr>
        <w:ind w:left="1300" w:firstLine="647"/>
        <w:spacing w:after="0" w:line="280" w:lineRule="auto"/>
        <w:tabs>
          <w:tab w:leader="none" w:pos="2335"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(2) thereof; or</w:t>
      </w:r>
    </w:p>
    <w:p>
      <w:pPr>
        <w:spacing w:after="0" w:line="124" w:lineRule="exact"/>
        <w:rPr>
          <w:rFonts w:ascii="Times New Roman" w:cs="Times New Roman" w:eastAsia="Times New Roman" w:hAnsi="Times New Roman"/>
          <w:sz w:val="19"/>
          <w:szCs w:val="19"/>
          <w:color w:val="auto"/>
        </w:rPr>
      </w:pPr>
    </w:p>
    <w:p>
      <w:pPr>
        <w:jc w:val="both"/>
        <w:ind w:left="1300" w:firstLine="647"/>
        <w:spacing w:after="0" w:line="266" w:lineRule="auto"/>
        <w:tabs>
          <w:tab w:leader="none" w:pos="2335"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required by item (3) thereof, if applicable.</w:t>
      </w:r>
    </w:p>
    <w:p>
      <w:pPr>
        <w:spacing w:after="0" w:line="164" w:lineRule="exact"/>
        <w:rPr>
          <w:rFonts w:ascii="Times New Roman" w:cs="Times New Roman" w:eastAsia="Times New Roman" w:hAnsi="Times New Roman"/>
          <w:sz w:val="19"/>
          <w:szCs w:val="19"/>
          <w:color w:val="auto"/>
        </w:rPr>
      </w:pPr>
    </w:p>
    <w:p>
      <w:pPr>
        <w:jc w:val="both"/>
        <w:ind w:left="660" w:firstLine="683"/>
        <w:spacing w:after="0" w:line="244" w:lineRule="auto"/>
        <w:tabs>
          <w:tab w:leader="none" w:pos="1691"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Definitive Notes to Unrestricted Definitive Notes</w:t>
      </w:r>
      <w:r>
        <w:rPr>
          <w:rFonts w:ascii="Times New Roman" w:cs="Times New Roman" w:eastAsia="Times New Roman" w:hAnsi="Times New Roman"/>
          <w:sz w:val="19"/>
          <w:szCs w:val="19"/>
          <w:color w:val="auto"/>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157" w:lineRule="exact"/>
        <w:rPr>
          <w:rFonts w:ascii="Times New Roman" w:cs="Times New Roman" w:eastAsia="Times New Roman" w:hAnsi="Times New Roman"/>
          <w:sz w:val="19"/>
          <w:szCs w:val="19"/>
          <w:color w:val="auto"/>
        </w:rPr>
      </w:pPr>
    </w:p>
    <w:p>
      <w:pPr>
        <w:jc w:val="both"/>
        <w:ind w:left="1300" w:right="20" w:firstLine="647"/>
        <w:spacing w:after="0" w:line="258" w:lineRule="auto"/>
        <w:tabs>
          <w:tab w:leader="none" w:pos="2332"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Restricted Definitive Notes proposes to exchange such Notes for an Unrestricted Definitive Note, a certificate from such Holder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(1)(d) thereof; or</w:t>
      </w:r>
    </w:p>
    <w:p>
      <w:pPr>
        <w:spacing w:after="0" w:line="37" w:lineRule="exact"/>
        <w:rPr>
          <w:rFonts w:ascii="Times New Roman" w:cs="Times New Roman" w:eastAsia="Times New Roman" w:hAnsi="Times New Roman"/>
          <w:sz w:val="19"/>
          <w:szCs w:val="19"/>
          <w:color w:val="auto"/>
        </w:rPr>
      </w:pPr>
    </w:p>
    <w:p>
      <w:pPr>
        <w:jc w:val="both"/>
        <w:ind w:left="1300" w:right="20" w:firstLine="647"/>
        <w:spacing w:after="0" w:line="283" w:lineRule="auto"/>
        <w:tabs>
          <w:tab w:leader="none" w:pos="2335"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(4) thereof;</w:t>
      </w:r>
    </w:p>
    <w:p>
      <w:pPr>
        <w:spacing w:after="0" w:line="132"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19"/>
          <w:szCs w:val="19"/>
          <w:color w:val="auto"/>
        </w:rPr>
        <w:t>and, in each such case set forth in this Section 2.06(e)(ii), if the Registrar or Issuer so request,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jc w:val="both"/>
        <w:ind w:left="660" w:firstLine="624"/>
        <w:spacing w:after="0" w:line="241" w:lineRule="auto"/>
        <w:tabs>
          <w:tab w:leader="none" w:pos="1698"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Unrestricted Definitive Notes to Unrestricted Definitive Notes</w:t>
      </w:r>
      <w:r>
        <w:rPr>
          <w:rFonts w:ascii="Times New Roman" w:cs="Times New Roman" w:eastAsia="Times New Roman" w:hAnsi="Times New Roman"/>
          <w:sz w:val="19"/>
          <w:szCs w:val="19"/>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202"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ind w:firstLine="650"/>
        <w:spacing w:after="0" w:line="280" w:lineRule="auto"/>
        <w:tabs>
          <w:tab w:leader="none" w:pos="1031"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Legends</w:t>
      </w:r>
      <w:r>
        <w:rPr>
          <w:rFonts w:ascii="Times New Roman" w:cs="Times New Roman" w:eastAsia="Times New Roman" w:hAnsi="Times New Roman"/>
          <w:sz w:val="19"/>
          <w:szCs w:val="19"/>
          <w:color w:val="auto"/>
        </w:rPr>
        <w:t>. The following legends shall appear on the face of all Global Notes and Definitive Notes issued under this Indenture unless specifically stated otherwise in the applicable provisions of this Indenture:</w:t>
      </w:r>
    </w:p>
    <w:p>
      <w:pPr>
        <w:spacing w:after="0" w:line="151" w:lineRule="exact"/>
        <w:rPr>
          <w:rFonts w:ascii="Times New Roman" w:cs="Times New Roman" w:eastAsia="Times New Roman" w:hAnsi="Times New Roman"/>
          <w:sz w:val="19"/>
          <w:szCs w:val="19"/>
          <w:color w:val="auto"/>
        </w:rPr>
      </w:pPr>
    </w:p>
    <w:p>
      <w:pPr>
        <w:ind w:left="1940" w:hanging="554"/>
        <w:spacing w:after="0"/>
        <w:tabs>
          <w:tab w:leader="none" w:pos="1940" w:val="left"/>
        </w:tabs>
        <w:numPr>
          <w:ilvl w:val="2"/>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Private Placement Legend</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3"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by subclause (B) below, each Global Note and each Definitive Note (and all Notes issued in exchange therefor or substitution thereof) shall bear the legend in substantially the following form:</w:t>
      </w:r>
    </w:p>
    <w:p>
      <w:pPr>
        <w:spacing w:after="0" w:line="138" w:lineRule="exact"/>
        <w:rPr>
          <w:sz w:val="20"/>
          <w:szCs w:val="20"/>
          <w:color w:val="auto"/>
        </w:rPr>
      </w:pPr>
    </w:p>
    <w:p>
      <w:pPr>
        <w:jc w:val="both"/>
        <w:ind w:left="1300" w:right="660"/>
        <w:spacing w:after="0" w:line="237" w:lineRule="auto"/>
        <w:rPr>
          <w:sz w:val="20"/>
          <w:szCs w:val="20"/>
          <w:color w:val="auto"/>
        </w:rPr>
      </w:pPr>
      <w:r>
        <w:rPr>
          <w:rFonts w:ascii="Times New Roman" w:cs="Times New Roman" w:eastAsia="Times New Roman" w:hAnsi="Times New Roman"/>
          <w:sz w:val="19"/>
          <w:szCs w:val="19"/>
          <w:color w:val="auto"/>
        </w:rPr>
        <w:t>“THIS SECURITY HAS NOT BEEN AND WILL NOT BE REGISTERED UNDER THE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760"/>
          </w:cols>
          <w:pgMar w:left="580" w:top="1440" w:right="559" w:bottom="1440" w:gutter="0" w:footer="0" w:header="0"/>
        </w:sectPr>
      </w:pPr>
    </w:p>
    <w:bookmarkStart w:id="123" w:name="page124"/>
    <w:bookmarkEnd w:id="123"/>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NOT SUBJECT TO, THE REGISTRATION REQUIREMENTS OF THE SECURITIES ACT.</w:t>
      </w:r>
    </w:p>
    <w:p>
      <w:pPr>
        <w:spacing w:after="0" w:line="187" w:lineRule="exact"/>
        <w:rPr>
          <w:sz w:val="20"/>
          <w:szCs w:val="20"/>
          <w:color w:val="auto"/>
        </w:rPr>
      </w:pPr>
    </w:p>
    <w:p>
      <w:pPr>
        <w:jc w:val="both"/>
        <w:ind w:left="440" w:right="620"/>
        <w:spacing w:after="0" w:line="241" w:lineRule="auto"/>
        <w:rPr>
          <w:sz w:val="20"/>
          <w:szCs w:val="20"/>
          <w:color w:val="auto"/>
        </w:rPr>
      </w:pPr>
      <w:r>
        <w:rPr>
          <w:rFonts w:ascii="Times New Roman" w:cs="Times New Roman" w:eastAsia="Times New Roman" w:hAnsi="Times New Roman"/>
          <w:sz w:val="18"/>
          <w:szCs w:val="18"/>
          <w:color w:val="auto"/>
        </w:rPr>
        <w:t>THE HOLDER OF THIS SECURITY BY ITS ACCEPTANCE HEREOF (1) REPRESENTS THAT (A) IT IS A “QUALIFIED INSTITUTIONAL BUYER” (AS DEFINED IN RULE 144A UNDER THE SECURITIES ACT) OR (B) IT IS NOT A U.S. PERSON AND IT IS ACQUIRING THIS NOTE IN AN “OFFSHORE TRANSACTION” PURSUANT TO RULE 904 OF REGULATION S UNDER THE SECURITIES ACT, (2) AGREES ON ITS OWN BEHALF AND ON BEHALF OF ANY INVESTOR FOR WHICH IT HAS PURCHASED SECURITIES TO OFFER, SELL OR OTHERWISE TRANSFER SUCH SECURITY, PRIOR TO THE DATE (THE “RESALE RESTRICTION TERMINATION DATE”) WHICH IS [IN THE CASE OF RULE 144A NOTES: ONE YEAR AFTER THE LATER OF THE ORIGINAL ISSUE DATE OF SUCH SECURITIES, THE ORIGINAL ISSUE DATE OF THE ISSUANCE OF ANY ADDITIONAL SECURITIES AND THE LAST DATE ON WHICH THE ISSUER OR ANY AFFILIATE OF THE ISSUER WAS THE OWNER OF SUCH SECURITY (OR ANY PREDECESSOR OF SUCH SECURITY),] [IN THE CASE OF SECURITIES SOLD TO NON-U.S. PERSONS IN ACCORDANCE WITH REGULATION S: 40 DAYS AFTER THE LATER OF THE ORIGINAL ISSUE DATE OF THIS SECURITY AND THE DATE ON WHICH SUCH SECURITY (OR ANY PREDECESSOR OF SUCH SECURITY) WAS FIRST OFFERED TO PERSONS OTHER THAN DISTRIBUTORS (AS DEFINED IN RULE 902 OF REGULATION S) IN RELIANCE ON REGULATION S] ONLY (A) TO THE ISSUER OR ANY SUBSIDIARY THEREOF, (B) PURSUANT TO A REGISTRATION STATEMENT WHICH HAS BEEN DECLARED EFFECTIVE UNDER THE SECURITIES ACT, (C) FOR SO LONG AS THE SECURITIES ARE ELIGIBLE FOR RESALE PURSUANT TO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IN OFFSHORE TRANSACTIONS OUTSIDE THE UNITED STATES TO NON U.S. PERSONS IN COMPLIANCE WITH REGULATION S UNDER THE SECURITIES ACT OR (E) 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RIGHTS PRIOR TO ANY SUCH OFFER, SALE OR TRANSFER (I) PURSUANT TO CLAUSE (E) TO REQUIRE THE DELIVERY OF AN OPINION OF COUNSEL, CERTIFICATION AND/OR OTHER INFORMATION SATISFACTORY TO EACH OF THEM AND (II) IN EACH OF THE FOREGOING CASES, TO REQUIRE THAT A CERTIFICATE OF TRANSFER IN THE FORM APPEARING ON THE OTHER SIDE OF THIS SECURITY IS COMPLETED AND DELIVERED BY THE TRANSFEROR TO THE TRUSTEE AND (3) AGREES THAT IT WILL GIVE TO EACH PERSON TO WHOM THIS SECURITY IS TRANSFERRED A NOTICE SUBSTANTIALLY TO THE EFFECT OF THIS LEGEND.”</w:t>
      </w:r>
    </w:p>
    <w:p>
      <w:pPr>
        <w:spacing w:after="0" w:line="393" w:lineRule="exact"/>
        <w:rPr>
          <w:sz w:val="20"/>
          <w:szCs w:val="20"/>
          <w:color w:val="auto"/>
        </w:rPr>
      </w:pPr>
    </w:p>
    <w:p>
      <w:pPr>
        <w:jc w:val="both"/>
        <w:ind w:left="-200" w:firstLine="639"/>
        <w:spacing w:after="0" w:line="258" w:lineRule="auto"/>
        <w:tabs>
          <w:tab w:leader="none" w:pos="836"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any Global Note or Definitive Note issued pursuant to subclauses (b)(iv), (c)(iii), (c) (iv), (d)(ii), (d)(iii), (e)(ii), or (e)(iii) of this Section 2.06 (and all Notes issued in exchange therefor or substitution thereof) shall not bear the Private Placement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880"/>
          </w:cols>
          <w:pgMar w:left="1440" w:top="1440" w:right="579" w:bottom="1440" w:gutter="0" w:footer="0" w:header="0"/>
        </w:sectPr>
      </w:pPr>
    </w:p>
    <w:bookmarkStart w:id="124" w:name="page125"/>
    <w:bookmarkEnd w:id="124"/>
    <w:p>
      <w:pPr>
        <w:spacing w:after="0" w:line="186" w:lineRule="exact"/>
        <w:rPr>
          <w:sz w:val="20"/>
          <w:szCs w:val="20"/>
          <w:color w:val="auto"/>
        </w:rPr>
      </w:pPr>
    </w:p>
    <w:p>
      <w:pPr>
        <w:ind w:left="1080" w:hanging="597"/>
        <w:spacing w:after="0"/>
        <w:tabs>
          <w:tab w:leader="none" w:pos="108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Global Note Legend</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Each Global Note shall bear a legend in substantially the following form:</w:t>
      </w:r>
    </w:p>
    <w:p>
      <w:pPr>
        <w:spacing w:after="0" w:line="200" w:lineRule="exact"/>
        <w:rPr>
          <w:sz w:val="20"/>
          <w:szCs w:val="20"/>
          <w:color w:val="auto"/>
        </w:rPr>
      </w:pPr>
    </w:p>
    <w:p>
      <w:pPr>
        <w:jc w:val="both"/>
        <w:ind w:left="440"/>
        <w:spacing w:after="0" w:line="244"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w:t>
      </w:r>
    </w:p>
    <w:p>
      <w:pPr>
        <w:spacing w:after="0" w:line="7" w:lineRule="exact"/>
        <w:rPr>
          <w:sz w:val="20"/>
          <w:szCs w:val="20"/>
          <w:color w:val="auto"/>
        </w:rPr>
      </w:pPr>
    </w:p>
    <w:p>
      <w:pPr>
        <w:jc w:val="both"/>
        <w:ind w:left="440" w:hanging="1"/>
        <w:spacing w:after="0" w:line="236" w:lineRule="auto"/>
        <w:tabs>
          <w:tab w:leader="none" w:pos="645"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75" w:lineRule="exact"/>
        <w:rPr>
          <w:sz w:val="20"/>
          <w:szCs w:val="20"/>
          <w:color w:val="auto"/>
        </w:rPr>
      </w:pPr>
    </w:p>
    <w:p>
      <w:pPr>
        <w:ind w:left="1080" w:hanging="656"/>
        <w:spacing w:after="0"/>
        <w:tabs>
          <w:tab w:leader="none" w:pos="108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3" w:lineRule="exact"/>
        <w:rPr>
          <w:rFonts w:ascii="Times New Roman" w:cs="Times New Roman" w:eastAsia="Times New Roman" w:hAnsi="Times New Roman"/>
          <w:sz w:val="19"/>
          <w:szCs w:val="19"/>
          <w:color w:val="auto"/>
        </w:rPr>
      </w:pPr>
    </w:p>
    <w:p>
      <w:pPr>
        <w:ind w:left="1080" w:hanging="641"/>
        <w:spacing w:after="0"/>
        <w:tabs>
          <w:tab w:leader="none" w:pos="108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ERISA Legend</w:t>
      </w:r>
      <w:r>
        <w:rPr>
          <w:rFonts w:ascii="Times New Roman" w:cs="Times New Roman" w:eastAsia="Times New Roman" w:hAnsi="Times New Roman"/>
          <w:sz w:val="19"/>
          <w:szCs w:val="19"/>
          <w:color w:val="auto"/>
        </w:rPr>
        <w:t>. Each Global Note shall bear a legend in substantially the following form:</w:t>
      </w:r>
    </w:p>
    <w:p>
      <w:pPr>
        <w:spacing w:after="0" w:line="214" w:lineRule="exact"/>
        <w:rPr>
          <w:sz w:val="20"/>
          <w:szCs w:val="20"/>
          <w:color w:val="auto"/>
        </w:rPr>
      </w:pPr>
    </w:p>
    <w:p>
      <w:pPr>
        <w:jc w:val="both"/>
        <w:ind w:left="440" w:right="20"/>
        <w:spacing w:after="0" w:line="232" w:lineRule="auto"/>
        <w:rPr>
          <w:sz w:val="20"/>
          <w:szCs w:val="20"/>
          <w:color w:val="auto"/>
        </w:rPr>
      </w:pPr>
      <w:r>
        <w:rPr>
          <w:rFonts w:ascii="Times New Roman" w:cs="Times New Roman" w:eastAsia="Times New Roman" w:hAnsi="Times New Roman"/>
          <w:sz w:val="19"/>
          <w:szCs w:val="19"/>
          <w:color w:val="auto"/>
        </w:rPr>
        <w:t>“THE HOLDER OF THIS SECURITY BY ITS ACCEPTANCE HEREOF REPRESENTS AND WARRANTS THAT EITHER (I) NO PORTION OF THE ASSETS USED BY SUCH HOLDER TO PURCHASE OR HOLD THE NOTES (OR ANY INTEREST THEREIN) CONSTITUTES ASSETS OF ANY (A) EMPLOYEE BENEFIT PLAN THAT IS SUBJECT TO TITLE I OF THE EMPLOYEE RETIREMENT INCOME SECURITY ACT OF 1974, AS AMENDED (“ERISA”), (B) PLAN, INDIVIDUAL RETIREMENT ACCOUNT OR OTHER ARRANGEMENT THAT IS SUBJECT TO SECTION 4975 OF THE U.S. INTERNAL REVENUE CODE OF 1986, AS AMENDED (THE “CODE”) , (C) ANY GOVERNMENTAL, NON-U.S. OR OTHER PLAN OR RETIREMENT ARRANGEMENT THAT IS SUBJECT TO THE PROVISIONS OF ANY OTHER FEDERAL, STATE, LOCAL, NON-U.S. OR OTHER LAWS OR REGULATIONS THAT ARE SIMILAR TO TITLE I OF ERISA OR SECTION 4975 OF THE CODE (COLLECTIVELY, “SIMILAR LAWS”), OR (D) ANY ENTITY OR ACCOUNT WHOSE UNDERLYING ASSETS ARE CONSIDERED TO INCLUDE “PLAN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9260"/>
          </w:cols>
          <w:pgMar w:left="1440" w:top="1440" w:right="1199" w:bottom="1440" w:gutter="0" w:footer="0" w:header="0"/>
        </w:sectPr>
      </w:pPr>
    </w:p>
    <w:bookmarkStart w:id="125" w:name="page126"/>
    <w:bookmarkEnd w:id="125"/>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ASSETS” OF ANY SUCH PLAN, ACCOUNT OR ARRANGEMENT DESCRIBED IN CLAUSE (A) OR (B)</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(EACH OF THE FOREGOING CLAUSES (A), (B) (C) AND (D), REFERRED TO AS A “PLAN”) OR (II) (A)</w:t>
      </w:r>
    </w:p>
    <w:p>
      <w:pPr>
        <w:jc w:val="both"/>
        <w:ind w:left="1300" w:right="660"/>
        <w:spacing w:after="0" w:line="230" w:lineRule="auto"/>
        <w:rPr>
          <w:sz w:val="20"/>
          <w:szCs w:val="20"/>
          <w:color w:val="auto"/>
        </w:rPr>
      </w:pPr>
      <w:r>
        <w:rPr>
          <w:rFonts w:ascii="Times New Roman" w:cs="Times New Roman" w:eastAsia="Times New Roman" w:hAnsi="Times New Roman"/>
          <w:sz w:val="19"/>
          <w:szCs w:val="19"/>
          <w:color w:val="auto"/>
        </w:rPr>
        <w:t>THE PURCHASE AND HOLDING OF THE NOTES (OR ANY INTEREST THEREIN) WILL NOT CONSTITUTE A NON-EXEMPT PROHIBITED TRANSACTION UNDER SECTION 406 OF ERISA OR SECTION 4975 OF THE CODE OR A VIOLATION UNDER ANY APPLICABLE SIMILAR LAWS AND (B) NONE OF THE ISSUER, THE GUARANTOR, OR THEIR RESPECTIVE AFFILIATES IS ACTING AS A FIDUCIARY, OR PROVIDING ANY INVESTMENT OR OTHER ADVICE, TO SUCH PURCHASER OR TRANSFEREE WITH RESPECT TO THE DECISION TO PURCHASE OR HOLD THE NOTES, AND (C) NONE OF THE INITIAL PURCHASERS OR ANY OF THEIR RESPECTIVE AFFILIATES IS ACTING AS A FIDUCIARY, OR PROVIDING ANY INVESTMENT OR OTHER ADVICE, TO SUCH PURCHASER OR TRANSFEREE WITH RESPECT TO THE DECISION TO PURCHASE OR HOLD THE NOTES.”</w:t>
      </w:r>
    </w:p>
    <w:p>
      <w:pPr>
        <w:spacing w:after="0" w:line="148" w:lineRule="exact"/>
        <w:rPr>
          <w:sz w:val="20"/>
          <w:szCs w:val="20"/>
          <w:color w:val="auto"/>
        </w:rPr>
      </w:pPr>
    </w:p>
    <w:p>
      <w:pPr>
        <w:jc w:val="both"/>
        <w:ind w:firstLine="650"/>
        <w:spacing w:after="0" w:line="235" w:lineRule="auto"/>
        <w:tabs>
          <w:tab w:leader="none" w:pos="1031"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Cancellation and/or Adjustment of Global Notes</w:t>
      </w:r>
      <w:r>
        <w:rPr>
          <w:rFonts w:ascii="Times New Roman" w:cs="Times New Roman" w:eastAsia="Times New Roman" w:hAnsi="Times New Roman"/>
          <w:sz w:val="19"/>
          <w:szCs w:val="19"/>
          <w:color w:val="auto"/>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32"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Provisions Relating to Transfers and Exchanges</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jc w:val="both"/>
        <w:ind w:left="660" w:right="20" w:firstLine="726"/>
        <w:spacing w:after="0" w:line="266" w:lineRule="auto"/>
        <w:tabs>
          <w:tab w:leader="none" w:pos="1695"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151" w:lineRule="exact"/>
        <w:rPr>
          <w:rFonts w:ascii="Times New Roman" w:cs="Times New Roman" w:eastAsia="Times New Roman" w:hAnsi="Times New Roman"/>
          <w:sz w:val="19"/>
          <w:szCs w:val="19"/>
          <w:color w:val="auto"/>
        </w:rPr>
      </w:pPr>
    </w:p>
    <w:p>
      <w:pPr>
        <w:jc w:val="both"/>
        <w:ind w:left="660" w:firstLine="683"/>
        <w:spacing w:after="0" w:line="246" w:lineRule="auto"/>
        <w:tabs>
          <w:tab w:leader="none" w:pos="1691"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2.07, 2.10, 3.06, 3.09, 4.10, 4.14 and 9.05 hereof).</w:t>
      </w:r>
    </w:p>
    <w:p>
      <w:pPr>
        <w:spacing w:after="0" w:line="143" w:lineRule="exact"/>
        <w:rPr>
          <w:rFonts w:ascii="Times New Roman" w:cs="Times New Roman" w:eastAsia="Times New Roman" w:hAnsi="Times New Roman"/>
          <w:sz w:val="19"/>
          <w:szCs w:val="19"/>
          <w:color w:val="auto"/>
        </w:rPr>
      </w:pPr>
    </w:p>
    <w:p>
      <w:pPr>
        <w:ind w:left="660" w:right="20" w:firstLine="624"/>
        <w:spacing w:after="0" w:line="280" w:lineRule="auto"/>
        <w:tabs>
          <w:tab w:leader="none" w:pos="1698"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Registrar nor the Issuer shall be required to register the transfer of or exchange any Note selected for redemption in whole or in part, except the unredeemed portion of any Note being redeemed in part.</w:t>
      </w:r>
    </w:p>
    <w:p>
      <w:pPr>
        <w:spacing w:after="0" w:line="138" w:lineRule="exact"/>
        <w:rPr>
          <w:rFonts w:ascii="Times New Roman" w:cs="Times New Roman" w:eastAsia="Times New Roman" w:hAnsi="Times New Roman"/>
          <w:sz w:val="19"/>
          <w:szCs w:val="19"/>
          <w:color w:val="auto"/>
        </w:rPr>
      </w:pPr>
    </w:p>
    <w:p>
      <w:pPr>
        <w:jc w:val="both"/>
        <w:ind w:left="660" w:firstLine="639"/>
        <w:spacing w:after="0" w:line="244" w:lineRule="auto"/>
        <w:tabs>
          <w:tab w:leader="none" w:pos="1690"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84" w:lineRule="exact"/>
        <w:rPr>
          <w:rFonts w:ascii="Times New Roman" w:cs="Times New Roman" w:eastAsia="Times New Roman" w:hAnsi="Times New Roman"/>
          <w:sz w:val="19"/>
          <w:szCs w:val="19"/>
          <w:color w:val="auto"/>
        </w:rPr>
      </w:pPr>
    </w:p>
    <w:p>
      <w:pPr>
        <w:jc w:val="both"/>
        <w:ind w:left="660" w:firstLine="683"/>
        <w:spacing w:after="0" w:line="237" w:lineRule="auto"/>
        <w:tabs>
          <w:tab w:leader="none" w:pos="1694"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or tendered (and not withdrawn) for repurchase in connection with a Change of Control Offer, an Asset Sale Offer or other tender offer, in whole or in part, except the unredeemed portion of any Note being redeemed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760"/>
          </w:cols>
          <w:pgMar w:left="580" w:top="1440" w:right="559" w:bottom="1440" w:gutter="0" w:footer="0" w:header="0"/>
        </w:sectPr>
      </w:pPr>
    </w:p>
    <w:bookmarkStart w:id="126" w:name="page127"/>
    <w:bookmarkEnd w:id="126"/>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 or (C) to register the transfer of or to exchange a Note between a Record Date and the next succeeding Interest Payment Date.</w:t>
      </w:r>
    </w:p>
    <w:p>
      <w:pPr>
        <w:spacing w:after="0" w:line="185" w:lineRule="exact"/>
        <w:rPr>
          <w:sz w:val="20"/>
          <w:szCs w:val="20"/>
          <w:color w:val="auto"/>
        </w:rPr>
      </w:pPr>
    </w:p>
    <w:p>
      <w:pPr>
        <w:jc w:val="both"/>
        <w:ind w:left="660" w:firstLine="639"/>
        <w:spacing w:after="0" w:line="246" w:lineRule="auto"/>
        <w:tabs>
          <w:tab w:leader="none" w:pos="169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due presentment for the registration of a transfer of any Note, the Trustee, the Notes Collateral Agent, any Agent and the Issuer may deem and treat the Person in whose name any Note is registered as the absolute owner of such Note for the purpose of receiving payment of principal of (and premium, if any) and interest on such Notes and for all other purposes, and none of the Trustee, the Notes Collateral Agent, any Agent or the Issuer shall be affected by notice to the contrary.</w:t>
      </w:r>
    </w:p>
    <w:p>
      <w:pPr>
        <w:spacing w:after="0" w:line="157" w:lineRule="exact"/>
        <w:rPr>
          <w:rFonts w:ascii="Times New Roman" w:cs="Times New Roman" w:eastAsia="Times New Roman" w:hAnsi="Times New Roman"/>
          <w:sz w:val="19"/>
          <w:szCs w:val="19"/>
          <w:color w:val="auto"/>
        </w:rPr>
      </w:pPr>
    </w:p>
    <w:p>
      <w:pPr>
        <w:jc w:val="both"/>
        <w:ind w:left="660" w:right="20" w:firstLine="581"/>
        <w:spacing w:after="0" w:line="241" w:lineRule="auto"/>
        <w:tabs>
          <w:tab w:leader="none" w:pos="1697"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surrender for registration of transfer of any Note at the office or agency of the Issuer designated pursuant to Section 4.02 hereof, the Issuer shall execute, and the Trustee shall authenticate and deliver, in the name of the designated transferee or transferees, one or more replacement Notes of any authorized denomination or denominations of a like aggregate principal amount.</w:t>
      </w:r>
    </w:p>
    <w:p>
      <w:pPr>
        <w:spacing w:after="0" w:line="175" w:lineRule="exact"/>
        <w:rPr>
          <w:rFonts w:ascii="Times New Roman" w:cs="Times New Roman" w:eastAsia="Times New Roman" w:hAnsi="Times New Roman"/>
          <w:sz w:val="19"/>
          <w:szCs w:val="19"/>
          <w:color w:val="auto"/>
        </w:rPr>
      </w:pPr>
    </w:p>
    <w:p>
      <w:pPr>
        <w:jc w:val="both"/>
        <w:ind w:left="660" w:firstLine="538"/>
        <w:spacing w:after="0"/>
        <w:tabs>
          <w:tab w:leader="none" w:pos="1693"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option of the Holder, Notes may be exchanged for other Notes in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deliver, the replacement Global Notes and Definitive Notes which the Holder making the exchange is entitled to in accordance with the provisions of Section 2.02 hereof.</w:t>
      </w:r>
    </w:p>
    <w:p>
      <w:pPr>
        <w:spacing w:after="0" w:line="163" w:lineRule="exact"/>
        <w:rPr>
          <w:rFonts w:ascii="Times New Roman" w:cs="Times New Roman" w:eastAsia="Times New Roman" w:hAnsi="Times New Roman"/>
          <w:sz w:val="19"/>
          <w:szCs w:val="19"/>
          <w:color w:val="auto"/>
        </w:rPr>
      </w:pPr>
    </w:p>
    <w:p>
      <w:pPr>
        <w:ind w:left="660" w:firstLine="639"/>
        <w:spacing w:after="0" w:line="265" w:lineRule="auto"/>
        <w:tabs>
          <w:tab w:leader="none" w:pos="169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certifications, certificates and Opinions of Counsel required to be submitted to the Registrar pursuant to this Section 2.06 to effect a registration of transfer or exchange may be submitted by facsimile.</w:t>
      </w:r>
    </w:p>
    <w:p>
      <w:pPr>
        <w:spacing w:after="0" w:line="44" w:lineRule="exact"/>
        <w:rPr>
          <w:rFonts w:ascii="Times New Roman" w:cs="Times New Roman" w:eastAsia="Times New Roman" w:hAnsi="Times New Roman"/>
          <w:sz w:val="19"/>
          <w:szCs w:val="19"/>
          <w:color w:val="auto"/>
        </w:rPr>
      </w:pPr>
    </w:p>
    <w:p>
      <w:pPr>
        <w:jc w:val="both"/>
        <w:ind w:left="660" w:firstLine="683"/>
        <w:spacing w:after="0" w:line="242" w:lineRule="auto"/>
        <w:tabs>
          <w:tab w:leader="none" w:pos="1694"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Trustee nor any Agent shall have any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purchase) or the payment of any amount or delivery of any Notes (or other security or property) under or with respect to such Notes through the facilities of the Depositary. The Trustee and the Agents may rely and shall be fully protected in relying upon information furnished by the Depositary with respect to its members, participants, and any beneficial owners.</w:t>
      </w:r>
    </w:p>
    <w:p>
      <w:pPr>
        <w:spacing w:after="0" w:line="172" w:lineRule="exact"/>
        <w:rPr>
          <w:rFonts w:ascii="Times New Roman" w:cs="Times New Roman" w:eastAsia="Times New Roman" w:hAnsi="Times New Roman"/>
          <w:sz w:val="19"/>
          <w:szCs w:val="19"/>
          <w:color w:val="auto"/>
        </w:rPr>
      </w:pPr>
    </w:p>
    <w:p>
      <w:pPr>
        <w:jc w:val="both"/>
        <w:ind w:left="660" w:firstLine="639"/>
        <w:spacing w:after="0" w:line="235" w:lineRule="auto"/>
        <w:tabs>
          <w:tab w:leader="none" w:pos="169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the Depositary’s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any Agent nor any of their agents shall have any responsibility for any actions taken or not taken by the Depositary.</w:t>
      </w:r>
    </w:p>
    <w:p>
      <w:pPr>
        <w:spacing w:after="0" w:line="19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2.07</w:t>
      </w:r>
      <w:r>
        <w:rPr>
          <w:sz w:val="20"/>
          <w:szCs w:val="20"/>
          <w:color w:val="auto"/>
        </w:rPr>
        <w:tab/>
      </w:r>
      <w:r>
        <w:rPr>
          <w:rFonts w:ascii="Times New Roman" w:cs="Times New Roman" w:eastAsia="Times New Roman" w:hAnsi="Times New Roman"/>
          <w:sz w:val="18"/>
          <w:szCs w:val="18"/>
          <w:u w:val="single" w:color="auto"/>
          <w:color w:val="auto"/>
        </w:rPr>
        <w:t>Replacement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to protect the Trustee and its agents and in the judgment of the Issuer to protect the Issuer, the Trustee, any Agent and any authenticating agent from any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760"/>
          </w:cols>
          <w:pgMar w:left="580" w:top="1440" w:right="559" w:bottom="1440" w:gutter="0" w:footer="0" w:header="0"/>
        </w:sectPr>
      </w:pPr>
    </w:p>
    <w:bookmarkStart w:id="127" w:name="page128"/>
    <w:bookmarkEnd w:id="127"/>
    <w:p>
      <w:pPr>
        <w:spacing w:after="0" w:line="17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that any of them may suffer if a Note is replaced. The Issuer may charge for its expenses in replacing a Note, including the Trustee’s expenses.</w:t>
      </w:r>
    </w:p>
    <w:p>
      <w:pPr>
        <w:spacing w:after="0" w:line="139"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Every replacement Note is a contractual obligation of the Issuer and shall be entitled to all of the benefits of this Indenture equally and proportionately with all other Notes duly issued hereunder.</w:t>
      </w:r>
    </w:p>
    <w:p>
      <w:pPr>
        <w:spacing w:after="0" w:line="1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2.08</w:t>
      </w:r>
      <w:r>
        <w:rPr>
          <w:sz w:val="20"/>
          <w:szCs w:val="20"/>
          <w:color w:val="auto"/>
        </w:rPr>
        <w:tab/>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62"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If a Note is replaced pursuant to Section 2.07 hereof, it ceases to be outstanding unless the Trustee receives proof satisfactory to it that the replaced Note is held by a protected purchaser.</w:t>
      </w:r>
    </w:p>
    <w:p>
      <w:pPr>
        <w:spacing w:after="0" w:line="138" w:lineRule="exact"/>
        <w:rPr>
          <w:sz w:val="20"/>
          <w:szCs w:val="20"/>
          <w:color w:val="auto"/>
        </w:rPr>
      </w:pPr>
    </w:p>
    <w:p>
      <w:pPr>
        <w:jc w:val="both"/>
        <w:ind w:firstLine="649"/>
        <w:spacing w:after="0" w:line="295" w:lineRule="auto"/>
        <w:rPr>
          <w:sz w:val="20"/>
          <w:szCs w:val="20"/>
          <w:color w:val="auto"/>
        </w:rPr>
      </w:pPr>
      <w:r>
        <w:rPr>
          <w:rFonts w:ascii="Times New Roman" w:cs="Times New Roman" w:eastAsia="Times New Roman" w:hAnsi="Times New Roman"/>
          <w:sz w:val="19"/>
          <w:szCs w:val="19"/>
          <w:color w:val="auto"/>
        </w:rPr>
        <w:t>If the principal amount of any Note is considered paid under Section 4.01 hereof, it ceases to be outstanding and interest on it ceases to accrue.</w:t>
      </w:r>
    </w:p>
    <w:p>
      <w:pPr>
        <w:spacing w:after="0" w:line="97" w:lineRule="exact"/>
        <w:rPr>
          <w:sz w:val="20"/>
          <w:szCs w:val="20"/>
          <w:color w:val="auto"/>
        </w:rPr>
      </w:pPr>
    </w:p>
    <w:p>
      <w:pPr>
        <w:jc w:val="both"/>
        <w:ind w:firstLine="649"/>
        <w:spacing w:after="0" w:line="258" w:lineRule="auto"/>
        <w:rPr>
          <w:sz w:val="20"/>
          <w:szCs w:val="20"/>
          <w:color w:val="auto"/>
        </w:rPr>
      </w:pPr>
      <w:r>
        <w:rPr>
          <w:rFonts w:ascii="Times New Roman" w:cs="Times New Roman" w:eastAsia="Times New Roman" w:hAnsi="Times New Roman"/>
          <w:sz w:val="19"/>
          <w:szCs w:val="19"/>
          <w:color w:val="auto"/>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7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2.09</w:t>
      </w:r>
      <w:r>
        <w:rPr>
          <w:sz w:val="20"/>
          <w:szCs w:val="20"/>
          <w:color w:val="auto"/>
        </w:rPr>
        <w:tab/>
      </w:r>
      <w:r>
        <w:rPr>
          <w:rFonts w:ascii="Times New Roman" w:cs="Times New Roman" w:eastAsia="Times New Roman" w:hAnsi="Times New Roman"/>
          <w:sz w:val="18"/>
          <w:szCs w:val="18"/>
          <w:u w:val="single" w:color="auto"/>
          <w:color w:val="auto"/>
        </w:rPr>
        <w:t>Treasury Notes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Temporary Notes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spacing w:after="0" w:line="177"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Holders and beneficial holders, as the case may be, of temporary Notes shall be entitled to all of the benefits accorded to Holders, or beneficial holders, respectively, of Notes under this Indenture.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2.11 </w:t>
      </w: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The Issuer at any time may deliver Notes to the Trustee for cancellation. Each Agent shall forward to the Trustee any Notes surrendered to it for registration of transfer, exchange or payment. The Trustee and no one else shall cancel all Notes surrendered for registration of transfer, exchange, payment, replacement or cancellation and shall dispose of cancelled Notes (subject to the record retention requirement of the Exchange Act) in accordance with its customary procedures. Certification of the cancellation of all cancelled Notes shall be delivered to the Issuer upon its written request. The Issuer may not issue new Notes to replace Notes that it has paid or that have been delivered to the Trustee for cancellation.</w:t>
      </w:r>
    </w:p>
    <w:p>
      <w:pPr>
        <w:sectPr>
          <w:pgSz w:w="11900" w:h="16838" w:orient="portrait"/>
          <w:cols w:equalWidth="0" w:num="1">
            <w:col w:w="10760"/>
          </w:cols>
          <w:pgMar w:left="580" w:top="144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760"/>
          </w:cols>
          <w:pgMar w:left="580" w:top="1440" w:right="55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Defaulted Interest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9"/>
        <w:spacing w:after="0" w:line="232" w:lineRule="auto"/>
        <w:rPr>
          <w:sz w:val="20"/>
          <w:szCs w:val="20"/>
          <w:color w:val="auto"/>
        </w:rPr>
      </w:pPr>
      <w:r>
        <w:rPr>
          <w:rFonts w:ascii="Times New Roman" w:cs="Times New Roman" w:eastAsia="Times New Roman" w:hAnsi="Times New Roman"/>
          <w:sz w:val="19"/>
          <w:szCs w:val="19"/>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Issuer shall fix or cause to be fixed each such special record date and payment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special record date shall be less than 10 days prior to the related payment date for such defaulted interest. The Issuer shall promptly notify the Trustee of such special record date and payment date. At least 15 days before the special record d ate, the Issuer (or, upon the written request of the Issuer, the Trustee in the name and at the expense of the Issuer) shall send or cause to be sent to each Holder a notice in accordance with Section 12.02 that states the special record date, the related payment</w:t>
      </w:r>
    </w:p>
    <w:p>
      <w:pPr>
        <w:spacing w:after="0"/>
        <w:rPr>
          <w:sz w:val="20"/>
          <w:szCs w:val="20"/>
          <w:color w:val="auto"/>
        </w:rPr>
      </w:pPr>
      <w:r>
        <w:rPr>
          <w:rFonts w:ascii="Times New Roman" w:cs="Times New Roman" w:eastAsia="Times New Roman" w:hAnsi="Times New Roman"/>
          <w:sz w:val="19"/>
          <w:szCs w:val="19"/>
          <w:color w:val="auto"/>
        </w:rPr>
        <w:t>date and the amount of such interest to be paid.</w:t>
      </w:r>
    </w:p>
    <w:p>
      <w:pPr>
        <w:spacing w:after="0" w:line="172"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2.13 </w:t>
      </w:r>
      <w:r>
        <w:rPr>
          <w:rFonts w:ascii="Times New Roman" w:cs="Times New Roman" w:eastAsia="Times New Roman" w:hAnsi="Times New Roman"/>
          <w:sz w:val="19"/>
          <w:szCs w:val="19"/>
          <w:u w:val="single" w:color="auto"/>
          <w:color w:val="auto"/>
        </w:rPr>
        <w:t>CUSIP and ISIN Numbers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 xml:space="preserve">The Issuer in issuing the Notes may use ISIN and CUSIP numbers (if then generally in use) and, if so, the Trustee shall use such numbers in notices of redemption as a convenience to Holders;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notice may state that no representation is made as to the correctness of ISIN or CUSIP numbers either as printed on the Notes or as contained in any notice of redemption and that reliance may be placed only on the other identification numbers printed on the Notes, and any such redemption shall not be affected by any defect in or omission of such numbers. The Issuer shall as promptly as practicable notify the Trustee of any change in the ISIN and CUSIP numbers.</w:t>
      </w:r>
    </w:p>
    <w:p>
      <w:pPr>
        <w:spacing w:after="0" w:line="3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2.14</w:t>
      </w:r>
      <w:r>
        <w:rPr>
          <w:sz w:val="20"/>
          <w:szCs w:val="20"/>
          <w:color w:val="auto"/>
        </w:rPr>
        <w:tab/>
      </w:r>
      <w:r>
        <w:rPr>
          <w:rFonts w:ascii="Times New Roman" w:cs="Times New Roman" w:eastAsia="Times New Roman" w:hAnsi="Times New Roman"/>
          <w:sz w:val="18"/>
          <w:szCs w:val="18"/>
          <w:u w:val="single" w:color="auto"/>
          <w:color w:val="auto"/>
        </w:rPr>
        <w:t>Deposit of Moneys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No later than noon (New York City time) on each interest payment date, the maturity date or the redemption date of the Notes and on the Business Day immediately following any acceleration of the Notes pursuant to Section 6.02 hereof, the Issuer will deposit with the Paying Agent, in immediately available funds, money sufficient to make cash payments, if any, on such day or date, as the case may be. Subject to actual receipt of such funds as provided by this Section 2.14 by the Paying Agent, the Paying Agent shall remit such payment in a timely manner to the Holders on such day or date, as the case may be, to the Persons and in the manner set forth in paragraph 2 of the Notes. The Issuer shall promptly notify the Trustee and the Paying Agent of its failure to act.</w:t>
      </w:r>
    </w:p>
    <w:p>
      <w:pPr>
        <w:spacing w:after="0" w:line="21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2.15</w:t>
      </w:r>
      <w:r>
        <w:rPr>
          <w:sz w:val="20"/>
          <w:szCs w:val="20"/>
          <w:color w:val="auto"/>
        </w:rPr>
        <w:tab/>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9"/>
          <w:szCs w:val="19"/>
          <w:color w:val="auto"/>
        </w:rPr>
        <w:t>(a)</w:t>
        <w:tab/>
        <w:t>The rights, powers, duties and obligations and actions of each Agent under this Indenture are several and not joint or joint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several.</w:t>
      </w:r>
    </w:p>
    <w:p>
      <w:pPr>
        <w:spacing w:after="0" w:line="172" w:lineRule="exact"/>
        <w:rPr>
          <w:sz w:val="20"/>
          <w:szCs w:val="20"/>
          <w:color w:val="auto"/>
        </w:rPr>
      </w:pPr>
    </w:p>
    <w:p>
      <w:pPr>
        <w:ind w:right="20" w:firstLine="650"/>
        <w:spacing w:after="0" w:line="265" w:lineRule="auto"/>
        <w:tabs>
          <w:tab w:leader="none" w:pos="1031"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and the Agents acknowledge and agree that in the event of a Default or Event of Default, the Trustee may, by notice in writing to the Issuer and the Agents, require that the Agents act as agents of, and take instructions exclusively from, the Trustee.</w:t>
      </w:r>
    </w:p>
    <w:p>
      <w:pPr>
        <w:spacing w:after="0" w:line="138" w:lineRule="exact"/>
        <w:rPr>
          <w:rFonts w:ascii="Times New Roman" w:cs="Times New Roman" w:eastAsia="Times New Roman" w:hAnsi="Times New Roman"/>
          <w:sz w:val="19"/>
          <w:szCs w:val="19"/>
          <w:color w:val="auto"/>
        </w:rPr>
      </w:pPr>
    </w:p>
    <w:p>
      <w:pPr>
        <w:ind w:right="20" w:firstLine="650"/>
        <w:spacing w:after="0" w:line="265" w:lineRule="auto"/>
        <w:tabs>
          <w:tab w:leader="none" w:pos="1034"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obligations the Agents may have to publish a notice to Holders of Global Notes on behalf of the Issuer will be met upon delivery of the notice to the relevant Depositary.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760"/>
          </w:cols>
          <w:pgMar w:left="580" w:top="1423" w:right="559" w:bottom="1440" w:gutter="0" w:footer="0" w:header="0"/>
        </w:sectPr>
      </w:pPr>
    </w:p>
    <w:bookmarkStart w:id="129" w:name="page130"/>
    <w:bookmarkEnd w:id="129"/>
    <w:p>
      <w:pPr>
        <w:spacing w:after="0" w:line="186" w:lineRule="exact"/>
        <w:rPr>
          <w:sz w:val="20"/>
          <w:szCs w:val="20"/>
          <w:color w:val="auto"/>
        </w:rPr>
      </w:pPr>
    </w:p>
    <w:p>
      <w:pPr>
        <w:jc w:val="both"/>
        <w:ind w:firstLine="650"/>
        <w:spacing w:after="0" w:line="241" w:lineRule="auto"/>
        <w:tabs>
          <w:tab w:leader="none" w:pos="1031"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instructions given to any Agent are not reasonably clear, then such Agent shall be entitled to seek clarification from the Issuer or other party entitled to give the Agents instructions under this Indenture by written request promptly. If an Agent has sought clarification in accordance with this Section 2.15, then such Agent shall be entitled to take no action until such clarification is provided, and shall not incur any liability for not taking any action pending receipt of such clarification.</w:t>
      </w:r>
    </w:p>
    <w:p>
      <w:pPr>
        <w:spacing w:after="0" w:line="175" w:lineRule="exact"/>
        <w:rPr>
          <w:rFonts w:ascii="Times New Roman" w:cs="Times New Roman" w:eastAsia="Times New Roman" w:hAnsi="Times New Roman"/>
          <w:sz w:val="19"/>
          <w:szCs w:val="19"/>
          <w:color w:val="auto"/>
        </w:rPr>
      </w:pPr>
    </w:p>
    <w:p>
      <w:pPr>
        <w:ind w:firstLine="650"/>
        <w:spacing w:after="0" w:line="265" w:lineRule="auto"/>
        <w:tabs>
          <w:tab w:leader="none" w:pos="1034"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Agent shall be under any fiduciary duty or other obligation towards, or have any relationship of agency or trust, for or with any person other than the agency relationships with the Issuer established pursuant to and subject to the terms of this Indenture.</w:t>
      </w:r>
    </w:p>
    <w:p>
      <w:pPr>
        <w:spacing w:after="0" w:line="138" w:lineRule="exact"/>
        <w:rPr>
          <w:rFonts w:ascii="Times New Roman" w:cs="Times New Roman" w:eastAsia="Times New Roman" w:hAnsi="Times New Roman"/>
          <w:sz w:val="19"/>
          <w:szCs w:val="19"/>
          <w:color w:val="auto"/>
        </w:rPr>
      </w:pPr>
    </w:p>
    <w:p>
      <w:pPr>
        <w:ind w:firstLine="650"/>
        <w:spacing w:after="0" w:line="280" w:lineRule="auto"/>
        <w:tabs>
          <w:tab w:leader="none" w:pos="10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monies held by any Agent need be segregated except as may be required by law and in no event shall any Agent be liable for any interest on (or the investment of) any money received by it hereunder.</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 xml:space="preserve">ARTICLE 3 </w:t>
      </w:r>
      <w:r>
        <w:rPr>
          <w:rFonts w:ascii="Times New Roman" w:cs="Times New Roman" w:eastAsia="Times New Roman" w:hAnsi="Times New Roman"/>
          <w:sz w:val="17"/>
          <w:szCs w:val="17"/>
          <w:color w:val="auto"/>
        </w:rPr>
        <w:t>REDEMPTION</w:t>
      </w:r>
    </w:p>
    <w:p>
      <w:pPr>
        <w:spacing w:after="0" w:line="1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3.01</w:t>
      </w:r>
      <w:r>
        <w:rPr>
          <w:sz w:val="20"/>
          <w:szCs w:val="20"/>
          <w:color w:val="auto"/>
        </w:rPr>
        <w:tab/>
      </w:r>
      <w:r>
        <w:rPr>
          <w:rFonts w:ascii="Times New Roman" w:cs="Times New Roman" w:eastAsia="Times New Roman" w:hAnsi="Times New Roman"/>
          <w:sz w:val="18"/>
          <w:szCs w:val="18"/>
          <w:u w:val="single" w:color="auto"/>
          <w:color w:val="auto"/>
        </w:rPr>
        <w:t>Notices to 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If the Issuer elects to redeem Notes pursuant to Section 3.07 hereof, it shall furnish to the Trustee, at least 10 days but not more than 60 days before a Redemption Date (except that redemption notices may be delivered more than 60 days prior to a Redemption Date if the notice is issued in connection with a Legal Defeasance of the Notes or a satisfaction and discharge of this Indenture), an Officer’s Certificate setting forth (i) the paragraph or subparagraph of such Note and/or Section of this Indenture pursuant to which the redemption shall occur, (ii) the Redemption Date, (iii) the principal amount of the Notes to be redeemed and (iv) the redemption price, if then ascertainable. Any optional redemption referenced in such Officer’s Certificate may be canceled by the Issuer at any time prior to a notice of redemption being sent to any Holder and thereafter shall be null and void.</w:t>
      </w:r>
    </w:p>
    <w:p>
      <w:pPr>
        <w:spacing w:after="0" w:line="1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3.02</w:t>
      </w:r>
      <w:r>
        <w:rPr>
          <w:sz w:val="20"/>
          <w:szCs w:val="20"/>
          <w:color w:val="auto"/>
        </w:rPr>
        <w:tab/>
      </w:r>
      <w:r>
        <w:rPr>
          <w:rFonts w:ascii="Times New Roman" w:cs="Times New Roman" w:eastAsia="Times New Roman" w:hAnsi="Times New Roman"/>
          <w:sz w:val="18"/>
          <w:szCs w:val="18"/>
          <w:u w:val="single" w:color="auto"/>
          <w:color w:val="auto"/>
        </w:rPr>
        <w:t>Selection of Notes to Be Redeemed</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650"/>
        <w:spacing w:after="0" w:line="256" w:lineRule="auto"/>
        <w:tabs>
          <w:tab w:leader="none" w:pos="1034"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less than all of the Notes are to be redeemed at any time, such Notes shall be selected for redemption by the Trustee (1) if the Notes are listed on an exchange, as certified to the Trustee, by the Issuer, in compliance with the requirements of such exchange or in the case of Global Notes, in accordance with Applicable Procedures of the Depositary or (2)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to the extent practicable, or, if the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is not practicable for any reason, by lot or by such other method as the Trustee deems fair and appropriate in accordance with the Depositary procedures.</w:t>
      </w:r>
    </w:p>
    <w:p>
      <w:pPr>
        <w:spacing w:after="0" w:line="144" w:lineRule="exact"/>
        <w:rPr>
          <w:rFonts w:ascii="Times New Roman" w:cs="Times New Roman" w:eastAsia="Times New Roman" w:hAnsi="Times New Roman"/>
          <w:sz w:val="19"/>
          <w:szCs w:val="19"/>
          <w:color w:val="auto"/>
        </w:rPr>
      </w:pPr>
    </w:p>
    <w:p>
      <w:pPr>
        <w:jc w:val="both"/>
        <w:ind w:right="20" w:firstLine="650"/>
        <w:spacing w:after="0" w:line="266" w:lineRule="auto"/>
        <w:tabs>
          <w:tab w:leader="none" w:pos="1031"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and portions of Notes selected shall be in minimum amounts of $2,000 or whole multiples of $1,000 in excess thereof; no Notes of $2,000 or less can be redeemed in part, except that if all of the Notes of a Holder are to be redeemed, the entire outstanding amount of Notes held by such Holder, even if not a multiple of $1,000, shall be redeemed.</w:t>
      </w:r>
    </w:p>
    <w:p>
      <w:pPr>
        <w:spacing w:after="0" w:line="151"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Except as provided in this Section 3.02(b), provisions of this Indenture that apply to Notes called for redemption also apply to portions of Notes called for redemption.</w:t>
      </w:r>
    </w:p>
    <w:p>
      <w:pPr>
        <w:spacing w:after="0" w:line="125" w:lineRule="exact"/>
        <w:rPr>
          <w:sz w:val="20"/>
          <w:szCs w:val="20"/>
          <w:color w:val="auto"/>
        </w:rPr>
      </w:pPr>
    </w:p>
    <w:p>
      <w:pPr>
        <w:ind w:right="20" w:firstLine="650"/>
        <w:spacing w:after="0" w:line="280" w:lineRule="auto"/>
        <w:tabs>
          <w:tab w:leader="none" w:pos="1034"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promptly notify the Issuer in writing of the Notes selected for redemption and, in the case of any Note selected for partial redemption, the principal amount thereof to be redeemed.</w:t>
      </w:r>
    </w:p>
    <w:p>
      <w:pPr>
        <w:spacing w:after="0" w:line="111"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for any actions taken or not taken by the Depositary pursuant to the Applicable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u w:val="single" w:color="auto"/>
          <w:color w:val="auto"/>
        </w:rPr>
        <w:t>Notice of Redemption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right="20" w:firstLine="649"/>
        <w:spacing w:after="0" w:line="265" w:lineRule="auto"/>
        <w:rPr>
          <w:sz w:val="20"/>
          <w:szCs w:val="20"/>
          <w:color w:val="auto"/>
        </w:rPr>
      </w:pPr>
      <w:r>
        <w:rPr>
          <w:rFonts w:ascii="Times New Roman" w:cs="Times New Roman" w:eastAsia="Times New Roman" w:hAnsi="Times New Roman"/>
          <w:sz w:val="19"/>
          <w:szCs w:val="19"/>
          <w:color w:val="auto"/>
        </w:rPr>
        <w:t>The Issuer shall send or cause to be sent notices of redemption electronically or by first-class mail, postage prepaid, at least 10 days but not more than 60 days before the Redemption Date to each Holder of</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760"/>
          </w:cols>
          <w:pgMar w:left="580" w:top="1440" w:right="559" w:bottom="1440" w:gutter="0" w:footer="0" w:header="0"/>
        </w:sectPr>
      </w:pPr>
    </w:p>
    <w:bookmarkStart w:id="130" w:name="page131"/>
    <w:bookmarkEnd w:id="130"/>
    <w:p>
      <w:pPr>
        <w:spacing w:after="0" w:line="17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9"/>
          <w:szCs w:val="19"/>
          <w:color w:val="auto"/>
        </w:rPr>
        <w:t>Notes to be redeemed (with a copy to the Trustee) at such Holder’s registered address or otherwise in accordance with the Applicable Procedures of the Depositary, except that redemption notices may be delivered electronically or mailed more than 60 days prior to a Redemption Date if the notice is issued in connection with Article 8 or Article 11 hereof. Notices of redemption may be conditional.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notice shall identify the Notes to be redeemed and shall state:</w:t>
      </w:r>
    </w:p>
    <w:p>
      <w:pPr>
        <w:spacing w:after="0" w:line="227" w:lineRule="exact"/>
        <w:rPr>
          <w:sz w:val="20"/>
          <w:szCs w:val="20"/>
          <w:color w:val="auto"/>
        </w:rPr>
      </w:pPr>
    </w:p>
    <w:p>
      <w:pPr>
        <w:ind w:left="1300" w:hanging="649"/>
        <w:spacing w:after="0"/>
        <w:tabs>
          <w:tab w:leader="none" w:pos="130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Date;</w:t>
      </w:r>
    </w:p>
    <w:p>
      <w:pPr>
        <w:spacing w:after="0" w:line="186" w:lineRule="exact"/>
        <w:rPr>
          <w:rFonts w:ascii="Times New Roman" w:cs="Times New Roman" w:eastAsia="Times New Roman" w:hAnsi="Times New Roman"/>
          <w:sz w:val="19"/>
          <w:szCs w:val="19"/>
          <w:color w:val="auto"/>
        </w:rPr>
      </w:pPr>
    </w:p>
    <w:p>
      <w:pPr>
        <w:ind w:right="20" w:firstLine="650"/>
        <w:spacing w:after="0" w:line="280" w:lineRule="auto"/>
        <w:tabs>
          <w:tab w:leader="none" w:pos="1078"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price including the amount of accrued interest, if any, to be paid, in each case to the extent available at the time of delivery of the notice of redemption;</w:t>
      </w:r>
    </w:p>
    <w:p>
      <w:pPr>
        <w:spacing w:after="0" w:line="151" w:lineRule="exact"/>
        <w:rPr>
          <w:rFonts w:ascii="Times New Roman" w:cs="Times New Roman" w:eastAsia="Times New Roman" w:hAnsi="Times New Roman"/>
          <w:sz w:val="19"/>
          <w:szCs w:val="19"/>
          <w:color w:val="auto"/>
        </w:rPr>
      </w:pPr>
    </w:p>
    <w:p>
      <w:pPr>
        <w:jc w:val="both"/>
        <w:ind w:firstLine="650"/>
        <w:spacing w:after="0" w:line="241" w:lineRule="auto"/>
        <w:tabs>
          <w:tab w:leader="none" w:pos="103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shall be issued in the name of the Holder of the Notes upon cancellation of the original Note;</w:t>
      </w:r>
    </w:p>
    <w:p>
      <w:pPr>
        <w:spacing w:after="0" w:line="175"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 and address of the Paying Agent;</w:t>
      </w:r>
    </w:p>
    <w:p>
      <w:pPr>
        <w:spacing w:after="0" w:line="186" w:lineRule="exact"/>
        <w:rPr>
          <w:rFonts w:ascii="Times New Roman" w:cs="Times New Roman" w:eastAsia="Times New Roman" w:hAnsi="Times New Roman"/>
          <w:sz w:val="19"/>
          <w:szCs w:val="19"/>
          <w:color w:val="auto"/>
        </w:rPr>
      </w:pPr>
    </w:p>
    <w:p>
      <w:pPr>
        <w:ind w:left="1080" w:hanging="430"/>
        <w:spacing w:after="0"/>
        <w:tabs>
          <w:tab w:leader="none" w:pos="10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Notes called for redemption must be surrendered to the Paying Agent to collect the redemption price;</w:t>
      </w:r>
    </w:p>
    <w:p>
      <w:pPr>
        <w:spacing w:after="0" w:line="203" w:lineRule="exact"/>
        <w:rPr>
          <w:rFonts w:ascii="Times New Roman" w:cs="Times New Roman" w:eastAsia="Times New Roman" w:hAnsi="Times New Roman"/>
          <w:sz w:val="19"/>
          <w:szCs w:val="19"/>
          <w:color w:val="auto"/>
        </w:rPr>
      </w:pPr>
    </w:p>
    <w:p>
      <w:pPr>
        <w:ind w:right="220" w:firstLine="650"/>
        <w:spacing w:after="0" w:line="310" w:lineRule="auto"/>
        <w:tabs>
          <w:tab w:leader="none" w:pos="104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unless the Issuer defaults in making such redemption payment, interest on Notes called for redemption ceases to accrue on and after the Redemption Date;</w:t>
      </w:r>
    </w:p>
    <w:p>
      <w:pPr>
        <w:spacing w:after="0" w:line="107" w:lineRule="exact"/>
        <w:rPr>
          <w:rFonts w:ascii="Times New Roman" w:cs="Times New Roman" w:eastAsia="Times New Roman" w:hAnsi="Times New Roman"/>
          <w:sz w:val="19"/>
          <w:szCs w:val="19"/>
          <w:color w:val="auto"/>
        </w:rPr>
      </w:pPr>
    </w:p>
    <w:p>
      <w:pPr>
        <w:ind w:right="160" w:firstLine="650"/>
        <w:spacing w:after="0" w:line="280" w:lineRule="auto"/>
        <w:tabs>
          <w:tab w:leader="none" w:pos="1031"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paragraph or subparagraph of the Notes and/or Section of this Indenture pursuant to which the Notes called for redemption are being redeemed;</w:t>
      </w:r>
    </w:p>
    <w:p>
      <w:pPr>
        <w:spacing w:after="0" w:line="111" w:lineRule="exact"/>
        <w:rPr>
          <w:rFonts w:ascii="Times New Roman" w:cs="Times New Roman" w:eastAsia="Times New Roman" w:hAnsi="Times New Roman"/>
          <w:sz w:val="19"/>
          <w:szCs w:val="19"/>
          <w:color w:val="auto"/>
        </w:rPr>
      </w:pPr>
    </w:p>
    <w:p>
      <w:pPr>
        <w:ind w:right="420" w:firstLine="650"/>
        <w:spacing w:after="0" w:line="280" w:lineRule="auto"/>
        <w:tabs>
          <w:tab w:leader="none" w:pos="1031"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 representation is made as to the correctness or accuracy of the CUSIP number or ISIN number, if any, listed in such notice or printed on the Notes;</w:t>
      </w:r>
    </w:p>
    <w:p>
      <w:pPr>
        <w:spacing w:after="0" w:line="16" w:lineRule="exact"/>
        <w:rPr>
          <w:rFonts w:ascii="Times New Roman" w:cs="Times New Roman" w:eastAsia="Times New Roman" w:hAnsi="Times New Roman"/>
          <w:sz w:val="19"/>
          <w:szCs w:val="19"/>
          <w:color w:val="auto"/>
        </w:rPr>
      </w:pPr>
    </w:p>
    <w:p>
      <w:pPr>
        <w:ind w:right="40" w:firstLine="650"/>
        <w:spacing w:after="0" w:line="250" w:lineRule="auto"/>
        <w:tabs>
          <w:tab w:leader="none" w:pos="1043"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redemption is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 in its sole discretion), or such redemption or purchase may not occur and such notice may be rescinded in the event that any or all such conditions are not satisfied (or waived by the Issuer in its sole discretion) by the Redemption Date, or by the Redemption Date as so delayed, or at any time in the Issuer’s discretion if in the good faith judgment of the Issuer any or all of such conditions will not be satisfied; and</w:t>
      </w:r>
    </w:p>
    <w:p>
      <w:pPr>
        <w:spacing w:after="0" w:line="148" w:lineRule="exact"/>
        <w:rPr>
          <w:rFonts w:ascii="Times New Roman" w:cs="Times New Roman" w:eastAsia="Times New Roman" w:hAnsi="Times New Roman"/>
          <w:sz w:val="19"/>
          <w:szCs w:val="19"/>
          <w:color w:val="auto"/>
        </w:rPr>
      </w:pPr>
    </w:p>
    <w:p>
      <w:pPr>
        <w:ind w:right="40" w:firstLine="650"/>
        <w:spacing w:after="0" w:line="265" w:lineRule="auto"/>
        <w:tabs>
          <w:tab w:leader="none" w:pos="1043"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the redemption price and performance of the Issuer’s obligations with respect to such redemption may be performed by another Person.</w:t>
      </w:r>
    </w:p>
    <w:p>
      <w:pPr>
        <w:spacing w:after="0" w:line="166"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 xml:space="preserve">At the Issuer’s request, the Trustee shall give the notice of redemption in the Issuer’s name and at its expense;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Issuer shall have delivered written notice to the Trustee, at least 5 Business Days prior to the date on which notice of redemption is to be sent (unless a shorter period shall be agreed to by the Trustee) in the form of an Officer’s Certificate requesting that the Trustee give such notice and setting forth the information to be stated in such notice as provided in this Section 3.03.</w:t>
      </w:r>
    </w:p>
    <w:p>
      <w:pPr>
        <w:spacing w:after="0" w:line="2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3.04</w:t>
      </w:r>
      <w:r>
        <w:rPr>
          <w:sz w:val="20"/>
          <w:szCs w:val="20"/>
          <w:color w:val="auto"/>
        </w:rPr>
        <w:tab/>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Once notice of redemption is sent in accordance with Section 3.03 hereof, Notes called for redemption become irrevocably due and payable on the Redemption Date at the redemption price, unless such redemption is conditioned on the happening of a future event. The notice, if sent in a manner herein provided, shall be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760"/>
          </w:cols>
          <w:pgMar w:left="580" w:top="1440" w:right="559" w:bottom="1440" w:gutter="0" w:footer="0" w:header="0"/>
        </w:sectPr>
      </w:pPr>
    </w:p>
    <w:bookmarkStart w:id="131" w:name="page132"/>
    <w:bookmarkEnd w:id="131"/>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hereof, on and after the Redemption Date, interest ceases to accrue on Notes or portions of Notes called for redemption.</w:t>
      </w:r>
    </w:p>
    <w:p>
      <w:pPr>
        <w:spacing w:after="0" w:line="2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3.05</w:t>
      </w:r>
      <w:r>
        <w:rPr>
          <w:sz w:val="20"/>
          <w:szCs w:val="20"/>
          <w:color w:val="auto"/>
        </w:rPr>
        <w:tab/>
      </w:r>
      <w:r>
        <w:rPr>
          <w:rFonts w:ascii="Times New Roman" w:cs="Times New Roman" w:eastAsia="Times New Roman" w:hAnsi="Times New Roman"/>
          <w:sz w:val="18"/>
          <w:szCs w:val="18"/>
          <w:u w:val="single" w:color="auto"/>
          <w:color w:val="auto"/>
        </w:rPr>
        <w:t>Deposit of Redemption or Purchase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Prior to noon (New York City time) on the redemption or purchase date, the Issuer shall deposit with the Trustee or with the Paying Agent money sufficient to pay the redemption or purchase price of and accrued and unpaid interest on all Notes to be redeemed or purchased on that date. The Trustee or the Paying Agent shall promptly return to the Issuer upon written request any money deposited with the Trustee or the Paying Agent by the Issuer in excess of the amounts necessary to pay the redemption price of, and accrued and unpaid interest on, all Notes to be redeemed or purchased.</w:t>
      </w:r>
    </w:p>
    <w:p>
      <w:pPr>
        <w:spacing w:after="0" w:line="163"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If the Issuer complies with the provisions of the preceding paragraph, on and after the redemption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or purchase date shall be paid to the Person in whose name such Note was registered at the close of business on such Record Date. If any Note called for redemption or purchase shall not be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 hereof.</w:t>
      </w:r>
    </w:p>
    <w:p>
      <w:pPr>
        <w:spacing w:after="0" w:line="21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3.06</w:t>
      </w:r>
      <w:r>
        <w:rPr>
          <w:sz w:val="20"/>
          <w:szCs w:val="20"/>
          <w:color w:val="auto"/>
        </w:rPr>
        <w:tab/>
      </w:r>
      <w:r>
        <w:rPr>
          <w:rFonts w:ascii="Times New Roman" w:cs="Times New Roman" w:eastAsia="Times New Roman" w:hAnsi="Times New Roman"/>
          <w:sz w:val="18"/>
          <w:szCs w:val="18"/>
          <w:u w:val="single" w:color="auto"/>
          <w:color w:val="auto"/>
        </w:rPr>
        <w:t>Notes Redeemed or Purchased in Part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 xml:space="preserve">Upon surrender of a Definitive Note that is redeemed or purchased in part, the Issuer shall issue and the Trustee shall authenticate for the Holder at the expense of the Issuer a new Note equal in principal amount to the unredeemed or unpurchased portion of the Note surrendered representing the same indebtedness to the extent not redeemed or purchased;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new Note shall be in a minimum principal amount of $2,000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3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3.07</w:t>
      </w:r>
      <w:r>
        <w:rPr>
          <w:sz w:val="20"/>
          <w:szCs w:val="20"/>
          <w:color w:val="auto"/>
        </w:rPr>
        <w:tab/>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50"/>
        <w:spacing w:after="0" w:line="246" w:lineRule="auto"/>
        <w:tabs>
          <w:tab w:leader="none" w:pos="103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prior to June 1, 2027, the Issuer may redeem the Notes, in whole or in part, at its option, on one or more occasions, upon such notice as is described under Section 3.03 hereof, at a redemption price equal to 100% of the principal amount of the Notes redeemed plus the Applicable Premium as of, and accrued and unpaid interest, thereon to, but excluding, the Redemption Date, subject to the rights of Holders of such Notes on the relevant Record Date to receive interest due on the relevant Interest Payment Date.</w:t>
      </w:r>
    </w:p>
    <w:p>
      <w:pPr>
        <w:spacing w:after="0" w:line="157" w:lineRule="exact"/>
        <w:rPr>
          <w:rFonts w:ascii="Times New Roman" w:cs="Times New Roman" w:eastAsia="Times New Roman" w:hAnsi="Times New Roman"/>
          <w:sz w:val="19"/>
          <w:szCs w:val="19"/>
          <w:color w:val="auto"/>
        </w:rPr>
      </w:pPr>
    </w:p>
    <w:p>
      <w:pPr>
        <w:jc w:val="both"/>
        <w:ind w:firstLine="650"/>
        <w:spacing w:after="0" w:line="237" w:lineRule="auto"/>
        <w:tabs>
          <w:tab w:leader="none" w:pos="1031"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and from time to time on or after June 1, 2027, the Issuer may redeem the Notes, in whole or in part, at its option, on one or more occasions, upon notice as described under Section 3.03 hereof, at the redemption prices (expressed as percentages of principal amount of such Notes to be redeemed) set forth in this Section 3.07(b), plus accrued and unpaid interest, thereon to, but excluding, the applicable Redemption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Redemption Date is on or after the Record Date and on or before the corresponding Interest Payment Date, then Holders in whose names the Notes are registered at the close of business on such Record Date will receive interest on the Redemption Date) if redeemed during the twelve-month period beginning on June 1 of each of the years indicated below:</w:t>
      </w:r>
    </w:p>
    <w:p>
      <w:pPr>
        <w:spacing w:after="0" w:line="268" w:lineRule="exact"/>
        <w:rPr>
          <w:sz w:val="20"/>
          <w:szCs w:val="20"/>
          <w:color w:val="auto"/>
        </w:rPr>
      </w:pPr>
    </w:p>
    <w:p>
      <w:pPr>
        <w:ind w:left="1040"/>
        <w:spacing w:after="0"/>
        <w:tabs>
          <w:tab w:leader="none" w:pos="8260" w:val="left"/>
        </w:tabs>
        <w:rPr>
          <w:sz w:val="20"/>
          <w:szCs w:val="20"/>
          <w:color w:val="auto"/>
        </w:rPr>
      </w:pPr>
      <w:r>
        <w:rPr>
          <w:rFonts w:ascii="Times New Roman" w:cs="Times New Roman" w:eastAsia="Times New Roman" w:hAnsi="Times New Roman"/>
          <w:sz w:val="19"/>
          <w:szCs w:val="19"/>
          <w:b w:val="1"/>
          <w:bCs w:val="1"/>
          <w:u w:val="single" w:color="auto"/>
          <w:color w:val="auto"/>
        </w:rPr>
        <w:t>Year</w:t>
      </w:r>
      <w:r>
        <w:rPr>
          <w:sz w:val="20"/>
          <w:szCs w:val="20"/>
          <w:color w:val="auto"/>
        </w:rPr>
        <w:tab/>
      </w:r>
      <w:r>
        <w:rPr>
          <w:rFonts w:ascii="Times New Roman" w:cs="Times New Roman" w:eastAsia="Times New Roman" w:hAnsi="Times New Roman"/>
          <w:sz w:val="19"/>
          <w:szCs w:val="19"/>
          <w:b w:val="1"/>
          <w:bCs w:val="1"/>
          <w:u w:val="single" w:color="auto"/>
          <w:color w:val="auto"/>
        </w:rPr>
        <w:t>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760"/>
          </w:cols>
          <w:pgMar w:left="580" w:top="1440" w:right="559" w:bottom="1440" w:gutter="0" w:footer="0" w:header="0"/>
        </w:sectPr>
      </w:pPr>
    </w:p>
    <w:bookmarkStart w:id="132" w:name="page133"/>
    <w:bookmarkEnd w:id="132"/>
    <w:p>
      <w:pPr>
        <w:spacing w:after="0" w:line="24" w:lineRule="exact"/>
        <w:rPr>
          <w:sz w:val="20"/>
          <w:szCs w:val="20"/>
          <w:color w:val="auto"/>
        </w:rPr>
      </w:pPr>
    </w:p>
    <w:tbl>
      <w:tblPr>
        <w:tblLayout w:type="fixed"/>
        <w:tblInd w:w="1000" w:type="dxa"/>
        <w:tblCellMar>
          <w:top w:w="0" w:type="dxa"/>
          <w:left w:w="0" w:type="dxa"/>
          <w:bottom w:w="0" w:type="dxa"/>
          <w:right w:w="0" w:type="dxa"/>
        </w:tblCellMar>
      </w:tblP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103.688%</w:t>
            </w:r>
          </w:p>
        </w:tc>
      </w:tr>
      <w:tr>
        <w:trPr>
          <w:trHeight w:val="255"/>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101.844%</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2029 and thereafter............................................................................................</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r>
    </w:tbl>
    <w:p>
      <w:pPr>
        <w:spacing w:after="0" w:line="282" w:lineRule="exact"/>
        <w:rPr>
          <w:sz w:val="20"/>
          <w:szCs w:val="20"/>
          <w:color w:val="auto"/>
        </w:rPr>
      </w:pPr>
    </w:p>
    <w:p>
      <w:pPr>
        <w:jc w:val="both"/>
        <w:ind w:firstLine="650"/>
        <w:spacing w:after="0" w:line="233" w:lineRule="auto"/>
        <w:tabs>
          <w:tab w:leader="none" w:pos="103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at any time and from time to time prior to June 1, 2027, the Issuer may, at its option, on one or more occasions, redeem up to 40% of the aggregate principal amount of the Notes issued under this Indenture (including the principal amount of any applicable Additional Notes issued under this Indenture) at a redemption price equal to 107.375% of the aggregate principal amount thereof, plus accrued and unpaid interest, thereon, to, but excluding, the applicable Redemption Date (provided that, in each case, if the Redemption Date is on or after the Record Date and on or before the corresponding Interest Payment Date, then Holders in whose names the Notes are registered at the close of business on such Record Date will receive interest on the Redemption Date) with an amount equal to the net cash proceeds received by the Issuer from one or more Equity Offerings;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at least 40% of the aggregate principal amount of the then-outstanding Notes issued under this Indenture (including any Additional Notes) (other than Notes or Additional Notes held by the Issuer or any of its Restricted Subsidiaries) remain outstanding immediately after the occurrence of each such redemption, unless all such Notes are redeemed substantially concurrently and (b) each such redemption occurs not later than 180 days after the date of closing of each such Equity Offering.</w:t>
      </w:r>
    </w:p>
    <w:p>
      <w:pPr>
        <w:spacing w:after="0" w:line="177" w:lineRule="exact"/>
        <w:rPr>
          <w:rFonts w:ascii="Times New Roman" w:cs="Times New Roman" w:eastAsia="Times New Roman" w:hAnsi="Times New Roman"/>
          <w:sz w:val="19"/>
          <w:szCs w:val="19"/>
          <w:color w:val="auto"/>
        </w:rPr>
      </w:pPr>
    </w:p>
    <w:p>
      <w:pPr>
        <w:jc w:val="both"/>
        <w:ind w:firstLine="650"/>
        <w:spacing w:after="0" w:line="237" w:lineRule="auto"/>
        <w:tabs>
          <w:tab w:leader="none" w:pos="1031"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at any time and from time to time on or before June 1, 2027, the Issuer may, at its option, on one or more occasions during each of the twelve-month periods ending after the Issue Date, redeem up to 10% of the then outstanding aggregate principal amount of the Notes issued under this Indenture, upon such notice provided in accordance with Section 3.03 hereof, at a redemption price equal to 103.000% of the aggregate principal amount thereof, plus accrued and unpaid interest, thereon to, but excluding, the Redemption Date.</w:t>
      </w:r>
    </w:p>
    <w:p>
      <w:pPr>
        <w:spacing w:after="0" w:line="41" w:lineRule="exact"/>
        <w:rPr>
          <w:rFonts w:ascii="Times New Roman" w:cs="Times New Roman" w:eastAsia="Times New Roman" w:hAnsi="Times New Roman"/>
          <w:sz w:val="19"/>
          <w:szCs w:val="19"/>
          <w:color w:val="auto"/>
        </w:rPr>
      </w:pPr>
    </w:p>
    <w:p>
      <w:pPr>
        <w:jc w:val="both"/>
        <w:ind w:firstLine="650"/>
        <w:spacing w:after="0" w:line="247" w:lineRule="auto"/>
        <w:tabs>
          <w:tab w:leader="none" w:pos="103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connection with any tender offer for the Notes, including a Change of Control Offer, Alternate Offer or Asset Sale Offer, if Holders of not less than 90% in aggregate principal amount of the outstanding Notes validly tender and do not validly withdraw such Notes in such tender offer and the Issuer, or any third party making such tender offer in lieu of the Issuer, purchases all of the Notes validly tendered and not validly withdrawn by such Holders, all of the Holders of the Notes will be deemed to have consented to such tender or other offer and accordingly, the Issuer or such third party will have the right upon not less than 10 nor more than 60 days’ prior notice, given not more than 30 days following such purchase date,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thereon, to, but excluding the Redemption Date. In determining whether the Holders of at least 90% of the aggregate principal amount of the then outstanding Notes have validly tendered and not validly withdrawn Notes in a tender offer, Change of Control Offer, Alternate Offer or Asset Sale Offer, as applicable, Notes owned by an Affiliate of the Issuer or by funds controlled or managed by any Affiliate of the Issuer, or any successor thereof, shall be deemed to be outstanding for the purposes of such tender offer, Change of Control Offer, Alternate Offer or Asset Sale Offer, as applicable.</w:t>
      </w:r>
    </w:p>
    <w:p>
      <w:pPr>
        <w:spacing w:after="0" w:line="157" w:lineRule="exact"/>
        <w:rPr>
          <w:rFonts w:ascii="Times New Roman" w:cs="Times New Roman" w:eastAsia="Times New Roman" w:hAnsi="Times New Roman"/>
          <w:sz w:val="18"/>
          <w:szCs w:val="18"/>
          <w:color w:val="auto"/>
        </w:rPr>
      </w:pPr>
    </w:p>
    <w:p>
      <w:pPr>
        <w:jc w:val="both"/>
        <w:ind w:firstLine="650"/>
        <w:spacing w:after="0" w:line="234" w:lineRule="auto"/>
        <w:tabs>
          <w:tab w:leader="none" w:pos="104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notice of any redemption may be given prior to the redemption thereof, and any such redemption or notice may, at the Issuer’s discretion, be subject to one or more conditions precedent, including, without limitation, the consummation or occurrence of an incurrence or issuance of debt or equity, a Change of Control, an Asset Sale or other transaction or event. If such redemption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 in its sole discretion). Such redemption or purchase may not occur and such notice may be rescinded in the event that any or all such conditions are not satisfied (or waived by the Issuer in its sole discretion) by the Redemption Date, or by the Redemption Date as so delayed, or at any time in the Issuer’s discretion if in the good faith judgment of the Issuer any or all of such conditions will not be satisfied. In addition,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60"/>
          </w:cols>
          <w:pgMar w:left="580" w:top="1440" w:right="559" w:bottom="1440" w:gutter="0" w:footer="0" w:header="0"/>
        </w:sectPr>
      </w:pPr>
    </w:p>
    <w:bookmarkStart w:id="133" w:name="page134"/>
    <w:bookmarkEnd w:id="133"/>
    <w:p>
      <w:pPr>
        <w:spacing w:after="0" w:line="159" w:lineRule="exact"/>
        <w:rPr>
          <w:sz w:val="20"/>
          <w:szCs w:val="20"/>
          <w:color w:val="auto"/>
        </w:rPr>
      </w:pPr>
    </w:p>
    <w:p>
      <w:pPr>
        <w:jc w:val="both"/>
        <w:ind w:firstLine="650"/>
        <w:spacing w:after="0" w:line="246" w:lineRule="auto"/>
        <w:tabs>
          <w:tab w:leader="none" w:pos="1031"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Redemption Date for the Notes is on or after a Record Date and on or before the corresponding Interest Payment Date, the accrued and unpaid interest, thereon to, but excluding, the Redemption Date will be paid on the Redemption Date to the Holder in whose name the Note is registered at the close of business on such Record Date in accordance with the applicable procedures of DTC, and no additional interest will be payable to Holders whose Notes will be subject to redemption by the Issuer.</w:t>
      </w:r>
    </w:p>
    <w:p>
      <w:pPr>
        <w:spacing w:after="0" w:line="170" w:lineRule="exact"/>
        <w:rPr>
          <w:rFonts w:ascii="Times New Roman" w:cs="Times New Roman" w:eastAsia="Times New Roman" w:hAnsi="Times New Roman"/>
          <w:sz w:val="19"/>
          <w:szCs w:val="19"/>
          <w:color w:val="auto"/>
        </w:rPr>
      </w:pPr>
    </w:p>
    <w:p>
      <w:pPr>
        <w:ind w:right="340" w:firstLine="650"/>
        <w:spacing w:after="0" w:line="452" w:lineRule="auto"/>
        <w:tabs>
          <w:tab w:leader="none" w:pos="1031"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redemption pursuant to this Section 3.07 shall be made pursuant to the provisions of Sections 3.01 through 3.06 hereof. Section 3.08 </w:t>
      </w:r>
      <w:r>
        <w:rPr>
          <w:rFonts w:ascii="Times New Roman" w:cs="Times New Roman" w:eastAsia="Times New Roman" w:hAnsi="Times New Roman"/>
          <w:sz w:val="19"/>
          <w:szCs w:val="19"/>
          <w:u w:val="single" w:color="auto"/>
          <w:color w:val="auto"/>
        </w:rPr>
        <w:t>Mandatory Redemption</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The Issuer shall not be required to make any mandatory redemption or sinking fund payments with respect to the Notes. However, under certain circumstances, the Issuer may be required to offer to purchase Notes under Sections 4.10 and 4.14. The Issuer may at any time and from time to time purchase Notes in the open market or otherwise.</w:t>
      </w:r>
    </w:p>
    <w:p>
      <w:pPr>
        <w:spacing w:after="0" w:line="16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3.09</w:t>
      </w:r>
      <w:r>
        <w:rPr>
          <w:sz w:val="20"/>
          <w:szCs w:val="20"/>
          <w:color w:val="auto"/>
        </w:rPr>
        <w:tab/>
      </w:r>
      <w:r>
        <w:rPr>
          <w:rFonts w:ascii="Times New Roman" w:cs="Times New Roman" w:eastAsia="Times New Roman" w:hAnsi="Times New Roman"/>
          <w:sz w:val="18"/>
          <w:szCs w:val="18"/>
          <w:u w:val="single" w:color="auto"/>
          <w:color w:val="auto"/>
        </w:rPr>
        <w:t>Offers to Repurchase by Application of Excess Proceeds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right="20" w:firstLine="650"/>
        <w:spacing w:after="0" w:line="280" w:lineRule="auto"/>
        <w:tabs>
          <w:tab w:leader="none" w:pos="1034"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pursuant to Section 4.10 hereof, the Issuer shall be required to commence an Asset Sale Offer, it shall follow the procedures specified below.</w:t>
      </w:r>
    </w:p>
    <w:p>
      <w:pPr>
        <w:spacing w:after="0" w:line="111" w:lineRule="exact"/>
        <w:rPr>
          <w:rFonts w:ascii="Times New Roman" w:cs="Times New Roman" w:eastAsia="Times New Roman" w:hAnsi="Times New Roman"/>
          <w:sz w:val="19"/>
          <w:szCs w:val="19"/>
          <w:color w:val="auto"/>
        </w:rPr>
      </w:pPr>
    </w:p>
    <w:p>
      <w:pPr>
        <w:jc w:val="both"/>
        <w:ind w:firstLine="650"/>
        <w:spacing w:after="0" w:line="251" w:lineRule="auto"/>
        <w:tabs>
          <w:tab w:leader="none" w:pos="1031"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Purchase Date is on or after a Record Date and on or before the related Interest Payment Date, any accrued and unpaid interest up to but excluding the Purchase Date, shall be paid to the Person in whose name a Note is registered at the close of business on such Record Date, and no additional interest shall be payable to Holders who tender Notes pursuant to the Asset Sale Offer.</w:t>
      </w:r>
    </w:p>
    <w:p>
      <w:pPr>
        <w:spacing w:after="0" w:line="165" w:lineRule="exact"/>
        <w:rPr>
          <w:rFonts w:ascii="Times New Roman" w:cs="Times New Roman" w:eastAsia="Times New Roman" w:hAnsi="Times New Roman"/>
          <w:sz w:val="19"/>
          <w:szCs w:val="19"/>
          <w:color w:val="auto"/>
        </w:rPr>
      </w:pPr>
    </w:p>
    <w:p>
      <w:pPr>
        <w:jc w:val="both"/>
        <w:ind w:firstLine="650"/>
        <w:spacing w:after="0" w:line="241" w:lineRule="auto"/>
        <w:tabs>
          <w:tab w:leader="none" w:pos="1034"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commencement of an Asset Sale Offer, the Issuer shall send electronically or by first -class mail, a notice to each of the Holders, with a copy to the Trustee. The notice shall contain all instruct ions and materials necessary to enable such Holders to tender Notes pursuant to the Asset Sale Offer. The Asset Sale Offer shall be made to all Holders. The notice, which shall govern the terms of the Asset Sale Offer, shall state:</w:t>
      </w:r>
    </w:p>
    <w:p>
      <w:pPr>
        <w:spacing w:after="0" w:line="161" w:lineRule="exact"/>
        <w:rPr>
          <w:rFonts w:ascii="Times New Roman" w:cs="Times New Roman" w:eastAsia="Times New Roman" w:hAnsi="Times New Roman"/>
          <w:sz w:val="19"/>
          <w:szCs w:val="19"/>
          <w:color w:val="auto"/>
        </w:rPr>
      </w:pPr>
    </w:p>
    <w:p>
      <w:pPr>
        <w:ind w:left="660" w:firstLine="726"/>
        <w:spacing w:after="0" w:line="265" w:lineRule="auto"/>
        <w:tabs>
          <w:tab w:leader="none" w:pos="1695"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Asset Sale Offer is being made pursuant to this Section 3.09 and Section 4.10 hereof and the length of time the Asset Sale Offer shall remain open;</w:t>
      </w:r>
    </w:p>
    <w:p>
      <w:pPr>
        <w:spacing w:after="0" w:line="165" w:lineRule="exact"/>
        <w:rPr>
          <w:rFonts w:ascii="Times New Roman" w:cs="Times New Roman" w:eastAsia="Times New Roman" w:hAnsi="Times New Roman"/>
          <w:sz w:val="19"/>
          <w:szCs w:val="19"/>
          <w:color w:val="auto"/>
        </w:rPr>
      </w:pPr>
    </w:p>
    <w:p>
      <w:pPr>
        <w:jc w:val="both"/>
        <w:ind w:left="660" w:right="20" w:firstLine="683"/>
        <w:spacing w:after="0" w:line="266" w:lineRule="auto"/>
        <w:tabs>
          <w:tab w:leader="none" w:pos="1691"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Asset Sale payment amount, the Asset Sale Offer price for the Notes and the date on which Notes tendered and accepted for payment shall be purchased, which date shall be at least 10 days and not later than 60 days from the date such notice is sent (the “</w:t>
      </w:r>
      <w:r>
        <w:rPr>
          <w:rFonts w:ascii="Times New Roman" w:cs="Times New Roman" w:eastAsia="Times New Roman" w:hAnsi="Times New Roman"/>
          <w:sz w:val="19"/>
          <w:szCs w:val="19"/>
          <w:u w:val="single" w:color="auto"/>
          <w:color w:val="auto"/>
        </w:rPr>
        <w:t>Purchase Date</w:t>
      </w:r>
      <w:r>
        <w:rPr>
          <w:rFonts w:ascii="Times New Roman" w:cs="Times New Roman" w:eastAsia="Times New Roman" w:hAnsi="Times New Roman"/>
          <w:sz w:val="19"/>
          <w:szCs w:val="19"/>
          <w:color w:val="auto"/>
        </w:rPr>
        <w:t>”);</w:t>
      </w:r>
    </w:p>
    <w:p>
      <w:pPr>
        <w:spacing w:after="0" w:line="16" w:lineRule="exact"/>
        <w:rPr>
          <w:rFonts w:ascii="Times New Roman" w:cs="Times New Roman" w:eastAsia="Times New Roman" w:hAnsi="Times New Roman"/>
          <w:sz w:val="19"/>
          <w:szCs w:val="19"/>
          <w:color w:val="auto"/>
        </w:rPr>
      </w:pPr>
    </w:p>
    <w:p>
      <w:pPr>
        <w:ind w:left="4360" w:hanging="660"/>
        <w:spacing w:after="0"/>
        <w:tabs>
          <w:tab w:leader="none" w:pos="4360" w:val="left"/>
        </w:tabs>
        <w:numPr>
          <w:ilvl w:val="3"/>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or accepted for payment shall continue to accrue interest;</w:t>
      </w:r>
    </w:p>
    <w:p>
      <w:pPr>
        <w:spacing w:after="0" w:line="225" w:lineRule="exact"/>
        <w:rPr>
          <w:rFonts w:ascii="Times New Roman" w:cs="Times New Roman" w:eastAsia="Times New Roman" w:hAnsi="Times New Roman"/>
          <w:sz w:val="18"/>
          <w:szCs w:val="18"/>
          <w:color w:val="auto"/>
        </w:rPr>
      </w:pPr>
    </w:p>
    <w:p>
      <w:pPr>
        <w:ind w:left="660" w:firstLine="639"/>
        <w:spacing w:after="0" w:line="280" w:lineRule="auto"/>
        <w:tabs>
          <w:tab w:leader="none" w:pos="1690" w:val="left"/>
        </w:tabs>
        <w:numPr>
          <w:ilvl w:val="2"/>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unless the Issuer defaults in making such payment, any Note accepted for payment pursuant to the Asset Sale Offer shall cease to accrue interest on and after the Purchase Date;</w:t>
      </w:r>
    </w:p>
    <w:p>
      <w:pPr>
        <w:spacing w:after="0" w:line="138" w:lineRule="exact"/>
        <w:rPr>
          <w:rFonts w:ascii="Times New Roman" w:cs="Times New Roman" w:eastAsia="Times New Roman" w:hAnsi="Times New Roman"/>
          <w:sz w:val="19"/>
          <w:szCs w:val="19"/>
          <w:color w:val="auto"/>
        </w:rPr>
      </w:pPr>
    </w:p>
    <w:p>
      <w:pPr>
        <w:ind w:left="660" w:firstLine="639"/>
        <w:spacing w:after="0" w:line="280" w:lineRule="auto"/>
        <w:tabs>
          <w:tab w:leader="none" w:pos="1691" w:val="left"/>
        </w:tabs>
        <w:numPr>
          <w:ilvl w:val="2"/>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electing to have a Note purchased pursuant to an Asset Sale Offer may elect to have Notes purchased in minimum amounts of $2,000 or whole multiples of $1,000 in excess thereof only;</w:t>
      </w:r>
    </w:p>
    <w:p>
      <w:pPr>
        <w:spacing w:after="0" w:line="138" w:lineRule="exact"/>
        <w:rPr>
          <w:rFonts w:ascii="Times New Roman" w:cs="Times New Roman" w:eastAsia="Times New Roman" w:hAnsi="Times New Roman"/>
          <w:sz w:val="19"/>
          <w:szCs w:val="19"/>
          <w:color w:val="auto"/>
        </w:rPr>
      </w:pPr>
    </w:p>
    <w:p>
      <w:pPr>
        <w:jc w:val="both"/>
        <w:ind w:left="660" w:firstLine="639"/>
        <w:spacing w:after="0"/>
        <w:tabs>
          <w:tab w:leader="none" w:pos="1690" w:val="left"/>
        </w:tabs>
        <w:numPr>
          <w:ilvl w:val="2"/>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electing to have any Notes purchased pursuant to an Asset Sale Offer will be required to surrender the Notes, with the form entitled “Option of Holder to Elect Purchase” attached to the Notes completed to the Paying Agent at the address specified in the notice (or, in the case of Global Notes, Holders electing to have any Notes purchased pursuant to an Asset Sale Offer will be required to t ender the Note in accordance with the Applicable Procedures), in each case, prior to the close of business on the third Business Day preceding the 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60"/>
          </w:cols>
          <w:pgMar w:left="580" w:top="1440" w:right="559" w:bottom="1440" w:gutter="0" w:footer="0" w:header="0"/>
        </w:sectPr>
      </w:pPr>
    </w:p>
    <w:bookmarkStart w:id="134" w:name="page135"/>
    <w:bookmarkEnd w:id="134"/>
    <w:p>
      <w:pPr>
        <w:spacing w:after="0" w:line="172" w:lineRule="exact"/>
        <w:rPr>
          <w:sz w:val="20"/>
          <w:szCs w:val="20"/>
          <w:color w:val="auto"/>
        </w:rPr>
      </w:pPr>
    </w:p>
    <w:p>
      <w:pPr>
        <w:jc w:val="both"/>
        <w:ind w:left="660" w:firstLine="581"/>
        <w:spacing w:after="0" w:line="237" w:lineRule="auto"/>
        <w:tabs>
          <w:tab w:leader="none" w:pos="1697"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will be entitled to withdraw their election if the Issuer receives a facsimile transmission or letter setting forth the name of the Holder, the principal amount of Notes delivered for purchase, and a statement that such Holder is withdrawing its election to have the Notes purchased (or, in the case of Global Notes, a notice of withdrawal is delivered in accordance with the Applicable Procedures), in each case, not later than the close of business on the second Business Day preceding the Purchase Date; and</w:t>
      </w:r>
    </w:p>
    <w:p>
      <w:pPr>
        <w:spacing w:after="0" w:line="176" w:lineRule="exact"/>
        <w:rPr>
          <w:rFonts w:ascii="Times New Roman" w:cs="Times New Roman" w:eastAsia="Times New Roman" w:hAnsi="Times New Roman"/>
          <w:sz w:val="19"/>
          <w:szCs w:val="19"/>
          <w:color w:val="auto"/>
        </w:rPr>
      </w:pPr>
    </w:p>
    <w:p>
      <w:pPr>
        <w:jc w:val="both"/>
        <w:ind w:left="660" w:firstLine="538"/>
        <w:spacing w:after="0" w:line="235" w:lineRule="auto"/>
        <w:tabs>
          <w:tab w:leader="none" w:pos="1693"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if the aggregate principal amount of Notes and Pari Passu Indebtedness surrendered by the holders thereof exceeds the amount of Excess Proceeds (the “</w:t>
      </w:r>
      <w:r>
        <w:rPr>
          <w:rFonts w:ascii="Times New Roman" w:cs="Times New Roman" w:eastAsia="Times New Roman" w:hAnsi="Times New Roman"/>
          <w:sz w:val="19"/>
          <w:szCs w:val="19"/>
          <w:u w:val="single" w:color="auto"/>
          <w:color w:val="auto"/>
        </w:rPr>
        <w:t>Offer Amount</w:t>
      </w:r>
      <w:r>
        <w:rPr>
          <w:rFonts w:ascii="Times New Roman" w:cs="Times New Roman" w:eastAsia="Times New Roman" w:hAnsi="Times New Roman"/>
          <w:sz w:val="19"/>
          <w:szCs w:val="19"/>
          <w:color w:val="auto"/>
        </w:rPr>
        <w:t xml:space="preserve">”), the Issuer shall select the Notes (while the Notes are in global form, pursuant to the procedures of the Depositary) and the Issuer shall select such Pari Passu Indebtedness to be purchased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based on the accreted value or principal amount of the Notes or such Pari Passu Indebtedness tendered (with such adjustments as may be deemed appropriate by the Issuer so that only Notes in denominations of $2,000, or integral multiples of</w:t>
      </w:r>
    </w:p>
    <w:p>
      <w:pPr>
        <w:spacing w:after="0" w:line="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$1,000 in excess thereof shall remain outstanding after such purchase); and</w:t>
      </w:r>
    </w:p>
    <w:p>
      <w:pPr>
        <w:spacing w:after="0" w:line="166" w:lineRule="exact"/>
        <w:rPr>
          <w:rFonts w:ascii="Times New Roman" w:cs="Times New Roman" w:eastAsia="Times New Roman" w:hAnsi="Times New Roman"/>
          <w:sz w:val="19"/>
          <w:szCs w:val="19"/>
          <w:color w:val="auto"/>
        </w:rPr>
      </w:pPr>
    </w:p>
    <w:p>
      <w:pPr>
        <w:jc w:val="both"/>
        <w:ind w:left="660" w:right="20" w:firstLine="639"/>
        <w:spacing w:after="0" w:line="258" w:lineRule="auto"/>
        <w:tabs>
          <w:tab w:leader="none" w:pos="1690"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whose Definitive Notes were purchased only in part shall be issued new Definitive Notes equal in principal amount to the unpurchased portion of the Definitive Notes surrendered representing the same indebtedness to the extent not repurchased.</w:t>
      </w:r>
    </w:p>
    <w:p>
      <w:pPr>
        <w:spacing w:after="0" w:line="172" w:lineRule="exact"/>
        <w:rPr>
          <w:rFonts w:ascii="Times New Roman" w:cs="Times New Roman" w:eastAsia="Times New Roman" w:hAnsi="Times New Roman"/>
          <w:sz w:val="19"/>
          <w:szCs w:val="19"/>
          <w:color w:val="auto"/>
        </w:rPr>
      </w:pPr>
    </w:p>
    <w:p>
      <w:pPr>
        <w:jc w:val="both"/>
        <w:ind w:right="20" w:firstLine="650"/>
        <w:spacing w:after="0" w:line="241" w:lineRule="auto"/>
        <w:tabs>
          <w:tab w:leader="none" w:pos="1031"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or before the Purchase Date, the Issuer shall, to the extent lawful, (1) accept for payment,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to the extent necessary, the Offer Amount of Notes or portions thereof validly tendered pursuant to the Asset Sale Offer,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spacing w:after="0" w:line="161" w:lineRule="exact"/>
        <w:rPr>
          <w:rFonts w:ascii="Times New Roman" w:cs="Times New Roman" w:eastAsia="Times New Roman" w:hAnsi="Times New Roman"/>
          <w:sz w:val="19"/>
          <w:szCs w:val="19"/>
          <w:color w:val="auto"/>
        </w:rPr>
      </w:pPr>
    </w:p>
    <w:p>
      <w:pPr>
        <w:jc w:val="both"/>
        <w:ind w:firstLine="650"/>
        <w:spacing w:after="0" w:line="237" w:lineRule="auto"/>
        <w:tabs>
          <w:tab w:leader="none" w:pos="1034"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Issuer, the Depositary or the Paying Agent, as the case may be, shall promptly mail or deliver to each tendering Holder an amount equal to the purchase price of the Notes properly tendered by such Holder and accepted by the Issuer for purchase, and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representing the same indebtedness to the extent not repurchased;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each such new Note shall be in a minimum denomination of $2,000, or integral multiples of $1,000 in excess thereof. Any Note not so accepted shall be promptly mailed or delivered by the Issuer to the Holder thereof.</w:t>
      </w: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 xml:space="preserve">ARTICLE 4 </w:t>
      </w:r>
      <w:r>
        <w:rPr>
          <w:rFonts w:ascii="Times New Roman" w:cs="Times New Roman" w:eastAsia="Times New Roman" w:hAnsi="Times New Roman"/>
          <w:sz w:val="17"/>
          <w:szCs w:val="17"/>
          <w:color w:val="auto"/>
        </w:rPr>
        <w:t>COVENANTS</w:t>
      </w:r>
    </w:p>
    <w:p>
      <w:pPr>
        <w:spacing w:after="0" w:line="1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4.01</w:t>
      </w:r>
      <w:r>
        <w:rPr>
          <w:sz w:val="20"/>
          <w:szCs w:val="20"/>
          <w:color w:val="auto"/>
        </w:rPr>
        <w:tab/>
      </w:r>
      <w:r>
        <w:rPr>
          <w:rFonts w:ascii="Times New Roman" w:cs="Times New Roman" w:eastAsia="Times New Roman" w:hAnsi="Times New Roman"/>
          <w:sz w:val="18"/>
          <w:szCs w:val="18"/>
          <w:u w:val="single" w:color="auto"/>
          <w:color w:val="auto"/>
        </w:rPr>
        <w:t>Payment of Notes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9"/>
        <w:spacing w:after="0" w:line="246" w:lineRule="auto"/>
        <w:rPr>
          <w:sz w:val="20"/>
          <w:szCs w:val="20"/>
          <w:color w:val="auto"/>
        </w:rPr>
      </w:pPr>
      <w:r>
        <w:rPr>
          <w:rFonts w:ascii="Times New Roman" w:cs="Times New Roman" w:eastAsia="Times New Roman" w:hAnsi="Times New Roman"/>
          <w:sz w:val="19"/>
          <w:szCs w:val="19"/>
          <w:color w:val="auto"/>
        </w:rPr>
        <w:t>The Issuer shall pay or cause to be paid the principal of, premium, if any, and interest, on the Notes on the dates and in the manner provided in the Notes and this Indenture. Principal, premium, if any, and interest shall be considered paid on the date due if the Paying Agent, if other than the Issuer or a Subsidiary, holds as of noon (New York City time) on the due date money deposited by the Issuer in immediately available funds and designated for and sufficient to pay all principal, premium, if any, and interest, then due.</w:t>
      </w:r>
    </w:p>
    <w:p>
      <w:pPr>
        <w:spacing w:after="0" w:line="171"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The Issuer shall pay interest on overdue principal at the rate equal to the then applicable interest rate on the Notes to the extent lawful; it shall pay interest on overdue installments of interest at the same rate to the extent lawful.</w:t>
      </w:r>
    </w:p>
    <w:p>
      <w:pPr>
        <w:spacing w:after="0" w:line="1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4.02</w:t>
      </w:r>
      <w:r>
        <w:rPr>
          <w:sz w:val="20"/>
          <w:szCs w:val="20"/>
          <w:color w:val="auto"/>
        </w:rPr>
        <w:tab/>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760"/>
          </w:cols>
          <w:pgMar w:left="580" w:top="1440" w:right="559" w:bottom="1440" w:gutter="0" w:footer="0" w:header="0"/>
        </w:sectPr>
      </w:pPr>
    </w:p>
    <w:bookmarkStart w:id="135" w:name="page136"/>
    <w:bookmarkEnd w:id="135"/>
    <w:p>
      <w:pPr>
        <w:spacing w:after="0" w:line="172" w:lineRule="exact"/>
        <w:rPr>
          <w:sz w:val="20"/>
          <w:szCs w:val="20"/>
          <w:color w:val="auto"/>
        </w:rPr>
      </w:pPr>
    </w:p>
    <w:p>
      <w:pPr>
        <w:jc w:val="both"/>
        <w:ind w:right="20" w:firstLine="649"/>
        <w:spacing w:after="0" w:line="258" w:lineRule="auto"/>
        <w:rPr>
          <w:sz w:val="20"/>
          <w:szCs w:val="20"/>
          <w:color w:val="auto"/>
        </w:rPr>
      </w:pPr>
      <w:r>
        <w:rPr>
          <w:rFonts w:ascii="Times New Roman" w:cs="Times New Roman" w:eastAsia="Times New Roman" w:hAnsi="Times New Roman"/>
          <w:sz w:val="19"/>
          <w:szCs w:val="19"/>
          <w:color w:val="auto"/>
        </w:rPr>
        <w:t>The Issuer shall maintain an office or agency (which may be an office of the Trustee or an affiliate of the Trustee, the Registrar or co-registrar) where Notes may be surrendered for registration of transfer or for exchange and where notices and demands to or upon the Issuer in respect of the Notes and this Indenture may be served.</w:t>
      </w:r>
    </w:p>
    <w:p>
      <w:pPr>
        <w:spacing w:after="0" w:line="159"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at the Corporate Trust Office of the Trustee.</w:t>
      </w:r>
    </w:p>
    <w:p>
      <w:pPr>
        <w:spacing w:after="0" w:line="165" w:lineRule="exact"/>
        <w:rPr>
          <w:sz w:val="20"/>
          <w:szCs w:val="20"/>
          <w:color w:val="auto"/>
        </w:rPr>
      </w:pPr>
    </w:p>
    <w:p>
      <w:pPr>
        <w:jc w:val="both"/>
        <w:ind w:right="20" w:firstLine="649"/>
        <w:spacing w:after="0" w:line="254" w:lineRule="auto"/>
        <w:rPr>
          <w:sz w:val="20"/>
          <w:szCs w:val="20"/>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designation or rescission shall in any manner relieve the Issuer of its obligation to maintain an office or agency for such purposes. The Issuer shall give prompt written notice to the Trustee of any such designation or rescission and of any change in the location of any such other office or agency.</w:t>
      </w:r>
    </w:p>
    <w:p>
      <w:pPr>
        <w:spacing w:after="0" w:line="163"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 xml:space="preserve">The Issuer hereby designates the Corporate Trust Office of the Trustee as one such office or agency of the Issuer in accordance with Section 2.03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service of legal process on the Issuer or any Guarantor may be made at any office of the Trustee.</w:t>
      </w:r>
    </w:p>
    <w:p>
      <w:pPr>
        <w:spacing w:after="0" w:line="1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4.03</w:t>
      </w:r>
      <w:r>
        <w:rPr>
          <w:sz w:val="20"/>
          <w:szCs w:val="20"/>
          <w:color w:val="auto"/>
        </w:rPr>
        <w:tab/>
      </w:r>
      <w:r>
        <w:rPr>
          <w:rFonts w:ascii="Times New Roman" w:cs="Times New Roman" w:eastAsia="Times New Roman" w:hAnsi="Times New Roman"/>
          <w:sz w:val="18"/>
          <w:szCs w:val="18"/>
          <w:u w:val="single" w:color="auto"/>
          <w:color w:val="auto"/>
        </w:rPr>
        <w:t>Reports and Other Information</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1300" w:hanging="649"/>
        <w:spacing w:after="0"/>
        <w:tabs>
          <w:tab w:leader="none" w:pos="130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deliver to the Trustee, within 15 days after the time periods specified below:</w:t>
      </w:r>
    </w:p>
    <w:p>
      <w:pPr>
        <w:spacing w:after="0" w:line="213" w:lineRule="exact"/>
        <w:rPr>
          <w:rFonts w:ascii="Times New Roman" w:cs="Times New Roman" w:eastAsia="Times New Roman" w:hAnsi="Times New Roman"/>
          <w:sz w:val="19"/>
          <w:szCs w:val="19"/>
          <w:color w:val="auto"/>
        </w:rPr>
      </w:pPr>
    </w:p>
    <w:p>
      <w:pPr>
        <w:jc w:val="both"/>
        <w:ind w:left="340" w:right="20" w:firstLine="641"/>
        <w:spacing w:after="0" w:line="237" w:lineRule="auto"/>
        <w:tabs>
          <w:tab w:leader="none" w:pos="1694"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125 days after the end of each fiscal year of the Issuer ending after the Issue Date (or if such day is not a Business Day, on the next succeeding Business Day), the financial statements of the Issuer for such year prepared in accordance with GAAP, together with a report thereon by the Issuer’s independent auditors, and a “Management’s Discussion and Analysis of Financial Condition and Results of Operations” with respect to such financial statements substantially in the form which would be included in an Annual Report on Form 10-K (as in effect on the Issue Date) filed with the SEC by the Issuer (if the Issuer were required to prepare and file such form) but subject to exceptions consistent with the presentation of information in the Offering Memorandum;</w:t>
      </w:r>
    </w:p>
    <w:p>
      <w:pPr>
        <w:spacing w:after="0" w:line="28" w:lineRule="exact"/>
        <w:rPr>
          <w:rFonts w:ascii="Times New Roman" w:cs="Times New Roman" w:eastAsia="Times New Roman" w:hAnsi="Times New Roman"/>
          <w:sz w:val="19"/>
          <w:szCs w:val="19"/>
          <w:color w:val="auto"/>
        </w:rPr>
      </w:pPr>
    </w:p>
    <w:p>
      <w:pPr>
        <w:jc w:val="both"/>
        <w:ind w:left="340" w:right="20" w:firstLine="641"/>
        <w:spacing w:after="0" w:line="238" w:lineRule="auto"/>
        <w:tabs>
          <w:tab w:leader="none" w:pos="1694"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60 days after the end of each of the first three fiscal quarters in each fiscal year of the Issuer (or if such day is not a Business Day, on the next succeeding Business Day), beginning with the first such fiscal quarter ending after the Issue Date, the financial statements of the Issuer for such quarter prepared in accordance with GAAP, together with a “Management’s Discussion and Analysis of Financial Condition and Results of Operations” with respect to such financial statements substantially in the form which would be included in a Quarterly Report on Form 10-Q (as in effect on the Issue Date) filed with the SEC by the Issuer (if the Issuer were required to prepare and file such form) but subject to exceptions consistent with the presentation of information in the Offering Memorandum; and</w:t>
      </w:r>
    </w:p>
    <w:p>
      <w:pPr>
        <w:spacing w:after="0" w:line="170" w:lineRule="exact"/>
        <w:rPr>
          <w:rFonts w:ascii="Times New Roman" w:cs="Times New Roman" w:eastAsia="Times New Roman" w:hAnsi="Times New Roman"/>
          <w:sz w:val="19"/>
          <w:szCs w:val="19"/>
          <w:color w:val="auto"/>
        </w:rPr>
      </w:pPr>
    </w:p>
    <w:p>
      <w:pPr>
        <w:jc w:val="both"/>
        <w:ind w:left="340" w:firstLine="641"/>
        <w:spacing w:after="0" w:line="244" w:lineRule="auto"/>
        <w:tabs>
          <w:tab w:leader="none" w:pos="169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(and not required to be sooner than the filing deadlines applied to a Current Report on Form 8-K (as in effect on the Issue Date)) after the occurrence of any of the following events, information substantially in the form of the information that would be required to be included in a Current Report on Form 8- K (as in effect on the Issue Date) filed with the SEC by the Issuer (if the Issuer were required to prepare and file such form) but subject to exceptions consistent with the presentation of information in the Offering Memorandum;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obligate the Issuer to make available (i) any information regarding the occurrence of any of the following events if the Issuer determines in its reasonable determination that such event that would otherwise be required to be disclosed is not material to the Holders or the business, assets, operations, financial positions or prospects of the Issuer and its Restricted Subsidiaries taken as a whole, (ii) an exhibit or a summary of the terms of, any employment or compensatory arrangement, agreement, plan or understanding between the Issuer or any of its Subsidiaries and any director, manager or executive officer of the Issuer or any of its Subsidiaries, (iii) copies of any agreements, financial statements or other items that would be required to be filed as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780"/>
          </w:cols>
          <w:pgMar w:left="580" w:top="1440" w:right="539" w:bottom="1440" w:gutter="0" w:footer="0" w:header="0"/>
        </w:sectPr>
      </w:pPr>
    </w:p>
    <w:bookmarkStart w:id="136" w:name="page137"/>
    <w:bookmarkEnd w:id="136"/>
    <w:p>
      <w:pPr>
        <w:spacing w:after="0" w:line="186" w:lineRule="exact"/>
        <w:rPr>
          <w:sz w:val="20"/>
          <w:szCs w:val="20"/>
          <w:color w:val="auto"/>
        </w:rPr>
      </w:pPr>
    </w:p>
    <w:p>
      <w:pPr>
        <w:ind w:left="340"/>
        <w:spacing w:after="0" w:line="265" w:lineRule="auto"/>
        <w:rPr>
          <w:sz w:val="20"/>
          <w:szCs w:val="20"/>
          <w:color w:val="auto"/>
        </w:rPr>
      </w:pPr>
      <w:r>
        <w:rPr>
          <w:rFonts w:ascii="Times New Roman" w:cs="Times New Roman" w:eastAsia="Times New Roman" w:hAnsi="Times New Roman"/>
          <w:sz w:val="19"/>
          <w:szCs w:val="19"/>
          <w:color w:val="auto"/>
        </w:rPr>
        <w:t>to a current report on Form 8-K or (iv) any trade secrets, privileged or confidential information obtained from another Person and competitively sensitive information:</w:t>
      </w:r>
    </w:p>
    <w:p>
      <w:pPr>
        <w:spacing w:after="0" w:line="193" w:lineRule="exact"/>
        <w:rPr>
          <w:sz w:val="20"/>
          <w:szCs w:val="20"/>
          <w:color w:val="auto"/>
        </w:rPr>
      </w:pPr>
    </w:p>
    <w:p>
      <w:pPr>
        <w:ind w:left="2580" w:hanging="632"/>
        <w:spacing w:after="0"/>
        <w:tabs>
          <w:tab w:leader="none" w:pos="258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entry into or termination of material agreements;</w:t>
      </w:r>
    </w:p>
    <w:p>
      <w:pPr>
        <w:spacing w:after="0" w:line="200" w:lineRule="exact"/>
        <w:rPr>
          <w:rFonts w:ascii="Times New Roman" w:cs="Times New Roman" w:eastAsia="Times New Roman" w:hAnsi="Times New Roman"/>
          <w:sz w:val="19"/>
          <w:szCs w:val="19"/>
          <w:color w:val="auto"/>
        </w:rPr>
      </w:pPr>
    </w:p>
    <w:p>
      <w:pPr>
        <w:ind w:left="1300" w:firstLine="647"/>
        <w:spacing w:after="0" w:line="265" w:lineRule="auto"/>
        <w:tabs>
          <w:tab w:leader="none" w:pos="2335"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acquisitions or dispositions (which shall only be with respect to acquisitions or dispositions that are significant pursuant to the definition of “ Significant Subsidiary”);</w:t>
      </w:r>
    </w:p>
    <w:p>
      <w:pPr>
        <w:spacing w:after="0" w:line="165" w:lineRule="exact"/>
        <w:rPr>
          <w:rFonts w:ascii="Times New Roman" w:cs="Times New Roman" w:eastAsia="Times New Roman" w:hAnsi="Times New Roman"/>
          <w:sz w:val="19"/>
          <w:szCs w:val="19"/>
          <w:color w:val="auto"/>
        </w:rPr>
      </w:pPr>
    </w:p>
    <w:p>
      <w:pPr>
        <w:ind w:left="2600" w:hanging="652"/>
        <w:spacing w:after="0"/>
        <w:tabs>
          <w:tab w:leader="none" w:pos="260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bankruptcy;</w:t>
      </w:r>
    </w:p>
    <w:p>
      <w:pPr>
        <w:spacing w:after="0" w:line="227"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cross-default under direct material financial obligations;</w:t>
      </w:r>
    </w:p>
    <w:p>
      <w:pPr>
        <w:spacing w:after="0" w:line="200" w:lineRule="exact"/>
        <w:rPr>
          <w:rFonts w:ascii="Times New Roman" w:cs="Times New Roman" w:eastAsia="Times New Roman" w:hAnsi="Times New Roman"/>
          <w:sz w:val="19"/>
          <w:szCs w:val="19"/>
          <w:color w:val="auto"/>
        </w:rPr>
      </w:pPr>
    </w:p>
    <w:p>
      <w:pPr>
        <w:ind w:left="2600" w:hanging="652"/>
        <w:spacing w:after="0"/>
        <w:tabs>
          <w:tab w:leader="none" w:pos="260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Issuer’s certifying independent auditor;</w:t>
      </w:r>
    </w:p>
    <w:p>
      <w:pPr>
        <w:spacing w:after="0" w:line="200" w:lineRule="exact"/>
        <w:rPr>
          <w:rFonts w:ascii="Times New Roman" w:cs="Times New Roman" w:eastAsia="Times New Roman" w:hAnsi="Times New Roman"/>
          <w:sz w:val="19"/>
          <w:szCs w:val="19"/>
          <w:color w:val="auto"/>
        </w:rPr>
      </w:pPr>
    </w:p>
    <w:p>
      <w:pPr>
        <w:ind w:left="1300" w:firstLine="647"/>
        <w:spacing w:after="0" w:line="280" w:lineRule="auto"/>
        <w:tabs>
          <w:tab w:leader="none" w:pos="2341"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appointment or departure of directors or executive officers (with respect to the principal executive officer, president, principal financial officer, principal accounting officer and principal operating officer only);</w:t>
      </w:r>
    </w:p>
    <w:p>
      <w:pPr>
        <w:spacing w:after="0" w:line="151"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non-reliance on previously issued financial statements; and</w:t>
      </w:r>
    </w:p>
    <w:p>
      <w:pPr>
        <w:spacing w:after="0" w:line="213"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transactions.</w:t>
      </w:r>
    </w:p>
    <w:p>
      <w:pPr>
        <w:spacing w:after="0" w:line="187"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In addition, to the extent not satisfied by the foregoing, for so long as the Notes remain outstanding, the Issuer shall furnish to Holders thereof and prospective investors in such Notes, upon their request, the information required to be delivered pursuant to Rule 144A(d)(4) (as in effect on the Issue Date) of the Securities Act.</w:t>
      </w:r>
    </w:p>
    <w:p>
      <w:pPr>
        <w:spacing w:after="0" w:line="151" w:lineRule="exact"/>
        <w:rPr>
          <w:sz w:val="20"/>
          <w:szCs w:val="20"/>
          <w:color w:val="auto"/>
        </w:rPr>
      </w:pPr>
    </w:p>
    <w:p>
      <w:pPr>
        <w:jc w:val="both"/>
        <w:ind w:firstLine="650"/>
        <w:spacing w:after="0" w:line="239" w:lineRule="auto"/>
        <w:tabs>
          <w:tab w:leader="none" w:pos="1031"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the Issuer shall not be required to provide (i) segment reporting and disclosure (including any required by FASB Accounting Standards Codification Topic 280), (ii) separate financial statements or other information contemplated by Rules 3-03(e), 3-05, 3-09, 3-10, 3-16 or 4-08 of Regulation S-X (or any successor provisions) or any schedules required by Regulation S-X,</w:t>
      </w:r>
    </w:p>
    <w:p>
      <w:pPr>
        <w:spacing w:after="0" w:line="1" w:lineRule="exact"/>
        <w:rPr>
          <w:rFonts w:ascii="Times New Roman" w:cs="Times New Roman" w:eastAsia="Times New Roman" w:hAnsi="Times New Roman"/>
          <w:sz w:val="19"/>
          <w:szCs w:val="19"/>
          <w:color w:val="auto"/>
        </w:rPr>
      </w:pPr>
    </w:p>
    <w:p>
      <w:pPr>
        <w:jc w:val="both"/>
        <w:ind w:firstLine="1"/>
        <w:spacing w:after="0" w:line="230" w:lineRule="auto"/>
        <w:tabs>
          <w:tab w:leader="none" w:pos="346"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information required by Regulation G under the Exchange Act or Item 10, Item 302, Item 402 or Item 601 of Regulation S-K (or any successor provision), (iv) XBRL exhibits, (v) earnings per share information, (vi) information regarding executive compensation and related party disclosure related to SEC Release Nos. 33-8732A, 34-54302A and IC-27444A, or (vii) other information customarily excluded from an offering memorandum, including any information that is not otherwise of the type and form currently included in the Offering Memorandum relating to the Notes. In addition, notwithstanding the foregoing, the Issuer will not be required to (i) comply with Sections 302, 906 and 404 of the Sarbanes-Oxley Act of 2002, as amended, or (ii) otherwise furnish any information, certificates or reports required by Items 307 or 308 of Regulation S-K (or any successor provision). To the extent any such information is not so filed or furnished, as applicable, within the time periods specified above and such information is subsequently filed or furnished, as applicable, the Issuer will be deemed to have satisfied its obligations with respect thereto at such time and any Default with respect thereto shall be deemed to have been cured;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cure shall not otherwise affect the rights of the Holders under Section 6.01 hereof if Holders of at least 30% in aggregate principal amount of the outstanding Notes have declared the principal, premium, if any, interest and any other monetary obligations on all the outstanding Notes to be due and payable immediately and such declaration shall not have been rescinded or cancelled prior to such cure.</w:t>
      </w:r>
    </w:p>
    <w:p>
      <w:pPr>
        <w:spacing w:after="0" w:line="167" w:lineRule="exact"/>
        <w:rPr>
          <w:rFonts w:ascii="Times New Roman" w:cs="Times New Roman" w:eastAsia="Times New Roman" w:hAnsi="Times New Roman"/>
          <w:sz w:val="19"/>
          <w:szCs w:val="19"/>
          <w:color w:val="auto"/>
        </w:rPr>
      </w:pPr>
    </w:p>
    <w:p>
      <w:pPr>
        <w:jc w:val="both"/>
        <w:ind w:firstLine="650"/>
        <w:spacing w:after="0" w:line="237" w:lineRule="auto"/>
        <w:tabs>
          <w:tab w:leader="none" w:pos="1034"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requirements set forth in Section 4.03(a) hereof may be satisfied by (i) delivering such information electronically to the Trustee, (ii) the Issuer filing such information with the SEC via the EDGAR filing system (or any successor system) or (iii) the Issuer using commercially reasonable efforts to post copies of such information on a website (which may be nonpublic and may be maintained by the Issuer or a third party, or may also be the Issuer’s website) to which access (if required) will be given to Holders and prospective purchasers of the Notes (which prospective purchasers shall be limited to QIBs or Non-U.S. Persons that certify their status as such to the reasonable satisfaction of the Issuer). To the extent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760"/>
          </w:cols>
          <w:pgMar w:left="580" w:top="1440" w:right="559" w:bottom="1440" w:gutter="0" w:footer="0" w:header="0"/>
        </w:sectPr>
      </w:pPr>
    </w:p>
    <w:bookmarkStart w:id="137" w:name="page138"/>
    <w:bookmarkEnd w:id="137"/>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determines in good faith that it cannot make such reports available in the manner described in the preceding sentence after the use of its commercially reasonable efforts, the Issuer shall furnish such reports to the Holders, upon their request. The Issuer may condition the delivery of any such reports to such Holders and prospective purchasers of the Notes on the agreement of such Persons to (i) treat all such reports (and the information contained there) and information as confidential, (ii) not use such reports (and the information contained therein) and information for any purpose other than their investment or potential investment in the Notes and (iii) not publicly disclose any such reports (and the information contained therein) and information.</w:t>
      </w:r>
    </w:p>
    <w:p>
      <w:pPr>
        <w:spacing w:after="0" w:line="164" w:lineRule="exact"/>
        <w:rPr>
          <w:sz w:val="20"/>
          <w:szCs w:val="20"/>
          <w:color w:val="auto"/>
        </w:rPr>
      </w:pPr>
    </w:p>
    <w:p>
      <w:pPr>
        <w:jc w:val="both"/>
        <w:ind w:firstLine="650"/>
        <w:spacing w:after="0" w:line="234" w:lineRule="auto"/>
        <w:tabs>
          <w:tab w:leader="none" w:pos="1031"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Issuer may satisfy its obligations in this Section 4.03 with respect to financial and other information relating to the Issuer by furnishing financial and other information relating to a Parent Entity;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such information relates to such Parent Entity, if and for so long as such Parent Entity will have material assets (other than Equity Interests of the Issuer or one or more other Parent Entities) or operations, the same is accompanied by consolidating information that explains in reasonable detail the differences between the information relating to such Parent Entity, on the one hand, and the information relating to the Issuer and its Restricted Subsidiaries on a standalone basis, on the other hand. For the avoidance of doubt, the consolidating information referred to in the proviso in the preceding sentence need not be audited. The obligations under this Section 4.03 will be deemed satisfied by having the applicable entity (i) furnish reports containing the information contemplated hereby to the Holders of the Notes or (ii) file the applicable reports containing the information contemplated hereby with the SEC.</w:t>
      </w:r>
    </w:p>
    <w:p>
      <w:pPr>
        <w:spacing w:after="0" w:line="175" w:lineRule="exact"/>
        <w:rPr>
          <w:rFonts w:ascii="Times New Roman" w:cs="Times New Roman" w:eastAsia="Times New Roman" w:hAnsi="Times New Roman"/>
          <w:sz w:val="19"/>
          <w:szCs w:val="19"/>
          <w:color w:val="auto"/>
        </w:rPr>
      </w:pPr>
    </w:p>
    <w:p>
      <w:pPr>
        <w:jc w:val="both"/>
        <w:ind w:firstLine="650"/>
        <w:spacing w:after="0"/>
        <w:tabs>
          <w:tab w:leader="none" w:pos="1034"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has designated any of its Subsidiaries as an Unrestricted Subsidiary and such Unrestricted Subsidiary or group of Unrestricted Subsidiaries, if taken together as one Subsidiary, would constitute a Significant Subsidiary of the Issuer, then the annual and quarterly information required by Sections 4.03(a)(1) and (2) will include a presentation of selected financial metrics (in the Issuer’s sole discretion) of such Unrestricted Subsidiaries as a group in the “Management’s Discussion and Analysis of Financial Condition and Results of Operations.”</w:t>
      </w:r>
    </w:p>
    <w:p>
      <w:pPr>
        <w:spacing w:after="0" w:line="163" w:lineRule="exact"/>
        <w:rPr>
          <w:rFonts w:ascii="Times New Roman" w:cs="Times New Roman" w:eastAsia="Times New Roman" w:hAnsi="Times New Roman"/>
          <w:sz w:val="19"/>
          <w:szCs w:val="19"/>
          <w:color w:val="auto"/>
        </w:rPr>
      </w:pPr>
    </w:p>
    <w:p>
      <w:pPr>
        <w:jc w:val="both"/>
        <w:ind w:firstLine="650"/>
        <w:spacing w:after="0" w:line="233" w:lineRule="auto"/>
        <w:tabs>
          <w:tab w:leader="none" w:pos="104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Delivery of reports, information and documents to the Trustee hereunder is for informational purposes only and the information and the Trustee’s receipt of such information and documents pursuant to this Indenture shall not constitute actual or constructive notice or knowledge of any information contained therein, or determinable from information contained therein including the Issuer’s compliance with any of its covenants hereunder (as to which the Trustee is entitled to rely exclusively on an Officer’s Certificate). The Trustee shall have no duty to review or analyze reports delivered to it. The Trustee shall have no liability whatsoever to determine whether any financial information has been filed with the SEC or posted on the EDGAR system (or any successor electronic delivery procedure) or any website or have any duty to monitor or determine whether the Issuer has delivered the reports described under this Section 4.03 or otherwise complied with its obligations to deliver reports as described above.</w:t>
      </w:r>
    </w:p>
    <w:p>
      <w:pPr>
        <w:spacing w:after="0" w:line="179" w:lineRule="exact"/>
        <w:rPr>
          <w:rFonts w:ascii="Times New Roman" w:cs="Times New Roman" w:eastAsia="Times New Roman" w:hAnsi="Times New Roman"/>
          <w:sz w:val="19"/>
          <w:szCs w:val="19"/>
          <w:color w:val="auto"/>
        </w:rPr>
      </w:pPr>
    </w:p>
    <w:p>
      <w:pPr>
        <w:ind w:right="20" w:firstLine="650"/>
        <w:spacing w:after="0" w:line="265" w:lineRule="auto"/>
        <w:tabs>
          <w:tab w:leader="none" w:pos="1031"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the Issuer shall not be deemed to have failed to comply with any of its obligations hereunder for purposes of Section 6.01(a)(3) until 270 days after the date any report hereunder is due.</w:t>
      </w:r>
    </w:p>
    <w:p>
      <w:pPr>
        <w:spacing w:after="0" w:line="3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4.04</w:t>
      </w:r>
      <w:r>
        <w:rPr>
          <w:sz w:val="20"/>
          <w:szCs w:val="20"/>
          <w:color w:val="auto"/>
        </w:rPr>
        <w:tab/>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50"/>
        <w:spacing w:after="0" w:line="235" w:lineRule="auto"/>
        <w:tabs>
          <w:tab w:leader="none" w:pos="1034"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deliver to the Trustee, within 120 days after the end of each fiscal year ending after the Issue Date, a certificate from the principal executive officer, principal financial officer or principal accounting officer stating that in the course of the performance by the signer of his or her duties as an Officer of the Issuer he or she would normally have knowledge of any Default and whether the signer knows of any Default that occurred during the previous year and is continuing as of the date of such certificate (and, if any such Default shall have occurred and is continuing, describing all such Defaults of which he or she may have knowledge and what action the Issuer is taking or proposes to take with respect thereto).</w:t>
      </w:r>
    </w:p>
    <w:p>
      <w:pPr>
        <w:spacing w:after="0" w:line="174" w:lineRule="exact"/>
        <w:rPr>
          <w:rFonts w:ascii="Times New Roman" w:cs="Times New Roman" w:eastAsia="Times New Roman" w:hAnsi="Times New Roman"/>
          <w:sz w:val="19"/>
          <w:szCs w:val="19"/>
          <w:color w:val="auto"/>
        </w:rPr>
      </w:pPr>
    </w:p>
    <w:p>
      <w:pPr>
        <w:jc w:val="both"/>
        <w:ind w:right="20" w:firstLine="650"/>
        <w:spacing w:after="0" w:line="251" w:lineRule="auto"/>
        <w:tabs>
          <w:tab w:leader="none" w:pos="1031"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 any Default has occurred and is continuing under this Indenture, the Issuer shall, within 30 days after any Officer of the Issuer becoming aware thereof (unless such Default is no longer continuing at the expiration of such 30 day period), deliver to the Trustee written notice specifying such event, its status and what actions the Issuer is taking or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760"/>
          </w:cols>
          <w:pgMar w:left="580" w:top="1440" w:right="559" w:bottom="1440" w:gutter="0" w:footer="0" w:header="0"/>
        </w:sectPr>
      </w:pPr>
    </w:p>
    <w:bookmarkStart w:id="138" w:name="page139"/>
    <w:bookmarkEnd w:id="138"/>
    <w:p>
      <w:pPr>
        <w:spacing w:after="0" w:line="18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4.05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4.06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4.07</w:t>
      </w:r>
      <w:r>
        <w:rPr>
          <w:sz w:val="20"/>
          <w:szCs w:val="20"/>
          <w:color w:val="auto"/>
        </w:rPr>
        <w:tab/>
      </w:r>
      <w:r>
        <w:rPr>
          <w:rFonts w:ascii="Times New Roman" w:cs="Times New Roman" w:eastAsia="Times New Roman" w:hAnsi="Times New Roman"/>
          <w:sz w:val="18"/>
          <w:szCs w:val="18"/>
          <w:u w:val="single" w:color="auto"/>
          <w:color w:val="auto"/>
        </w:rPr>
        <w:t>Limitation on Restricted Payments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1300" w:hanging="649"/>
        <w:spacing w:after="0"/>
        <w:tabs>
          <w:tab w:leader="none" w:pos="130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and shall not permit any of its Restricted Subsidiaries to, directly or indirectly:</w:t>
      </w:r>
    </w:p>
    <w:p>
      <w:pPr>
        <w:spacing w:after="0" w:line="213" w:lineRule="exact"/>
        <w:rPr>
          <w:rFonts w:ascii="Times New Roman" w:cs="Times New Roman" w:eastAsia="Times New Roman" w:hAnsi="Times New Roman"/>
          <w:sz w:val="19"/>
          <w:szCs w:val="19"/>
          <w:color w:val="auto"/>
        </w:rPr>
      </w:pPr>
    </w:p>
    <w:p>
      <w:pPr>
        <w:jc w:val="both"/>
        <w:ind w:left="660" w:right="60" w:firstLine="726"/>
        <w:spacing w:after="0" w:line="258" w:lineRule="auto"/>
        <w:tabs>
          <w:tab w:leader="none" w:pos="1692"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declare or pay any dividend or make any payment or distribution on account of the Issuer’s, or any of its Restricted Subsidiaries’ Equity Interests, including any dividend or distribution payable in connection with any merger, amalgamation or consolidation other than:</w:t>
      </w:r>
    </w:p>
    <w:p>
      <w:pPr>
        <w:spacing w:after="0" w:line="159" w:lineRule="exact"/>
        <w:rPr>
          <w:rFonts w:ascii="Times New Roman" w:cs="Times New Roman" w:eastAsia="Times New Roman" w:hAnsi="Times New Roman"/>
          <w:sz w:val="19"/>
          <w:szCs w:val="19"/>
          <w:color w:val="auto"/>
        </w:rPr>
      </w:pPr>
    </w:p>
    <w:p>
      <w:pPr>
        <w:ind w:left="1300" w:right="80" w:firstLine="647"/>
        <w:spacing w:after="0" w:line="280" w:lineRule="auto"/>
        <w:tabs>
          <w:tab w:leader="none" w:pos="2332" w:val="left"/>
        </w:tabs>
        <w:numPr>
          <w:ilvl w:val="3"/>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dividends, payments or distributions payable in Equity Interests (other than Disqualified Stock) of the Issuer or a Parent Entity or in options, warrants or other rights to purchase such Equity Interests (other than Disqualified Stock);</w:t>
      </w:r>
    </w:p>
    <w:p>
      <w:pPr>
        <w:spacing w:after="0" w:line="124" w:lineRule="exact"/>
        <w:rPr>
          <w:rFonts w:ascii="Times New Roman" w:cs="Times New Roman" w:eastAsia="Times New Roman" w:hAnsi="Times New Roman"/>
          <w:sz w:val="19"/>
          <w:szCs w:val="19"/>
          <w:color w:val="auto"/>
        </w:rPr>
      </w:pPr>
    </w:p>
    <w:p>
      <w:pPr>
        <w:jc w:val="both"/>
        <w:ind w:left="1300" w:right="60" w:firstLine="647"/>
        <w:spacing w:after="0" w:line="246" w:lineRule="auto"/>
        <w:tabs>
          <w:tab w:leader="none" w:pos="2335" w:val="left"/>
        </w:tabs>
        <w:numPr>
          <w:ilvl w:val="3"/>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dividends, payments or distributions by a Restricted Subsidiary so long as, in the case of any dividend, payment or distribution payable on or in respect of any class or series of securities issued by a Restricted Subsidiary other than a Wholly Owned Subsidiary of the Issuer, the Issuer or a Restricted Subsidiary receives at least its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such dividend, payment or distribution in accordance with its Equity Interests in such class or series of securities; or</w:t>
      </w:r>
    </w:p>
    <w:p>
      <w:pPr>
        <w:spacing w:after="0" w:line="157" w:lineRule="exact"/>
        <w:rPr>
          <w:rFonts w:ascii="Times New Roman" w:cs="Times New Roman" w:eastAsia="Times New Roman" w:hAnsi="Times New Roman"/>
          <w:sz w:val="19"/>
          <w:szCs w:val="19"/>
          <w:color w:val="auto"/>
        </w:rPr>
      </w:pPr>
    </w:p>
    <w:p>
      <w:pPr>
        <w:jc w:val="both"/>
        <w:ind w:left="1300" w:right="60" w:firstLine="647"/>
        <w:spacing w:after="0" w:line="251" w:lineRule="auto"/>
        <w:tabs>
          <w:tab w:leader="none" w:pos="2335" w:val="left"/>
        </w:tabs>
        <w:numPr>
          <w:ilvl w:val="3"/>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dividends or distributions payable to any Parent Entity to fund interest payments in respect of Indebtedness of such Parent Entity which is guaranteed by the Issuer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net proceeds of such Indebtedness of such Parent Entity shall be contributed to the Issuer or any Restricted Subsidiary;</w:t>
      </w:r>
    </w:p>
    <w:p>
      <w:pPr>
        <w:spacing w:after="0" w:line="138" w:lineRule="exact"/>
        <w:rPr>
          <w:rFonts w:ascii="Times New Roman" w:cs="Times New Roman" w:eastAsia="Times New Roman" w:hAnsi="Times New Roman"/>
          <w:sz w:val="19"/>
          <w:szCs w:val="19"/>
          <w:color w:val="auto"/>
        </w:rPr>
      </w:pPr>
    </w:p>
    <w:p>
      <w:pPr>
        <w:jc w:val="both"/>
        <w:ind w:left="660" w:right="80" w:firstLine="654"/>
        <w:spacing w:after="0" w:line="266" w:lineRule="auto"/>
        <w:tabs>
          <w:tab w:leader="none" w:pos="1696" w:val="left"/>
        </w:tabs>
        <w:numPr>
          <w:ilvl w:val="2"/>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redeem, defease or otherwise acquire or retire for value any Equity Interests of the Issuer or any Parent Entity, including in connection with any merger, amalgamation or consolidation, in each case held by Persons other than the Issuer or a Restricted Subsidiary;</w:t>
      </w:r>
    </w:p>
    <w:p>
      <w:pPr>
        <w:spacing w:after="0" w:line="164" w:lineRule="exact"/>
        <w:rPr>
          <w:rFonts w:ascii="Times New Roman" w:cs="Times New Roman" w:eastAsia="Times New Roman" w:hAnsi="Times New Roman"/>
          <w:sz w:val="19"/>
          <w:szCs w:val="19"/>
          <w:color w:val="auto"/>
        </w:rPr>
      </w:pPr>
    </w:p>
    <w:p>
      <w:pPr>
        <w:ind w:left="660" w:right="60" w:firstLine="595"/>
        <w:spacing w:after="0" w:line="250" w:lineRule="auto"/>
        <w:tabs>
          <w:tab w:leader="none" w:pos="1701" w:val="left"/>
        </w:tabs>
        <w:numPr>
          <w:ilvl w:val="2"/>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principal payment on, or redeem, repurchase, defease or otherwise acquire or retire for value, in each case, prior to any scheduled repayment, sinking fund payment or maturity, any Subordinated Indebtedness, other than:</w:t>
      </w:r>
    </w:p>
    <w:p>
      <w:pPr>
        <w:spacing w:after="0" w:line="165" w:lineRule="exact"/>
        <w:rPr>
          <w:rFonts w:ascii="Times New Roman" w:cs="Times New Roman" w:eastAsia="Times New Roman" w:hAnsi="Times New Roman"/>
          <w:sz w:val="19"/>
          <w:szCs w:val="19"/>
          <w:color w:val="auto"/>
        </w:rPr>
      </w:pPr>
    </w:p>
    <w:p>
      <w:pPr>
        <w:ind w:left="2580" w:hanging="632"/>
        <w:spacing w:after="0"/>
        <w:tabs>
          <w:tab w:leader="none" w:pos="2580" w:val="left"/>
        </w:tabs>
        <w:numPr>
          <w:ilvl w:val="3"/>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permitted under clauses (7), (8) and (9) of Section 4.09(b) hereof;</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or</w:t>
      </w:r>
    </w:p>
    <w:p>
      <w:pPr>
        <w:spacing w:after="0" w:line="167" w:lineRule="exact"/>
        <w:rPr>
          <w:sz w:val="20"/>
          <w:szCs w:val="20"/>
          <w:color w:val="auto"/>
        </w:rPr>
      </w:pPr>
    </w:p>
    <w:p>
      <w:pPr>
        <w:ind w:left="2600" w:hanging="652"/>
        <w:spacing w:after="0"/>
        <w:tabs>
          <w:tab w:leader="none" w:pos="260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prepayments, redemptions, repurchases, defeasance and other payments,</w:t>
      </w:r>
    </w:p>
    <w:p>
      <w:pPr>
        <w:spacing w:after="0" w:line="26" w:lineRule="exact"/>
        <w:rPr>
          <w:sz w:val="20"/>
          <w:szCs w:val="20"/>
          <w:color w:val="auto"/>
        </w:rPr>
      </w:pPr>
    </w:p>
    <w:p>
      <w:pPr>
        <w:jc w:val="both"/>
        <w:ind w:left="1300"/>
        <w:spacing w:after="0" w:line="243" w:lineRule="auto"/>
        <w:rPr>
          <w:sz w:val="20"/>
          <w:szCs w:val="20"/>
          <w:color w:val="auto"/>
        </w:rPr>
      </w:pPr>
      <w:r>
        <w:rPr>
          <w:rFonts w:ascii="Times New Roman" w:cs="Times New Roman" w:eastAsia="Times New Roman" w:hAnsi="Times New Roman"/>
          <w:sz w:val="19"/>
          <w:szCs w:val="19"/>
          <w:color w:val="auto"/>
        </w:rPr>
        <w:t>acquisitions or retirements in respect of Subordinated Indebtedness prior to their scheduled maturity purchased in anticipation of satisfying a sinking fund obligation, principal installment or final maturity, in each case, due within one year of the date of such prepayment, redemption, purchase, repurchase, defeasance or other acquisition or retirement; and</w:t>
      </w:r>
    </w:p>
    <w:p>
      <w:pPr>
        <w:spacing w:after="0" w:line="172" w:lineRule="exact"/>
        <w:rPr>
          <w:sz w:val="20"/>
          <w:szCs w:val="20"/>
          <w:color w:val="auto"/>
        </w:rPr>
      </w:pPr>
    </w:p>
    <w:p>
      <w:pPr>
        <w:ind w:left="1240"/>
        <w:spacing w:after="0"/>
        <w:tabs>
          <w:tab w:leader="none" w:pos="1920" w:val="left"/>
        </w:tabs>
        <w:rPr>
          <w:sz w:val="20"/>
          <w:szCs w:val="20"/>
          <w:color w:val="auto"/>
        </w:rPr>
      </w:pPr>
      <w:r>
        <w:rPr>
          <w:rFonts w:ascii="Times New Roman" w:cs="Times New Roman" w:eastAsia="Times New Roman" w:hAnsi="Times New Roman"/>
          <w:sz w:val="19"/>
          <w:szCs w:val="19"/>
          <w:color w:val="auto"/>
        </w:rPr>
        <w:t>(IV)</w:t>
      </w:r>
      <w:r>
        <w:rPr>
          <w:sz w:val="20"/>
          <w:szCs w:val="20"/>
          <w:color w:val="auto"/>
        </w:rPr>
        <w:tab/>
      </w:r>
      <w:r>
        <w:rPr>
          <w:rFonts w:ascii="Times New Roman" w:cs="Times New Roman" w:eastAsia="Times New Roman" w:hAnsi="Times New Roman"/>
          <w:sz w:val="19"/>
          <w:szCs w:val="19"/>
          <w:color w:val="auto"/>
        </w:rPr>
        <w:t>make any Restricted Investment;</w:t>
      </w:r>
    </w:p>
    <w:p>
      <w:pPr>
        <w:spacing w:after="0" w:line="20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9"/>
          <w:szCs w:val="19"/>
          <w:color w:val="auto"/>
        </w:rPr>
        <w:t>(all such payments and other actions set forth in clauses (I) through (IV) (other than any exception thereto) above being collectively referred to as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unless, at the time of such Restricted Payment:</w:t>
      </w:r>
    </w:p>
    <w:p>
      <w:pPr>
        <w:spacing w:after="0" w:line="93" w:lineRule="exact"/>
        <w:rPr>
          <w:sz w:val="20"/>
          <w:szCs w:val="20"/>
          <w:color w:val="auto"/>
        </w:rPr>
      </w:pPr>
    </w:p>
    <w:p>
      <w:pPr>
        <w:ind w:left="340" w:right="80" w:firstLine="641"/>
        <w:spacing w:after="0" w:line="270" w:lineRule="auto"/>
        <w:tabs>
          <w:tab w:leader="none" w:pos="1694"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than in the case of a Restricted Investment, immediately after giving effect to such Restricted Payment on a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forma </w:t>
      </w:r>
      <w:r>
        <w:rPr>
          <w:rFonts w:ascii="Times New Roman" w:cs="Times New Roman" w:eastAsia="Times New Roman" w:hAnsi="Times New Roman"/>
          <w:sz w:val="19"/>
          <w:szCs w:val="19"/>
          <w:color w:val="auto"/>
        </w:rPr>
        <w:t>basis, the Issuer could incur $1.00 of additional Indebtedness under Section 4.09(a) hereof;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820"/>
          </w:cols>
          <w:pgMar w:left="580" w:top="1440" w:right="499" w:bottom="1440" w:gutter="0" w:footer="0" w:header="0"/>
        </w:sectPr>
      </w:pPr>
    </w:p>
    <w:bookmarkStart w:id="139" w:name="page140"/>
    <w:bookmarkEnd w:id="139"/>
    <w:p>
      <w:pPr>
        <w:spacing w:after="0" w:line="172" w:lineRule="exact"/>
        <w:rPr>
          <w:sz w:val="20"/>
          <w:szCs w:val="20"/>
          <w:color w:val="auto"/>
        </w:rPr>
      </w:pPr>
    </w:p>
    <w:p>
      <w:pPr>
        <w:jc w:val="both"/>
        <w:ind w:firstLine="641"/>
        <w:spacing w:after="0" w:line="241" w:lineRule="auto"/>
        <w:tabs>
          <w:tab w:leader="none" w:pos="1354"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Restricted Payment, together with the aggregate amount of all other Restricted Payments made (and not returned or rescinded) by the Issuer and its Restricted Subsidiaries after October 1, 2019 (and including Restricted Payments in reliance on Section 4.07(b)(1) hereof (without duplication), but excluding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other Restricted Payments in reliance on Section 4.07(b) hereof), is less than the sum of (without duplication):</w:t>
      </w:r>
    </w:p>
    <w:p>
      <w:pPr>
        <w:spacing w:after="0" w:line="175" w:lineRule="exact"/>
        <w:rPr>
          <w:rFonts w:ascii="Times New Roman" w:cs="Times New Roman" w:eastAsia="Times New Roman" w:hAnsi="Times New Roman"/>
          <w:sz w:val="19"/>
          <w:szCs w:val="19"/>
          <w:color w:val="auto"/>
        </w:rPr>
      </w:pPr>
    </w:p>
    <w:p>
      <w:pPr>
        <w:jc w:val="both"/>
        <w:ind w:left="960" w:firstLine="647"/>
        <w:spacing w:after="0" w:line="251" w:lineRule="auto"/>
        <w:tabs>
          <w:tab w:leader="none" w:pos="1993"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50% of the Consolidated Net Income of the Issuer for the period (taken as one accounting period) beginning on October 1, 2019 to the end of the Issuer’s most recently ended fiscal quarter for which internal financial statements are available at the time of such Restricted Payment(which amount shall not be less than zero); </w:t>
      </w:r>
      <w:r>
        <w:rPr>
          <w:rFonts w:ascii="Times New Roman" w:cs="Times New Roman" w:eastAsia="Times New Roman" w:hAnsi="Times New Roman"/>
          <w:sz w:val="19"/>
          <w:szCs w:val="19"/>
          <w:u w:val="single" w:color="auto"/>
          <w:color w:val="auto"/>
        </w:rPr>
        <w:t>plus</w:t>
      </w:r>
    </w:p>
    <w:p>
      <w:pPr>
        <w:spacing w:after="0" w:line="151" w:lineRule="exact"/>
        <w:rPr>
          <w:rFonts w:ascii="Times New Roman" w:cs="Times New Roman" w:eastAsia="Times New Roman" w:hAnsi="Times New Roman"/>
          <w:sz w:val="19"/>
          <w:szCs w:val="19"/>
          <w:color w:val="auto"/>
        </w:rPr>
      </w:pPr>
    </w:p>
    <w:p>
      <w:pPr>
        <w:jc w:val="both"/>
        <w:ind w:left="960" w:firstLine="647"/>
        <w:spacing w:after="0" w:line="237" w:lineRule="auto"/>
        <w:tabs>
          <w:tab w:leader="none" w:pos="1990"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 of the aggregate amount of cash and the fair market value, as determined in good faith by the Issuer, of marketable securities or other property received by the Issuer and its Restricted Subsidiaries after December 13, 2019 or that becomes part of the capital of the Issuer or any Restricted Subsidiary through consolidation, amalgamation or merger following December 13, 2019 (other than net cash proceeds to the extent such net cash proceeds have been used to incur Indebtedness or issue Disqualified Stock or Preferred Stock pursuant to clause (12)(a) of Section 4.09(b) hereof) from the issue or sale of:</w:t>
      </w:r>
    </w:p>
    <w:p>
      <w:pPr>
        <w:spacing w:after="0" w:line="163" w:lineRule="exact"/>
        <w:rPr>
          <w:rFonts w:ascii="Times New Roman" w:cs="Times New Roman" w:eastAsia="Times New Roman" w:hAnsi="Times New Roman"/>
          <w:sz w:val="19"/>
          <w:szCs w:val="19"/>
          <w:color w:val="auto"/>
        </w:rPr>
      </w:pPr>
    </w:p>
    <w:p>
      <w:pPr>
        <w:jc w:val="both"/>
        <w:ind w:left="1600" w:firstLine="656"/>
        <w:spacing w:after="0" w:line="258" w:lineRule="auto"/>
        <w:tabs>
          <w:tab w:leader="none" w:pos="2630" w:val="left"/>
        </w:tabs>
        <w:numPr>
          <w:ilvl w:val="2"/>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Equity Interests of the Issuer, including Treasury Capital Stock, but excluding cash proceeds and the fair market value, as determined in good faith by the Issuer, of marketable securities or other property received from the sale of:</w:t>
      </w:r>
    </w:p>
    <w:p>
      <w:pPr>
        <w:spacing w:after="0" w:line="145" w:lineRule="exact"/>
        <w:rPr>
          <w:rFonts w:ascii="Times New Roman" w:cs="Times New Roman" w:eastAsia="Times New Roman" w:hAnsi="Times New Roman"/>
          <w:sz w:val="19"/>
          <w:szCs w:val="19"/>
          <w:color w:val="auto"/>
        </w:rPr>
      </w:pPr>
    </w:p>
    <w:p>
      <w:pPr>
        <w:jc w:val="both"/>
        <w:ind w:left="2260" w:firstLine="645"/>
        <w:spacing w:after="0" w:line="241" w:lineRule="auto"/>
        <w:tabs>
          <w:tab w:leader="none" w:pos="3291" w:val="left"/>
        </w:tabs>
        <w:numPr>
          <w:ilvl w:val="3"/>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Interests to any future, present or former employees, directors, officers, members of management, distributors or consultants (or their respective Controlled Investment Affiliates or Immediate Family Members) of the Issuer or any Parent Entity after December 13, 2019 to the extent such amounts have been applied to Restricted Payments made in accordance with Section 4.07(b)(4) hereof; and</w:t>
      </w:r>
    </w:p>
    <w:p>
      <w:pPr>
        <w:spacing w:after="0" w:line="175" w:lineRule="exact"/>
        <w:rPr>
          <w:rFonts w:ascii="Times New Roman" w:cs="Times New Roman" w:eastAsia="Times New Roman" w:hAnsi="Times New Roman"/>
          <w:sz w:val="19"/>
          <w:szCs w:val="19"/>
          <w:color w:val="auto"/>
        </w:rPr>
      </w:pPr>
    </w:p>
    <w:p>
      <w:pPr>
        <w:ind w:left="3540" w:hanging="635"/>
        <w:spacing w:after="0"/>
        <w:tabs>
          <w:tab w:leader="none" w:pos="3540" w:val="left"/>
        </w:tabs>
        <w:numPr>
          <w:ilvl w:val="3"/>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Designated Preferred Stock; and</w:t>
      </w:r>
    </w:p>
    <w:p>
      <w:pPr>
        <w:spacing w:after="0" w:line="214" w:lineRule="exact"/>
        <w:rPr>
          <w:sz w:val="20"/>
          <w:szCs w:val="20"/>
          <w:color w:val="auto"/>
        </w:rPr>
      </w:pPr>
    </w:p>
    <w:p>
      <w:pPr>
        <w:jc w:val="both"/>
        <w:ind w:left="1600" w:firstLine="656"/>
        <w:spacing w:after="0" w:line="234" w:lineRule="auto"/>
        <w:tabs>
          <w:tab w:leader="none" w:pos="2575"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such net cash proceeds or other property are actually contributed to the capital of the Issuer or any Restricted Subsidiary (without the issuance of additional Equity Interests of such Restricted Subsidiary), Equity Interests of any Parent Entity (excluding Contributed Holdings Investments (as defined below) and contributions of the proceeds from the sale of Designated Preferred Stock of such companies or contributions to the extent such amounts have been applied to Restricted Payments made</w:t>
      </w:r>
    </w:p>
    <w:p>
      <w:pPr>
        <w:spacing w:after="0" w:line="2" w:lineRule="exact"/>
        <w:rPr>
          <w:rFonts w:ascii="Times New Roman" w:cs="Times New Roman" w:eastAsia="Times New Roman" w:hAnsi="Times New Roman"/>
          <w:sz w:val="19"/>
          <w:szCs w:val="19"/>
          <w:color w:val="auto"/>
        </w:rPr>
      </w:pPr>
    </w:p>
    <w:p>
      <w:pPr>
        <w:ind w:left="16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accordance with Section 4.07(b)(4) hereof); or</w:t>
      </w:r>
    </w:p>
    <w:p>
      <w:pPr>
        <w:spacing w:after="0" w:line="185" w:lineRule="exact"/>
        <w:rPr>
          <w:sz w:val="20"/>
          <w:szCs w:val="20"/>
          <w:color w:val="auto"/>
        </w:rPr>
      </w:pPr>
    </w:p>
    <w:p>
      <w:pPr>
        <w:ind w:left="1600" w:firstLine="656"/>
        <w:spacing w:after="0" w:line="280" w:lineRule="auto"/>
        <w:tabs>
          <w:tab w:leader="none" w:pos="262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securities of the Issuer or any Restricted Subsidiary that have been converted into or exchanged for such Equity Interests of the Issuer or any Parent Entity;</w:t>
      </w:r>
    </w:p>
    <w:p>
      <w:pPr>
        <w:spacing w:after="0" w:line="17" w:lineRule="exact"/>
        <w:rPr>
          <w:sz w:val="20"/>
          <w:szCs w:val="20"/>
          <w:color w:val="auto"/>
        </w:rPr>
      </w:pPr>
    </w:p>
    <w:p>
      <w:pPr>
        <w:jc w:val="both"/>
        <w:ind w:left="960"/>
        <w:spacing w:after="0" w:line="241"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this clause (b) shall not include the proceeds from (W) Refunding Capital Stock (as defined below) applied in accordance with Section 4.07(b)(2), (X) Equity Interests or convertible debt securities of the Issuer sold to a Restricted Subsidiary, (Y) Disqualified Stock or debt securities that have been converted into Disqualified Stock or (Z) Excluded Contributions; </w:t>
      </w:r>
      <w:r>
        <w:rPr>
          <w:rFonts w:ascii="Times New Roman" w:cs="Times New Roman" w:eastAsia="Times New Roman" w:hAnsi="Times New Roman"/>
          <w:sz w:val="19"/>
          <w:szCs w:val="19"/>
          <w:u w:val="single" w:color="auto"/>
          <w:color w:val="auto"/>
        </w:rPr>
        <w:t>plus</w:t>
      </w:r>
    </w:p>
    <w:p>
      <w:pPr>
        <w:spacing w:after="0" w:line="162" w:lineRule="exact"/>
        <w:rPr>
          <w:sz w:val="20"/>
          <w:szCs w:val="20"/>
          <w:color w:val="auto"/>
        </w:rPr>
      </w:pPr>
    </w:p>
    <w:p>
      <w:pPr>
        <w:jc w:val="both"/>
        <w:ind w:left="960" w:firstLine="647"/>
        <w:spacing w:after="0"/>
        <w:tabs>
          <w:tab w:leader="none" w:pos="1993"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 of the aggregate amount of cash, Cash Equivalents and the fair market value, as determined in good faith by the Issuer, of marketable securities or other property contributed to the capital of the Issuer after December 13, 2019 (including the aggregate principal amount of any Indebtedness contributed to the Issuer or its Restricted Subsidiaries for cancellation) or that becomes part of the capital of the Issuer through consolidation, amalgamation or merger after December 13, 2019, in each case not involving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420"/>
          </w:cols>
          <w:pgMar w:left="920" w:top="1440" w:right="559" w:bottom="1440" w:gutter="0" w:footer="0" w:header="0"/>
        </w:sectPr>
      </w:pPr>
    </w:p>
    <w:bookmarkStart w:id="140" w:name="page141"/>
    <w:bookmarkEnd w:id="140"/>
    <w:p>
      <w:pPr>
        <w:spacing w:after="0" w:line="172" w:lineRule="exact"/>
        <w:rPr>
          <w:sz w:val="20"/>
          <w:szCs w:val="20"/>
          <w:color w:val="auto"/>
        </w:rPr>
      </w:pPr>
    </w:p>
    <w:p>
      <w:pPr>
        <w:jc w:val="both"/>
        <w:ind w:left="960"/>
        <w:spacing w:after="0" w:line="241" w:lineRule="auto"/>
        <w:rPr>
          <w:sz w:val="20"/>
          <w:szCs w:val="20"/>
          <w:color w:val="auto"/>
        </w:rPr>
      </w:pPr>
      <w:r>
        <w:rPr>
          <w:rFonts w:ascii="Times New Roman" w:cs="Times New Roman" w:eastAsia="Times New Roman" w:hAnsi="Times New Roman"/>
          <w:sz w:val="19"/>
          <w:szCs w:val="19"/>
          <w:color w:val="auto"/>
        </w:rPr>
        <w:t xml:space="preserve">consideration payable by the Issuer (other than net cash proceeds to the extent such net cash proceeds (i) have been used to incur Indebtedness or issue Disqualified Stock or Preferred Stock pursuant to clause (12)(a) of Section 4.09(b) hereof, (ii) are contributed by a Restricted Subsidiary or (iii) constitute Excluded Contributions and Contributed Holdings Investments); </w:t>
      </w:r>
      <w:r>
        <w:rPr>
          <w:rFonts w:ascii="Times New Roman" w:cs="Times New Roman" w:eastAsia="Times New Roman" w:hAnsi="Times New Roman"/>
          <w:sz w:val="19"/>
          <w:szCs w:val="19"/>
          <w:u w:val="single" w:color="auto"/>
          <w:color w:val="auto"/>
        </w:rPr>
        <w:t>plus</w:t>
      </w:r>
    </w:p>
    <w:p>
      <w:pPr>
        <w:spacing w:after="0" w:line="148" w:lineRule="exact"/>
        <w:rPr>
          <w:sz w:val="20"/>
          <w:szCs w:val="20"/>
          <w:color w:val="auto"/>
        </w:rPr>
      </w:pPr>
    </w:p>
    <w:p>
      <w:pPr>
        <w:ind w:left="960" w:right="20" w:firstLine="647"/>
        <w:spacing w:after="0" w:line="280" w:lineRule="auto"/>
        <w:tabs>
          <w:tab w:leader="none" w:pos="1990" w:val="left"/>
        </w:tabs>
        <w:numPr>
          <w:ilvl w:val="2"/>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 of the aggregate amount received in cash and the fair market value, as determined in good faith by the Issuer, of marketable securities or other property received by the Issuer or a Restricted Subsidiary by means of:</w:t>
      </w:r>
    </w:p>
    <w:p>
      <w:pPr>
        <w:spacing w:after="0" w:line="138" w:lineRule="exact"/>
        <w:rPr>
          <w:rFonts w:ascii="Times New Roman" w:cs="Times New Roman" w:eastAsia="Times New Roman" w:hAnsi="Times New Roman"/>
          <w:sz w:val="19"/>
          <w:szCs w:val="19"/>
          <w:color w:val="auto"/>
        </w:rPr>
      </w:pPr>
    </w:p>
    <w:p>
      <w:pPr>
        <w:jc w:val="both"/>
        <w:ind w:left="1600" w:firstLine="656"/>
        <w:spacing w:after="0" w:line="237" w:lineRule="auto"/>
        <w:tabs>
          <w:tab w:leader="none" w:pos="2630" w:val="left"/>
        </w:tabs>
        <w:numPr>
          <w:ilvl w:val="3"/>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or other disposition (other than to the Issuer or a Restricted Subsidiary) of, or other returns of Investments from, Restricted Investments made by the Issuer or its Restricted Subsidiaries (including cash distributions and cash interest received in respect of Restricted Investments) and repurchases and redemptions of such Restricted Investments from the Issuer or its Restricted Subsidiaries (other than by the Issuer or a Restricted Subsidiary) and repayments of loans advances and releases of guarantees that constitute Restricted Investments made by the Issuer or its Restricted Subsidiaries, in each case after December 13, 2019; or</w:t>
      </w:r>
    </w:p>
    <w:p>
      <w:pPr>
        <w:spacing w:after="0" w:line="163" w:lineRule="exact"/>
        <w:rPr>
          <w:rFonts w:ascii="Times New Roman" w:cs="Times New Roman" w:eastAsia="Times New Roman" w:hAnsi="Times New Roman"/>
          <w:sz w:val="19"/>
          <w:szCs w:val="19"/>
          <w:color w:val="auto"/>
        </w:rPr>
      </w:pPr>
    </w:p>
    <w:p>
      <w:pPr>
        <w:jc w:val="both"/>
        <w:ind w:left="1600" w:firstLine="656"/>
        <w:spacing w:after="0" w:line="235" w:lineRule="auto"/>
        <w:tabs>
          <w:tab w:leader="none" w:pos="2628" w:val="left"/>
        </w:tabs>
        <w:numPr>
          <w:ilvl w:val="3"/>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sale or other disposition (other than to the Issuer or a Restricted Subsidiary) of the Equity Interests of an Unrestricted Subsidiary or a distribution from an Unrestricted Subsidiary (other than, in each case, to the extent of the amount of the Investment in such Unrestricted Subsidiary that was made by the Issuer or a Restricted Subsidiary pursuant to Section 4.07(b)(11) hereof or to the extent of the amount of such Investment that constituted a Permitted Investment and will increase the amount available under Section 4.07(b)(11) or the applicable clause of the definition of “Permitted Investment,” as the case may be) or a dividend from an Unrestricted Subsidiary, in each case, after December 13, 2019; </w:t>
      </w:r>
      <w:r>
        <w:rPr>
          <w:rFonts w:ascii="Times New Roman" w:cs="Times New Roman" w:eastAsia="Times New Roman" w:hAnsi="Times New Roman"/>
          <w:sz w:val="19"/>
          <w:szCs w:val="19"/>
          <w:u w:val="single" w:color="auto"/>
          <w:color w:val="auto"/>
        </w:rPr>
        <w:t>plus</w:t>
      </w:r>
    </w:p>
    <w:p>
      <w:pPr>
        <w:spacing w:after="0" w:line="176" w:lineRule="exact"/>
        <w:rPr>
          <w:rFonts w:ascii="Times New Roman" w:cs="Times New Roman" w:eastAsia="Times New Roman" w:hAnsi="Times New Roman"/>
          <w:sz w:val="19"/>
          <w:szCs w:val="19"/>
          <w:color w:val="auto"/>
        </w:rPr>
      </w:pPr>
    </w:p>
    <w:p>
      <w:pPr>
        <w:ind w:left="960" w:firstLine="647"/>
        <w:spacing w:after="0" w:line="233" w:lineRule="auto"/>
        <w:tabs>
          <w:tab w:leader="none" w:pos="1993" w:val="left"/>
        </w:tabs>
        <w:numPr>
          <w:ilvl w:val="2"/>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the redesignation of an Unrestricted Subsidiary as a Restricted Subsidiary or the merger, amalgamation or consolidation of an Unrestricted Subsidiary into the Issuer or a Restricted Subsidiary or the transfer of all or substantially all of the assets of an Unrestricted Subsidiary to the Issuer or a Restricted Subsidiary after December 13, 2019, the fair market value of the Investment in such Unrestricted Subsidiary (or the assets transferred), as determined in good faith by the Issuer at the time of the redesignation of such Unrestricted Subsidiary as a Restricted Subsidiary or at the time of such merger, amalgamation, consolidation or transfer of assets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in such Unrestricted Subsidiary that was made by the Issuer or a Restricted Subsidiary pursuant to Section 4.07(b)(11) hereof or to the extent of the amount of such Investment that constituted a Permitted Investment made after December 13, 2019 and will increase the amount available under Section 4.07(b)(11) hereof or the applicable clause of the definition of “Permitted Investment,” as the case may be; </w:t>
      </w:r>
      <w:r>
        <w:rPr>
          <w:rFonts w:ascii="Times New Roman" w:cs="Times New Roman" w:eastAsia="Times New Roman" w:hAnsi="Times New Roman"/>
          <w:sz w:val="19"/>
          <w:szCs w:val="19"/>
          <w:u w:val="single" w:color="auto"/>
          <w:color w:val="auto"/>
        </w:rPr>
        <w:t>plus</w:t>
      </w:r>
    </w:p>
    <w:p>
      <w:pPr>
        <w:spacing w:after="0" w:line="46" w:lineRule="exact"/>
        <w:rPr>
          <w:rFonts w:ascii="Times New Roman" w:cs="Times New Roman" w:eastAsia="Times New Roman" w:hAnsi="Times New Roman"/>
          <w:sz w:val="19"/>
          <w:szCs w:val="19"/>
          <w:color w:val="auto"/>
        </w:rPr>
      </w:pPr>
    </w:p>
    <w:p>
      <w:pPr>
        <w:ind w:left="2260" w:hanging="652"/>
        <w:spacing w:after="0"/>
        <w:tabs>
          <w:tab w:leader="none" w:pos="2260" w:val="left"/>
        </w:tabs>
        <w:numPr>
          <w:ilvl w:val="2"/>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greater of $189.7 million and 35.0% of LTM EBITDA.</w:t>
      </w:r>
    </w:p>
    <w:p>
      <w:pPr>
        <w:spacing w:after="0" w:line="213" w:lineRule="exact"/>
        <w:rPr>
          <w:rFonts w:ascii="Times New Roman" w:cs="Times New Roman" w:eastAsia="Times New Roman" w:hAnsi="Times New Roman"/>
          <w:sz w:val="19"/>
          <w:szCs w:val="19"/>
          <w:color w:val="auto"/>
        </w:rPr>
      </w:pPr>
    </w:p>
    <w:p>
      <w:pPr>
        <w:ind w:left="700" w:hanging="390"/>
        <w:spacing w:after="0"/>
        <w:tabs>
          <w:tab w:leader="none" w:pos="70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Section 4.07(a) hereof shall not prohibit any of the following (collectively, “</w:t>
      </w:r>
      <w:r>
        <w:rPr>
          <w:rFonts w:ascii="Times New Roman" w:cs="Times New Roman" w:eastAsia="Times New Roman" w:hAnsi="Times New Roman"/>
          <w:sz w:val="19"/>
          <w:szCs w:val="19"/>
          <w:u w:val="single" w:color="auto"/>
          <w:color w:val="auto"/>
        </w:rPr>
        <w:t>Permitted Payments</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firstLine="641"/>
        <w:spacing w:after="0" w:line="241" w:lineRule="auto"/>
        <w:tabs>
          <w:tab w:leader="none" w:pos="1354"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any dividend or other distribution or the consummation of any redemption, repurchase or retirement within 60 days after the date of declaration of such dividend or other distribution or giving of the redemption notice with respect to such redemption, as the case may be, if at the date of declaration or notice, the payment of such dividend or other distribution or in respect of such redemption, repurchase or retirement, as the case may be, would have complied with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420"/>
          </w:cols>
          <w:pgMar w:left="920" w:top="1440" w:right="559" w:bottom="1440" w:gutter="0" w:footer="0" w:header="0"/>
        </w:sectPr>
      </w:pPr>
    </w:p>
    <w:bookmarkStart w:id="141" w:name="page142"/>
    <w:bookmarkEnd w:id="141"/>
    <w:p>
      <w:pPr>
        <w:spacing w:after="0" w:line="199" w:lineRule="exact"/>
        <w:rPr>
          <w:sz w:val="20"/>
          <w:szCs w:val="20"/>
          <w:color w:val="auto"/>
        </w:rPr>
      </w:pPr>
    </w:p>
    <w:p>
      <w:pPr>
        <w:jc w:val="both"/>
        <w:ind w:firstLine="641"/>
        <w:spacing w:after="0" w:line="232" w:lineRule="auto"/>
        <w:tabs>
          <w:tab w:leader="none" w:pos="1354"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prepayment, redemption, purchase, repurchase, defeasance, discharge, retirement or other acquisition of any (i) Equity Interests (“</w:t>
      </w:r>
      <w:r>
        <w:rPr>
          <w:rFonts w:ascii="Times New Roman" w:cs="Times New Roman" w:eastAsia="Times New Roman" w:hAnsi="Times New Roman"/>
          <w:sz w:val="19"/>
          <w:szCs w:val="19"/>
          <w:u w:val="single" w:color="auto"/>
          <w:color w:val="auto"/>
        </w:rPr>
        <w:t>Treasury Capital Stock</w:t>
      </w:r>
      <w:r>
        <w:rPr>
          <w:rFonts w:ascii="Times New Roman" w:cs="Times New Roman" w:eastAsia="Times New Roman" w:hAnsi="Times New Roman"/>
          <w:sz w:val="19"/>
          <w:szCs w:val="19"/>
          <w:color w:val="auto"/>
        </w:rPr>
        <w:t>”) of the Issuer or any Restricted Subsidiary, including any accrued and unpaid dividends thereon, or Subordinated Indebtedness of the Issuer or any Guarantor or (ii) Treasury Capital Stock of any Parent Entity, including any accrued and unpaid dividends thereon, in the case of each of clause (i) and (ii), in exchange (including any such exchange pursuant to the exercise of a conversion right or privilege in connection with which cash is paid in lieu of the issuance of fractional shares) for, or out of the proceeds of the substantially concurrent sale (other than to the Issuer or a Restricted Subsidiary) of, Equity Interests of the Issuer or any Parent Entity to the extent contributed to the Issuer or any Restricted Subsidiary (in each case, other than any Disqualified Stock) (“</w:t>
      </w:r>
      <w:r>
        <w:rPr>
          <w:rFonts w:ascii="Times New Roman" w:cs="Times New Roman" w:eastAsia="Times New Roman" w:hAnsi="Times New Roman"/>
          <w:sz w:val="19"/>
          <w:szCs w:val="19"/>
          <w:u w:val="single" w:color="auto"/>
          <w:color w:val="auto"/>
        </w:rPr>
        <w:t>Refunding Capital Stock</w:t>
      </w:r>
      <w:r>
        <w:rPr>
          <w:rFonts w:ascii="Times New Roman" w:cs="Times New Roman" w:eastAsia="Times New Roman" w:hAnsi="Times New Roman"/>
          <w:sz w:val="19"/>
          <w:szCs w:val="19"/>
          <w:color w:val="auto"/>
        </w:rPr>
        <w:t>”), (B) the declaration and payment of dividends on the Treasury Capital Stock out of the proceeds of the substantially concurrent sale (other than to a Restricted Subsidiary) of the Refunding Capital Stock and (C) if immediately prior to the retirement of Treasury Capital Stock, the declaration and payment of dividends thereon was permitted under clause (6) of Section 4.07(b), the declaration and payment of dividends on the Refunding Capital Stock (other than Refunding Capital Stock the proceeds of which were used to redeem, repurchase, retire or otherwise acquire any Equity Interests of any Parent Entity) in an aggregate amount per year no greater than the aggregate amount of dividends per annum that were declarable and payable on such Treasury Capital Stock immediately prior to such retirement;</w:t>
      </w:r>
    </w:p>
    <w:p>
      <w:pPr>
        <w:spacing w:after="0" w:line="161" w:lineRule="exact"/>
        <w:rPr>
          <w:rFonts w:ascii="Times New Roman" w:cs="Times New Roman" w:eastAsia="Times New Roman" w:hAnsi="Times New Roman"/>
          <w:sz w:val="19"/>
          <w:szCs w:val="19"/>
          <w:color w:val="auto"/>
        </w:rPr>
      </w:pPr>
    </w:p>
    <w:p>
      <w:pPr>
        <w:jc w:val="both"/>
        <w:ind w:firstLine="641"/>
        <w:spacing w:after="0" w:line="235" w:lineRule="auto"/>
        <w:tabs>
          <w:tab w:leader="none" w:pos="1354"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prepayment, defeasance, discharge, redemption, purchase, repurchase, exchange or other acquisition or retirement for value of (i) Subordinated Indebtedness of the Issuer or a Guarantor made by exchange for, or out of the proceeds of the substantially concurrent sale of, Refinancing Indebtedness, Preferred Stock or Disqualified Stock of the Issuer or a Guarantor, (ii) Preferred Stock or Disqualified Stock of the Issuer or a Guarantor made by exchange for, or out of the proceeds of the substantially concurrent sale of, Preferred Stock or Disqualified Stock, as applicable, of the Issuer or a Guarantor or (iii) Preferred Stock or Disqualified Stock of a Restricted Subsidiary that is not a Guarantor made by exchange for, or out of the proceeds of the sale or issuance of, Preferred Stock or Disqualified Stock, as applicable, of a Restricted Subsidiary that is not a Guarantor, that, in each case with respect to clauses (i) through (iii), is incurred in compliance with Section 4.09 hereof;</w:t>
      </w:r>
    </w:p>
    <w:p>
      <w:pPr>
        <w:spacing w:after="0" w:line="165" w:lineRule="exact"/>
        <w:rPr>
          <w:rFonts w:ascii="Times New Roman" w:cs="Times New Roman" w:eastAsia="Times New Roman" w:hAnsi="Times New Roman"/>
          <w:sz w:val="19"/>
          <w:szCs w:val="19"/>
          <w:color w:val="auto"/>
        </w:rPr>
      </w:pPr>
    </w:p>
    <w:p>
      <w:pPr>
        <w:jc w:val="both"/>
        <w:ind w:firstLine="641"/>
        <w:spacing w:after="0" w:line="233" w:lineRule="auto"/>
        <w:tabs>
          <w:tab w:leader="none" w:pos="1354"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Restricted Payments to pay for the prepayment, purchase, repurchase, redemption, defeasance, discharge, retirement or other acquisition of Equity Interests or Indebtedness of the Issuer or any Parent Entity held by any future, present or former employee, director, officer, manager, contractor, consultant or advisor (or their respective Controlled Investment Affiliates or Immediate Family Members) of the Issuer, any of its Subsidiaries or any Parent Entity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 holder agreement (including, for the avoidance of doubt, any principal and interest payable on any Indebtedness issued by the Issuer or any Parent Entity in connection with such prepayment, purchase, repurchase, redemption, defeasance, discharge, retirement or other acquisition), including any Equity Interests rolled over, accelerated or paid out by or to any employee, director, officer, manager, contractor, consultant or advisor (or their respective Controlled Investment Affiliates or Immediate Family Members) of the Issuer, any of its Subsidiaries or any Parent Entity in connection with any transaction; provided, however, that the aggregate Restricted Payments made under this clause (4) do not exceed the greater of $27.1 million and 5.0% of LTM EBITDA in any calendar year (with unused amounts in any calendar year being carried over to succeeding calendar years subject to a maximum of the greater of $54.2 million and 10.0% of LTM EBITDA in any calendar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amount in any calendar year may be increased by an amount not to exceed:</w:t>
      </w:r>
    </w:p>
    <w:p>
      <w:pPr>
        <w:spacing w:after="0" w:line="41" w:lineRule="exact"/>
        <w:rPr>
          <w:rFonts w:ascii="Times New Roman" w:cs="Times New Roman" w:eastAsia="Times New Roman" w:hAnsi="Times New Roman"/>
          <w:sz w:val="19"/>
          <w:szCs w:val="19"/>
          <w:color w:val="auto"/>
        </w:rPr>
      </w:pPr>
    </w:p>
    <w:p>
      <w:pPr>
        <w:jc w:val="both"/>
        <w:ind w:left="960" w:firstLine="647"/>
        <w:spacing w:after="0" w:line="237" w:lineRule="auto"/>
        <w:tabs>
          <w:tab w:leader="none" w:pos="1993"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cash proceeds from the sale of Equity Interests(other than Disqualified Stock) of the Issuer and, to the extent contributed to the Issuer, the cash proceeds from the sale of Equity Interests of any Parent Entity, in each case to any future, present or former employees, directors, officers, managers, contractors, distributors, advisors or consultants (or their respective Controlled Investment Affiliates or Immediate Family Members or any permitted transferees thereof) of the Issuer, any of its Subsidiaries or any Parent Entity after December 13, 2019, to the extent the cash proceeds from the sale of such Equity Interests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420"/>
          </w:cols>
          <w:pgMar w:left="920" w:top="1440" w:right="559" w:bottom="1440" w:gutter="0" w:footer="0" w:header="0"/>
        </w:sectPr>
      </w:pPr>
    </w:p>
    <w:bookmarkStart w:id="142" w:name="page143"/>
    <w:bookmarkEnd w:id="142"/>
    <w:p>
      <w:pPr>
        <w:spacing w:after="0" w:line="5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 xml:space="preserve">have not otherwise been applied to the payment of Restricted Payments by virtue of clause (2) of Section 4.07(a); </w:t>
      </w:r>
      <w:r>
        <w:rPr>
          <w:rFonts w:ascii="Times New Roman" w:cs="Times New Roman" w:eastAsia="Times New Roman" w:hAnsi="Times New Roman"/>
          <w:sz w:val="19"/>
          <w:szCs w:val="19"/>
          <w:u w:val="single" w:color="auto"/>
          <w:color w:val="auto"/>
        </w:rPr>
        <w:t>plus</w:t>
      </w:r>
    </w:p>
    <w:p>
      <w:pPr>
        <w:spacing w:after="0" w:line="200" w:lineRule="exact"/>
        <w:rPr>
          <w:sz w:val="20"/>
          <w:szCs w:val="20"/>
          <w:color w:val="auto"/>
        </w:rPr>
      </w:pPr>
    </w:p>
    <w:p>
      <w:pPr>
        <w:ind w:left="960" w:right="20" w:firstLine="647"/>
        <w:spacing w:after="0" w:line="265" w:lineRule="auto"/>
        <w:tabs>
          <w:tab w:leader="none" w:pos="199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cash proceeds of key man life insurance policies received by the Issuer (or by any Parent Entity to the extent contributed to the Issuer) or its Restricted Subsidiaries after December 13, 2019; </w:t>
      </w:r>
      <w:r>
        <w:rPr>
          <w:rFonts w:ascii="Times New Roman" w:cs="Times New Roman" w:eastAsia="Times New Roman" w:hAnsi="Times New Roman"/>
          <w:sz w:val="19"/>
          <w:szCs w:val="19"/>
          <w:u w:val="single" w:color="auto"/>
          <w:color w:val="auto"/>
        </w:rPr>
        <w:t>plus</w:t>
      </w:r>
    </w:p>
    <w:p>
      <w:pPr>
        <w:spacing w:after="0" w:line="138" w:lineRule="exact"/>
        <w:rPr>
          <w:rFonts w:ascii="Times New Roman" w:cs="Times New Roman" w:eastAsia="Times New Roman" w:hAnsi="Times New Roman"/>
          <w:sz w:val="19"/>
          <w:szCs w:val="19"/>
          <w:color w:val="auto"/>
        </w:rPr>
      </w:pPr>
    </w:p>
    <w:p>
      <w:pPr>
        <w:jc w:val="both"/>
        <w:ind w:left="960" w:firstLine="647"/>
        <w:spacing w:after="0"/>
        <w:tabs>
          <w:tab w:leader="none" w:pos="1993"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any bona fide cash bonuses otherwise payable to any future, present or former directors, consultants, officers, employees, managers, advisors or contractors (or their respective Controlled Investment Affiliates or Immediate Family Members or any permitted transferees thereof) of the Issuer, any of its Subsidiaries or any Parent Entity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cs="Times New Roman" w:eastAsia="Times New Roman" w:hAnsi="Times New Roman"/>
          <w:sz w:val="19"/>
          <w:szCs w:val="19"/>
          <w:u w:val="single" w:color="auto"/>
          <w:color w:val="auto"/>
        </w:rPr>
        <w:t>less</w:t>
      </w:r>
    </w:p>
    <w:p>
      <w:pPr>
        <w:spacing w:after="0" w:line="163" w:lineRule="exact"/>
        <w:rPr>
          <w:rFonts w:ascii="Times New Roman" w:cs="Times New Roman" w:eastAsia="Times New Roman" w:hAnsi="Times New Roman"/>
          <w:sz w:val="19"/>
          <w:szCs w:val="19"/>
          <w:color w:val="auto"/>
        </w:rPr>
      </w:pPr>
    </w:p>
    <w:p>
      <w:pPr>
        <w:ind w:left="960" w:right="20" w:firstLine="647"/>
        <w:spacing w:after="0" w:line="280" w:lineRule="auto"/>
        <w:tabs>
          <w:tab w:leader="none" w:pos="199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any Restricted Payments previously made with the cash proceeds described in clauses (a), (b) and (c) of this clause (4);</w:t>
      </w:r>
    </w:p>
    <w:p>
      <w:pPr>
        <w:spacing w:after="0" w:line="138"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Issuer may elect to apply all or any portion of the aggregate increase contemplated by sub-clauses (a), (b) and (c) of this clause (4) in any fiscal year</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cancellation of Indebtedness owing to the Issuer or any Restricted Subsidiary from any future, present or former directors, consultants, officers, employees, managers or contractors (or their respective Controlled Investment Affiliates or Immediate Family Members or any permitted transferees thereof) of the Issuer, any Restricted Subsidiary or any Parent Entity in connection with a repurchase of Equity Interests of the Issuer or any Parent Entity and</w:t>
      </w:r>
    </w:p>
    <w:p>
      <w:pPr>
        <w:spacing w:after="0" w:line="4" w:lineRule="exact"/>
        <w:rPr>
          <w:sz w:val="20"/>
          <w:szCs w:val="20"/>
          <w:color w:val="auto"/>
        </w:rPr>
      </w:pPr>
    </w:p>
    <w:p>
      <w:pPr>
        <w:jc w:val="both"/>
        <w:ind w:left="320" w:hanging="9"/>
        <w:spacing w:after="0" w:line="232" w:lineRule="auto"/>
        <w:tabs>
          <w:tab w:leader="none" w:pos="611"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repurchase of Equity Interests deemed to occur upon the exercise of options, warrants or similar instruments if such Equity Interests represent all or a portion of the exercise price thereof and payments, in lieu of the issue of fractional shares of such Equity Interests or withholding to pay other taxes payable in connection therewith, in the case of each of clauses (i) and (ii), will not be deemed to constitute a Restricted Payment for purposes of this Indenture;</w:t>
      </w:r>
    </w:p>
    <w:p>
      <w:pPr>
        <w:spacing w:after="0" w:line="161" w:lineRule="exact"/>
        <w:rPr>
          <w:rFonts w:ascii="Times New Roman" w:cs="Times New Roman" w:eastAsia="Times New Roman" w:hAnsi="Times New Roman"/>
          <w:sz w:val="19"/>
          <w:szCs w:val="19"/>
          <w:color w:val="auto"/>
        </w:rPr>
      </w:pPr>
    </w:p>
    <w:p>
      <w:pPr>
        <w:jc w:val="both"/>
        <w:ind w:right="20" w:firstLine="641"/>
        <w:spacing w:after="0" w:line="266" w:lineRule="auto"/>
        <w:tabs>
          <w:tab w:leader="none" w:pos="1354"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declaration and payment of dividends or distributions to holders of any class or series of Disqualified Stock of the Issuer or any of its Restricted Subsidiaries or any class or series of Preferred Stock of any Restricted Subsidiary, in each case issued in accordance with Section 4.09 hereof;</w:t>
      </w:r>
    </w:p>
    <w:p>
      <w:pPr>
        <w:spacing w:after="0" w:line="164" w:lineRule="exact"/>
        <w:rPr>
          <w:rFonts w:ascii="Times New Roman" w:cs="Times New Roman" w:eastAsia="Times New Roman" w:hAnsi="Times New Roman"/>
          <w:sz w:val="19"/>
          <w:szCs w:val="19"/>
          <w:color w:val="auto"/>
        </w:rPr>
      </w:pPr>
    </w:p>
    <w:p>
      <w:pPr>
        <w:ind w:right="20" w:firstLine="641"/>
        <w:spacing w:after="0" w:line="250" w:lineRule="auto"/>
        <w:tabs>
          <w:tab w:leader="none" w:pos="1354"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declaration and payment of dividends or distributions to holders of any class or series of Designated Preferred Stock (other than Disqualified Stock) issued by the Issuer or any of its Restricted Subsidiaries after the Issue Date;</w:t>
      </w:r>
    </w:p>
    <w:p>
      <w:pPr>
        <w:spacing w:after="0" w:line="165" w:lineRule="exact"/>
        <w:rPr>
          <w:rFonts w:ascii="Times New Roman" w:cs="Times New Roman" w:eastAsia="Times New Roman" w:hAnsi="Times New Roman"/>
          <w:sz w:val="19"/>
          <w:szCs w:val="19"/>
          <w:color w:val="auto"/>
        </w:rPr>
      </w:pPr>
    </w:p>
    <w:p>
      <w:pPr>
        <w:jc w:val="both"/>
        <w:ind w:left="960" w:firstLine="647"/>
        <w:spacing w:after="0"/>
        <w:tabs>
          <w:tab w:leader="none" w:pos="1990" w:val="left"/>
        </w:tabs>
        <w:numPr>
          <w:ilvl w:val="2"/>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declaration and payment of dividends to any Parent Entity, the proceeds of which shall be used to fund the payment of dividends to holders of any class or series of Designated Preferred Stock (other than Disqualified Stock) of such Parent Entity issued after the Issue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dividends paid pursuant to this clause (b) shall not exceed the aggregate amount of cash actually contributed to the capital of the Issuer from the sale of such Designated Preferred Stock; or</w:t>
      </w:r>
    </w:p>
    <w:p>
      <w:pPr>
        <w:spacing w:after="0" w:line="149" w:lineRule="exact"/>
        <w:rPr>
          <w:rFonts w:ascii="Times New Roman" w:cs="Times New Roman" w:eastAsia="Times New Roman" w:hAnsi="Times New Roman"/>
          <w:sz w:val="19"/>
          <w:szCs w:val="19"/>
          <w:color w:val="auto"/>
        </w:rPr>
      </w:pPr>
    </w:p>
    <w:p>
      <w:pPr>
        <w:ind w:left="960" w:right="20" w:firstLine="647"/>
        <w:spacing w:after="0" w:line="265" w:lineRule="auto"/>
        <w:tabs>
          <w:tab w:leader="none" w:pos="1993" w:val="left"/>
        </w:tabs>
        <w:numPr>
          <w:ilvl w:val="2"/>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declaration and payment of dividends on Refunding Capital Stock that is Preferred Stock in excess of the dividends declarable and payable thereon pursuant to Section 4.07(b)(2) hereof;</w:t>
      </w:r>
    </w:p>
    <w:p>
      <w:pPr>
        <w:spacing w:after="0" w:line="30" w:lineRule="exact"/>
        <w:rPr>
          <w:rFonts w:ascii="Times New Roman" w:cs="Times New Roman" w:eastAsia="Times New Roman" w:hAnsi="Times New Roman"/>
          <w:sz w:val="19"/>
          <w:szCs w:val="19"/>
          <w:color w:val="auto"/>
        </w:rPr>
      </w:pPr>
    </w:p>
    <w:p>
      <w:pPr>
        <w:ind w:right="20" w:firstLine="641"/>
        <w:spacing w:after="0" w:line="265" w:lineRule="auto"/>
        <w:tabs>
          <w:tab w:leader="none" w:pos="1354"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Payments by any Restricted Subsidiary to the Issuer or any Parent Entity to the extent the proceeds of such Restricted Payments are contributed or loaned or advanced to the Issuer or another Restricted Subsidiary;</w:t>
      </w:r>
    </w:p>
    <w:p>
      <w:pPr>
        <w:spacing w:after="0" w:line="138" w:lineRule="exact"/>
        <w:rPr>
          <w:rFonts w:ascii="Times New Roman" w:cs="Times New Roman" w:eastAsia="Times New Roman" w:hAnsi="Times New Roman"/>
          <w:sz w:val="19"/>
          <w:szCs w:val="19"/>
          <w:color w:val="auto"/>
        </w:rPr>
      </w:pPr>
    </w:p>
    <w:p>
      <w:pPr>
        <w:jc w:val="both"/>
        <w:ind w:firstLine="641"/>
        <w:spacing w:after="0" w:line="244" w:lineRule="auto"/>
        <w:tabs>
          <w:tab w:leader="none" w:pos="1354"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declaration and payment of dividends or the payment of other distributions by the Issuer or a Restricted Subsidiary to, or the making of loans or advances to, any Parent Entity to allow payments by the Issuer or any Parent Entity in respect of withholding or similar Taxes payable in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420"/>
          </w:cols>
          <w:pgMar w:left="920" w:top="1440" w:right="559" w:bottom="1440" w:gutter="0" w:footer="0" w:header="0"/>
        </w:sectPr>
      </w:pPr>
    </w:p>
    <w:bookmarkStart w:id="143" w:name="page144"/>
    <w:bookmarkEnd w:id="143"/>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connection with any grant or vesting of an Equity Interest to or by, or repurchase, or dividend or other distribution to facilitate a repurchase, of an Equity Interest from, any future, present or former employee, director, officer, manager, contractor or consultant (or their respective Controlled Investment Affiliates or Immediate Family Members or any permitted transferees thereof), or in connection with any purchases, repurchases, redemptions, defeasances or other acquisitions or retirements of Equity Interests in consideration of such payments, including deemed repurchases in connection with the exercise, conversion or exchange of stock options, warrants or other incentive interests and the vesting of restricted stock and restricted stock units or any deemed repurchases of Equity Interests, representing a portion of the exercise, conversion or exchange price of such options or warrants or other incentive interest;</w:t>
      </w:r>
    </w:p>
    <w:p>
      <w:pPr>
        <w:spacing w:after="0" w:line="150" w:lineRule="exact"/>
        <w:rPr>
          <w:sz w:val="20"/>
          <w:szCs w:val="20"/>
          <w:color w:val="auto"/>
        </w:rPr>
      </w:pPr>
    </w:p>
    <w:p>
      <w:pPr>
        <w:jc w:val="both"/>
        <w:ind w:firstLine="641"/>
        <w:spacing w:after="0" w:line="234" w:lineRule="auto"/>
        <w:tabs>
          <w:tab w:leader="none" w:pos="135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declaration and payment of dividends on the common stock or Equity Interests of the Issuer or any Parent Entity (and any equivalent declaration and payment of a distribution of any security exchangeable for such common stock or Equity Interests to the extent required by the term s of any such exchangeable securities and any Restricted Payment to any such Parent Entity to fund the payment by such Parent Entity of dividends on such entity’s Equity Interests), in an amount in any fiscal year not to exceed the sum of (i) up to 6.0% of the aggregate proceeds from any Equity Offering received by or contributed to the Issuer or any of its Restricted Subsidiaries on or after November 24, 2020 and (ii) 4.0% of Market Capitalization; or (b) in lieu of all or a portion of the dividends permitted by clause (a), any prepayment, purchase, repurchase, redemption, defeasance, discharge, retirement or other acquisition of the Issuer’s Equity Interests (and any equivalent declaration and payment of a distribution of any security exchangeable for such common stock or Equity Interests to the extent required by the terms of any such exchangeable securities and any Restricted Payment to any such Parent Entity to fund the payment by such Parent Entity of dividends on such entity’s Capital Stock) for aggregate consideration that, when taken together with dividends permitted by clause (a), does not exceed the amount contemplated by clause (a);</w:t>
      </w:r>
    </w:p>
    <w:p>
      <w:pPr>
        <w:spacing w:after="0" w:line="167" w:lineRule="exact"/>
        <w:rPr>
          <w:rFonts w:ascii="Times New Roman" w:cs="Times New Roman" w:eastAsia="Times New Roman" w:hAnsi="Times New Roman"/>
          <w:sz w:val="19"/>
          <w:szCs w:val="19"/>
          <w:color w:val="auto"/>
        </w:rPr>
      </w:pPr>
    </w:p>
    <w:p>
      <w:pPr>
        <w:jc w:val="both"/>
        <w:ind w:right="20" w:firstLine="641"/>
        <w:spacing w:after="0" w:line="251" w:lineRule="auto"/>
        <w:tabs>
          <w:tab w:leader="none" w:pos="135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Payments that are made (a) in an amount not to exceed the amount of Excluded Contributions or (b) in an amount equal to the amount of net cash proceeds from an asset sale or disposition in respect of property or assets acquired, if the acquisition of such property or assets was financed with Excluded Contributions;</w:t>
      </w:r>
    </w:p>
    <w:p>
      <w:pPr>
        <w:spacing w:after="0" w:line="138" w:lineRule="exact"/>
        <w:rPr>
          <w:rFonts w:ascii="Times New Roman" w:cs="Times New Roman" w:eastAsia="Times New Roman" w:hAnsi="Times New Roman"/>
          <w:sz w:val="19"/>
          <w:szCs w:val="19"/>
          <w:color w:val="auto"/>
        </w:rPr>
      </w:pPr>
    </w:p>
    <w:p>
      <w:pPr>
        <w:ind w:right="20" w:firstLine="641"/>
        <w:spacing w:after="0" w:line="280" w:lineRule="auto"/>
        <w:tabs>
          <w:tab w:leader="none" w:pos="1347"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Payments(including loans or advances) in an aggregate amount taken together with all other Restricted Payments made pursuant to this clause (11) not to exceed the greater of $81.3 million and 15.0% of LTM EBITDA;</w:t>
      </w:r>
    </w:p>
    <w:p>
      <w:pPr>
        <w:spacing w:after="0" w:line="138" w:lineRule="exact"/>
        <w:rPr>
          <w:rFonts w:ascii="Times New Roman" w:cs="Times New Roman" w:eastAsia="Times New Roman" w:hAnsi="Times New Roman"/>
          <w:sz w:val="19"/>
          <w:szCs w:val="19"/>
          <w:color w:val="auto"/>
        </w:rPr>
      </w:pPr>
    </w:p>
    <w:p>
      <w:pPr>
        <w:jc w:val="both"/>
        <w:ind w:right="20" w:firstLine="641"/>
        <w:spacing w:after="0" w:line="258" w:lineRule="auto"/>
        <w:tabs>
          <w:tab w:leader="none" w:pos="135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distributions or payments of Receivables Fees, sales contributions and other transfers of Receivables Assets and purchases of Receivables Assets pursuant to any repurchase obligation related thereto, in each case in connection with a Receivables Facility;</w:t>
      </w:r>
    </w:p>
    <w:p>
      <w:pPr>
        <w:spacing w:after="0" w:line="159" w:lineRule="exact"/>
        <w:rPr>
          <w:rFonts w:ascii="Times New Roman" w:cs="Times New Roman" w:eastAsia="Times New Roman" w:hAnsi="Times New Roman"/>
          <w:sz w:val="19"/>
          <w:szCs w:val="19"/>
          <w:color w:val="auto"/>
        </w:rPr>
      </w:pPr>
    </w:p>
    <w:p>
      <w:pPr>
        <w:jc w:val="both"/>
        <w:ind w:firstLine="641"/>
        <w:spacing w:after="0" w:line="256" w:lineRule="auto"/>
        <w:tabs>
          <w:tab w:leader="none" w:pos="135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Payments made in connection with the Transactions and any fees, costs and expenses (including all legal, accounting and other professional fees, costs and expenses) related thereto, including Transaction Costs, or used to fund amounts owed to Affiliates in connection with the Transactions (including dividends to any Parent Entity to permit payment by such Parent Entity of such amounts);</w:t>
      </w:r>
    </w:p>
    <w:p>
      <w:pPr>
        <w:spacing w:after="0" w:line="39" w:lineRule="exact"/>
        <w:rPr>
          <w:rFonts w:ascii="Times New Roman" w:cs="Times New Roman" w:eastAsia="Times New Roman" w:hAnsi="Times New Roman"/>
          <w:sz w:val="19"/>
          <w:szCs w:val="19"/>
          <w:color w:val="auto"/>
        </w:rPr>
      </w:pPr>
    </w:p>
    <w:p>
      <w:pPr>
        <w:jc w:val="both"/>
        <w:ind w:right="20" w:firstLine="641"/>
        <w:spacing w:after="0" w:line="250" w:lineRule="auto"/>
        <w:tabs>
          <w:tab w:leader="none" w:pos="135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the repurchase, redemption, defeasance, discharge or other acquisition or retirement for value of any Subordinated Indebtedness in accordance with the provisions similar to those described under Sections 4.10 and 4.14 hereof;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all Notes validly tendered by Holders in connection with such Change of Control Offer or Asset Sale Offer, as applicable, have been repurchased, redeemed, acquired or retired for value; and (B) consisting of Acquired Indebtedness (other than Indebtedness incurred (i) to provide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or any portion of the funds utilized to consummate the transaction or series of related transactions pursuant to which such Person became a Restricted Subsidiary or was otherwise acquired by the Issuer or a Restricted Subsidiary or (ii) otherwise in connection with or contemplation of such acquisition);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420"/>
          </w:cols>
          <w:pgMar w:left="920" w:top="1440" w:right="559" w:bottom="1440" w:gutter="0" w:footer="0" w:header="0"/>
        </w:sectPr>
      </w:pPr>
    </w:p>
    <w:bookmarkStart w:id="144" w:name="page145"/>
    <w:bookmarkEnd w:id="144"/>
    <w:p>
      <w:pPr>
        <w:spacing w:after="0" w:line="172" w:lineRule="exact"/>
        <w:rPr>
          <w:sz w:val="20"/>
          <w:szCs w:val="20"/>
          <w:color w:val="auto"/>
        </w:rPr>
      </w:pPr>
    </w:p>
    <w:p>
      <w:pPr>
        <w:jc w:val="both"/>
        <w:ind w:firstLine="641"/>
        <w:spacing w:after="0" w:line="258" w:lineRule="auto"/>
        <w:tabs>
          <w:tab w:leader="none" w:pos="1354"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declaration and payment of dividends or the payment of other distributions by the Issuer or a Restricted Subsidiary to, or the making of loans or advances to the Issuer or any Parent Entity required for, any Parent Entity to pay, in each case without duplication,</w:t>
      </w:r>
    </w:p>
    <w:p>
      <w:pPr>
        <w:spacing w:after="0" w:line="159" w:lineRule="exact"/>
        <w:rPr>
          <w:rFonts w:ascii="Times New Roman" w:cs="Times New Roman" w:eastAsia="Times New Roman" w:hAnsi="Times New Roman"/>
          <w:sz w:val="19"/>
          <w:szCs w:val="19"/>
          <w:color w:val="auto"/>
        </w:rPr>
      </w:pPr>
    </w:p>
    <w:p>
      <w:pPr>
        <w:ind w:left="960" w:right="20" w:firstLine="647"/>
        <w:spacing w:after="0" w:line="280" w:lineRule="auto"/>
        <w:tabs>
          <w:tab w:leader="none" w:pos="1993"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franchise, excise and similar taxes and other fees, taxes and expenses required to maintain their corporate or other legal existence;</w:t>
      </w:r>
    </w:p>
    <w:p>
      <w:pPr>
        <w:spacing w:after="0" w:line="151" w:lineRule="exact"/>
        <w:rPr>
          <w:rFonts w:ascii="Times New Roman" w:cs="Times New Roman" w:eastAsia="Times New Roman" w:hAnsi="Times New Roman"/>
          <w:sz w:val="19"/>
          <w:szCs w:val="19"/>
          <w:color w:val="auto"/>
        </w:rPr>
      </w:pPr>
    </w:p>
    <w:p>
      <w:pPr>
        <w:jc w:val="both"/>
        <w:ind w:left="960" w:firstLine="647"/>
        <w:spacing w:after="0" w:line="229" w:lineRule="auto"/>
        <w:tabs>
          <w:tab w:leader="none" w:pos="1990"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with respect to any taxable period in which the Issuer and/or any of its Subsidiaries is a member of (or the Issuer is a disregarded entity for U.S. federal income tax purposes wholly owned by a member of) a consolidated, combined, unitary or similar tax group (a “</w:t>
      </w:r>
      <w:r>
        <w:rPr>
          <w:rFonts w:ascii="Times New Roman" w:cs="Times New Roman" w:eastAsia="Times New Roman" w:hAnsi="Times New Roman"/>
          <w:sz w:val="19"/>
          <w:szCs w:val="19"/>
          <w:u w:val="single" w:color="auto"/>
          <w:color w:val="auto"/>
        </w:rPr>
        <w:t>Tax Group</w:t>
      </w:r>
      <w:r>
        <w:rPr>
          <w:rFonts w:ascii="Times New Roman" w:cs="Times New Roman" w:eastAsia="Times New Roman" w:hAnsi="Times New Roman"/>
          <w:sz w:val="19"/>
          <w:szCs w:val="19"/>
          <w:color w:val="auto"/>
        </w:rPr>
        <w:t xml:space="preserve">”) for U.S. federal and/or applicable foreign, state or local income tax purposes of which the Issuer or Parent Entity of the Issuer is the common parent, the portion of U.S. federal, state and/or local income Taxes of such Tax Group for such taxable period that is attributable to the Issuer and/or its consolidated subsidiaries;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for each taxable period, the amount of such payments made in respect of such taxable period in the aggregate will not exceed the amount of such Taxes that the Issuer and/or its applicable subsidiaries would have been required to pay if they were a stand-alone Tax Group with the Issuer as the corporate common parent of such stand-alone Tax Group and (ii) with respect to any taxable period for which the Issuer or a Restricted Subsidiary is (or the Issuer or a Restricted Subsidiary is a disregarded entity for U.S. federal income tax purposes wholly-owned by) a partnership for U.S. federal and/or applicable state or local income tax purposes (a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xml:space="preserve">”), the portion of the U.S. federal, state or local income Taxes of the Partnership’s direct owner(s) (or, where a direct owner is a pass-through entity, indirect owner(s)) for such taxable period that is attributable to the Issuer or such Restricted Subsidiary, as applicable, in an amount not to exceed the product of (x) the highest combined marginal federal and applicable state and/or local statutory tax rate (after taking into account the deductibility of state and local income tax for U.S. federal income tax purposes and the character of the income in question) applicable to any direct (or, where the direct owner is a pass-through entity, the first indirect non pass-through) equity owner of the Partnership for the taxable period in question and (y) the taxable income of the Partnership (if the Issuer or Restricted Subsidiary is an entity disregarded from the Partnership, to the extent such taxable income is attributable to the Issuer or its Subsidiaries) for such period that is included in the taxable income of such equity owners of the Partnership under the U.S. federal income tax principles, reduced by all taxable losses of the Partnership with respect to any prior taxable year of the Partnership to the extent such losses were not previously taken into account for purposes of computing distributions permitted under this clause (b) and such losses are of a character that would permit such losses to be deducted by the direct or indirect owners of the Partnership against the current taxable income of the Partnership;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in either the case of (i) or (ii), any amounts distributed hereunder shall be without duplication of any such taxes paid or withheld with respect to the same taxable income to the extent such payment or withholding actually reduces the tax liability of the applicable Tax Group or the applicable Partnership’s direct or indirect owners, as applicable; provided, further, that, in either the case of (i) or (ii), any amounts distributed hereunder in respect of any Taxes attributable to the income of Unrestricted Subsidiaries may be made only to the extent that such subsidiaries have made cash payments to the Issuer, any Guarantors or any Restricted Subsidiary for the purpose of such distribution (any distributions permitted under this clause (b) collectively, “</w:t>
      </w:r>
      <w:r>
        <w:rPr>
          <w:rFonts w:ascii="Times New Roman" w:cs="Times New Roman" w:eastAsia="Times New Roman" w:hAnsi="Times New Roman"/>
          <w:sz w:val="19"/>
          <w:szCs w:val="19"/>
          <w:u w:val="single" w:color="auto"/>
          <w:color w:val="auto"/>
        </w:rPr>
        <w:t>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Distributions</w:t>
      </w:r>
      <w:r>
        <w:rPr>
          <w:rFonts w:ascii="Times New Roman" w:cs="Times New Roman" w:eastAsia="Times New Roman" w:hAnsi="Times New Roman"/>
          <w:sz w:val="19"/>
          <w:szCs w:val="19"/>
          <w:color w:val="auto"/>
        </w:rPr>
        <w:t>”);</w:t>
      </w:r>
    </w:p>
    <w:p>
      <w:pPr>
        <w:spacing w:after="0" w:line="253" w:lineRule="exact"/>
        <w:rPr>
          <w:rFonts w:ascii="Times New Roman" w:cs="Times New Roman" w:eastAsia="Times New Roman" w:hAnsi="Times New Roman"/>
          <w:sz w:val="19"/>
          <w:szCs w:val="19"/>
          <w:color w:val="auto"/>
        </w:rPr>
      </w:pPr>
    </w:p>
    <w:p>
      <w:pPr>
        <w:jc w:val="both"/>
        <w:ind w:left="960" w:firstLine="647"/>
        <w:spacing w:after="0" w:line="237" w:lineRule="auto"/>
        <w:tabs>
          <w:tab w:leader="none" w:pos="1993"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salary, bonus, severance and other benefits payable to, and indemnities provided to or on behalf of, employees, directors, officers, consultants, contractors and managers of any Parent Entity and any payroll, social security or similar Taxes thereof and obligations of any Parent Entity in respect of director and officer insurance (including premiums therefor) to the extent relating to the ownership or operation of the Issuer and its Subsidiaries;</w:t>
      </w:r>
    </w:p>
    <w:p>
      <w:pPr>
        <w:spacing w:after="0" w:line="41" w:lineRule="exact"/>
        <w:rPr>
          <w:rFonts w:ascii="Times New Roman" w:cs="Times New Roman" w:eastAsia="Times New Roman" w:hAnsi="Times New Roman"/>
          <w:sz w:val="19"/>
          <w:szCs w:val="19"/>
          <w:color w:val="auto"/>
        </w:rPr>
      </w:pPr>
    </w:p>
    <w:p>
      <w:pPr>
        <w:jc w:val="both"/>
        <w:ind w:left="960" w:right="20" w:firstLine="647"/>
        <w:spacing w:after="0" w:line="251" w:lineRule="auto"/>
        <w:tabs>
          <w:tab w:leader="none" w:pos="1990"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general corporate or other operating, administrative, legal, compliance, professional and overhead costs and expenses (including expenses relating to auditing and other accounting matters) of any Parent Entity and (2) Public Issuer Costs;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420"/>
          </w:cols>
          <w:pgMar w:left="920" w:top="1440" w:right="559" w:bottom="1440" w:gutter="0" w:footer="0" w:header="0"/>
        </w:sectPr>
      </w:pPr>
    </w:p>
    <w:bookmarkStart w:id="145" w:name="page146"/>
    <w:bookmarkEnd w:id="145"/>
    <w:p>
      <w:pPr>
        <w:spacing w:after="0" w:line="172" w:lineRule="exact"/>
        <w:rPr>
          <w:sz w:val="20"/>
          <w:szCs w:val="20"/>
          <w:color w:val="auto"/>
        </w:rPr>
      </w:pPr>
    </w:p>
    <w:p>
      <w:pPr>
        <w:ind w:left="960" w:right="20" w:firstLine="647"/>
        <w:spacing w:after="0" w:line="280" w:lineRule="auto"/>
        <w:tabs>
          <w:tab w:leader="none" w:pos="1993"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fees and expenses (including ongoing compliance costs and listing expenses) related to any equity or debt offering of a Parent Entity (whether or not consummated);</w:t>
      </w:r>
    </w:p>
    <w:p>
      <w:pPr>
        <w:spacing w:after="0" w:line="151" w:lineRule="exact"/>
        <w:rPr>
          <w:rFonts w:ascii="Times New Roman" w:cs="Times New Roman" w:eastAsia="Times New Roman" w:hAnsi="Times New Roman"/>
          <w:sz w:val="19"/>
          <w:szCs w:val="19"/>
          <w:color w:val="auto"/>
        </w:rPr>
      </w:pPr>
    </w:p>
    <w:p>
      <w:pPr>
        <w:jc w:val="both"/>
        <w:ind w:left="960" w:firstLine="647"/>
        <w:spacing w:after="0" w:line="244" w:lineRule="auto"/>
        <w:tabs>
          <w:tab w:leader="none" w:pos="1999"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indemnification claims made by future, present or former directors or officers, employees, directors, managers, consultants or contractors of such parent entity attributable to the ownership or operations of the Issuer and its Restricted Subsidiaries;</w:t>
      </w:r>
    </w:p>
    <w:p>
      <w:pPr>
        <w:spacing w:after="0" w:line="157" w:lineRule="exact"/>
        <w:rPr>
          <w:rFonts w:ascii="Times New Roman" w:cs="Times New Roman" w:eastAsia="Times New Roman" w:hAnsi="Times New Roman"/>
          <w:sz w:val="19"/>
          <w:szCs w:val="19"/>
          <w:color w:val="auto"/>
        </w:rPr>
      </w:pPr>
    </w:p>
    <w:p>
      <w:pPr>
        <w:ind w:left="960" w:right="20" w:firstLine="647"/>
        <w:spacing w:after="0" w:line="280" w:lineRule="auto"/>
        <w:tabs>
          <w:tab w:leader="none" w:pos="199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fees and expenses (x) due and payable by the Issuer and its Restricted Subsidiaries related to the Transactions and (y) otherwise permitted to be paid by the Issuer and any Restricted Subsidiaries under this Indenture;</w:t>
      </w:r>
    </w:p>
    <w:p>
      <w:pPr>
        <w:spacing w:after="0" w:line="138" w:lineRule="exact"/>
        <w:rPr>
          <w:rFonts w:ascii="Times New Roman" w:cs="Times New Roman" w:eastAsia="Times New Roman" w:hAnsi="Times New Roman"/>
          <w:sz w:val="19"/>
          <w:szCs w:val="19"/>
          <w:color w:val="auto"/>
        </w:rPr>
      </w:pPr>
    </w:p>
    <w:p>
      <w:pPr>
        <w:jc w:val="both"/>
        <w:ind w:left="960" w:firstLine="647"/>
        <w:spacing w:after="0" w:line="251" w:lineRule="auto"/>
        <w:tabs>
          <w:tab w:leader="none" w:pos="199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constituting a Restricted Payment, amounts due and payable pursuant to any investor management agreement entered into after the Issue Date in an amount in any fiscal year not to exceed 2.5% of LTM EBITDA for the immediately preceding fiscal year;</w:t>
      </w:r>
    </w:p>
    <w:p>
      <w:pPr>
        <w:spacing w:after="0" w:line="165" w:lineRule="exact"/>
        <w:rPr>
          <w:rFonts w:ascii="Times New Roman" w:cs="Times New Roman" w:eastAsia="Times New Roman" w:hAnsi="Times New Roman"/>
          <w:sz w:val="19"/>
          <w:szCs w:val="19"/>
          <w:color w:val="auto"/>
        </w:rPr>
      </w:pPr>
    </w:p>
    <w:p>
      <w:pPr>
        <w:jc w:val="both"/>
        <w:ind w:left="960" w:firstLine="647"/>
        <w:spacing w:after="0" w:line="232" w:lineRule="auto"/>
        <w:tabs>
          <w:tab w:leader="none" w:pos="1989"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finance any Investment that, if made by the Issuer, would be permitted by this Indenture;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Restricted Payment shall be made substantially concurrently with the closing of such Investment and (B) any Parent Entity shall, immediately following the closing thereof, cause (1) all property acquired (whether assets or Equity Interests but not including any loans or advances made pursuant to clause (16) of the definition of “Permitted Investments”) to be contributed to the Issuer or its Restricted Subsidiaries or (2) the Person formed or acquired to merge into or amalgamate or consolidate with the Issuer or any of its Restricted Subsidiaries to the extent such merger, amalgamation or consolidation is permitted under Section 5.01 hereof in order to consummate such Investment (any such property or assets so contributed, merged or amalgamated shall constitute “Contributed Holdings Investments” and shall be disregarded for purposes of determining any amount calculated under this Indenture with respect to contributions to the capital of the Issuer or any of its Restricted Subsidiaries); and</w:t>
      </w:r>
    </w:p>
    <w:p>
      <w:pPr>
        <w:spacing w:after="0" w:line="183" w:lineRule="exact"/>
        <w:rPr>
          <w:rFonts w:ascii="Times New Roman" w:cs="Times New Roman" w:eastAsia="Times New Roman" w:hAnsi="Times New Roman"/>
          <w:sz w:val="19"/>
          <w:szCs w:val="19"/>
          <w:color w:val="auto"/>
        </w:rPr>
      </w:pPr>
    </w:p>
    <w:p>
      <w:pPr>
        <w:ind w:left="2240" w:hanging="632"/>
        <w:spacing w:after="0"/>
        <w:tabs>
          <w:tab w:leader="none" w:pos="224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amounts that would otherwise be permitted to be paid pursuant to Section 4.11</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hereof;</w:t>
      </w:r>
    </w:p>
    <w:p>
      <w:pPr>
        <w:spacing w:after="0" w:line="180" w:lineRule="exact"/>
        <w:rPr>
          <w:sz w:val="20"/>
          <w:szCs w:val="20"/>
          <w:color w:val="auto"/>
        </w:rPr>
      </w:pPr>
    </w:p>
    <w:p>
      <w:pPr>
        <w:ind w:left="1280" w:hanging="638"/>
        <w:spacing w:after="0"/>
        <w:tabs>
          <w:tab w:leader="none" w:pos="128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Payment made in connection with Permitted Intercompany Activities;</w:t>
      </w:r>
    </w:p>
    <w:p>
      <w:pPr>
        <w:spacing w:after="0" w:line="213" w:lineRule="exact"/>
        <w:rPr>
          <w:rFonts w:ascii="Times New Roman" w:cs="Times New Roman" w:eastAsia="Times New Roman" w:hAnsi="Times New Roman"/>
          <w:sz w:val="19"/>
          <w:szCs w:val="19"/>
          <w:color w:val="auto"/>
        </w:rPr>
      </w:pPr>
    </w:p>
    <w:p>
      <w:pPr>
        <w:jc w:val="both"/>
        <w:ind w:right="20" w:firstLine="641"/>
        <w:spacing w:after="0" w:line="237" w:lineRule="auto"/>
        <w:tabs>
          <w:tab w:leader="none" w:pos="1354"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distribution, by dividend or otherwise, or other transfer or disposition of shares of Equity Interests in one or more Unrestricted Subsidiaries, or Indebtedness owed to any Parent Entity, the Issuer or any Restricted Subsidiary by Unrestricted Subsidiaries (or a Restricted Subsidiary that owns one or more Unrestricted Subsidiaries and no other material assets) (other than Unrestricted Subsidiaries, the primary assets of which are cash and/or Cash Equivalents);</w:t>
      </w:r>
    </w:p>
    <w:p>
      <w:pPr>
        <w:spacing w:after="0" w:line="172" w:lineRule="exact"/>
        <w:rPr>
          <w:rFonts w:ascii="Times New Roman" w:cs="Times New Roman" w:eastAsia="Times New Roman" w:hAnsi="Times New Roman"/>
          <w:sz w:val="19"/>
          <w:szCs w:val="19"/>
          <w:color w:val="auto"/>
        </w:rPr>
      </w:pPr>
    </w:p>
    <w:p>
      <w:pPr>
        <w:jc w:val="both"/>
        <w:ind w:firstLine="641"/>
        <w:spacing w:after="0" w:line="243" w:lineRule="auto"/>
        <w:tabs>
          <w:tab w:leader="none" w:pos="1354"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Payment;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(x) with respect to a Restricted Payment that is not a Restricted Investment, no Event of Default pursuant to Sections 6.01(1), (6) or (7) shall have occurred and be continuing or would result therefrom and (y) on a pro forma basis after giving effect to such Restricted Payment, the Consolidated Total Net Debt Ratio would be equal to or less than 6.50 to 1.00;</w:t>
      </w:r>
    </w:p>
    <w:p>
      <w:pPr>
        <w:spacing w:after="0" w:line="158" w:lineRule="exact"/>
        <w:rPr>
          <w:rFonts w:ascii="Times New Roman" w:cs="Times New Roman" w:eastAsia="Times New Roman" w:hAnsi="Times New Roman"/>
          <w:sz w:val="19"/>
          <w:szCs w:val="19"/>
          <w:color w:val="auto"/>
        </w:rPr>
      </w:pPr>
    </w:p>
    <w:p>
      <w:pPr>
        <w:ind w:firstLine="641"/>
        <w:spacing w:after="0" w:line="280" w:lineRule="auto"/>
        <w:tabs>
          <w:tab w:leader="none" w:pos="1354"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redemptions in whole or in part of any of its Equity Interests for another class of its Equity Interests (other than Disqualified Stock) or with proceeds from substantially concurrent equity contributions or issuances of new Equity Interests;</w:t>
      </w:r>
    </w:p>
    <w:p>
      <w:pPr>
        <w:spacing w:after="0" w:line="16" w:lineRule="exact"/>
        <w:rPr>
          <w:rFonts w:ascii="Times New Roman" w:cs="Times New Roman" w:eastAsia="Times New Roman" w:hAnsi="Times New Roman"/>
          <w:sz w:val="19"/>
          <w:szCs w:val="19"/>
          <w:color w:val="auto"/>
        </w:rPr>
      </w:pPr>
    </w:p>
    <w:p>
      <w:pPr>
        <w:jc w:val="both"/>
        <w:ind w:right="20" w:firstLine="641"/>
        <w:spacing w:after="0" w:line="248" w:lineRule="auto"/>
        <w:tabs>
          <w:tab w:leader="none" w:pos="1354"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to the Issuer, or loans, advances, dividends or distributions to any Parent Entity, to permit such Person (a) to make payments in lieu of fractional Equity Interests to holders of Equity Interests of the Issuer or any Parent Entity and (b) to honor any conversion request by a holder of convertible Indebtedness and make cash payments in lieu of fractional shares in connection with any such conversion and make payments on convertible Indebtedness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420"/>
          </w:cols>
          <w:pgMar w:left="920" w:top="1440" w:right="559" w:bottom="1440" w:gutter="0" w:footer="0" w:header="0"/>
        </w:sectPr>
      </w:pPr>
    </w:p>
    <w:bookmarkStart w:id="146" w:name="page147"/>
    <w:bookmarkEnd w:id="146"/>
    <w:p>
      <w:pPr>
        <w:spacing w:after="0" w:line="186" w:lineRule="exact"/>
        <w:rPr>
          <w:sz w:val="20"/>
          <w:szCs w:val="20"/>
          <w:color w:val="auto"/>
        </w:rPr>
      </w:pPr>
    </w:p>
    <w:p>
      <w:pPr>
        <w:jc w:val="both"/>
        <w:ind w:left="340" w:firstLine="641"/>
        <w:spacing w:after="0" w:line="244" w:lineRule="auto"/>
        <w:tabs>
          <w:tab w:leader="none" w:pos="1694"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or distributions to dissenting stockholders pursuant to applicable law, pursuant to or in connection with a consolidation, merger or transfer of all or substantially all of the assets of the Issuer and its Restricted Subsidiaries, taken as a whole, that complies with Section 5.01 hereof;</w:t>
      </w:r>
    </w:p>
    <w:p>
      <w:pPr>
        <w:spacing w:after="0" w:line="170" w:lineRule="exact"/>
        <w:rPr>
          <w:rFonts w:ascii="Times New Roman" w:cs="Times New Roman" w:eastAsia="Times New Roman" w:hAnsi="Times New Roman"/>
          <w:sz w:val="19"/>
          <w:szCs w:val="19"/>
          <w:color w:val="auto"/>
        </w:rPr>
      </w:pPr>
    </w:p>
    <w:p>
      <w:pPr>
        <w:jc w:val="both"/>
        <w:ind w:left="340" w:right="20" w:firstLine="641"/>
        <w:spacing w:after="0" w:line="251" w:lineRule="auto"/>
        <w:tabs>
          <w:tab w:leader="none" w:pos="1694"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conversion of any Subordinated Indebtedness to Equity Interests (other than Disqualified Stock) of the Issuer or any Parent Entity, and any payment that is intended to prevent any Subordinated Indebtedness from being treated as an “applicable high yield discount obligation” within the meaning of Section 163(i)(1) of the Code;</w:t>
      </w:r>
    </w:p>
    <w:p>
      <w:pPr>
        <w:spacing w:after="0" w:line="151"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mandatory redemptions of Disqualified Stock issued as a Restricted Payment or as consideration for a Permitted</w:t>
      </w:r>
    </w:p>
    <w:p>
      <w:pPr>
        <w:spacing w:after="0" w:line="25"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w:t>
      </w:r>
    </w:p>
    <w:p>
      <w:pPr>
        <w:spacing w:after="0" w:line="171" w:lineRule="exact"/>
        <w:rPr>
          <w:rFonts w:ascii="Times New Roman" w:cs="Times New Roman" w:eastAsia="Times New Roman" w:hAnsi="Times New Roman"/>
          <w:sz w:val="19"/>
          <w:szCs w:val="19"/>
          <w:color w:val="auto"/>
        </w:rPr>
      </w:pPr>
    </w:p>
    <w:p>
      <w:pPr>
        <w:ind w:left="340" w:right="20" w:firstLine="641"/>
        <w:spacing w:after="0" w:line="265" w:lineRule="auto"/>
        <w:tabs>
          <w:tab w:leader="none" w:pos="1694"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or other Restricted Payments in an aggregate amount not to exceed an amount equal to the sum of Total Leverage Excess Proceeds and Declined Excess Proceeds; and</w:t>
      </w:r>
    </w:p>
    <w:p>
      <w:pPr>
        <w:spacing w:after="0" w:line="165" w:lineRule="exact"/>
        <w:rPr>
          <w:rFonts w:ascii="Times New Roman" w:cs="Times New Roman" w:eastAsia="Times New Roman" w:hAnsi="Times New Roman"/>
          <w:sz w:val="19"/>
          <w:szCs w:val="19"/>
          <w:color w:val="auto"/>
        </w:rPr>
      </w:pPr>
    </w:p>
    <w:p>
      <w:pPr>
        <w:jc w:val="both"/>
        <w:ind w:left="340" w:firstLine="641"/>
        <w:spacing w:after="0" w:line="235" w:lineRule="auto"/>
        <w:tabs>
          <w:tab w:leader="none" w:pos="1694"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redemption, defeasance, repurchase, exchange or other acquisition or retirement of Subordinated Indebtedness of the Issuer or any Guarantor in an aggregate amount outstanding at the time made, taken together with all other redemptions, defeasances, repurchases, exchanges or other acquisitions or retirements of Subordinated Indebtedness made pursuant to this clause (25), not to exceed the greater of $108.4 million and 20.0% of LTM EBITDA at such time, and (ii) the redemption, defeasance, repurchase, exchange or other acquisition or retirement of Subordinated Indebtedness of the Issuer or any Guarantor, so long as (x) no Event of Default pursuant to Sections 6.01(1), (6) or (7) shall have occurred and be continuing or would result therefrom and (y), immediately after giving pro forma effect to the payment of any such Restricted Payment and the incurrence of any Indebtedness the net proceeds of which are used to make such Restricted Payment, the Consolidated Total Net Debt Ratio shall be no greater than 7.00 to 1.00.</w:t>
      </w:r>
    </w:p>
    <w:p>
      <w:pPr>
        <w:spacing w:after="0" w:line="165" w:lineRule="exact"/>
        <w:rPr>
          <w:sz w:val="20"/>
          <w:szCs w:val="20"/>
          <w:color w:val="auto"/>
        </w:rPr>
      </w:pPr>
    </w:p>
    <w:p>
      <w:pPr>
        <w:jc w:val="both"/>
        <w:ind w:firstLine="649"/>
        <w:spacing w:after="0" w:line="256" w:lineRule="auto"/>
        <w:rPr>
          <w:sz w:val="20"/>
          <w:szCs w:val="20"/>
          <w:color w:val="auto"/>
        </w:rPr>
      </w:pPr>
      <w:r>
        <w:rPr>
          <w:rFonts w:ascii="Times New Roman" w:cs="Times New Roman" w:eastAsia="Times New Roman" w:hAnsi="Times New Roman"/>
          <w:sz w:val="18"/>
          <w:szCs w:val="18"/>
          <w:color w:val="auto"/>
        </w:rPr>
        <w:t>(c ) For purposes of determining compliance with this Section 4.07, in the event that a Restricted Payment or Investment (or a portion thereof) meets the criteria of more than one of clauses (1) through (25) of Section 4.07(b) hereof or is entitled to be made pursuant to Section 4.07(a) hereof and/or one or more of the clauses contained in the definition of “Permitted Investments,” the Issuer shall be entitled to divide, classify and subsequently divide and reclassify such Restricted Payment or Investment (or portion thereof) between such clauses (1) through</w:t>
      </w:r>
    </w:p>
    <w:p>
      <w:pPr>
        <w:spacing w:after="0" w:line="1" w:lineRule="exact"/>
        <w:rPr>
          <w:sz w:val="20"/>
          <w:szCs w:val="20"/>
          <w:color w:val="auto"/>
        </w:rPr>
      </w:pPr>
    </w:p>
    <w:p>
      <w:pPr>
        <w:ind w:firstLine="1"/>
        <w:spacing w:after="0" w:line="234" w:lineRule="auto"/>
        <w:tabs>
          <w:tab w:leader="none" w:pos="399"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Section 4.07(b) hereof and Section 4.07(a) hereof and/or one or more of the clauses contained in the definition of “Permitted Investments,” in a manner that otherwise complies with this Section 4.07.</w:t>
      </w:r>
    </w:p>
    <w:p>
      <w:pPr>
        <w:spacing w:after="0" w:line="161" w:lineRule="exact"/>
        <w:rPr>
          <w:rFonts w:ascii="Times New Roman" w:cs="Times New Roman" w:eastAsia="Times New Roman" w:hAnsi="Times New Roman"/>
          <w:sz w:val="19"/>
          <w:szCs w:val="19"/>
          <w:color w:val="auto"/>
        </w:rPr>
      </w:pPr>
    </w:p>
    <w:p>
      <w:pPr>
        <w:jc w:val="both"/>
        <w:ind w:firstLine="650"/>
        <w:spacing w:after="0" w:line="264" w:lineRule="auto"/>
        <w:tabs>
          <w:tab w:leader="none" w:pos="103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Restricted Payments (other than cash) shall be the fair market value on the date of such Restricted Payment of the asset(s) or securities proposed to be paid, transferred or issued by the Issuer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Issuer acting in good faith.</w:t>
      </w:r>
    </w:p>
    <w:p>
      <w:pPr>
        <w:spacing w:after="0" w:line="155" w:lineRule="exact"/>
        <w:rPr>
          <w:rFonts w:ascii="Times New Roman" w:cs="Times New Roman" w:eastAsia="Times New Roman" w:hAnsi="Times New Roman"/>
          <w:sz w:val="18"/>
          <w:szCs w:val="18"/>
          <w:color w:val="auto"/>
        </w:rPr>
      </w:pPr>
    </w:p>
    <w:p>
      <w:pPr>
        <w:jc w:val="both"/>
        <w:ind w:firstLine="650"/>
        <w:spacing w:after="0" w:line="232" w:lineRule="auto"/>
        <w:tabs>
          <w:tab w:leader="none" w:pos="1034"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commitment, definitive agreement or similar event relating to an Investment, the Issuer or applicable Restricted Subsidiary may designate such Investment as having occurred on the date of the commitment, definitive agreement or similar event relating thereto (such date, the “</w:t>
      </w:r>
      <w:r>
        <w:rPr>
          <w:rFonts w:ascii="Times New Roman" w:cs="Times New Roman" w:eastAsia="Times New Roman" w:hAnsi="Times New Roman"/>
          <w:sz w:val="19"/>
          <w:szCs w:val="19"/>
          <w:u w:val="single" w:color="auto"/>
          <w:color w:val="auto"/>
        </w:rPr>
        <w:t>Election Date</w:t>
      </w:r>
      <w:r>
        <w:rPr>
          <w:rFonts w:ascii="Times New Roman" w:cs="Times New Roman" w:eastAsia="Times New Roman" w:hAnsi="Times New Roman"/>
          <w:sz w:val="19"/>
          <w:szCs w:val="19"/>
          <w:color w:val="auto"/>
        </w:rPr>
        <w:t>”) if, after giving pro forma effect to such Investment and all related transactions in connection therewith and any related pro forma adjustments, the Issuer or any of its Restricted Subsidiaries would have been permitted to make such Investment on the relevant Election Date in compliance with this Indenture, and any related subsequent actual making of such Investment will be deemed for all purposes under this Indenture to have been made on such Election Date, including for purposes of calculating any ratio, compliance with any test, usage of any baskets hereunder (if applicable) and EBITDA or LTM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760"/>
          </w:cols>
          <w:pgMar w:left="580" w:top="1440" w:right="559" w:bottom="1440" w:gutter="0" w:footer="0" w:header="0"/>
        </w:sectPr>
      </w:pPr>
    </w:p>
    <w:bookmarkStart w:id="147" w:name="page148"/>
    <w:bookmarkEnd w:id="147"/>
    <w:p>
      <w:pPr>
        <w:spacing w:after="0" w:line="51" w:lineRule="exact"/>
        <w:rPr>
          <w:sz w:val="20"/>
          <w:szCs w:val="20"/>
          <w:color w:val="auto"/>
        </w:rPr>
      </w:pPr>
    </w:p>
    <w:p>
      <w:pPr>
        <w:jc w:val="both"/>
        <w:ind w:right="20" w:firstLine="650"/>
        <w:spacing w:after="0" w:line="259" w:lineRule="auto"/>
        <w:tabs>
          <w:tab w:leader="none" w:pos="10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Subsidiaries may use value transferred from the Issuer and its Restricted Subsidiaries in a Permitted Investment to purchase or otherwise acquire Indebtedness or Capital Stock of the Issuer, any Parent Entity or any of the Issuer’s Restricted Subsidiaries, and to transfer value to the holders of the Capital Stock of the Issuer or any Restricted Subsidiary or any Parent Entity and to Affiliates thereof, and such purchase, acquisition, or transfer will not be deemed to be a “direct or indirect” action by the Issuer or its Restricted Subsidiaries.</w:t>
      </w:r>
    </w:p>
    <w:p>
      <w:pPr>
        <w:spacing w:after="0" w:line="159" w:lineRule="exact"/>
        <w:rPr>
          <w:rFonts w:ascii="Times New Roman" w:cs="Times New Roman" w:eastAsia="Times New Roman" w:hAnsi="Times New Roman"/>
          <w:sz w:val="18"/>
          <w:szCs w:val="18"/>
          <w:color w:val="auto"/>
        </w:rPr>
      </w:pPr>
    </w:p>
    <w:p>
      <w:pPr>
        <w:jc w:val="both"/>
        <w:ind w:firstLine="650"/>
        <w:spacing w:after="0" w:line="241" w:lineRule="auto"/>
        <w:tabs>
          <w:tab w:leader="none" w:pos="1031"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or a Restricted Subsidiary makes a Restricted Payment which at the time of the making of such Restricted Payment would in the good faith determination of the Issuer be permitted under the provisions of this Indenture, such Restricted Payment shall be deemed to have been made in compliance with this Indenture notwithstanding any subsequent adjustments made in good faith to the Issuer’s financial statements affecting Consolidated Net Income or EBITDA or LTM EBITDA of the Issuer for any period.</w:t>
      </w:r>
    </w:p>
    <w:p>
      <w:pPr>
        <w:spacing w:after="0" w:line="175" w:lineRule="exact"/>
        <w:rPr>
          <w:rFonts w:ascii="Times New Roman" w:cs="Times New Roman" w:eastAsia="Times New Roman" w:hAnsi="Times New Roman"/>
          <w:sz w:val="19"/>
          <w:szCs w:val="19"/>
          <w:color w:val="auto"/>
        </w:rPr>
      </w:pPr>
    </w:p>
    <w:p>
      <w:pPr>
        <w:jc w:val="both"/>
        <w:ind w:firstLine="650"/>
        <w:spacing w:after="0" w:line="244" w:lineRule="auto"/>
        <w:tabs>
          <w:tab w:leader="none" w:pos="1031"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this covenant shall not restrict the making of, or dividends or other distributions in amounts sufficient to make, any “AHYDO catch-up payment” with respect to any Indebtedness of any Parent Entity, the Issuer or any of its Restricted Subsidiaries permitted to be incurred under this Indenture.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4.08 </w:t>
      </w:r>
      <w:r>
        <w:rPr>
          <w:rFonts w:ascii="Times New Roman" w:cs="Times New Roman" w:eastAsia="Times New Roman" w:hAnsi="Times New Roman"/>
          <w:sz w:val="19"/>
          <w:szCs w:val="19"/>
          <w:u w:val="single" w:color="auto"/>
          <w:color w:val="auto"/>
        </w:rPr>
        <w:t>Dividend and Other Payment Restrictions Affecting Restricted Subsidiaries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right="20" w:firstLine="650"/>
        <w:spacing w:after="0" w:line="265" w:lineRule="auto"/>
        <w:tabs>
          <w:tab w:leader="none" w:pos="1034"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and shall not permit any of its Restricted Subsidiaries that are not Guarantors to, create or otherwise cause to become effective any consensual encumbrance or consensual restriction on the ability of any such Restricted Subsidiary to:</w:t>
      </w:r>
    </w:p>
    <w:p>
      <w:pPr>
        <w:spacing w:after="0" w:line="152"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2"/>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pay dividends or make any other distributions to the Issuer or any of its Restricted Subsidiaries on its Capital</w:t>
      </w:r>
    </w:p>
    <w:p>
      <w:pPr>
        <w:spacing w:after="0" w:line="25"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or</w:t>
      </w:r>
    </w:p>
    <w:p>
      <w:pPr>
        <w:spacing w:after="0" w:line="171" w:lineRule="exact"/>
        <w:rPr>
          <w:rFonts w:ascii="Times New Roman" w:cs="Times New Roman" w:eastAsia="Times New Roman" w:hAnsi="Times New Roman"/>
          <w:sz w:val="19"/>
          <w:szCs w:val="19"/>
          <w:color w:val="auto"/>
        </w:rPr>
      </w:pPr>
    </w:p>
    <w:p>
      <w:pPr>
        <w:ind w:left="1960" w:hanging="300"/>
        <w:spacing w:after="0"/>
        <w:tabs>
          <w:tab w:leader="none" w:pos="1960" w:val="left"/>
        </w:tabs>
        <w:numPr>
          <w:ilvl w:val="3"/>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any Indebtedness owed to the Issuer or any of the Issuer’s Restricted Subsidiaries that is a Guarantor;</w:t>
      </w:r>
    </w:p>
    <w:p>
      <w:pPr>
        <w:spacing w:after="0" w:line="200" w:lineRule="exact"/>
        <w:rPr>
          <w:rFonts w:ascii="Times New Roman" w:cs="Times New Roman" w:eastAsia="Times New Roman" w:hAnsi="Times New Roman"/>
          <w:sz w:val="19"/>
          <w:szCs w:val="19"/>
          <w:color w:val="auto"/>
        </w:rPr>
      </w:pPr>
    </w:p>
    <w:p>
      <w:pPr>
        <w:ind w:left="1680" w:hanging="785"/>
        <w:spacing w:after="0"/>
        <w:tabs>
          <w:tab w:leader="none" w:pos="1680"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loans or advances to the Issuer or any of the Issuer’s Restricted Subsidiaries that is a Guarantor; or</w:t>
      </w:r>
    </w:p>
    <w:p>
      <w:pPr>
        <w:spacing w:after="0" w:line="213" w:lineRule="exact"/>
        <w:rPr>
          <w:rFonts w:ascii="Times New Roman" w:cs="Times New Roman" w:eastAsia="Times New Roman" w:hAnsi="Times New Roman"/>
          <w:sz w:val="19"/>
          <w:szCs w:val="19"/>
          <w:color w:val="auto"/>
        </w:rPr>
      </w:pPr>
    </w:p>
    <w:p>
      <w:pPr>
        <w:ind w:left="900" w:right="240" w:hanging="5"/>
        <w:spacing w:after="0" w:line="280" w:lineRule="auto"/>
        <w:tabs>
          <w:tab w:leader="none" w:pos="1687"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lease or transfer any of its properties or assets to the Issuer or any of the Issuer’s Restricted Subsidiaries that is a Guarantor;</w:t>
      </w:r>
    </w:p>
    <w:p>
      <w:pPr>
        <w:spacing w:after="0" w:line="11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Issuer or any Restricted Subsidiary to other Indebtedness incurred by the Issuer or any Restricted Subsidiary shall not be deemed to constitute such an encumbrance or restriction.</w:t>
      </w:r>
    </w:p>
    <w:p>
      <w:pPr>
        <w:spacing w:after="0" w:line="171" w:lineRule="exact"/>
        <w:rPr>
          <w:sz w:val="20"/>
          <w:szCs w:val="20"/>
          <w:color w:val="auto"/>
        </w:rPr>
      </w:pPr>
    </w:p>
    <w:p>
      <w:pPr>
        <w:ind w:left="1280" w:hanging="629"/>
        <w:spacing w:after="0"/>
        <w:tabs>
          <w:tab w:leader="none" w:pos="128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restrictions contained in Section 4.08(a) hereof shall not prohibit:</w:t>
      </w:r>
    </w:p>
    <w:p>
      <w:pPr>
        <w:spacing w:after="0" w:line="213"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contractual encumbrances or restrictions in effect on the Issue Date;</w:t>
      </w:r>
    </w:p>
    <w:p>
      <w:pPr>
        <w:spacing w:after="0" w:line="200" w:lineRule="exact"/>
        <w:rPr>
          <w:rFonts w:ascii="Times New Roman" w:cs="Times New Roman" w:eastAsia="Times New Roman" w:hAnsi="Times New Roman"/>
          <w:sz w:val="19"/>
          <w:szCs w:val="19"/>
          <w:color w:val="auto"/>
        </w:rPr>
      </w:pPr>
    </w:p>
    <w:p>
      <w:pPr>
        <w:ind w:left="340" w:right="20" w:firstLine="641"/>
        <w:spacing w:after="0" w:line="265" w:lineRule="auto"/>
        <w:tabs>
          <w:tab w:leader="none" w:pos="1694"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contractual encumbrances or restrictions pursuant to the Credit Facilities, including any Guarantee thereof, the related security documents, any related Intercreditor Agreement and any other related documentation and related Hedging Obligations;</w:t>
      </w:r>
    </w:p>
    <w:p>
      <w:pPr>
        <w:spacing w:after="0" w:line="152"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contractual encumbrances or restrictions pursuant to the Notes Documents, the related indentures and any other related</w:t>
      </w:r>
    </w:p>
    <w:p>
      <w:pPr>
        <w:spacing w:after="0" w:line="17"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documentation;</w:t>
      </w:r>
    </w:p>
    <w:p>
      <w:pPr>
        <w:spacing w:after="0" w:line="193"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Money Obligations and Capitalized Lease Obligations that impose restrictions on the property so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760"/>
          </w:cols>
          <w:pgMar w:left="580" w:top="1440" w:right="559" w:bottom="1440" w:gutter="0" w:footer="0" w:header="0"/>
        </w:sectPr>
      </w:pPr>
    </w:p>
    <w:bookmarkStart w:id="148" w:name="page149"/>
    <w:bookmarkEnd w:id="148"/>
    <w:p>
      <w:pPr>
        <w:spacing w:after="0" w:line="51" w:lineRule="exact"/>
        <w:rPr>
          <w:sz w:val="20"/>
          <w:szCs w:val="20"/>
          <w:color w:val="auto"/>
        </w:rPr>
      </w:pPr>
    </w:p>
    <w:p>
      <w:pPr>
        <w:ind w:left="1340" w:hanging="699"/>
        <w:spacing w:after="0"/>
        <w:tabs>
          <w:tab w:leader="none" w:pos="134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applicable law or any applicable rule, regulation or order or required by any regulatory authority;</w:t>
      </w:r>
    </w:p>
    <w:p>
      <w:pPr>
        <w:spacing w:after="0" w:line="213" w:lineRule="exact"/>
        <w:rPr>
          <w:rFonts w:ascii="Times New Roman" w:cs="Times New Roman" w:eastAsia="Times New Roman" w:hAnsi="Times New Roman"/>
          <w:sz w:val="19"/>
          <w:szCs w:val="19"/>
          <w:color w:val="auto"/>
        </w:rPr>
      </w:pPr>
    </w:p>
    <w:p>
      <w:pPr>
        <w:jc w:val="both"/>
        <w:ind w:firstLine="641"/>
        <w:spacing w:after="0" w:line="237"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agreement or other instrument of a Person or relating to Capital Stock or Indebtedness of a Person acquired by or merged, consolidated or otherwise combined with or into the Issuer or any of its Restricted Subsidiaries in existence at the time of such acquisition or at the time it merges with or into the Issuer or any of its Restricted Subsidiaries or assumed in connection with the acquisition of assets from such Person or at the time such Person was designated as a Restricted Subsidiary (but, in any such case, not created in contemplation thereof);</w:t>
      </w:r>
    </w:p>
    <w:p>
      <w:pPr>
        <w:spacing w:after="0" w:line="176" w:lineRule="exact"/>
        <w:rPr>
          <w:rFonts w:ascii="Times New Roman" w:cs="Times New Roman" w:eastAsia="Times New Roman" w:hAnsi="Times New Roman"/>
          <w:sz w:val="19"/>
          <w:szCs w:val="19"/>
          <w:color w:val="auto"/>
        </w:rPr>
      </w:pPr>
    </w:p>
    <w:p>
      <w:pPr>
        <w:jc w:val="both"/>
        <w:ind w:right="20" w:firstLine="641"/>
        <w:spacing w:after="0" w:line="244"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for the direct or indirect sale or other disposition of assets or the sale of the Issuer or a Subsidiary, including customary restrictions with respect to a Subsidiary of the Issuer pursuant to an agreement that has been entered into for the sale or disposition of all or substantially all of the Capital Stock or assets of such Subsidiary;</w:t>
      </w:r>
    </w:p>
    <w:p>
      <w:pPr>
        <w:spacing w:after="0" w:line="157" w:lineRule="exact"/>
        <w:rPr>
          <w:rFonts w:ascii="Times New Roman" w:cs="Times New Roman" w:eastAsia="Times New Roman" w:hAnsi="Times New Roman"/>
          <w:sz w:val="19"/>
          <w:szCs w:val="19"/>
          <w:color w:val="auto"/>
        </w:rPr>
      </w:pPr>
    </w:p>
    <w:p>
      <w:pPr>
        <w:jc w:val="both"/>
        <w:ind w:firstLine="641"/>
        <w:spacing w:after="0" w:line="251"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Secured Indebtedness otherwise permitted to be incurred pursuant to Section 4.09 hereof and Section 4.12 hereof and (b) restrictions on transfers of assets subject to Permitted Liens (but, with respect to any such Permitted Lien, only to the extent that such transfer restrictions apply solely to the assets that are the subject of such Permitted Lien);</w:t>
      </w:r>
    </w:p>
    <w:p>
      <w:pPr>
        <w:spacing w:after="0" w:line="151" w:lineRule="exact"/>
        <w:rPr>
          <w:rFonts w:ascii="Times New Roman" w:cs="Times New Roman" w:eastAsia="Times New Roman" w:hAnsi="Times New Roman"/>
          <w:sz w:val="19"/>
          <w:szCs w:val="19"/>
          <w:color w:val="auto"/>
        </w:rPr>
      </w:pPr>
    </w:p>
    <w:p>
      <w:pPr>
        <w:ind w:firstLine="641"/>
        <w:spacing w:after="0" w:line="280"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cash (or Cash Equivalents) or other deposits or restrictions on net worth imposed by customers, in each case, under contracts entered into in the ordinary course of business or consistent with past practice or industry practice;</w:t>
      </w:r>
    </w:p>
    <w:p>
      <w:pPr>
        <w:spacing w:after="0" w:line="138" w:lineRule="exact"/>
        <w:rPr>
          <w:rFonts w:ascii="Times New Roman" w:cs="Times New Roman" w:eastAsia="Times New Roman" w:hAnsi="Times New Roman"/>
          <w:sz w:val="19"/>
          <w:szCs w:val="19"/>
          <w:color w:val="auto"/>
        </w:rPr>
      </w:pPr>
    </w:p>
    <w:p>
      <w:pPr>
        <w:ind w:right="20" w:firstLine="641"/>
        <w:spacing w:after="0" w:line="265"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Indebtedness, Disqualified Stock or Preferred Stock of Foreign Subsidiaries permitted to be incurred or issued subsequent to the Issue Date pursuant to the provisions of Section 4.09 hereof;</w:t>
      </w:r>
    </w:p>
    <w:p>
      <w:pPr>
        <w:spacing w:after="0" w:line="165" w:lineRule="exact"/>
        <w:rPr>
          <w:rFonts w:ascii="Times New Roman" w:cs="Times New Roman" w:eastAsia="Times New Roman" w:hAnsi="Times New Roman"/>
          <w:sz w:val="19"/>
          <w:szCs w:val="19"/>
          <w:color w:val="auto"/>
        </w:rPr>
      </w:pPr>
    </w:p>
    <w:p>
      <w:pPr>
        <w:ind w:left="1340" w:hanging="699"/>
        <w:spacing w:after="0"/>
        <w:tabs>
          <w:tab w:leader="none" w:pos="134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provisions in joint venture agreements or arrangements and other similar agreements relating to such joint</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venture;</w:t>
      </w:r>
    </w:p>
    <w:p>
      <w:pPr>
        <w:spacing w:after="0" w:line="171" w:lineRule="exact"/>
        <w:rPr>
          <w:rFonts w:ascii="Times New Roman" w:cs="Times New Roman" w:eastAsia="Times New Roman" w:hAnsi="Times New Roman"/>
          <w:sz w:val="19"/>
          <w:szCs w:val="19"/>
          <w:color w:val="auto"/>
        </w:rPr>
      </w:pPr>
    </w:p>
    <w:p>
      <w:pPr>
        <w:ind w:firstLine="641"/>
        <w:spacing w:after="0" w:line="280"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provisions contained in leases, sub-leases, licenses, sub-licenses, equity holder agreements, asset sale agreements, organizational documents or other similar agreements, including with respect to intellectual property and other agreements;</w:t>
      </w:r>
    </w:p>
    <w:p>
      <w:pPr>
        <w:spacing w:after="0" w:line="138" w:lineRule="exact"/>
        <w:rPr>
          <w:rFonts w:ascii="Times New Roman" w:cs="Times New Roman" w:eastAsia="Times New Roman" w:hAnsi="Times New Roman"/>
          <w:sz w:val="19"/>
          <w:szCs w:val="19"/>
          <w:color w:val="auto"/>
        </w:rPr>
      </w:pPr>
    </w:p>
    <w:p>
      <w:pPr>
        <w:ind w:right="20" w:firstLine="641"/>
        <w:spacing w:after="0" w:line="280"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created in connection with any Receivables Facility that, in the good faith determination of the Issuer, are necessary or advisable to effect such Receivables Facility;</w:t>
      </w:r>
    </w:p>
    <w:p>
      <w:pPr>
        <w:spacing w:after="0" w:line="138" w:lineRule="exact"/>
        <w:rPr>
          <w:rFonts w:ascii="Times New Roman" w:cs="Times New Roman" w:eastAsia="Times New Roman" w:hAnsi="Times New Roman"/>
          <w:sz w:val="19"/>
          <w:szCs w:val="19"/>
          <w:color w:val="auto"/>
        </w:rPr>
      </w:pPr>
    </w:p>
    <w:p>
      <w:pPr>
        <w:ind w:right="20" w:firstLine="641"/>
        <w:spacing w:after="0" w:line="280"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cash (or Cash Equivalents) or other deposits imposed by agreements entered into in the ordinary course of business or consistent with past practice (or other restrictions on cash or deposits constituting Permitted Liens);</w:t>
      </w:r>
    </w:p>
    <w:p>
      <w:pPr>
        <w:spacing w:after="0" w:line="124" w:lineRule="exact"/>
        <w:rPr>
          <w:rFonts w:ascii="Times New Roman" w:cs="Times New Roman" w:eastAsia="Times New Roman" w:hAnsi="Times New Roman"/>
          <w:sz w:val="19"/>
          <w:szCs w:val="19"/>
          <w:color w:val="auto"/>
        </w:rPr>
      </w:pPr>
    </w:p>
    <w:p>
      <w:pPr>
        <w:ind w:right="40" w:firstLine="641"/>
        <w:spacing w:after="0" w:line="280"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provisions restricting subletting, assignment or transfer of any property or asset that is subject to a lease, license or similar contract or agreement, or the assignment or transfer of any lease, license or other contract or agreement;</w:t>
      </w:r>
    </w:p>
    <w:p>
      <w:pPr>
        <w:spacing w:after="0" w:line="151" w:lineRule="exact"/>
        <w:rPr>
          <w:rFonts w:ascii="Times New Roman" w:cs="Times New Roman" w:eastAsia="Times New Roman" w:hAnsi="Times New Roman"/>
          <w:sz w:val="19"/>
          <w:szCs w:val="19"/>
          <w:color w:val="auto"/>
        </w:rPr>
      </w:pPr>
    </w:p>
    <w:p>
      <w:pPr>
        <w:jc w:val="both"/>
        <w:ind w:right="20" w:firstLine="641"/>
        <w:spacing w:after="0" w:line="244"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net worth provisions contained in real property leases entered into by Subsidiaries, so long as the Issuer has determined in good faith that such net worth provisions could not reasonably be expected to impair the ability of the Issuer and its Subsidiaries to meet their ongoing obligations;</w:t>
      </w:r>
    </w:p>
    <w:p>
      <w:pPr>
        <w:spacing w:after="0" w:line="22" w:lineRule="exact"/>
        <w:rPr>
          <w:rFonts w:ascii="Times New Roman" w:cs="Times New Roman" w:eastAsia="Times New Roman" w:hAnsi="Times New Roman"/>
          <w:sz w:val="19"/>
          <w:szCs w:val="19"/>
          <w:color w:val="auto"/>
        </w:rPr>
      </w:pPr>
    </w:p>
    <w:p>
      <w:pPr>
        <w:ind w:right="20" w:firstLine="641"/>
        <w:spacing w:after="0" w:line="241" w:lineRule="auto"/>
        <w:tabs>
          <w:tab w:leader="none" w:pos="135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restrictions or conditions contained in any trading, netting, operating, construction, service, supply, purchase, sale or other agreement to which the Issuer or any of its Restricted Subsidiaries is a party entered into in the ordinary course of business or consistent with past practice or industry practice;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prohibits the encumbrance of solely the property or assets of the Issuer or such Restricted Subsidiary that are the subject of such agreement, the payment rights arising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420"/>
          </w:cols>
          <w:pgMar w:left="920" w:top="1440" w:right="559" w:bottom="1440" w:gutter="0" w:footer="0" w:header="0"/>
        </w:sectPr>
      </w:pPr>
    </w:p>
    <w:bookmarkStart w:id="149" w:name="page150"/>
    <w:bookmarkEnd w:id="149"/>
    <w:p>
      <w:pPr>
        <w:spacing w:after="0" w:line="54" w:lineRule="exact"/>
        <w:rPr>
          <w:sz w:val="20"/>
          <w:szCs w:val="20"/>
          <w:color w:val="auto"/>
        </w:rPr>
      </w:pPr>
    </w:p>
    <w:p>
      <w:pPr>
        <w:ind w:left="340" w:right="300"/>
        <w:spacing w:after="0" w:line="281" w:lineRule="auto"/>
        <w:rPr>
          <w:sz w:val="20"/>
          <w:szCs w:val="20"/>
          <w:color w:val="auto"/>
        </w:rPr>
      </w:pPr>
      <w:r>
        <w:rPr>
          <w:rFonts w:ascii="Times New Roman" w:cs="Times New Roman" w:eastAsia="Times New Roman" w:hAnsi="Times New Roman"/>
          <w:sz w:val="19"/>
          <w:szCs w:val="19"/>
          <w:color w:val="auto"/>
        </w:rPr>
        <w:t>thereunder or the proceeds thereof and does not extend to any other asset or property of the Issuer or such Restricted Subsidiary or the assets or property of another Restricted Subsidiary;</w:t>
      </w:r>
    </w:p>
    <w:p>
      <w:pPr>
        <w:spacing w:after="0" w:line="133" w:lineRule="exact"/>
        <w:rPr>
          <w:sz w:val="20"/>
          <w:szCs w:val="20"/>
          <w:color w:val="auto"/>
        </w:rPr>
      </w:pPr>
    </w:p>
    <w:p>
      <w:pPr>
        <w:jc w:val="both"/>
        <w:ind w:left="340" w:right="20" w:firstLine="641"/>
        <w:spacing w:after="0" w:line="233" w:lineRule="auto"/>
        <w:tabs>
          <w:tab w:leader="none" w:pos="1694"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encumbrance or restriction arising pursuant to an agreement or instrument which, if it relates to any Indebtedness, shall only be permitted if such Indebtedness is permitted to be incurred pursuant to Section 4.09 hereof if the encumbrances and restrictions contained in any such agreement or instrument taken as a whole (i) are not materially less favorable to the Holders than the encumbrances and restrictions contained in the Credit Agreement, together with the security documents associated therewith, this Indenture, or other Credit Facilities, in each case as in effect on the Issue Date (as determined by the Issuer) or (ii) either (A) the Issuer determines at the time of entry into such agreement or instrument that such encumbrances or restrictions shall not adversely affect, in any material respect, the Issuer’s ability to make principal or interest payments on the Notes or (B) such encumbrance or restriction applies only during the continuance of a default relating to such agreement or instrument;</w:t>
      </w:r>
    </w:p>
    <w:p>
      <w:pPr>
        <w:spacing w:after="0" w:line="166" w:lineRule="exact"/>
        <w:rPr>
          <w:rFonts w:ascii="Times New Roman" w:cs="Times New Roman" w:eastAsia="Times New Roman" w:hAnsi="Times New Roman"/>
          <w:sz w:val="19"/>
          <w:szCs w:val="19"/>
          <w:color w:val="auto"/>
        </w:rPr>
      </w:pPr>
    </w:p>
    <w:p>
      <w:pPr>
        <w:jc w:val="both"/>
        <w:ind w:left="340" w:right="20" w:firstLine="641"/>
        <w:spacing w:after="0"/>
        <w:tabs>
          <w:tab w:leader="none" w:pos="1694"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encumbrance or restriction with respect to a Guarantor or a Foreign Subsidiary or Receivables Subsidiary which was previously an Unrestricted Subsidiary pursuant to or by reason of an agreement that such Subsidiary is a party to or entered into before the date on which such Subsidiary became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was not entered into in anticipation of an Unrestricted Subsidiary becoming a Restricted Subsidiary and any such encumbrance or restriction does not extend to any assets or property of the Issuer or any other Restricted Subsidiary other than the assets and property of such Subsidiary ;</w:t>
      </w:r>
    </w:p>
    <w:p>
      <w:pPr>
        <w:spacing w:after="0" w:line="163" w:lineRule="exact"/>
        <w:rPr>
          <w:rFonts w:ascii="Times New Roman" w:cs="Times New Roman" w:eastAsia="Times New Roman" w:hAnsi="Times New Roman"/>
          <w:sz w:val="19"/>
          <w:szCs w:val="19"/>
          <w:color w:val="auto"/>
        </w:rPr>
      </w:pPr>
    </w:p>
    <w:p>
      <w:pPr>
        <w:jc w:val="both"/>
        <w:ind w:left="340" w:right="40" w:firstLine="641"/>
        <w:spacing w:after="0" w:line="241" w:lineRule="auto"/>
        <w:tabs>
          <w:tab w:leader="none" w:pos="1694"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encumbrance or restriction contained in mortgages, pledges, charges or other security agreements permitted under this Indenture or securing Indebtedness of the Issuer or a Restricted Subsidiary permitted under this Indenture to the extent such encumbrances or restrictions restrict the transfer or encumbrance of the property or assets subject to such mortgages, pledges, charges or other security agreements;</w:t>
      </w:r>
    </w:p>
    <w:p>
      <w:pPr>
        <w:spacing w:after="0" w:line="161" w:lineRule="exact"/>
        <w:rPr>
          <w:rFonts w:ascii="Times New Roman" w:cs="Times New Roman" w:eastAsia="Times New Roman" w:hAnsi="Times New Roman"/>
          <w:sz w:val="19"/>
          <w:szCs w:val="19"/>
          <w:color w:val="auto"/>
        </w:rPr>
      </w:pPr>
    </w:p>
    <w:p>
      <w:pPr>
        <w:ind w:left="340" w:right="40" w:firstLine="641"/>
        <w:spacing w:after="0" w:line="280" w:lineRule="auto"/>
        <w:tabs>
          <w:tab w:leader="none" w:pos="1694"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customary provisions restricting dispositions of real property interests set forth in any reciprocal easement agreements of the Issuer or any Restricted Subsidiary;</w:t>
      </w:r>
    </w:p>
    <w:p>
      <w:pPr>
        <w:spacing w:after="0" w:line="151"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encumbrance or restriction existing by reason of any lien permitted under Section 4.12 hereof; and</w:t>
      </w:r>
    </w:p>
    <w:p>
      <w:pPr>
        <w:spacing w:after="0" w:line="213" w:lineRule="exact"/>
        <w:rPr>
          <w:rFonts w:ascii="Times New Roman" w:cs="Times New Roman" w:eastAsia="Times New Roman" w:hAnsi="Times New Roman"/>
          <w:sz w:val="19"/>
          <w:szCs w:val="19"/>
          <w:color w:val="auto"/>
        </w:rPr>
      </w:pPr>
    </w:p>
    <w:p>
      <w:pPr>
        <w:jc w:val="both"/>
        <w:ind w:left="340" w:right="20" w:firstLine="641"/>
        <w:spacing w:after="0" w:line="235" w:lineRule="auto"/>
        <w:tabs>
          <w:tab w:leader="none" w:pos="1694"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encumbrances or restrictions of the type referred to in clauses (1), (2) and (3) of Section 4.08(a) hereof imposed by any amendments, extensions, modifications, restatements, renewals, increases, supplements, refundings, replacements or refinancings of the contracts, instruments or obligations referred to in clauses (1) through (22) of this Section 4.08(b);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amendments, extensions, modifications, restatements, renewals, increases, supplements, refundings, replacements or refinancings are, in the good faith judgment of the Issuer, no less favorable in any material respect to the Holders with respect to such encumbrance and other restrictions taken as a whole than those prior to such amendment, extension, modification, restatement, renewal, increase, supplement, refunding, replacement or refinancing.</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4.09</w:t>
      </w:r>
      <w:r>
        <w:rPr>
          <w:sz w:val="20"/>
          <w:szCs w:val="20"/>
          <w:color w:val="auto"/>
        </w:rPr>
        <w:tab/>
      </w:r>
      <w:r>
        <w:rPr>
          <w:rFonts w:ascii="Times New Roman" w:cs="Times New Roman" w:eastAsia="Times New Roman" w:hAnsi="Times New Roman"/>
          <w:sz w:val="18"/>
          <w:szCs w:val="18"/>
          <w:u w:val="single" w:color="auto"/>
          <w:color w:val="auto"/>
        </w:rPr>
        <w:t>Limitation on Incurrence of Indebtedness and Issuance of Disqualified Stock and Preferred Stock</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650"/>
        <w:spacing w:after="0" w:line="235" w:lineRule="auto"/>
        <w:tabs>
          <w:tab w:leader="none" w:pos="1034"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Issuer shall not, and shall not permit any of its Restricted Subsidiaries to, incur any Indebtedness (including Acquired Indebtedness) and the Issuer shall not issue any shares of Disqualified Stock and shall not permit any Restricted Subsidiary to issue any shares of Disqualified Stock or Preferred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Issuer and its Restricted Subsidiaries may incur Indebtedness (including Acquired Indebtedness) or issue shares of Disqualified Stock, and any of its Restricted Subsidiaries may incur Indebtedness (including Acquired Indebtedness), issue shares of Disqualified Stock and issue shares of Preferred Stock, if either (i) the Fixed Charge Coverage Ratio on a consolidated basis for the Issuer and its Restricted Subsidiaries’ most recently ended four fiscal quarters for which internal financial statements are available immediately preceding the date on which such additional Indebtedness is incurred or such Disqualified Stock or Preferred Stock is issued would have been at least 2.00 to 1.00, as if the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780"/>
          </w:cols>
          <w:pgMar w:left="580" w:top="1440" w:right="539" w:bottom="1440" w:gutter="0" w:footer="0" w:header="0"/>
        </w:sectPr>
      </w:pPr>
    </w:p>
    <w:bookmarkStart w:id="150" w:name="page151"/>
    <w:bookmarkEnd w:id="150"/>
    <w:p>
      <w:pPr>
        <w:spacing w:after="0" w:line="5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9"/>
          <w:szCs w:val="19"/>
          <w:color w:val="auto"/>
        </w:rPr>
        <w:t xml:space="preserve">Indebtedness had been incurred, or the Disqualified Stock or Preferred Stock had been issued, as the case may be, and the application of proceeds therefrom had occurred at the beginning of such four-quarter period, or (ii) the Consolidated Total Net Debt Ratio would have been no greater than 7.75 to 1.00, in each case determined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(including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application of the net proceeds</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therefrom but without giving effect to any simultaneous incurrence of Indebtedness pursuant to Section 4.09(b)(1)(b)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on a pro forma basis, together with any amounts incurred or issued, as applicable, and outstanding by Non -Guarantor Subsidiaries pursuant to Sections 4.09(b)(12)(b) and (14) hereof, no more than the greater of $108.4 million and 20.0% of LTM EBITDA of Indebtedness, Disqualified Stock or Preferred Stock at any one time outstanding and incurred or issued, as applicable, pursuant to this Section 4.09(a) shall be incurred or issued, as applicable, by Non-Guarantor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foregoing limitation shall not apply to Indebtedness of any Person that becomes a Restricted Subsidiary in connection with an acquisition or any other Investment not prohibited by the provisions of Section 4.07 hereof (or of any Person not previously a Restricted Subsidiary that is merged or consolidated with or into the Issuer or a Restricted Subsidiary) if such Indebtedness is outstanding prior to such Person becoming a Restricted Subsidiary and to the extent such Indebtedness is not incurred in contemplation of such acquisition or Investment.</w:t>
      </w:r>
    </w:p>
    <w:p>
      <w:pPr>
        <w:spacing w:after="0" w:line="160" w:lineRule="exact"/>
        <w:rPr>
          <w:sz w:val="20"/>
          <w:szCs w:val="20"/>
          <w:color w:val="auto"/>
        </w:rPr>
      </w:pPr>
    </w:p>
    <w:p>
      <w:pPr>
        <w:ind w:left="1280" w:hanging="629"/>
        <w:spacing w:after="0"/>
        <w:tabs>
          <w:tab w:leader="none" w:pos="128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Section 4.09(a) hereof shall not apply to:</w:t>
      </w:r>
    </w:p>
    <w:p>
      <w:pPr>
        <w:spacing w:after="0" w:line="227" w:lineRule="exact"/>
        <w:rPr>
          <w:rFonts w:ascii="Times New Roman" w:cs="Times New Roman" w:eastAsia="Times New Roman" w:hAnsi="Times New Roman"/>
          <w:sz w:val="19"/>
          <w:szCs w:val="19"/>
          <w:color w:val="auto"/>
        </w:rPr>
      </w:pPr>
    </w:p>
    <w:p>
      <w:pPr>
        <w:jc w:val="both"/>
        <w:ind w:left="640" w:right="20" w:firstLine="643"/>
        <w:spacing w:after="0" w:line="229" w:lineRule="auto"/>
        <w:tabs>
          <w:tab w:leader="none" w:pos="1684"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incurrence of Indebtedness under any Credit Facilities by the Issuer or any of its Restricted Subsidiaries and Guarantees in respect of such Indebtedness and the issuance and creation of letters of credit and bankers’ acceptances thereunder (with letters of credit and bankers’ acceptances being deemed to have a principal amount equal to the face amount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after giving effect to any such incurrence, the aggregate principal amount of all Indebtedness incurred under this clause (1) and outstanding at any one time does not exceed the sum of (a) $1,950.0 million, when aggregated with the amount of Refinancing Indebtedness in respect of Indebtedness incurred under this clause (1)(a) that is outstanding pursuant to Section 4.09(b) (13) hereof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greater of $542.0 million and 100.0% of LTM EBITDA, when aggregated with the amount of Refinancing Indebtedness in respect of Indebtedness incurred under this clause (1)(b) that is outstanding pursuant to Section 4.09(b)(13) hereof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an additional amount after all amounts have been incurred under clauses (1)(a) and (1)(b) of this Section 4.09(b), if after giving pro forma effect to the incurrence of such additional amount and the application of the proceeds therefrom, (x) in the case of Indebtedness secured by a Lien on the Collateral (other than Indebtedness secured by the Collateral with Junior Lien Priority relative to the Notes and the Note Guarantees), the Consolidated First Lien Net Debt Ratio would be no greater than 6.00 to 1.00, (y) in the case of Indebtedness secured by Lien on the Collateral with Junior Lien Priority relative to the Notes and the Note Guarantees, the Consolidated Secured Net Debt Ratio would be no greater than 7.75 to 1.00 or (z) in the case of any such Indebtedness described in the foregoing clauses (x) or (y) incurred to finance any investment or acquisition or incurred as a result of Person being acquired by the Issuer or any Restricted Subsidiary or merged into or consolidated with the Issuer or a Restricted Subsidiary in accordance with the terms of this Indenture, the Consolidated First Lien Net Debt Ratio or Consolidated Secured Net Debt Ratio, respectively, would be equal to or less than it was immediately prior to such acquisition or merger, in each case as of the date on which such additional Indebtedness is incurred, determined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(including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application of the net proceeds therefrom but without giving effect to any simultaneous incurrence of Indebtedness</w:t>
      </w:r>
    </w:p>
    <w:p>
      <w:pPr>
        <w:spacing w:after="0" w:line="17"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clauses (1)(a) and (1)(b)) of this Section 4.09(b);</w:t>
      </w:r>
    </w:p>
    <w:p>
      <w:pPr>
        <w:spacing w:after="0" w:line="185" w:lineRule="exact"/>
        <w:rPr>
          <w:rFonts w:ascii="Times New Roman" w:cs="Times New Roman" w:eastAsia="Times New Roman" w:hAnsi="Times New Roman"/>
          <w:sz w:val="19"/>
          <w:szCs w:val="19"/>
          <w:color w:val="auto"/>
        </w:rPr>
      </w:pPr>
    </w:p>
    <w:p>
      <w:pPr>
        <w:jc w:val="both"/>
        <w:ind w:left="640" w:right="20" w:firstLine="643"/>
        <w:spacing w:after="0" w:line="251" w:lineRule="auto"/>
        <w:tabs>
          <w:tab w:leader="none" w:pos="1684"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and any Guarantor of Indebtedness represented by the Notes issued on the Issue Date (including any Note Guarantees thereof and any replacement Notes and Note Guarantees of such replacement Notes therefor) (for avoidance of doubt, other than any Additional Notes);</w:t>
      </w:r>
    </w:p>
    <w:p>
      <w:pPr>
        <w:spacing w:after="0" w:line="151" w:lineRule="exact"/>
        <w:rPr>
          <w:rFonts w:ascii="Times New Roman" w:cs="Times New Roman" w:eastAsia="Times New Roman" w:hAnsi="Times New Roman"/>
          <w:sz w:val="19"/>
          <w:szCs w:val="19"/>
          <w:color w:val="auto"/>
        </w:rPr>
      </w:pPr>
    </w:p>
    <w:p>
      <w:pPr>
        <w:jc w:val="both"/>
        <w:ind w:left="640" w:right="20" w:firstLine="643"/>
        <w:spacing w:after="0" w:line="266" w:lineRule="auto"/>
        <w:tabs>
          <w:tab w:leader="none" w:pos="1684"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of Indebtedness of the Issuer and its Restricted Subsidiaries in existence on the Issue Date (other than Indebtedness incurred or deemed incurred on the Issue Date pursuant to clause (1) or described in clause (2) of this Section 4.09(b)) and any Guarantee thereof;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780"/>
          </w:cols>
          <w:pgMar w:left="580" w:top="1440" w:right="539" w:bottom="1440" w:gutter="0" w:footer="0" w:header="0"/>
        </w:sectPr>
      </w:pPr>
    </w:p>
    <w:bookmarkStart w:id="151" w:name="page152"/>
    <w:bookmarkEnd w:id="151"/>
    <w:p>
      <w:pPr>
        <w:spacing w:after="0" w:line="172" w:lineRule="exact"/>
        <w:rPr>
          <w:sz w:val="20"/>
          <w:szCs w:val="20"/>
          <w:color w:val="auto"/>
        </w:rPr>
      </w:pPr>
    </w:p>
    <w:p>
      <w:pPr>
        <w:jc w:val="both"/>
        <w:ind w:left="-220" w:right="20" w:firstLine="643"/>
        <w:spacing w:after="0" w:line="234" w:lineRule="auto"/>
        <w:tabs>
          <w:tab w:leader="none" w:pos="824"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incurrence of (a) Indebtedness (including Capitalized Lease Obligations and Purchase Money Obligations), Disqualified Stock and Preferred Stock incurred by the Issuer or any of its Restricted Subsidiaries, to finance the purchase, lease, expansion, construction, installation, replacement, repair or improvement of property (real or personal), equipment or other assets, including assets that are used or useful in a Similar Business, whether through the direct purchase of assets or the Capital Stock of any Person owning such assets;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any such incurrence of Indebtedness, Disqualified Stock or Preferred Stock (and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thereto), the aggregate amount of Indebtedness, Disqualified Stock and Preferred Stock incurred pursuant to this clause (4)(a), when aggregated with the amount of Refinancing Indebtedness in respect of Indebtedness initially incurred in reliance on this clause (4)(a) that is outstanding pursuant to Section 4.09(b)(13) below, does not exceed the greater of $216.8 million and 40.0% of LTM EBITDA at the time of incurrence (for the avoidance of doubt, Unsecured Capitalized Leases shall be permitted in an unlimited amount pursuant to clause (31) of this Section 4.09(b)) and (b) Attributable Indebtedness;</w:t>
      </w:r>
    </w:p>
    <w:p>
      <w:pPr>
        <w:spacing w:after="0" w:line="164" w:lineRule="exact"/>
        <w:rPr>
          <w:rFonts w:ascii="Times New Roman" w:cs="Times New Roman" w:eastAsia="Times New Roman" w:hAnsi="Times New Roman"/>
          <w:sz w:val="19"/>
          <w:szCs w:val="19"/>
          <w:color w:val="auto"/>
        </w:rPr>
      </w:pPr>
    </w:p>
    <w:p>
      <w:pPr>
        <w:jc w:val="both"/>
        <w:ind w:left="-220" w:right="20" w:firstLine="643"/>
        <w:spacing w:after="0" w:line="248" w:lineRule="auto"/>
        <w:tabs>
          <w:tab w:leader="none" w:pos="8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incurred by the Issuer or any of its Restricted Subsidiaries constituting reimbursement obligations with respect to letters of credit, bank guarantees, banker’s acceptances, warehouse receipts, or similar instruments issued or entered into, or relating to obligations or liabilities incurred, in the ordinary course of business or consistent with past practice or industry practice, including in respect of workers’ compensation claims, performance, completion or surety bonds, health, disability or other employee benefits or property, casualty or liability insurance or self-insurance, unemployment insurance or other social security legislation or other Indebtedness with respect to reimbursement type obligations regarding workers’ compensation claims, performance completion or surety bonds, health, disability or other employee benefits or property, casualty or liability insurance or self-insurance, unemployment insurance or other social security legislation and (b) the incurrence of Indebtedness by the Issuer or any Restricted Subsidiary as an account party in respect of letters of credit, bank guarantees or similar instruments in favor of suppliers, trade creditors or other Persons incurred in the ordinary course of business or consistent with past practice or industry practice;</w:t>
      </w:r>
    </w:p>
    <w:p>
      <w:pPr>
        <w:spacing w:after="0" w:line="156" w:lineRule="exact"/>
        <w:rPr>
          <w:rFonts w:ascii="Times New Roman" w:cs="Times New Roman" w:eastAsia="Times New Roman" w:hAnsi="Times New Roman"/>
          <w:sz w:val="18"/>
          <w:szCs w:val="18"/>
          <w:color w:val="auto"/>
        </w:rPr>
      </w:pPr>
    </w:p>
    <w:p>
      <w:pPr>
        <w:jc w:val="both"/>
        <w:ind w:left="-220" w:firstLine="643"/>
        <w:spacing w:after="0" w:line="244" w:lineRule="auto"/>
        <w:tabs>
          <w:tab w:leader="none" w:pos="824"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consisting of obligations under deferred compensation (including indemnification obligations, obligations in respect of purchase price adjustments, earn-outs, incentive non- competes and other contingent obligations), guarantees or other similar arrangements incurred or assumed in connection with any acquisition or other investment or any disposition;</w:t>
      </w:r>
    </w:p>
    <w:p>
      <w:pPr>
        <w:spacing w:after="0" w:line="170" w:lineRule="exact"/>
        <w:rPr>
          <w:rFonts w:ascii="Times New Roman" w:cs="Times New Roman" w:eastAsia="Times New Roman" w:hAnsi="Times New Roman"/>
          <w:sz w:val="19"/>
          <w:szCs w:val="19"/>
          <w:color w:val="auto"/>
        </w:rPr>
      </w:pPr>
    </w:p>
    <w:p>
      <w:pPr>
        <w:jc w:val="both"/>
        <w:ind w:left="-220" w:right="20" w:firstLine="643"/>
        <w:spacing w:after="0"/>
        <w:tabs>
          <w:tab w:leader="none" w:pos="824"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the Issuer owing to a Restricted Subsidiary (or to any Parent Entity which is substantially contemporaneously transferred to the Issuer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subsequent transfer of any such Indebtedness (except to the Issuer or another Restricted Subsidiary) or any pledge of such Indebtedness constituting a Permitted Lien (but not foreclosure thereon) shall be deemed, in each case, to be an incurrence of such Indebtedness (to the extent such Indebtedness is then outstanding) not permitted by this clause (7);</w:t>
      </w:r>
    </w:p>
    <w:p>
      <w:pPr>
        <w:spacing w:after="0" w:line="163" w:lineRule="exact"/>
        <w:rPr>
          <w:rFonts w:ascii="Times New Roman" w:cs="Times New Roman" w:eastAsia="Times New Roman" w:hAnsi="Times New Roman"/>
          <w:sz w:val="19"/>
          <w:szCs w:val="19"/>
          <w:color w:val="auto"/>
        </w:rPr>
      </w:pPr>
    </w:p>
    <w:p>
      <w:pPr>
        <w:jc w:val="both"/>
        <w:ind w:left="-220" w:right="20" w:firstLine="643"/>
        <w:spacing w:after="0"/>
        <w:tabs>
          <w:tab w:leader="none" w:pos="824"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a Restricted Subsidiary owing to the Issuer or another Restricted Subsidiary (or to any Parent Entity which is substantially contemporaneously transferred to the Issuer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subsequent transfer of any such Indebtedness (except to the Issuer or another Restricted Subsidiary) or any pledge of such Indebtedness constituting a Permitted Lien (but not foreclosure thereon) shall be deemed, in each case, to be an incurrence of such Indebtedness (to the extent such Indebtedness is then outstanding) not permitted by this clause (8);</w:t>
      </w:r>
    </w:p>
    <w:p>
      <w:pPr>
        <w:spacing w:after="0" w:line="149" w:lineRule="exact"/>
        <w:rPr>
          <w:rFonts w:ascii="Times New Roman" w:cs="Times New Roman" w:eastAsia="Times New Roman" w:hAnsi="Times New Roman"/>
          <w:sz w:val="19"/>
          <w:szCs w:val="19"/>
          <w:color w:val="auto"/>
        </w:rPr>
      </w:pPr>
    </w:p>
    <w:p>
      <w:pPr>
        <w:jc w:val="both"/>
        <w:ind w:left="-220" w:right="20" w:firstLine="643"/>
        <w:spacing w:after="0"/>
        <w:tabs>
          <w:tab w:leader="none" w:pos="824"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shares of Preferred Stock or Disqualified Stock of a Restricted Subsidiary issued to the Issuer or another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the Issuer or another Restricted Subsidiary) shall be deemed, in each case, to be an issuance of such shares of Preferred Stock not permitted by this clause (9);</w:t>
      </w:r>
    </w:p>
    <w:p>
      <w:pPr>
        <w:spacing w:after="0" w:line="190" w:lineRule="exact"/>
        <w:rPr>
          <w:rFonts w:ascii="Times New Roman" w:cs="Times New Roman" w:eastAsia="Times New Roman" w:hAnsi="Times New Roman"/>
          <w:sz w:val="19"/>
          <w:szCs w:val="19"/>
          <w:color w:val="auto"/>
        </w:rPr>
      </w:pPr>
    </w:p>
    <w:p>
      <w:pPr>
        <w:ind w:left="1040" w:hanging="616"/>
        <w:spacing w:after="0"/>
        <w:tabs>
          <w:tab w:leader="none" w:pos="104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Hedging Obligations not entered into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9920"/>
          </w:cols>
          <w:pgMar w:left="1440" w:top="1440" w:right="539" w:bottom="1440" w:gutter="0" w:footer="0" w:header="0"/>
        </w:sectPr>
      </w:pPr>
    </w:p>
    <w:bookmarkStart w:id="152" w:name="page153"/>
    <w:bookmarkEnd w:id="152"/>
    <w:p>
      <w:pPr>
        <w:spacing w:after="0" w:line="51" w:lineRule="exact"/>
        <w:rPr>
          <w:sz w:val="20"/>
          <w:szCs w:val="20"/>
          <w:color w:val="auto"/>
        </w:rPr>
      </w:pPr>
    </w:p>
    <w:p>
      <w:pPr>
        <w:jc w:val="both"/>
        <w:ind w:left="5" w:right="20" w:firstLine="643"/>
        <w:spacing w:after="0" w:line="241" w:lineRule="auto"/>
        <w:tabs>
          <w:tab w:leader="none" w:pos="1042"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in respect of self-insurance and obligations in respect of performance, bid, appeal and surety bonds, performance, banker’s acceptance facilities and completion guarantees, statutory, export or import indemnities, customs and completion guarantees (not for borrowed money) and similar obligations provided by the Issuer or any of its Restricted Subsidiaries or obligations in respect of letters of credit, bank guarantees or similar instruments related thereto, in each case, in the ordinary course of business or consistent with past practice;</w:t>
      </w:r>
    </w:p>
    <w:p>
      <w:pPr>
        <w:spacing w:after="0" w:line="172" w:lineRule="exact"/>
        <w:rPr>
          <w:rFonts w:ascii="Times New Roman" w:cs="Times New Roman" w:eastAsia="Times New Roman" w:hAnsi="Times New Roman"/>
          <w:sz w:val="19"/>
          <w:szCs w:val="19"/>
          <w:color w:val="auto"/>
        </w:rPr>
      </w:pPr>
    </w:p>
    <w:p>
      <w:pPr>
        <w:jc w:val="both"/>
        <w:ind w:left="5" w:firstLine="643"/>
        <w:spacing w:after="0" w:line="230" w:lineRule="auto"/>
        <w:tabs>
          <w:tab w:leader="none" w:pos="1049"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Indebtedness or Disqualified Stock of the Issuer and Indebtedness, Disqualified Stock or Preferred Stock of any Restricted Subsidiary in an aggregate outstanding principal amount, when aggregated with the amount of Refinancing Indebtedness in respect of Indebtedness incurred in reliance on this clause (12)(a) that is outstanding pursuant to Section 4.09(b)(13) below, up to 100.0% of the net cash proceeds (i) received by the Issuer since immediately after the Issue Date from the issue or sale of Equity Interests of or otherwise contributed to the capital of the Issuer or (ii) contributed to the capital of any Restricted Subsidiary without the issuance of additional Equity Interests of such Restricted Subsidiary (in the case of each of clauses (i) and (ii), other than Excluded Contributions or proceeds of Disqualified Stock or sales of Equity Interests to the Issuer or any of its Subsidiaries) as determined in accordance with clauses (2)(b) and (2)(c) of Section 4.07(a) to the extent such net cash proceeds or cash have not been applied pursuant to such clauses to make Restricted Payments or to make other Investments, payments or exchanges pursuant to Section 4.07(b) or to make Permitted Investments (other than Permitted Investments specified in clauses</w:t>
      </w:r>
    </w:p>
    <w:p>
      <w:pPr>
        <w:spacing w:after="0" w:line="5" w:lineRule="exact"/>
        <w:rPr>
          <w:rFonts w:ascii="Times New Roman" w:cs="Times New Roman" w:eastAsia="Times New Roman" w:hAnsi="Times New Roman"/>
          <w:sz w:val="19"/>
          <w:szCs w:val="19"/>
          <w:color w:val="auto"/>
        </w:rPr>
      </w:pPr>
    </w:p>
    <w:p>
      <w:pPr>
        <w:jc w:val="both"/>
        <w:ind w:left="5" w:hanging="5"/>
        <w:spacing w:after="0" w:line="233" w:lineRule="auto"/>
        <w:tabs>
          <w:tab w:leader="none" w:pos="275"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and (3) of the definition thereof) and (b) Indebtedness or Disqualified Stock of the Issuer and Indebtedness, Disqualified Stock or Preferred Stock of any Restricted Subsidiary in an aggregate outstanding principal amount or liquidation preference, which when aggregated with the amount of Refinancing Indebtedness in respect of Indebtedness incurred in reliance on this clause (12)(b) that is outstanding pursuant to Section 4.09(b)(13) below, does not, at the time of any such incurrence of Indebtedness (and after giving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forma </w:t>
      </w:r>
      <w:r>
        <w:rPr>
          <w:rFonts w:ascii="Times New Roman" w:cs="Times New Roman" w:eastAsia="Times New Roman" w:hAnsi="Times New Roman"/>
          <w:sz w:val="19"/>
          <w:szCs w:val="19"/>
          <w:color w:val="auto"/>
        </w:rPr>
        <w:t>effect thereto), exceed the greater of $271.0 million and 50% of LTM EBITDA at the time of incurrence;</w:t>
      </w:r>
    </w:p>
    <w:p>
      <w:pPr>
        <w:spacing w:after="0" w:line="174" w:lineRule="exact"/>
        <w:rPr>
          <w:rFonts w:ascii="Times New Roman" w:cs="Times New Roman" w:eastAsia="Times New Roman" w:hAnsi="Times New Roman"/>
          <w:sz w:val="19"/>
          <w:szCs w:val="19"/>
          <w:color w:val="auto"/>
        </w:rPr>
      </w:pPr>
    </w:p>
    <w:p>
      <w:pPr>
        <w:jc w:val="both"/>
        <w:ind w:left="5" w:firstLine="643"/>
        <w:spacing w:after="0" w:line="232" w:lineRule="auto"/>
        <w:tabs>
          <w:tab w:leader="none" w:pos="1049"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Restricted Subsidiary of Indebtedness or issuance by the Issuer or any Restricted Subsidiary of Disqualified Stock or the issuance by any Restricted Subsidiary of Preferred Stock which serves to refund, refinance, replace, exchange, renew, repay, extend or defease (including pursuant to any defeasance or discharge mechanism) (collectively, “</w:t>
      </w:r>
      <w:r>
        <w:rPr>
          <w:rFonts w:ascii="Times New Roman" w:cs="Times New Roman" w:eastAsia="Times New Roman" w:hAnsi="Times New Roman"/>
          <w:sz w:val="19"/>
          <w:szCs w:val="19"/>
          <w:i w:val="1"/>
          <w:iCs w:val="1"/>
          <w:color w:val="auto"/>
        </w:rPr>
        <w:t>refinance</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refinances</w:t>
      </w:r>
      <w:r>
        <w:rPr>
          <w:rFonts w:ascii="Times New Roman" w:cs="Times New Roman" w:eastAsia="Times New Roman" w:hAnsi="Times New Roman"/>
          <w:sz w:val="19"/>
          <w:szCs w:val="19"/>
          <w:color w:val="auto"/>
        </w:rPr>
        <w:t>,” with “</w:t>
      </w:r>
      <w:r>
        <w:rPr>
          <w:rFonts w:ascii="Times New Roman" w:cs="Times New Roman" w:eastAsia="Times New Roman" w:hAnsi="Times New Roman"/>
          <w:sz w:val="19"/>
          <w:szCs w:val="19"/>
          <w:i w:val="1"/>
          <w:iCs w:val="1"/>
          <w:color w:val="auto"/>
        </w:rPr>
        <w:t>refinanced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refinancing</w:t>
      </w:r>
      <w:r>
        <w:rPr>
          <w:rFonts w:ascii="Times New Roman" w:cs="Times New Roman" w:eastAsia="Times New Roman" w:hAnsi="Times New Roman"/>
          <w:sz w:val="19"/>
          <w:szCs w:val="19"/>
          <w:color w:val="auto"/>
        </w:rPr>
        <w:t xml:space="preserve">” having a correlative meaning) any Indebtedness (or unutilized commitment in respect of Indebtedness), incurred (or established) or Disqualified Stock or Preferred Stock issued in connection with the Indebtedness described under Section 4.09(a) hereof and clauses (1), (2), (3), (4) and (12) of this Section 4.09(b), this clause (13) and clauses (14) and (20) of this Section 4.09(b) or any Indebtedness incurred or Disqualified Stock or Preferred Stock issued to so extend, replace, refund, refinance, renew or defease such Indebtedness Disqualified Stock or Preferred Stock (including such Indebtedness, Disqualified Stock or Preferred Stock of the Issuer that refinances Indebtedness of any Restricted Subsidiary and Indebtedness of any Restricted Subsidiary that refinances Indebtedness of the Issuer or another Restricted Subsidiary), including Indebtedness that refinances </w:t>
      </w:r>
      <w:r>
        <w:rPr>
          <w:rFonts w:ascii="Times New Roman" w:cs="Times New Roman" w:eastAsia="Times New Roman" w:hAnsi="Times New Roman"/>
          <w:sz w:val="19"/>
          <w:szCs w:val="19"/>
          <w:i w:val="1"/>
          <w:iCs w:val="1"/>
          <w:color w:val="auto"/>
        </w:rPr>
        <w:t>Refinancing Indebtedness</w:t>
      </w:r>
      <w:r>
        <w:rPr>
          <w:rFonts w:ascii="Times New Roman" w:cs="Times New Roman" w:eastAsia="Times New Roman" w:hAnsi="Times New Roman"/>
          <w:sz w:val="19"/>
          <w:szCs w:val="19"/>
          <w:color w:val="auto"/>
        </w:rPr>
        <w:t xml:space="preserve">, and Indebtedness incurred pursuant to a commitment that refinances any Indebtedness or unutilized commitment (the “ </w:t>
      </w:r>
      <w:r>
        <w:rPr>
          <w:rFonts w:ascii="Times New Roman" w:cs="Times New Roman" w:eastAsia="Times New Roman" w:hAnsi="Times New Roman"/>
          <w:sz w:val="19"/>
          <w:szCs w:val="19"/>
          <w:u w:val="single" w:color="auto"/>
          <w:color w:val="auto"/>
        </w:rPr>
        <w:t>Refinancing Indebtedness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Refinancing Indebtedness:</w:t>
      </w:r>
    </w:p>
    <w:p>
      <w:pPr>
        <w:spacing w:after="0" w:line="152" w:lineRule="exact"/>
        <w:rPr>
          <w:rFonts w:ascii="Times New Roman" w:cs="Times New Roman" w:eastAsia="Times New Roman" w:hAnsi="Times New Roman"/>
          <w:sz w:val="19"/>
          <w:szCs w:val="19"/>
          <w:color w:val="auto"/>
        </w:rPr>
      </w:pPr>
    </w:p>
    <w:p>
      <w:pPr>
        <w:jc w:val="both"/>
        <w:ind w:left="665" w:firstLine="647"/>
        <w:spacing w:after="0" w:line="246" w:lineRule="auto"/>
        <w:tabs>
          <w:tab w:leader="none" w:pos="1696" w:val="left"/>
        </w:tabs>
        <w:numPr>
          <w:ilvl w:val="2"/>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a Weighted Average Life to Maturity at the time such Refinancing Indebtedness is incurred which is not less than the remaining Weighted Average Life to Maturity of the Indebtedness, Disqualified Stock or Preferred Stock being extended, replaced, refunded, refinanced, renewed or defeased (or requires no or nominal payments in cash (other than interest payments) prior to the date that is 91 days after the maturity date of the Notes),</w:t>
      </w:r>
    </w:p>
    <w:p>
      <w:pPr>
        <w:spacing w:after="0" w:line="157" w:lineRule="exact"/>
        <w:rPr>
          <w:rFonts w:ascii="Times New Roman" w:cs="Times New Roman" w:eastAsia="Times New Roman" w:hAnsi="Times New Roman"/>
          <w:sz w:val="19"/>
          <w:szCs w:val="19"/>
          <w:color w:val="auto"/>
        </w:rPr>
      </w:pPr>
    </w:p>
    <w:p>
      <w:pPr>
        <w:jc w:val="both"/>
        <w:ind w:left="665" w:firstLine="647"/>
        <w:spacing w:after="0" w:line="241" w:lineRule="auto"/>
        <w:tabs>
          <w:tab w:leader="none" w:pos="1700" w:val="left"/>
        </w:tabs>
        <w:numPr>
          <w:ilvl w:val="2"/>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such Refinancing Indebtedness extends, replaces, refunds, refinances, renews or defeases (i) Indebtedness subordinated in right of payment to the Notes or any Note Guarantee thereof, such Refinancing Indebtedness is subordinated in right of payment to the Notes or the Note Guarantee thereof at least to the same extent as the Indebtedness being extended, replaced, refunded, refinanced, renewed or defeased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85"/>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125"/>
          </w:cols>
          <w:pgMar w:left="1215" w:top="1440" w:right="559" w:bottom="1440" w:gutter="0" w:footer="0" w:header="0"/>
        </w:sectPr>
      </w:pPr>
    </w:p>
    <w:bookmarkStart w:id="153" w:name="page154"/>
    <w:bookmarkEnd w:id="153"/>
    <w:p>
      <w:pPr>
        <w:spacing w:after="0" w:line="172" w:lineRule="exact"/>
        <w:rPr>
          <w:sz w:val="20"/>
          <w:szCs w:val="20"/>
          <w:color w:val="auto"/>
        </w:rPr>
      </w:pPr>
    </w:p>
    <w:p>
      <w:pPr>
        <w:ind w:left="960"/>
        <w:spacing w:after="0" w:line="265" w:lineRule="auto"/>
        <w:rPr>
          <w:sz w:val="20"/>
          <w:szCs w:val="20"/>
          <w:color w:val="auto"/>
        </w:rPr>
      </w:pPr>
      <w:r>
        <w:rPr>
          <w:rFonts w:ascii="Times New Roman" w:cs="Times New Roman" w:eastAsia="Times New Roman" w:hAnsi="Times New Roman"/>
          <w:sz w:val="19"/>
          <w:szCs w:val="19"/>
          <w:color w:val="auto"/>
        </w:rPr>
        <w:t>Disqualified Stock or Preferred Stock, such Refinancing Indebtedness must be Disqualified Stock or Preferred Stock, respectively, and</w:t>
      </w:r>
    </w:p>
    <w:p>
      <w:pPr>
        <w:spacing w:after="0" w:line="139" w:lineRule="exact"/>
        <w:rPr>
          <w:sz w:val="20"/>
          <w:szCs w:val="20"/>
          <w:color w:val="auto"/>
        </w:rPr>
      </w:pPr>
    </w:p>
    <w:p>
      <w:pPr>
        <w:ind w:left="2260" w:hanging="652"/>
        <w:spacing w:after="0"/>
        <w:tabs>
          <w:tab w:leader="none" w:pos="22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include:</w:t>
      </w:r>
    </w:p>
    <w:p>
      <w:pPr>
        <w:spacing w:after="0" w:line="78" w:lineRule="exact"/>
        <w:rPr>
          <w:rFonts w:ascii="Times New Roman" w:cs="Times New Roman" w:eastAsia="Times New Roman" w:hAnsi="Times New Roman"/>
          <w:sz w:val="19"/>
          <w:szCs w:val="19"/>
          <w:color w:val="auto"/>
        </w:rPr>
      </w:pPr>
    </w:p>
    <w:p>
      <w:pPr>
        <w:ind w:left="2260" w:hanging="4"/>
        <w:spacing w:after="0" w:line="265" w:lineRule="auto"/>
        <w:tabs>
          <w:tab w:leader="none" w:pos="2641"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Disqualified Stock or Preferred Stock of a Subsidiary of the Issuer that is not a Guarantor that refinances Indebtedness, Disqualified Stock or Preferred Stock of the Issuer;</w:t>
      </w:r>
    </w:p>
    <w:p>
      <w:pPr>
        <w:spacing w:after="0" w:line="138" w:lineRule="exact"/>
        <w:rPr>
          <w:rFonts w:ascii="Times New Roman" w:cs="Times New Roman" w:eastAsia="Times New Roman" w:hAnsi="Times New Roman"/>
          <w:sz w:val="19"/>
          <w:szCs w:val="19"/>
          <w:color w:val="auto"/>
        </w:rPr>
      </w:pPr>
    </w:p>
    <w:p>
      <w:pPr>
        <w:ind w:left="1600" w:firstLine="656"/>
        <w:spacing w:after="0" w:line="280" w:lineRule="auto"/>
        <w:tabs>
          <w:tab w:leader="none" w:pos="2628"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Disqualified Stock or Preferred Stock of a Subsidiary of the Issuer that is not a Guarantor that refinances Indebtedness, Disqualified Stock or Preferred Stock of a Guarantor; or</w:t>
      </w:r>
    </w:p>
    <w:p>
      <w:pPr>
        <w:spacing w:after="0" w:line="124" w:lineRule="exact"/>
        <w:rPr>
          <w:rFonts w:ascii="Times New Roman" w:cs="Times New Roman" w:eastAsia="Times New Roman" w:hAnsi="Times New Roman"/>
          <w:sz w:val="19"/>
          <w:szCs w:val="19"/>
          <w:color w:val="auto"/>
        </w:rPr>
      </w:pPr>
    </w:p>
    <w:p>
      <w:pPr>
        <w:ind w:left="2260" w:right="20" w:hanging="4"/>
        <w:spacing w:after="0" w:line="280" w:lineRule="auto"/>
        <w:tabs>
          <w:tab w:leader="none" w:pos="2651"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Disqualified Stock or Preferred Stock of the Issuer or a Restricted Subsidiary that refinances Indebtedness, Disqualified Stock or Preferred Stock of an Unrestricted Subsidiary;</w:t>
      </w:r>
    </w:p>
    <w:p>
      <w:pPr>
        <w:spacing w:after="0" w:line="138" w:lineRule="exact"/>
        <w:rPr>
          <w:sz w:val="20"/>
          <w:szCs w:val="20"/>
          <w:color w:val="auto"/>
        </w:rPr>
      </w:pPr>
    </w:p>
    <w:p>
      <w:pPr>
        <w:jc w:val="both"/>
        <w:ind w:left="320" w:right="20"/>
        <w:spacing w:after="0" w:line="258"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 subclause (a) of this clause (13) does not apply to any refunding or refinancing of any outstanding Secured Indebtedness and (B) subclauses (a), (b) and (c) of this clause (13) do not apply to any refunding or refinancing of any Indebtedness outstanding pursuant to Section 4.09(b)(1) above;</w:t>
      </w:r>
    </w:p>
    <w:p>
      <w:pPr>
        <w:spacing w:after="0" w:line="159" w:lineRule="exact"/>
        <w:rPr>
          <w:sz w:val="20"/>
          <w:szCs w:val="20"/>
          <w:color w:val="auto"/>
        </w:rPr>
      </w:pPr>
    </w:p>
    <w:p>
      <w:pPr>
        <w:jc w:val="both"/>
        <w:ind w:firstLine="641"/>
        <w:spacing w:after="0" w:line="235" w:lineRule="auto"/>
        <w:tabs>
          <w:tab w:leader="none" w:pos="1354"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Disqualified Stock or Preferred Stock of (x) the Issuer or a Restricted Subsidiary incurred or issued to finance any investment or acquisition or (y) Persons that are acquired by the Issuer or any Restricted Subsidiary or merged into, amalgamated or consolidated with the Issuer or a Restricted Subsidiary in accordance with the terms of this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Indebtedness, Disqualified Stock or Preferred Stock is in an aggregate amount outstanding not to exceed, (i) when aggregated with the amount of Refinancing Indebtedness in respect of Indebtedness initially incurred in reliance on this subclause (i) that is outstanding pursuant to Section 4.09(b)(13), the greater of $162.6 million and 30.0% of LTM EBITDA at the time of incurrence,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unlimited additional Indebtedness if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acquisition, investment, merger, amalgamation or consolidation either:</w:t>
      </w:r>
    </w:p>
    <w:p>
      <w:pPr>
        <w:spacing w:after="0" w:line="176" w:lineRule="exact"/>
        <w:rPr>
          <w:rFonts w:ascii="Times New Roman" w:cs="Times New Roman" w:eastAsia="Times New Roman" w:hAnsi="Times New Roman"/>
          <w:sz w:val="19"/>
          <w:szCs w:val="19"/>
          <w:color w:val="auto"/>
        </w:rPr>
      </w:pPr>
    </w:p>
    <w:p>
      <w:pPr>
        <w:ind w:left="2000" w:hanging="393"/>
        <w:spacing w:after="0"/>
        <w:tabs>
          <w:tab w:leader="none" w:pos="2000"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would be permitted to incur at least $1.00 of additional Indebtedness pursuant to Section 4.09(a)</w:t>
      </w:r>
    </w:p>
    <w:p>
      <w:pPr>
        <w:spacing w:after="0" w:line="25" w:lineRule="exact"/>
        <w:rPr>
          <w:rFonts w:ascii="Times New Roman" w:cs="Times New Roman" w:eastAsia="Times New Roman" w:hAnsi="Times New Roman"/>
          <w:sz w:val="19"/>
          <w:szCs w:val="19"/>
          <w:color w:val="auto"/>
        </w:rPr>
      </w:pPr>
    </w:p>
    <w:p>
      <w:pPr>
        <w:ind w:left="9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hereof; or</w:t>
      </w:r>
    </w:p>
    <w:p>
      <w:pPr>
        <w:spacing w:after="0" w:line="185" w:lineRule="exact"/>
        <w:rPr>
          <w:rFonts w:ascii="Times New Roman" w:cs="Times New Roman" w:eastAsia="Times New Roman" w:hAnsi="Times New Roman"/>
          <w:sz w:val="19"/>
          <w:szCs w:val="19"/>
          <w:color w:val="auto"/>
        </w:rPr>
      </w:pPr>
    </w:p>
    <w:p>
      <w:pPr>
        <w:jc w:val="both"/>
        <w:ind w:left="960" w:firstLine="647"/>
        <w:spacing w:after="0" w:line="241" w:lineRule="auto"/>
        <w:tabs>
          <w:tab w:leader="none" w:pos="1990"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Fixed Charge Coverage Ratio of the Issuer and its Restricted Subsidiaries would be equal to or greater than or the Consolidated Total Net Debt Ratio would be equal to or less than it was immediately prior to such acquisition or merger, in each case, determined on a pro forma basis (including a pro forma application of the net proceeds therefrom but without giving effect to any simultaneous incurrence of Indebtedness pursuant to clause (i) of this proviso above); or</w:t>
      </w:r>
    </w:p>
    <w:p>
      <w:pPr>
        <w:spacing w:after="0" w:line="175" w:lineRule="exact"/>
        <w:rPr>
          <w:rFonts w:ascii="Times New Roman" w:cs="Times New Roman" w:eastAsia="Times New Roman" w:hAnsi="Times New Roman"/>
          <w:sz w:val="19"/>
          <w:szCs w:val="19"/>
          <w:color w:val="auto"/>
        </w:rPr>
      </w:pPr>
    </w:p>
    <w:p>
      <w:pPr>
        <w:jc w:val="both"/>
        <w:ind w:left="960" w:firstLine="647"/>
        <w:spacing w:after="0" w:line="237" w:lineRule="auto"/>
        <w:tabs>
          <w:tab w:leader="none" w:pos="1993"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Indebtedness constitutes Acquired Indebtedness (other than Indebtedness incurred in contemplation of the transaction or series of related transactions pursuant to which such Person became a Restricted Subsidiary or was otherwise acquired by the Issuer or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this clause (c), the only obligors with respect to such Indebtedness shall be those Persons who were obligors of such Indebtedness prior to such acquisition, merger, amalgamation or consolidation;</w:t>
      </w:r>
    </w:p>
    <w:p>
      <w:pPr>
        <w:spacing w:after="0" w:line="177" w:lineRule="exact"/>
        <w:rPr>
          <w:sz w:val="20"/>
          <w:szCs w:val="20"/>
          <w:color w:val="auto"/>
        </w:rPr>
      </w:pPr>
    </w:p>
    <w:p>
      <w:pPr>
        <w:jc w:val="both"/>
        <w:ind w:left="320"/>
        <w:spacing w:after="0" w:line="237"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foregoing limitation shall not apply to Indebtedness of any Person that becomes a Restricted Subsidiary in connection with an acquisition or any other Investment not prohibited under Section 4.07 hereof (or of any Person not previously a Restricted Subsidiary that is merged or consolidated with or into the Issuer or a Restricted Subsidiary) if such Indebtedness is outstanding prior to such Person becoming a Restricted Subsidiary and to the extent such Indebtedness is not incurred in contemplation of such acquisition 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420"/>
          </w:cols>
          <w:pgMar w:left="920" w:top="1440" w:right="559" w:bottom="1440" w:gutter="0" w:footer="0" w:header="0"/>
        </w:sectPr>
      </w:pPr>
    </w:p>
    <w:bookmarkStart w:id="154" w:name="page155"/>
    <w:bookmarkEnd w:id="154"/>
    <w:p>
      <w:pPr>
        <w:spacing w:after="0" w:line="51" w:lineRule="exact"/>
        <w:rPr>
          <w:sz w:val="20"/>
          <w:szCs w:val="20"/>
          <w:color w:val="auto"/>
        </w:rPr>
      </w:pPr>
    </w:p>
    <w:p>
      <w:pPr>
        <w:jc w:val="both"/>
        <w:ind w:left="7" w:right="40" w:firstLine="641"/>
        <w:spacing w:after="0" w:line="248" w:lineRule="auto"/>
        <w:tabs>
          <w:tab w:leader="none" w:pos="1361"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respect of (a) customer deposits and advance payments (including progress premiums) received in the ordinary course of business or consistent with past practice or industry practice from customers for the purchase of goods or services or</w:t>
      </w:r>
    </w:p>
    <w:p>
      <w:pPr>
        <w:jc w:val="both"/>
        <w:ind w:left="7" w:right="40" w:hanging="7"/>
        <w:spacing w:after="0" w:line="239" w:lineRule="auto"/>
        <w:tabs>
          <w:tab w:leader="none" w:pos="308"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Management Obligations, Bank Products provided by banks or other financial institutions to the Issuer and its Restricted Subsidiaries in the ordinary course of business or consistent with past practice or industry practice and other Indebtedness in respect of netting services, automated clearinghouse arrangements, overdraft protections, credit or debit card, purchase card, electronic funds transfer, cash pooling or setting off arrangements and similar arrangements, in each case, in connection with deposit accounts or from the honoring of a bank or other financial institution of a check, draft or similar instrument drawn against insufficient funds in the ordinary course of business or consistent with past practice or industry practice;</w:t>
      </w:r>
    </w:p>
    <w:p>
      <w:pPr>
        <w:spacing w:after="0" w:line="159" w:lineRule="exact"/>
        <w:rPr>
          <w:rFonts w:ascii="Times New Roman" w:cs="Times New Roman" w:eastAsia="Times New Roman" w:hAnsi="Times New Roman"/>
          <w:sz w:val="19"/>
          <w:szCs w:val="19"/>
          <w:color w:val="auto"/>
        </w:rPr>
      </w:pPr>
    </w:p>
    <w:p>
      <w:pPr>
        <w:ind w:left="7" w:right="20" w:firstLine="641"/>
        <w:spacing w:after="0" w:line="280" w:lineRule="auto"/>
        <w:tabs>
          <w:tab w:leader="none" w:pos="1361"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the Issuer or any of its Restricted Subsidiaries supported by a letter of credit or bank guarantee issued pursuant to any Credit Facilities, in a principal amount not in excess of the stated amount of such letter of credit or bank guarantee;</w:t>
      </w:r>
    </w:p>
    <w:p>
      <w:pPr>
        <w:spacing w:after="0" w:line="124" w:lineRule="exact"/>
        <w:rPr>
          <w:rFonts w:ascii="Times New Roman" w:cs="Times New Roman" w:eastAsia="Times New Roman" w:hAnsi="Times New Roman"/>
          <w:sz w:val="19"/>
          <w:szCs w:val="19"/>
          <w:color w:val="auto"/>
        </w:rPr>
      </w:pPr>
    </w:p>
    <w:p>
      <w:pPr>
        <w:jc w:val="both"/>
        <w:ind w:left="7" w:right="40" w:firstLine="641"/>
        <w:spacing w:after="0" w:line="244" w:lineRule="auto"/>
        <w:tabs>
          <w:tab w:leader="none" w:pos="1361"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guarantee by the Issuer or a Restricted Subsidiary of Indebtedness or other obligations of the Issuer or any Restricted Subsidiary so long as the incurrence of such Indebtedness or other obligations incurred by the Issuer or such Restricted Subsidiary is permitted under the terms of this Indenture or any guarantee by or co-borrower obligation of a Restricted Subsidiary of Indebtedness or other obligations of the Issuer so long as the incurrence of such Indebtedness incurred by the Issuer is permitted under the terms of this Indenture;</w:t>
      </w:r>
    </w:p>
    <w:p>
      <w:pPr>
        <w:spacing w:after="0" w:line="171" w:lineRule="exact"/>
        <w:rPr>
          <w:rFonts w:ascii="Times New Roman" w:cs="Times New Roman" w:eastAsia="Times New Roman" w:hAnsi="Times New Roman"/>
          <w:sz w:val="19"/>
          <w:szCs w:val="19"/>
          <w:color w:val="auto"/>
        </w:rPr>
      </w:pPr>
    </w:p>
    <w:p>
      <w:pPr>
        <w:ind w:left="1347" w:hanging="699"/>
        <w:spacing w:after="0"/>
        <w:tabs>
          <w:tab w:leader="none" w:pos="1347"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the Issuer or any of its Restricted Subsidiaries consisting of (i) the financing of insurance premiums or</w:t>
      </w:r>
    </w:p>
    <w:p>
      <w:pPr>
        <w:spacing w:after="0" w:line="25" w:lineRule="exact"/>
        <w:rPr>
          <w:rFonts w:ascii="Times New Roman" w:cs="Times New Roman" w:eastAsia="Times New Roman" w:hAnsi="Times New Roman"/>
          <w:sz w:val="19"/>
          <w:szCs w:val="19"/>
          <w:color w:val="auto"/>
        </w:rPr>
      </w:pPr>
    </w:p>
    <w:p>
      <w:pPr>
        <w:ind w:left="287" w:hanging="287"/>
        <w:spacing w:after="0"/>
        <w:tabs>
          <w:tab w:leader="none" w:pos="287"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take-or-pay obligations contained in supply arrangements;</w:t>
      </w:r>
    </w:p>
    <w:p>
      <w:pPr>
        <w:spacing w:after="0" w:line="158" w:lineRule="exact"/>
        <w:rPr>
          <w:rFonts w:ascii="Times New Roman" w:cs="Times New Roman" w:eastAsia="Times New Roman" w:hAnsi="Times New Roman"/>
          <w:sz w:val="19"/>
          <w:szCs w:val="19"/>
          <w:color w:val="auto"/>
        </w:rPr>
      </w:pPr>
    </w:p>
    <w:p>
      <w:pPr>
        <w:jc w:val="both"/>
        <w:ind w:left="7" w:right="40" w:firstLine="641"/>
        <w:spacing w:after="0" w:line="246" w:lineRule="auto"/>
        <w:tabs>
          <w:tab w:leader="none" w:pos="136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consisting of Indebtedness issued by the Issuer or any of its Restricted Subsidiaries to future, current or former officers, directors, employees, managers, consultants and contractors thereof, their respective Controlled Investment Affiliates or Immediate Family Members and permitted transferees thereof, in each case to finance the purchase or redemption of Equity Interests of the Issuer or any Parent Entity that is not prohibited by Section 4.07 hereof;</w:t>
      </w:r>
    </w:p>
    <w:p>
      <w:pPr>
        <w:spacing w:after="0" w:line="153" w:lineRule="exact"/>
        <w:rPr>
          <w:rFonts w:ascii="Times New Roman" w:cs="Times New Roman" w:eastAsia="Times New Roman" w:hAnsi="Times New Roman"/>
          <w:sz w:val="19"/>
          <w:szCs w:val="19"/>
          <w:color w:val="auto"/>
        </w:rPr>
      </w:pPr>
    </w:p>
    <w:p>
      <w:pPr>
        <w:jc w:val="both"/>
        <w:ind w:left="7" w:firstLine="641"/>
        <w:spacing w:after="0" w:line="236" w:lineRule="auto"/>
        <w:tabs>
          <w:tab w:leader="none" w:pos="136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Non-Guarantor Subsidiaries;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any such incurrence of Indebtedness (and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thereto), the aggregate amount outstanding of Indebtedness incurred under this clause (20), when aggregated with the amount of Refinancing Indebtedness of any Non- Guarantor Subsidiary in respect of Indebtedness initially incurred in reliance on this clause (20), that is outstanding pursuant to clause (13) above, does not exceed the greater of $81.3 million and 15.0% of LTM EBITDA at the time of incurrence;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foregoing limitation shall not apply to Indebtedness of any Person that becomes a Restricted Subsidiary in connection with an Investment not prohibited under this Indenture (or of any Person not previously a Restricted Subsidiary that is merged or consolidated with or into the Issuer or a Restricted Subsidiary) if such Indebtedness is outstanding prior to such Person becoming a Restricted Subsidiary and to the extent such Indebtedness is not incurred in contemplation of such Investment ;</w:t>
      </w:r>
    </w:p>
    <w:p>
      <w:pPr>
        <w:spacing w:after="0" w:line="162" w:lineRule="exact"/>
        <w:rPr>
          <w:rFonts w:ascii="Times New Roman" w:cs="Times New Roman" w:eastAsia="Times New Roman" w:hAnsi="Times New Roman"/>
          <w:sz w:val="19"/>
          <w:szCs w:val="19"/>
          <w:color w:val="auto"/>
        </w:rPr>
      </w:pPr>
    </w:p>
    <w:p>
      <w:pPr>
        <w:jc w:val="both"/>
        <w:ind w:left="7" w:right="40" w:firstLine="641"/>
        <w:spacing w:after="0" w:line="251" w:lineRule="auto"/>
        <w:tabs>
          <w:tab w:leader="none" w:pos="136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representing deferred compensation or stock-based compensation owed to employees of any Parent Entity, the Issuer or its Restricted Subsidiaries incurred in the ordinary course of business or consistent with past practice or industry practice or in connection with any Investment or any acquisition (by merger, consolidation, amalgamation or otherwise);</w:t>
      </w:r>
    </w:p>
    <w:p>
      <w:pPr>
        <w:spacing w:after="0" w:line="151" w:lineRule="exact"/>
        <w:rPr>
          <w:rFonts w:ascii="Times New Roman" w:cs="Times New Roman" w:eastAsia="Times New Roman" w:hAnsi="Times New Roman"/>
          <w:sz w:val="19"/>
          <w:szCs w:val="19"/>
          <w:color w:val="auto"/>
        </w:rPr>
      </w:pPr>
    </w:p>
    <w:p>
      <w:pPr>
        <w:ind w:left="1287" w:hanging="638"/>
        <w:spacing w:after="0"/>
        <w:tabs>
          <w:tab w:leader="none" w:pos="1287"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Settlement Indebtedness;</w:t>
      </w:r>
    </w:p>
    <w:p>
      <w:pPr>
        <w:spacing w:after="0" w:line="213" w:lineRule="exact"/>
        <w:rPr>
          <w:rFonts w:ascii="Times New Roman" w:cs="Times New Roman" w:eastAsia="Times New Roman" w:hAnsi="Times New Roman"/>
          <w:sz w:val="19"/>
          <w:szCs w:val="19"/>
          <w:color w:val="auto"/>
        </w:rPr>
      </w:pPr>
    </w:p>
    <w:p>
      <w:pPr>
        <w:ind w:left="7" w:right="40" w:firstLine="641"/>
        <w:spacing w:after="0" w:line="280" w:lineRule="auto"/>
        <w:tabs>
          <w:tab w:leader="none" w:pos="136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customer deposits and advance payments received in the ordinary course of business or consistent with past practice from customers for the purchase of goods inductor services;</w:t>
      </w:r>
    </w:p>
    <w:p>
      <w:pPr>
        <w:spacing w:after="0" w:line="138" w:lineRule="exact"/>
        <w:rPr>
          <w:rFonts w:ascii="Times New Roman" w:cs="Times New Roman" w:eastAsia="Times New Roman" w:hAnsi="Times New Roman"/>
          <w:sz w:val="19"/>
          <w:szCs w:val="19"/>
          <w:color w:val="auto"/>
        </w:rPr>
      </w:pPr>
    </w:p>
    <w:p>
      <w:pPr>
        <w:jc w:val="both"/>
        <w:ind w:left="7" w:right="40" w:firstLine="641"/>
        <w:spacing w:after="0" w:line="244" w:lineRule="auto"/>
        <w:tabs>
          <w:tab w:leader="none" w:pos="136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Indebtedness incurred by a Restricted Subsidiary in connection with bankers’ acceptances, discounted bills of exchange or the discounting or factoring of receivables for credit management purposes, in each case incurred or undertaken in the ordinary course of business or consistent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7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447"/>
          </w:cols>
          <w:pgMar w:left="913" w:top="1440" w:right="539" w:bottom="1440" w:gutter="0" w:footer="0" w:header="0"/>
        </w:sectPr>
      </w:pPr>
    </w:p>
    <w:bookmarkStart w:id="155" w:name="page156"/>
    <w:bookmarkEnd w:id="155"/>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with past practice or industry practice on arm’s length commercial terms and (ii) Indebtedness in respect of any Receivables Facility;</w:t>
      </w:r>
    </w:p>
    <w:p>
      <w:pPr>
        <w:spacing w:after="0" w:line="200" w:lineRule="exact"/>
        <w:rPr>
          <w:sz w:val="20"/>
          <w:szCs w:val="20"/>
          <w:color w:val="auto"/>
        </w:rPr>
      </w:pPr>
    </w:p>
    <w:p>
      <w:pPr>
        <w:jc w:val="both"/>
        <w:ind w:left="340" w:right="20" w:firstLine="641"/>
        <w:spacing w:after="0" w:line="241"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obligation, or guaranty of any obligation, of the Issuer or any Restricted Subsidiary to reimburse or indemnify a Person extending credit to customers of the Issuer or a Restricted Subsidiary incurred in the ordinary course of business or consistent with past practice or industry practice for all or any portion of the amounts payable by such customers to the Person extending such credit;</w:t>
      </w:r>
    </w:p>
    <w:p>
      <w:pPr>
        <w:spacing w:after="0" w:line="40" w:lineRule="exact"/>
        <w:rPr>
          <w:rFonts w:ascii="Times New Roman" w:cs="Times New Roman" w:eastAsia="Times New Roman" w:hAnsi="Times New Roman"/>
          <w:sz w:val="19"/>
          <w:szCs w:val="19"/>
          <w:color w:val="auto"/>
        </w:rPr>
      </w:pPr>
    </w:p>
    <w:p>
      <w:pPr>
        <w:jc w:val="both"/>
        <w:ind w:left="340" w:firstLine="641"/>
        <w:spacing w:after="0" w:line="241"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to a customer to finance the acquisition of any equipment necessary to perform services for such customer; provided that the terms of such Indebtedness are consistent with those entered into with respect to similar Indebtedness prior to the Issue Date, including, if so consistent, that (i) the repayment of such Indebtedness is conditional upon such customer ordering a specific amount of goods or services and (ii) such Indebtedness does not bear interest or provide for scheduled amortization or maturity;</w:t>
      </w:r>
    </w:p>
    <w:p>
      <w:pPr>
        <w:spacing w:after="0" w:line="175" w:lineRule="exact"/>
        <w:rPr>
          <w:rFonts w:ascii="Times New Roman" w:cs="Times New Roman" w:eastAsia="Times New Roman" w:hAnsi="Times New Roman"/>
          <w:sz w:val="19"/>
          <w:szCs w:val="19"/>
          <w:color w:val="auto"/>
        </w:rPr>
      </w:pPr>
    </w:p>
    <w:p>
      <w:pPr>
        <w:jc w:val="both"/>
        <w:ind w:left="340" w:right="20" w:firstLine="641"/>
        <w:spacing w:after="0" w:line="244"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by the Issuer or any of its Restricted Subsidiaries to the extent that the net proceeds thereof are promptly deposited with the Trustee to satisfy or discharge the Notes or exercise the Issuer’s Legal Defeasance or Covenant Defeasance option, in each case, in accordance with this Indenture;</w:t>
      </w:r>
    </w:p>
    <w:p>
      <w:pPr>
        <w:spacing w:after="0" w:line="170" w:lineRule="exact"/>
        <w:rPr>
          <w:rFonts w:ascii="Times New Roman" w:cs="Times New Roman" w:eastAsia="Times New Roman" w:hAnsi="Times New Roman"/>
          <w:sz w:val="19"/>
          <w:szCs w:val="19"/>
          <w:color w:val="auto"/>
        </w:rPr>
      </w:pPr>
    </w:p>
    <w:p>
      <w:pPr>
        <w:ind w:left="340" w:right="20" w:firstLine="641"/>
        <w:spacing w:after="0" w:line="265"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the Issuer or any of its Restricted Subsidiaries arising pursuant to any Permitted Intercompany Activities or Permitted Tax Restructurings;</w:t>
      </w:r>
    </w:p>
    <w:p>
      <w:pPr>
        <w:spacing w:after="0" w:line="179" w:lineRule="exact"/>
        <w:rPr>
          <w:rFonts w:ascii="Times New Roman" w:cs="Times New Roman" w:eastAsia="Times New Roman" w:hAnsi="Times New Roman"/>
          <w:sz w:val="19"/>
          <w:szCs w:val="19"/>
          <w:color w:val="auto"/>
        </w:rPr>
      </w:pPr>
    </w:p>
    <w:p>
      <w:pPr>
        <w:jc w:val="both"/>
        <w:ind w:left="340" w:right="20" w:firstLine="641"/>
        <w:spacing w:after="0" w:line="244"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an aggregate outstanding principal amount which, when taken together with the principal amount of all other Indebtedness incurred pursuant to this clause (29) and then outstanding, will not exceed the Available RP Capacity Amount (determined on the date of such incurrence);</w:t>
      </w:r>
    </w:p>
    <w:p>
      <w:pPr>
        <w:spacing w:after="0" w:line="170"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in connection with any Sale and Lease-Back Transaction;</w:t>
      </w:r>
    </w:p>
    <w:p>
      <w:pPr>
        <w:spacing w:after="0" w:line="213"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Unsecured Capitalized Leases;</w:t>
      </w:r>
    </w:p>
    <w:p>
      <w:pPr>
        <w:spacing w:after="0" w:line="200" w:lineRule="exact"/>
        <w:rPr>
          <w:rFonts w:ascii="Times New Roman" w:cs="Times New Roman" w:eastAsia="Times New Roman" w:hAnsi="Times New Roman"/>
          <w:sz w:val="19"/>
          <w:szCs w:val="19"/>
          <w:color w:val="auto"/>
        </w:rPr>
      </w:pPr>
    </w:p>
    <w:p>
      <w:pPr>
        <w:jc w:val="both"/>
        <w:ind w:left="340" w:firstLine="641"/>
        <w:spacing w:after="0" w:line="251"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to the seller of any business or assets permitted to be acquired by the Issuer or any Restricted Subsidiary under this Indenture and any Refinancing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Indebtedness incurred pursuant to this clause (32) and then outstanding will not exceed the greater of $108.4 million and 20.0% of LTM EBITDA;</w:t>
      </w:r>
    </w:p>
    <w:p>
      <w:pPr>
        <w:spacing w:after="0" w:line="151" w:lineRule="exact"/>
        <w:rPr>
          <w:rFonts w:ascii="Times New Roman" w:cs="Times New Roman" w:eastAsia="Times New Roman" w:hAnsi="Times New Roman"/>
          <w:sz w:val="19"/>
          <w:szCs w:val="19"/>
          <w:color w:val="auto"/>
        </w:rPr>
      </w:pPr>
    </w:p>
    <w:p>
      <w:pPr>
        <w:ind w:left="340" w:right="20" w:firstLine="641"/>
        <w:spacing w:after="0" w:line="265"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in respect of Disqualified Stock in an amount outstanding not to exceed the greater of $54.2 million and 10.0% of LTM EBITDA at the time of incurrence and any Refinancing in respect thereof;</w:t>
      </w:r>
    </w:p>
    <w:p>
      <w:pPr>
        <w:spacing w:after="0" w:line="138" w:lineRule="exact"/>
        <w:rPr>
          <w:rFonts w:ascii="Times New Roman" w:cs="Times New Roman" w:eastAsia="Times New Roman" w:hAnsi="Times New Roman"/>
          <w:sz w:val="19"/>
          <w:szCs w:val="19"/>
          <w:color w:val="auto"/>
        </w:rPr>
      </w:pPr>
    </w:p>
    <w:p>
      <w:pPr>
        <w:jc w:val="both"/>
        <w:ind w:left="340" w:right="20" w:firstLine="641"/>
        <w:spacing w:after="0" w:line="258"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for the benefit of joint ventures in an aggregate outstanding principal amount not to exceed the greater of $189.7 million and 35.0% of LTM EBITDA at the time of incurrence, and any Refinancing Indebtedness in respect thereof; and</w:t>
      </w:r>
    </w:p>
    <w:p>
      <w:pPr>
        <w:spacing w:after="0" w:line="159" w:lineRule="exact"/>
        <w:rPr>
          <w:rFonts w:ascii="Times New Roman" w:cs="Times New Roman" w:eastAsia="Times New Roman" w:hAnsi="Times New Roman"/>
          <w:sz w:val="19"/>
          <w:szCs w:val="19"/>
          <w:color w:val="auto"/>
        </w:rPr>
      </w:pPr>
    </w:p>
    <w:p>
      <w:pPr>
        <w:ind w:left="340" w:right="20" w:firstLine="641"/>
        <w:spacing w:after="0" w:line="280" w:lineRule="auto"/>
        <w:tabs>
          <w:tab w:leader="none" w:pos="169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premiums (if any), interest (including post-petition interest), fees, expenses, charges and additional or contingent interest on obligations described in clauses (1) through (34).</w:t>
      </w:r>
    </w:p>
    <w:p>
      <w:pPr>
        <w:spacing w:after="0" w:line="111" w:lineRule="exact"/>
        <w:rPr>
          <w:rFonts w:ascii="Times New Roman" w:cs="Times New Roman" w:eastAsia="Times New Roman" w:hAnsi="Times New Roman"/>
          <w:sz w:val="19"/>
          <w:szCs w:val="19"/>
          <w:color w:val="auto"/>
        </w:rPr>
      </w:pPr>
    </w:p>
    <w:p>
      <w:pPr>
        <w:ind w:right="20" w:firstLine="650"/>
        <w:spacing w:after="0" w:line="280" w:lineRule="auto"/>
        <w:tabs>
          <w:tab w:leader="none" w:pos="1031"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determining compliance with, and the outstanding principal amount of any particular Indebtedness incurred pursuant to and in compliance with, this Section 4.09:</w:t>
      </w:r>
    </w:p>
    <w:p>
      <w:pPr>
        <w:spacing w:after="0" w:line="16" w:lineRule="exact"/>
        <w:rPr>
          <w:rFonts w:ascii="Times New Roman" w:cs="Times New Roman" w:eastAsia="Times New Roman" w:hAnsi="Times New Roman"/>
          <w:sz w:val="19"/>
          <w:szCs w:val="19"/>
          <w:color w:val="auto"/>
        </w:rPr>
      </w:pPr>
    </w:p>
    <w:p>
      <w:pPr>
        <w:jc w:val="both"/>
        <w:ind w:left="340" w:firstLine="641"/>
        <w:spacing w:after="0" w:line="237" w:lineRule="auto"/>
        <w:tabs>
          <w:tab w:leader="none" w:pos="1694"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item of Indebtedness, Disqualified Stock or Preferred Stock (or any portion thereof) at any time, whether at the time of incurrence or upon the application of all or a portion of the proceeds thereof or subsequently, meets the criteria of more than one of the categories of permitted Indebtedness, Disqualified Stock or Preferred Stock described in clauses (1) through (35) of Section 4.09(b) hereof or is entitled to be incurred pursuant to Section 4.09(a) hereof, the Issuer, in its sole discretion, may divide and classify and may subsequently re-divide and reclassify such item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760"/>
          </w:cols>
          <w:pgMar w:left="580" w:top="1440" w:right="559" w:bottom="1440" w:gutter="0" w:footer="0" w:header="0"/>
        </w:sectPr>
      </w:pPr>
    </w:p>
    <w:bookmarkStart w:id="156" w:name="page157"/>
    <w:bookmarkEnd w:id="156"/>
    <w:p>
      <w:pPr>
        <w:spacing w:after="0" w:line="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Indebtedness, Disqualified Stock or Preferred Stock (or any portion thereof) and shall only be required to include the amount and type of such Indebtedness, Disqualified Stock or Preferred Stock (or a portion thereof) in one of the above clauses in Section 4.09(b) hereof or in Section 4.09(a) hereof (it being understood that any Indebtedness incurred pursuant to one of the clauses of Section 4.09(b) hereof shall cease to be deemed incurred or outstanding for purposes of such clause but shall be deemed incurred for the purposes of Section 4.09(a) hereof from and after the first date on which the Issuer or its Restricted Subsidiaries could have incurred such Indebtedness under Section 4.09(a) hereof) and at the time of incurrence or reclassification, the Issuer will be entitled, in its sole discretion, to divide and classify or re-divide or reclassify an item of Indebtedness in more than one of the types of Indebtedness described in the first and second paragraphs above on one or more occasions (based on circumstances existing on the date of any such re-division and re-classification); </w:t>
      </w:r>
      <w:r>
        <w:rPr>
          <w:rFonts w:ascii="Times New Roman" w:cs="Times New Roman" w:eastAsia="Times New Roman" w:hAnsi="Times New Roman"/>
          <w:sz w:val="18"/>
          <w:szCs w:val="18"/>
          <w:u w:val="single" w:color="auto"/>
          <w:color w:val="auto"/>
        </w:rPr>
        <w:t>provided</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 xml:space="preserve">that all Indebtedness outstanding under the Credit Agreement on the Issue Date shall be treated as incurred on the Issue Date under clause (1)(a) of Section 4.09(b) hereof and may not be reclassified;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ratio calculated for purposes of determining incurrence under clause </w:t>
      </w:r>
      <w:r>
        <w:rPr>
          <w:rFonts w:ascii="Times New Roman" w:cs="Times New Roman" w:eastAsia="Times New Roman" w:hAnsi="Times New Roman"/>
          <w:sz w:val="18"/>
          <w:szCs w:val="18"/>
          <w:color w:val="auto"/>
        </w:rPr>
        <w:t>(1) shall be calculated on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i w:val="1"/>
          <w:iCs w:val="1"/>
          <w:color w:val="auto"/>
        </w:rPr>
        <w:t>pro forma basis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after giving effect to the incurrence and the use of</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9"/>
          <w:szCs w:val="19"/>
          <w:color w:val="auto"/>
        </w:rPr>
        <w:t xml:space="preserve">proceeds thereof (deducting in calculating the numerator of any leverage ratio the cash proceeds thereof to the extent such proceeds are not promptly applied), but without giving effect to any simultaneous incurrence under clauses (1)(a) and/or (1)(b) of Section 4.09(b). Indebtedness may be incurred under any or all of clauses (1)(a), (1)(b) and/or (1)(c) of Section 4.09(b), and proceeds from any such incurrence may be utilized in a single transaction by first calculating the incurrence under clause (1)(c) of Section 4.09(b) and then calculating the incurrence under clauses (1)(a) and/or (1)(b) of Section 4.09(b) (if any) (or, at the Issuer’s election, vice versa) (and if both clauses are available and the Issuer does not make an election, the Issuer will be deemed to have elected clause (1)(c) of Section 4.09(b));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Indebtedness originally incurred in reliance on clause (1)(a) and/or (1)(b) of Section 4.09(b) shall cease to be deemed outstanding under clauses (1)(a) or (1)(b) of Section 4.09(b), as applicable, and shall instead be deemed to be outstanding pursuant to clause (1)(c) of Section 4.09(b) from and after the first date on which the Issuer could have incurred the aggregate principal amount of such Indebtedness in reliance on clause (1)(c) of Section 4.09(b);</w:t>
      </w:r>
    </w:p>
    <w:p>
      <w:pPr>
        <w:spacing w:after="0" w:line="168" w:lineRule="exact"/>
        <w:rPr>
          <w:sz w:val="20"/>
          <w:szCs w:val="20"/>
          <w:color w:val="auto"/>
        </w:rPr>
      </w:pPr>
    </w:p>
    <w:p>
      <w:pPr>
        <w:ind w:right="20" w:firstLine="641"/>
        <w:spacing w:after="0" w:line="280" w:lineRule="auto"/>
        <w:tabs>
          <w:tab w:leader="none" w:pos="1354"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incurrence or reclassification, the Issuer shall be entitled to divide and classify or re-divide or reclassify an item of Indebtedness in more than one of the types of Indebtedness described in Sections 4.09(a) and 4.09(b) hereof;</w:t>
      </w:r>
    </w:p>
    <w:p>
      <w:pPr>
        <w:spacing w:after="0" w:line="124" w:lineRule="exact"/>
        <w:rPr>
          <w:rFonts w:ascii="Times New Roman" w:cs="Times New Roman" w:eastAsia="Times New Roman" w:hAnsi="Times New Roman"/>
          <w:sz w:val="19"/>
          <w:szCs w:val="19"/>
          <w:color w:val="auto"/>
        </w:rPr>
      </w:pPr>
    </w:p>
    <w:p>
      <w:pPr>
        <w:jc w:val="both"/>
        <w:ind w:firstLine="641"/>
        <w:spacing w:after="0" w:line="233" w:lineRule="auto"/>
        <w:tabs>
          <w:tab w:leader="none" w:pos="1354"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Issuer or a Restricted Subsidiary enters into or increases commitments under a Credit Facility, the Fixed Charge Coverage Ratio, the Consolidated First Lien Secured Net Debt Ratio, the Consolidated Secured Net Debt Ratio or the Consolidated Total Net Debt Ratio, as applicable, for purposes of borrowings and reborrowings thereunder (and including issuance and creation of letters of credit and bankers’ acceptances thereunder) shall be determined on the date of such Credit Facility or such increase in commitments (assuming that the full amount thereof has been borrowed as of such date), and, if such Fixed Charge Coverage Ratio, Consolidated First Lien Secured Net Debt Ratio, Consolidated Secured Net Debt Ratio or Consolidated Total Net Debt Ratio, as applicable, test is satisfied with respect thereto at such time, any borrowing or reborrowing thereunder (and the issuance and creation of letters of credit and bankers’ acceptances thereunder) shall be permitted under this covenant irrespective of the Fixed Charge Coverage Ratio, the Consolidated First Lien Secured Net Debt Ratio, the Consolidated Secured Net Debt Ratio or the Consolidated Total Net Debt Ratio, as applicable, at the time of any borrowing or reborrowing thereunder (or the issuance or creation of letters of credit or bankers’ acceptances thereunder) (the committed amount permitted to be borrowed or reborrowed (and the issuance and creation of letters of credit and bankers’ acceptances) on a date pursuant to the operation of this clause (3) shall be the “</w:t>
      </w:r>
      <w:r>
        <w:rPr>
          <w:rFonts w:ascii="Times New Roman" w:cs="Times New Roman" w:eastAsia="Times New Roman" w:hAnsi="Times New Roman"/>
          <w:sz w:val="19"/>
          <w:szCs w:val="19"/>
          <w:u w:val="single" w:color="auto"/>
          <w:color w:val="auto"/>
        </w:rPr>
        <w:t>Reserved Indebtedness Amount</w:t>
      </w:r>
      <w:r>
        <w:rPr>
          <w:rFonts w:ascii="Times New Roman" w:cs="Times New Roman" w:eastAsia="Times New Roman" w:hAnsi="Times New Roman"/>
          <w:sz w:val="19"/>
          <w:szCs w:val="19"/>
          <w:color w:val="auto"/>
        </w:rPr>
        <w:t>” as of such date for purposes of the Fixed Charge Coverage Ratio, the Consolidated First Lien Secured Net Debt Ratio, the Consolidated Secured Net Debt Ratio or the Consolidated Total Net Debt Ratio, as applicable);</w:t>
      </w:r>
    </w:p>
    <w:p>
      <w:pPr>
        <w:spacing w:after="0" w:line="41" w:lineRule="exact"/>
        <w:rPr>
          <w:rFonts w:ascii="Times New Roman" w:cs="Times New Roman" w:eastAsia="Times New Roman" w:hAnsi="Times New Roman"/>
          <w:sz w:val="19"/>
          <w:szCs w:val="19"/>
          <w:color w:val="auto"/>
        </w:rPr>
      </w:pPr>
    </w:p>
    <w:p>
      <w:pPr>
        <w:jc w:val="both"/>
        <w:ind w:right="20" w:firstLine="641"/>
        <w:spacing w:after="0" w:line="237" w:lineRule="auto"/>
        <w:tabs>
          <w:tab w:leader="none" w:pos="1354"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Issuer or a Restricted Subsidiary incurs Indebtedness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Sales) in accordance with the terms of this Indenture, when calculating the availability under any basket or ratio under this Indenture or compliance with any provision of this Indenture, at the option of the Issuer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420"/>
          </w:cols>
          <w:pgMar w:left="920" w:top="1440" w:right="559" w:bottom="1440" w:gutter="0" w:footer="0" w:header="0"/>
        </w:sectPr>
      </w:pPr>
    </w:p>
    <w:bookmarkStart w:id="157" w:name="page158"/>
    <w:bookmarkEnd w:id="157"/>
    <w:p>
      <w:pPr>
        <w:spacing w:after="0" w:line="5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9"/>
          <w:szCs w:val="19"/>
          <w:color w:val="auto"/>
        </w:rPr>
        <w:t>Issuer’s election to exercise such option, an “</w:t>
      </w:r>
      <w:r>
        <w:rPr>
          <w:rFonts w:ascii="Times New Roman" w:cs="Times New Roman" w:eastAsia="Times New Roman" w:hAnsi="Times New Roman"/>
          <w:sz w:val="19"/>
          <w:szCs w:val="19"/>
          <w:u w:val="single" w:color="auto"/>
          <w:color w:val="auto"/>
        </w:rPr>
        <w:t>LCT Election</w:t>
      </w:r>
      <w:r>
        <w:rPr>
          <w:rFonts w:ascii="Times New Roman" w:cs="Times New Roman" w:eastAsia="Times New Roman" w:hAnsi="Times New Roman"/>
          <w:sz w:val="19"/>
          <w:szCs w:val="19"/>
          <w:color w:val="auto"/>
        </w:rPr>
        <w:t>”), the date of determination for availability under any such basket or ratio, including the Fixed Charge Coverage Ratio, the Consolidated First Lien Secured Net Debt Ratio, the Consolidated Secured Net Debt Ratio or the Consolidated Total Net Debt Ratio, as applicable, and whether any such action or transaction is permitted (or any requirement or condition therefor is complied with or satisfied (including as to the absence of any continuing Default or Event of Default)) under this Indenture shall, at the option of the Issuer, be deemed to be the date (the “</w:t>
      </w:r>
      <w:r>
        <w:rPr>
          <w:rFonts w:ascii="Times New Roman" w:cs="Times New Roman" w:eastAsia="Times New Roman" w:hAnsi="Times New Roman"/>
          <w:sz w:val="19"/>
          <w:szCs w:val="19"/>
          <w:u w:val="single" w:color="auto"/>
          <w:color w:val="auto"/>
        </w:rPr>
        <w:t>LCT Test Date</w:t>
      </w:r>
      <w:r>
        <w:rPr>
          <w:rFonts w:ascii="Times New Roman" w:cs="Times New Roman" w:eastAsia="Times New Roman" w:hAnsi="Times New Roman"/>
          <w:sz w:val="19"/>
          <w:szCs w:val="19"/>
          <w:color w:val="auto"/>
        </w:rPr>
        <w:t xml:space="preserve">”) that a definitive agreement for such Limited Condition Transaction is entered into (or if applicable, the date of delivery of an irrevocable declaration of a Restricted Payment or similar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if financial statements for one or more subsequent fiscal quarters shall have become available, the Issuer may elect, in its sole discretion, to redetermine all such ratios, tests or baskets on the basis of such financial</w:t>
      </w:r>
    </w:p>
    <w:p>
      <w:pPr>
        <w:spacing w:after="0" w:line="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statements, in which case, such date of redetermination shall thereafter be the applicable LCT Test Date for purposes of such ratios, tests or baskets, (b) except as 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Sales) and (c) Consolidated Interest Expense for purposes of the Fixed Charge Coverage Ratio will be calculated using an assumed interest rate as reasonably determined by the Issuer.</w:t>
      </w:r>
    </w:p>
    <w:p>
      <w:pPr>
        <w:spacing w:after="0" w:line="154" w:lineRule="exact"/>
        <w:rPr>
          <w:sz w:val="20"/>
          <w:szCs w:val="20"/>
          <w:color w:val="auto"/>
        </w:rPr>
      </w:pPr>
    </w:p>
    <w:p>
      <w:pPr>
        <w:jc w:val="both"/>
        <w:ind w:left="60" w:firstLine="648"/>
        <w:spacing w:after="0" w:line="232" w:lineRule="auto"/>
        <w:rPr>
          <w:sz w:val="20"/>
          <w:szCs w:val="20"/>
          <w:color w:val="auto"/>
        </w:rPr>
      </w:pPr>
      <w:r>
        <w:rPr>
          <w:rFonts w:ascii="Times New Roman" w:cs="Times New Roman" w:eastAsia="Times New Roman" w:hAnsi="Times New Roman"/>
          <w:sz w:val="19"/>
          <w:szCs w:val="19"/>
          <w:color w:val="auto"/>
        </w:rPr>
        <w:t>For the avoidance of doubt, if the Issuer has made an LCT Election: (1) if any of the ratios, tests or baskets, including the Fixed Charge Coverage Ratio, the Consolidated First Lien Secured Net Debt Ratio, the Consolidated Secured Net Debt Ratio or the Consolidated Total Net Debt Ratio, as applicable, after giving pro forma effect to such Limited Condition Transaction and any actions or transactions related thereto (including acquisitions, Investments, the incurrence, issuance or assumption of Indebtedness and the use of proceeds thereof, the incurrence or creation of Liens, repayments, Restricted Payments and Asset Sales) and any related pro forma adjustments, for which compliance was determined or tested as of the LCT Test Date would at any time after the LCT Test Date have been exceeded or otherwise failed to have been complied with as a result of fluctuations in such ratio, test or basket (including due to fluctuations in the EBITDA or Total Assets of the Issuer or the Person subject to such Limited Condition Transaction), such ratios, tests or baskets shall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shall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spacing w:after="0" w:line="150" w:lineRule="exact"/>
        <w:rPr>
          <w:sz w:val="20"/>
          <w:szCs w:val="20"/>
          <w:color w:val="auto"/>
        </w:rPr>
      </w:pPr>
    </w:p>
    <w:p>
      <w:pPr>
        <w:jc w:val="both"/>
        <w:ind w:right="40" w:firstLine="641"/>
        <w:spacing w:after="0" w:line="246" w:lineRule="auto"/>
        <w:tabs>
          <w:tab w:leader="none" w:pos="1354"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accrual of interest or dividends, the accretion of accreted value, the accretion or amortization of original issue discount and the payment of interest or dividends in the form of additional Indebtedness, Disqualified Stock or Preferred Stock, as the case may be, or the reclassification of commitments or obligations not treated as Indebtedness due to a change in GAAP will not be deemed to be an incurrence or issuance of Indebtedness, Disqualified Stock or Preferred Stock for purposes of Section 4.09 hereof;</w:t>
      </w:r>
    </w:p>
    <w:p>
      <w:pPr>
        <w:spacing w:after="0" w:line="157" w:lineRule="exact"/>
        <w:rPr>
          <w:rFonts w:ascii="Times New Roman" w:cs="Times New Roman" w:eastAsia="Times New Roman" w:hAnsi="Times New Roman"/>
          <w:sz w:val="19"/>
          <w:szCs w:val="19"/>
          <w:color w:val="auto"/>
        </w:rPr>
      </w:pPr>
    </w:p>
    <w:p>
      <w:pPr>
        <w:ind w:right="20" w:firstLine="641"/>
        <w:spacing w:after="0" w:line="265" w:lineRule="auto"/>
        <w:tabs>
          <w:tab w:leader="none" w:pos="1354"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determining compliance with any Dollar-denominated restriction on the incurrence of Indebtedness, the Dollar-equivalent principal amount of Indebtedness denominated in 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440"/>
          </w:cols>
          <w:pgMar w:left="920" w:top="1440" w:right="539" w:bottom="1440" w:gutter="0" w:footer="0" w:header="0"/>
        </w:sectPr>
      </w:pPr>
    </w:p>
    <w:bookmarkStart w:id="158" w:name="page159"/>
    <w:bookmarkEnd w:id="158"/>
    <w:p>
      <w:pPr>
        <w:spacing w:after="0" w:line="172"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8"/>
          <w:szCs w:val="18"/>
          <w:color w:val="auto"/>
        </w:rPr>
        <w:t xml:space="preserve">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w:t>
      </w:r>
    </w:p>
    <w:p>
      <w:pPr>
        <w:spacing w:after="0" w:line="4" w:lineRule="exact"/>
        <w:rPr>
          <w:sz w:val="20"/>
          <w:szCs w:val="20"/>
          <w:color w:val="auto"/>
        </w:rPr>
      </w:pPr>
    </w:p>
    <w:p>
      <w:pPr>
        <w:ind w:left="7" w:hanging="7"/>
        <w:spacing w:after="0" w:line="243" w:lineRule="auto"/>
        <w:tabs>
          <w:tab w:leader="none" w:pos="24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such Indebtedness being refinanced plus (ii) the aggregate amount of fees, underwriting discounts, premiums and other costs and expenses incurred in connection with such refinancing;</w:t>
      </w:r>
    </w:p>
    <w:p>
      <w:pPr>
        <w:spacing w:after="0" w:line="145" w:lineRule="exact"/>
        <w:rPr>
          <w:rFonts w:ascii="Times New Roman" w:cs="Times New Roman" w:eastAsia="Times New Roman" w:hAnsi="Times New Roman"/>
          <w:sz w:val="19"/>
          <w:szCs w:val="19"/>
          <w:color w:val="auto"/>
        </w:rPr>
      </w:pPr>
    </w:p>
    <w:p>
      <w:pPr>
        <w:jc w:val="both"/>
        <w:ind w:left="7" w:right="20" w:firstLine="641"/>
        <w:spacing w:after="0" w:line="251" w:lineRule="auto"/>
        <w:tabs>
          <w:tab w:leader="none" w:pos="1361"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30" w:lineRule="exact"/>
        <w:rPr>
          <w:rFonts w:ascii="Times New Roman" w:cs="Times New Roman" w:eastAsia="Times New Roman" w:hAnsi="Times New Roman"/>
          <w:sz w:val="19"/>
          <w:szCs w:val="19"/>
          <w:color w:val="auto"/>
        </w:rPr>
      </w:pPr>
    </w:p>
    <w:p>
      <w:pPr>
        <w:jc w:val="both"/>
        <w:ind w:left="7" w:firstLine="641"/>
        <w:spacing w:after="0" w:line="237" w:lineRule="auto"/>
        <w:tabs>
          <w:tab w:leader="none" w:pos="1361"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Refinancing Indebtedness, the amount of Indebtedness being incurred to finance the aggregate amount of accrued and unpaid interest, dividends, premiums (including tender premiums), defeasance costs, underwriting discounts, fees, costs and expenses(including original issue discount, upfront fees or similar fees) in connection with such refinancing shall not be deemed to be an incurrence or issuance of Indebtedness for purposes of this covenant;</w:t>
      </w:r>
    </w:p>
    <w:p>
      <w:pPr>
        <w:spacing w:after="0" w:line="190" w:lineRule="exact"/>
        <w:rPr>
          <w:rFonts w:ascii="Times New Roman" w:cs="Times New Roman" w:eastAsia="Times New Roman" w:hAnsi="Times New Roman"/>
          <w:sz w:val="19"/>
          <w:szCs w:val="19"/>
          <w:color w:val="auto"/>
        </w:rPr>
      </w:pPr>
    </w:p>
    <w:p>
      <w:pPr>
        <w:jc w:val="both"/>
        <w:ind w:left="7" w:firstLine="641"/>
        <w:spacing w:after="0" w:line="249" w:lineRule="auto"/>
        <w:tabs>
          <w:tab w:leader="none" w:pos="136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4.09 to the contrary, in the case of any Indebtedness incurred to refinance Indebtedness initially incurred in reliance on a clause of Section 4.09(b) hereof,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costs, fees and expenses (including original issue discount, upfront fees or similar fees) in connection with such refinancing;</w:t>
      </w:r>
    </w:p>
    <w:p>
      <w:pPr>
        <w:spacing w:after="0" w:line="143" w:lineRule="exact"/>
        <w:rPr>
          <w:rFonts w:ascii="Times New Roman" w:cs="Times New Roman" w:eastAsia="Times New Roman" w:hAnsi="Times New Roman"/>
          <w:sz w:val="18"/>
          <w:szCs w:val="18"/>
          <w:color w:val="auto"/>
        </w:rPr>
      </w:pPr>
    </w:p>
    <w:p>
      <w:pPr>
        <w:jc w:val="both"/>
        <w:ind w:left="7" w:firstLine="641"/>
        <w:spacing w:after="0" w:line="309" w:lineRule="auto"/>
        <w:tabs>
          <w:tab w:leader="none" w:pos="136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or obligations in respect of letters of credit, bankers’ acceptances or other similar instruments relating to, or Liens securing, Indebtedness that is otherwise included in the termination of a particular amount of Indebtedness shall not be included;</w:t>
      </w:r>
    </w:p>
    <w:p>
      <w:pPr>
        <w:spacing w:after="0" w:line="115" w:lineRule="exact"/>
        <w:rPr>
          <w:rFonts w:ascii="Times New Roman" w:cs="Times New Roman" w:eastAsia="Times New Roman" w:hAnsi="Times New Roman"/>
          <w:sz w:val="18"/>
          <w:szCs w:val="18"/>
          <w:color w:val="auto"/>
        </w:rPr>
      </w:pPr>
    </w:p>
    <w:p>
      <w:pPr>
        <w:jc w:val="both"/>
        <w:ind w:left="7" w:firstLine="641"/>
        <w:spacing w:after="0" w:line="244" w:lineRule="auto"/>
        <w:tabs>
          <w:tab w:leader="none" w:pos="1354"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Indenture shall not treat (x) unsecured Indebtedness as subordinated or junior to Secured Indebtedness merely because it is unsecured or (y) Senior Indebtedness as subordinated or junior to any other Senior Indebtedness merely because it has a junior priority with respect to the same collateral or is secured by different collateral or because it is guaranteed by different obligors;</w:t>
      </w:r>
    </w:p>
    <w:p>
      <w:pPr>
        <w:spacing w:after="0" w:line="170" w:lineRule="exact"/>
        <w:rPr>
          <w:rFonts w:ascii="Times New Roman" w:cs="Times New Roman" w:eastAsia="Times New Roman" w:hAnsi="Times New Roman"/>
          <w:sz w:val="19"/>
          <w:szCs w:val="19"/>
          <w:color w:val="auto"/>
        </w:rPr>
      </w:pPr>
    </w:p>
    <w:p>
      <w:pPr>
        <w:jc w:val="both"/>
        <w:ind w:left="7" w:firstLine="641"/>
        <w:spacing w:after="0" w:line="241" w:lineRule="auto"/>
        <w:tabs>
          <w:tab w:leader="none" w:pos="1361"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obligations in respect of letters of credit, bankers’ acceptances or other similar instruments are incurred pursuant to any Credit Facility and are being treated as incurred pursuant to any clause of the second paragraph above or the first paragraph above and the letters of credit, bankers’ acceptances or other similar instruments relate to other Indebtedness, then such other Indebtedness shall not be included;</w:t>
      </w:r>
    </w:p>
    <w:p>
      <w:pPr>
        <w:spacing w:after="0" w:line="175" w:lineRule="exact"/>
        <w:rPr>
          <w:rFonts w:ascii="Times New Roman" w:cs="Times New Roman" w:eastAsia="Times New Roman" w:hAnsi="Times New Roman"/>
          <w:sz w:val="19"/>
          <w:szCs w:val="19"/>
          <w:color w:val="auto"/>
        </w:rPr>
      </w:pPr>
    </w:p>
    <w:p>
      <w:pPr>
        <w:jc w:val="both"/>
        <w:ind w:left="7" w:firstLine="641"/>
        <w:spacing w:after="0" w:line="244" w:lineRule="auto"/>
        <w:tabs>
          <w:tab w:leader="none" w:pos="1361"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any Disqualified Stock of the Issuer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170" w:lineRule="exact"/>
        <w:rPr>
          <w:rFonts w:ascii="Times New Roman" w:cs="Times New Roman" w:eastAsia="Times New Roman" w:hAnsi="Times New Roman"/>
          <w:sz w:val="19"/>
          <w:szCs w:val="19"/>
          <w:color w:val="auto"/>
        </w:rPr>
      </w:pPr>
    </w:p>
    <w:p>
      <w:pPr>
        <w:jc w:val="both"/>
        <w:ind w:left="7" w:right="20" w:firstLine="641"/>
        <w:spacing w:after="0" w:line="244" w:lineRule="auto"/>
        <w:tabs>
          <w:tab w:leader="none" w:pos="1361"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permitted by this covenant need not be permitted solely by reference to one provision permitting such Indebtedness but may be permitted in part by one such provision and in part by one or more other provisions of this covenant permitting such Indebtedness; and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5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427"/>
          </w:cols>
          <w:pgMar w:left="913" w:top="1440" w:right="559" w:bottom="1440" w:gutter="0" w:footer="0" w:header="0"/>
        </w:sectPr>
      </w:pPr>
    </w:p>
    <w:bookmarkStart w:id="159" w:name="page160"/>
    <w:bookmarkEnd w:id="159"/>
    <w:p>
      <w:pPr>
        <w:spacing w:after="0" w:line="186" w:lineRule="exact"/>
        <w:rPr>
          <w:sz w:val="20"/>
          <w:szCs w:val="20"/>
          <w:color w:val="auto"/>
        </w:rPr>
      </w:pPr>
    </w:p>
    <w:p>
      <w:pPr>
        <w:ind w:left="340" w:firstLine="641"/>
        <w:spacing w:after="0" w:line="280" w:lineRule="auto"/>
        <w:tabs>
          <w:tab w:leader="none" w:pos="1694"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Indebtedness issued at a price that is less than the principal amount thereof will be equal to the amount of the liability in respect thereof determined in accordance with GAAP.</w:t>
      </w:r>
    </w:p>
    <w:p>
      <w:pPr>
        <w:spacing w:after="0" w:line="138" w:lineRule="exact"/>
        <w:rPr>
          <w:rFonts w:ascii="Times New Roman" w:cs="Times New Roman" w:eastAsia="Times New Roman" w:hAnsi="Times New Roman"/>
          <w:sz w:val="19"/>
          <w:szCs w:val="19"/>
          <w:color w:val="auto"/>
        </w:rPr>
      </w:pPr>
    </w:p>
    <w:p>
      <w:pPr>
        <w:ind w:right="40" w:firstLine="650"/>
        <w:spacing w:after="0" w:line="280" w:lineRule="auto"/>
        <w:tabs>
          <w:tab w:leader="none" w:pos="1034"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an Unrestricted Subsidiary becomes a Restricted Subsidiary, any Indebtedness of such Subsidiary will be deemed to be incurred by a Restricted Subsidiary as of such date.</w:t>
      </w:r>
    </w:p>
    <w:p>
      <w:pPr>
        <w:spacing w:after="0" w:line="138" w:lineRule="exact"/>
        <w:rPr>
          <w:sz w:val="20"/>
          <w:szCs w:val="20"/>
          <w:color w:val="auto"/>
        </w:rPr>
      </w:pPr>
    </w:p>
    <w:p>
      <w:pPr>
        <w:jc w:val="both"/>
        <w:ind w:right="40" w:firstLine="649"/>
        <w:spacing w:after="0" w:line="258" w:lineRule="auto"/>
        <w:rPr>
          <w:sz w:val="20"/>
          <w:szCs w:val="20"/>
          <w:color w:val="auto"/>
        </w:rPr>
      </w:pPr>
      <w:r>
        <w:rPr>
          <w:rFonts w:ascii="Times New Roman" w:cs="Times New Roman" w:eastAsia="Times New Roman" w:hAnsi="Times New Roman"/>
          <w:sz w:val="19"/>
          <w:szCs w:val="19"/>
          <w:color w:val="auto"/>
        </w:rPr>
        <w:t>Notwithstanding any other provision of this Section 4.09, the maximum amount of Indebtedness that the Issuer or a Restricted Subsidiary may incur pursuant to this covenant shall not be deemed to be exceeded solely as a result of fluctuations in the exchange rate of currencies.</w:t>
      </w:r>
    </w:p>
    <w:p>
      <w:pPr>
        <w:spacing w:after="0" w:line="159" w:lineRule="exact"/>
        <w:rPr>
          <w:sz w:val="20"/>
          <w:szCs w:val="20"/>
          <w:color w:val="auto"/>
        </w:rPr>
      </w:pPr>
    </w:p>
    <w:p>
      <w:pPr>
        <w:jc w:val="both"/>
        <w:ind w:right="20" w:firstLine="649"/>
        <w:spacing w:after="0" w:line="233" w:lineRule="auto"/>
        <w:rPr>
          <w:sz w:val="20"/>
          <w:szCs w:val="20"/>
          <w:color w:val="auto"/>
        </w:rPr>
      </w:pPr>
      <w:r>
        <w:rPr>
          <w:rFonts w:ascii="Times New Roman" w:cs="Times New Roman" w:eastAsia="Times New Roman" w:hAnsi="Times New Roman"/>
          <w:sz w:val="19"/>
          <w:szCs w:val="19"/>
          <w:color w:val="auto"/>
        </w:rPr>
        <w:t>Notwithstanding anything to the contrary herein, (i) if any incurrence-based financial ratios or tests (including, without limitation, the Fixed Charge Coverage Ratio, the Consolidated First Lien Secured Net Debt Ratio, the Consolidated Secured Net Debt Ratio or the Consolidated Total Net Debt Ratio) (“</w:t>
      </w:r>
      <w:r>
        <w:rPr>
          <w:rFonts w:ascii="Times New Roman" w:cs="Times New Roman" w:eastAsia="Times New Roman" w:hAnsi="Times New Roman"/>
          <w:sz w:val="19"/>
          <w:szCs w:val="19"/>
          <w:i w:val="1"/>
          <w:iCs w:val="1"/>
          <w:color w:val="auto"/>
        </w:rPr>
        <w:t>Financial Incurrence Tests</w:t>
      </w:r>
      <w:r>
        <w:rPr>
          <w:rFonts w:ascii="Times New Roman" w:cs="Times New Roman" w:eastAsia="Times New Roman" w:hAnsi="Times New Roman"/>
          <w:sz w:val="19"/>
          <w:szCs w:val="19"/>
          <w:color w:val="auto"/>
        </w:rPr>
        <w:t>”) would be satisfied in any subsequent fiscal quarter following the utilization of either (x) fixed baskets, exceptions or thresholds (including any related builder or grower component) that do not require compliance with a financial ratio or test (“</w:t>
      </w:r>
      <w:r>
        <w:rPr>
          <w:rFonts w:ascii="Times New Roman" w:cs="Times New Roman" w:eastAsia="Times New Roman" w:hAnsi="Times New Roman"/>
          <w:sz w:val="19"/>
          <w:szCs w:val="19"/>
          <w:i w:val="1"/>
          <w:iCs w:val="1"/>
          <w:color w:val="auto"/>
        </w:rPr>
        <w:t>Fixed Amounts</w:t>
      </w:r>
      <w:r>
        <w:rPr>
          <w:rFonts w:ascii="Times New Roman" w:cs="Times New Roman" w:eastAsia="Times New Roman" w:hAnsi="Times New Roman"/>
          <w:sz w:val="19"/>
          <w:szCs w:val="19"/>
          <w:color w:val="auto"/>
        </w:rPr>
        <w:t>”) or (y) baskets, exceptions and thresholds that require compliance with a financial ratio or test (including, without limitation, any Fixed Charge Coverage Ratio, Consolidated First Lien Secured Net Debt Ratio, Consolidated Secured Net Debt Ratio or Consolidated Total Net Debt Ratio tests) (any such amounts, “</w:t>
      </w:r>
      <w:r>
        <w:rPr>
          <w:rFonts w:ascii="Times New Roman" w:cs="Times New Roman" w:eastAsia="Times New Roman" w:hAnsi="Times New Roman"/>
          <w:sz w:val="19"/>
          <w:szCs w:val="19"/>
          <w:i w:val="1"/>
          <w:iCs w:val="1"/>
          <w:color w:val="auto"/>
        </w:rPr>
        <w:t>Incurrence- Based Amounts</w:t>
      </w:r>
      <w:r>
        <w:rPr>
          <w:rFonts w:ascii="Times New Roman" w:cs="Times New Roman" w:eastAsia="Times New Roman" w:hAnsi="Times New Roman"/>
          <w:sz w:val="19"/>
          <w:szCs w:val="19"/>
          <w:color w:val="auto"/>
        </w:rPr>
        <w:t xml:space="preserve">”), then the reclassification of actions or transactions(or portions thereof), including the reclassification of utilization of any Fixed Amounts as incurred under any available Incurrence-Based Amounts, shall be deemed to have automatically occurred even if not elected by the Issuer (unless the Issuer otherwise determines) and (ii) in calculating any Incurrence-Based Amounts (including any Financial Incurrence Tests), any amounts incurred, or transactions entered into or consummated, in reliance on a Fixed Amount in a concurrent transaction, a single transaction or a series of related transactions with the amount incurred, or transaction entered into or consummated, under the applicable Incurrence-Based Amount, shall not be given effect in calculating the applicable Incurrence- Based Amount (but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all applicable and related transactions (including the use of proceeds of all Indebtedness to be incurred and any repayments, repurchases and redemptions of Indebtedness) and all other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adjustments made in accordance with this Indenture).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4.10 </w:t>
      </w:r>
      <w:r>
        <w:rPr>
          <w:rFonts w:ascii="Times New Roman" w:cs="Times New Roman" w:eastAsia="Times New Roman" w:hAnsi="Times New Roman"/>
          <w:sz w:val="19"/>
          <w:szCs w:val="19"/>
          <w:u w:val="single" w:color="auto"/>
          <w:color w:val="auto"/>
        </w:rPr>
        <w:t>Asset Sales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1040" w:hanging="390"/>
        <w:spacing w:after="0"/>
        <w:tabs>
          <w:tab w:leader="none" w:pos="104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and shall not permit any of its Restricted Subsidiaries to, consummate an Asset Sale, unless:</w:t>
      </w:r>
    </w:p>
    <w:p>
      <w:pPr>
        <w:spacing w:after="0" w:line="186" w:lineRule="exact"/>
        <w:rPr>
          <w:rFonts w:ascii="Times New Roman" w:cs="Times New Roman" w:eastAsia="Times New Roman" w:hAnsi="Times New Roman"/>
          <w:sz w:val="19"/>
          <w:szCs w:val="19"/>
          <w:color w:val="auto"/>
        </w:rPr>
      </w:pPr>
    </w:p>
    <w:p>
      <w:pPr>
        <w:jc w:val="both"/>
        <w:ind w:left="340" w:right="20" w:firstLine="641"/>
        <w:spacing w:after="0" w:line="251" w:lineRule="auto"/>
        <w:tabs>
          <w:tab w:leader="none" w:pos="1694"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or such Restricted Subsidiary, as the case may be, receives consideration (including by way of relief from, or by any other Person assuming responsibility for, any liabilities, contingent or otherwise) at least equal to the fair market value (at the time of contractually agreeing to such Asset Sale), as determined in good faith by the Issuer, of the assets subject to such Asset Sale; and</w:t>
      </w:r>
    </w:p>
    <w:p>
      <w:pPr>
        <w:spacing w:after="0" w:line="165" w:lineRule="exact"/>
        <w:rPr>
          <w:rFonts w:ascii="Times New Roman" w:cs="Times New Roman" w:eastAsia="Times New Roman" w:hAnsi="Times New Roman"/>
          <w:sz w:val="19"/>
          <w:szCs w:val="19"/>
          <w:color w:val="auto"/>
        </w:rPr>
      </w:pPr>
    </w:p>
    <w:p>
      <w:pPr>
        <w:jc w:val="both"/>
        <w:ind w:left="340" w:right="20" w:firstLine="641"/>
        <w:spacing w:after="0" w:line="237" w:lineRule="auto"/>
        <w:tabs>
          <w:tab w:leader="none" w:pos="1694"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in the case of a Permitted Asset Swap, if the property or assets sold or otherwise disposed have a fair market value in excess of the greater of $271.0 million and 50.0% of LTM EBITDA, at least 75% of the consideration from such Asset Sale, together with all other Asset Sales since the Issue Date (with the percentage of such consideration calculated on a cumulative basis for such Asset Sale and all such other Asset Sales) (including by way of relief from, or by any other Person assuming responsibility for, any liabilities, contingent or otherwise of the type described in clause (a) below) received by the Issuer or such Restricted Subsidiary, as the case may be, is in the form of cash or Cash Equivalents;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of the following will be deemed to be cash or Cash Equivalents for purposes of this clause (2):</w:t>
      </w:r>
    </w:p>
    <w:p>
      <w:pPr>
        <w:spacing w:after="0" w:line="163" w:lineRule="exact"/>
        <w:rPr>
          <w:rFonts w:ascii="Times New Roman" w:cs="Times New Roman" w:eastAsia="Times New Roman" w:hAnsi="Times New Roman"/>
          <w:sz w:val="19"/>
          <w:szCs w:val="19"/>
          <w:color w:val="auto"/>
        </w:rPr>
      </w:pPr>
    </w:p>
    <w:p>
      <w:pPr>
        <w:jc w:val="both"/>
        <w:ind w:left="1300" w:right="40" w:firstLine="647"/>
        <w:spacing w:after="0" w:line="254" w:lineRule="auto"/>
        <w:tabs>
          <w:tab w:leader="none" w:pos="2332"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contingent or otherwise, of the Issuer or such Restricted Subsidiary, other than liabilities that are by their terms subordinated in right of payment to the Notes that (x) are assumed by the transferee of any such assets (or a</w:t>
      </w:r>
    </w:p>
    <w:p>
      <w:pPr>
        <w:ind w:left="1300"/>
        <w:spacing w:after="0" w:line="222" w:lineRule="auto"/>
        <w:rPr>
          <w:sz w:val="20"/>
          <w:szCs w:val="20"/>
          <w:color w:val="auto"/>
        </w:rPr>
      </w:pPr>
      <w:r>
        <w:rPr>
          <w:rFonts w:ascii="Times New Roman" w:cs="Times New Roman" w:eastAsia="Times New Roman" w:hAnsi="Times New Roman"/>
          <w:sz w:val="19"/>
          <w:szCs w:val="19"/>
          <w:color w:val="auto"/>
        </w:rPr>
        <w:t>third party in connection with such transfer) or</w:t>
      </w:r>
    </w:p>
    <w:p>
      <w:pPr>
        <w:spacing w:after="0" w:line="1" w:lineRule="exact"/>
        <w:rPr>
          <w:sz w:val="20"/>
          <w:szCs w:val="20"/>
          <w:color w:val="auto"/>
        </w:rPr>
      </w:pPr>
    </w:p>
    <w:p>
      <w:pPr>
        <w:ind w:left="1300" w:right="20" w:hanging="1"/>
        <w:spacing w:after="0" w:line="243" w:lineRule="auto"/>
        <w:tabs>
          <w:tab w:leader="none" w:pos="1581"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otherwise cancelled or terminated in connection with the transaction with such transferee (other than intercompany debt owed to the Issuer or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780"/>
          </w:cols>
          <w:pgMar w:left="580" w:top="1440" w:right="539" w:bottom="1440" w:gutter="0" w:footer="0" w:header="0"/>
        </w:sectPr>
      </w:pPr>
    </w:p>
    <w:bookmarkStart w:id="160" w:name="page161"/>
    <w:bookmarkEnd w:id="160"/>
    <w:p>
      <w:pPr>
        <w:ind w:left="1300"/>
        <w:spacing w:after="0"/>
        <w:rPr>
          <w:sz w:val="20"/>
          <w:szCs w:val="20"/>
          <w:color w:val="auto"/>
        </w:rPr>
      </w:pPr>
      <w:r>
        <w:rPr>
          <w:rFonts w:ascii="Times New Roman" w:cs="Times New Roman" w:eastAsia="Times New Roman" w:hAnsi="Times New Roman"/>
          <w:sz w:val="19"/>
          <w:szCs w:val="19"/>
          <w:color w:val="auto"/>
        </w:rPr>
        <w:t>and, in each case, for which the Issuer and all of its Restricted Subsidiaries have been released;</w:t>
      </w:r>
    </w:p>
    <w:p>
      <w:pPr>
        <w:spacing w:after="0" w:line="187" w:lineRule="exact"/>
        <w:rPr>
          <w:sz w:val="20"/>
          <w:szCs w:val="20"/>
          <w:color w:val="auto"/>
        </w:rPr>
      </w:pPr>
    </w:p>
    <w:p>
      <w:pPr>
        <w:jc w:val="both"/>
        <w:ind w:left="1300" w:right="20" w:firstLine="647"/>
        <w:spacing w:after="0" w:line="237" w:lineRule="auto"/>
        <w:tabs>
          <w:tab w:leader="none" w:pos="2335" w:val="left"/>
        </w:tabs>
        <w:numPr>
          <w:ilvl w:val="3"/>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securities, notes or other obligations or assets received by the Issuer or such Restricted Subsidiary from such transferee or in connection with such Asset Sale (including earnouts and similar obligations) that are converted by the Issuer or such Restricted Subsidiary into cash or Cash Equivalents (to the extent of the cash or Cash Equivalents received) or by their terms are required to be satisfied for cash or Cash Equivalents within 180 days following the closing of such Asset Sale;</w:t>
      </w:r>
    </w:p>
    <w:p>
      <w:pPr>
        <w:spacing w:after="0" w:line="163" w:lineRule="exact"/>
        <w:rPr>
          <w:rFonts w:ascii="Times New Roman" w:cs="Times New Roman" w:eastAsia="Times New Roman" w:hAnsi="Times New Roman"/>
          <w:sz w:val="19"/>
          <w:szCs w:val="19"/>
          <w:color w:val="auto"/>
        </w:rPr>
      </w:pPr>
    </w:p>
    <w:p>
      <w:pPr>
        <w:jc w:val="both"/>
        <w:ind w:left="1300" w:firstLine="647"/>
        <w:spacing w:after="0" w:line="246" w:lineRule="auto"/>
        <w:tabs>
          <w:tab w:leader="none" w:pos="2335" w:val="left"/>
        </w:tabs>
        <w:numPr>
          <w:ilvl w:val="3"/>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any Restricted Subsidiary that ceases to be a Restricted Subsidiary as a result of such Asset Sale (other than intercompany debt owed to the Issuer or any Restricted Subsidiary), to the extent that the Issuer and each other Restricted Subsidiary are released from any guarantee of payment of the principal amount of such Indebtedness in connection with such Asset Sale;</w:t>
      </w:r>
    </w:p>
    <w:p>
      <w:pPr>
        <w:spacing w:after="0" w:line="157" w:lineRule="exact"/>
        <w:rPr>
          <w:rFonts w:ascii="Times New Roman" w:cs="Times New Roman" w:eastAsia="Times New Roman" w:hAnsi="Times New Roman"/>
          <w:sz w:val="19"/>
          <w:szCs w:val="19"/>
          <w:color w:val="auto"/>
        </w:rPr>
      </w:pPr>
    </w:p>
    <w:p>
      <w:pPr>
        <w:jc w:val="both"/>
        <w:ind w:left="1300" w:right="20" w:firstLine="647"/>
        <w:spacing w:after="0" w:line="258" w:lineRule="auto"/>
        <w:tabs>
          <w:tab w:leader="none" w:pos="2332" w:val="left"/>
        </w:tabs>
        <w:numPr>
          <w:ilvl w:val="3"/>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consideration consisting of Indebtedness of the Issuer (other than intercompany debt owed to the Issuer or any Restricted Subsidiary and other than Subordinated Indebtedness) received after the Issue Date from Persons who are not the Issuer or any Restricted Subsidiary;</w:t>
      </w:r>
    </w:p>
    <w:p>
      <w:pPr>
        <w:spacing w:after="0" w:line="37" w:lineRule="exact"/>
        <w:rPr>
          <w:rFonts w:ascii="Times New Roman" w:cs="Times New Roman" w:eastAsia="Times New Roman" w:hAnsi="Times New Roman"/>
          <w:sz w:val="19"/>
          <w:szCs w:val="19"/>
          <w:color w:val="auto"/>
        </w:rPr>
      </w:pPr>
    </w:p>
    <w:p>
      <w:pPr>
        <w:jc w:val="both"/>
        <w:ind w:left="1300" w:firstLine="647"/>
        <w:spacing w:after="0" w:line="235" w:lineRule="auto"/>
        <w:tabs>
          <w:tab w:leader="none" w:pos="2338" w:val="left"/>
        </w:tabs>
        <w:numPr>
          <w:ilvl w:val="3"/>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Designated Non-cash Consideration received by the Issuer or such Restricted Subsidiary in such Asset Sale having an aggregate fair market value, as determined by the Issuer in good faith, taken together with all other Designated Non-cash Consideration received pursuant to this clause (E) that is at that time outstanding, not to exceed the greater of $217.0 million and 40.0% of LTM EBITDA at the time of the receipt of such Designated Non-cash Consideration (with the fair market value of each such item of Designated Non-cash Consideration being measured pursuant to this clause</w:t>
      </w:r>
    </w:p>
    <w:p>
      <w:pPr>
        <w:spacing w:after="0" w:line="3" w:lineRule="exact"/>
        <w:rPr>
          <w:rFonts w:ascii="Times New Roman" w:cs="Times New Roman" w:eastAsia="Times New Roman" w:hAnsi="Times New Roman"/>
          <w:sz w:val="19"/>
          <w:szCs w:val="19"/>
          <w:color w:val="auto"/>
        </w:rPr>
      </w:pPr>
    </w:p>
    <w:p>
      <w:pPr>
        <w:ind w:left="1300" w:hanging="1"/>
        <w:spacing w:after="0" w:line="243" w:lineRule="auto"/>
        <w:tabs>
          <w:tab w:leader="none" w:pos="1592" w:val="left"/>
        </w:tabs>
        <w:numPr>
          <w:ilvl w:val="2"/>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Issuer’s option, either at the time of contractually agreeing to such Asset Sale or at the time received and, in either case, without giving effect to subsequent changes in value); and</w:t>
      </w:r>
    </w:p>
    <w:p>
      <w:pPr>
        <w:spacing w:after="0" w:line="158" w:lineRule="exact"/>
        <w:rPr>
          <w:rFonts w:ascii="Times New Roman" w:cs="Times New Roman" w:eastAsia="Times New Roman" w:hAnsi="Times New Roman"/>
          <w:sz w:val="19"/>
          <w:szCs w:val="19"/>
          <w:color w:val="auto"/>
        </w:rPr>
      </w:pPr>
    </w:p>
    <w:p>
      <w:pPr>
        <w:ind w:left="2340" w:hanging="393"/>
        <w:spacing w:after="0"/>
        <w:tabs>
          <w:tab w:leader="none" w:pos="2340" w:val="left"/>
        </w:tabs>
        <w:numPr>
          <w:ilvl w:val="3"/>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Capital Stock, assets, property or capital or other expenditure of the kind referred to in clause</w:t>
      </w:r>
    </w:p>
    <w:p>
      <w:pPr>
        <w:spacing w:after="0" w:line="25"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 of Section 4.10(b) hereof.</w:t>
      </w:r>
    </w:p>
    <w:p>
      <w:pPr>
        <w:spacing w:after="0" w:line="171" w:lineRule="exact"/>
        <w:rPr>
          <w:rFonts w:ascii="Times New Roman" w:cs="Times New Roman" w:eastAsia="Times New Roman" w:hAnsi="Times New Roman"/>
          <w:sz w:val="19"/>
          <w:szCs w:val="19"/>
          <w:color w:val="auto"/>
        </w:rPr>
      </w:pPr>
    </w:p>
    <w:p>
      <w:pPr>
        <w:jc w:val="both"/>
        <w:ind w:firstLine="650"/>
        <w:spacing w:after="0" w:line="241" w:lineRule="auto"/>
        <w:tabs>
          <w:tab w:leader="none" w:pos="1031"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540 days after the later of (i) the date of such Asset Sale and (ii) receipt of any Net Proceeds of any such Asset Sale (as may be extended by an Acceptable Commitment or a Second Commitment as set forth below, the “</w:t>
      </w:r>
      <w:r>
        <w:rPr>
          <w:rFonts w:ascii="Times New Roman" w:cs="Times New Roman" w:eastAsia="Times New Roman" w:hAnsi="Times New Roman"/>
          <w:sz w:val="19"/>
          <w:szCs w:val="19"/>
          <w:u w:val="single" w:color="auto"/>
          <w:color w:val="auto"/>
        </w:rPr>
        <w:t>Proceeds Application Period</w:t>
      </w:r>
      <w:r>
        <w:rPr>
          <w:rFonts w:ascii="Times New Roman" w:cs="Times New Roman" w:eastAsia="Times New Roman" w:hAnsi="Times New Roman"/>
          <w:sz w:val="19"/>
          <w:szCs w:val="19"/>
          <w:color w:val="auto"/>
        </w:rPr>
        <w:t>”), the Issuer or such Restricted Subsidiary, at its option, may apply an amount equal to the Applicable Percentage of such Net Proceeds (the “</w:t>
      </w:r>
      <w:r>
        <w:rPr>
          <w:rFonts w:ascii="Times New Roman" w:cs="Times New Roman" w:eastAsia="Times New Roman" w:hAnsi="Times New Roman"/>
          <w:sz w:val="19"/>
          <w:szCs w:val="19"/>
          <w:u w:val="single" w:color="auto"/>
          <w:color w:val="auto"/>
        </w:rPr>
        <w:t>Available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Proceeds</w:t>
      </w:r>
      <w:r>
        <w:rPr>
          <w:rFonts w:ascii="Times New Roman" w:cs="Times New Roman" w:eastAsia="Times New Roman" w:hAnsi="Times New Roman"/>
          <w:sz w:val="19"/>
          <w:szCs w:val="19"/>
          <w:color w:val="auto"/>
        </w:rPr>
        <w:t>”) from such Asset Sale:</w:t>
      </w:r>
    </w:p>
    <w:p>
      <w:pPr>
        <w:spacing w:after="0" w:line="175"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reduce, prepay, repay or purchase:</w:t>
      </w:r>
    </w:p>
    <w:p>
      <w:pPr>
        <w:spacing w:after="0" w:line="213" w:lineRule="exact"/>
        <w:rPr>
          <w:rFonts w:ascii="Times New Roman" w:cs="Times New Roman" w:eastAsia="Times New Roman" w:hAnsi="Times New Roman"/>
          <w:sz w:val="19"/>
          <w:szCs w:val="19"/>
          <w:color w:val="auto"/>
        </w:rPr>
      </w:pPr>
    </w:p>
    <w:p>
      <w:pPr>
        <w:jc w:val="both"/>
        <w:ind w:left="1300" w:firstLine="647"/>
        <w:spacing w:after="0" w:line="234" w:lineRule="auto"/>
        <w:tabs>
          <w:tab w:leader="none" w:pos="2332" w:val="left"/>
        </w:tabs>
        <w:numPr>
          <w:ilvl w:val="3"/>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such Available Proceeds are from an Asset Sale of Collateral, Obligations with Pari Passu Lien Priority (including any Credit Facilities with Pari Passu Lien Priority) or any Refinancing Indebtedness in respect thereof, and, in the case of revolving obligations, to correspondingly reduce commitments with respect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either the Issuer or any Restricted Subsidiary shall so repay any such Indebtedness (other than the Notes), the Issuer shall reduce Obligations under the Notes on a pro rata basis by, at its option, (i) redeeming Notes as provided under Section 3.07 hereof, (ii) purchasing Notes through open-market purchases or (iii) by making an offer (in accordance with the procedures set forth herein for an Asset Sale Offer) to all Holders to purchase their Notes at a purchase price equal to or higher than 100% of the principal amount thereof, plus the amount of accrued but unpaid interest, on the principal amount of the Notes to be repurchased to the date of repurchase;</w:t>
      </w:r>
    </w:p>
    <w:p>
      <w:pPr>
        <w:spacing w:after="0" w:line="161" w:lineRule="exact"/>
        <w:rPr>
          <w:rFonts w:ascii="Times New Roman" w:cs="Times New Roman" w:eastAsia="Times New Roman" w:hAnsi="Times New Roman"/>
          <w:sz w:val="19"/>
          <w:szCs w:val="19"/>
          <w:color w:val="auto"/>
        </w:rPr>
      </w:pPr>
    </w:p>
    <w:p>
      <w:pPr>
        <w:ind w:left="1300" w:firstLine="647"/>
        <w:spacing w:after="0" w:line="265" w:lineRule="auto"/>
        <w:tabs>
          <w:tab w:leader="none" w:pos="2335" w:val="left"/>
        </w:tabs>
        <w:numPr>
          <w:ilvl w:val="3"/>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such Available Proceeds resulted from an Asset Sale not consisting of Collateral (or, at any time obligations under an ABL Facility are outstanding, not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760"/>
          </w:cols>
          <w:pgMar w:left="580" w:top="1423" w:right="559" w:bottom="1440" w:gutter="0" w:footer="0" w:header="0"/>
        </w:sectPr>
      </w:pPr>
    </w:p>
    <w:bookmarkStart w:id="161" w:name="page162"/>
    <w:bookmarkEnd w:id="161"/>
    <w:p>
      <w:pPr>
        <w:spacing w:after="0" w:line="186"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19"/>
          <w:szCs w:val="19"/>
          <w:color w:val="auto"/>
        </w:rPr>
        <w:t>consisting of Notes Priority Collateral), Obligations in respect of other Secured Indebtedness (including the Notes), and, in the case of revolving commitments, to correspondingly reduce commitments with respect thereto;</w:t>
      </w:r>
    </w:p>
    <w:p>
      <w:pPr>
        <w:spacing w:after="0" w:line="166" w:lineRule="exact"/>
        <w:rPr>
          <w:sz w:val="20"/>
          <w:szCs w:val="20"/>
          <w:color w:val="auto"/>
        </w:rPr>
      </w:pPr>
    </w:p>
    <w:p>
      <w:pPr>
        <w:jc w:val="both"/>
        <w:ind w:left="1300" w:firstLine="647"/>
        <w:spacing w:after="0" w:line="235" w:lineRule="auto"/>
        <w:tabs>
          <w:tab w:leader="none" w:pos="2335" w:val="left"/>
        </w:tabs>
        <w:numPr>
          <w:ilvl w:val="1"/>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Obligations in respect of the Notes or any other Indebtedness (other than Subordinated Indebtedness) of the Issuer or any Restricted Subsidiary (and, in the case of revolving commitments, to correspondingly reduce commitments with respect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either the Issuer or any Restricted Subsidiary shall so repay any such Indebtedness (other than the Notes), the Issuer shall reduce Obligations under the Notes on a pro rata basis by, at its option,</w:t>
      </w:r>
    </w:p>
    <w:p>
      <w:pPr>
        <w:spacing w:after="0" w:line="1" w:lineRule="exact"/>
        <w:rPr>
          <w:rFonts w:ascii="Times New Roman" w:cs="Times New Roman" w:eastAsia="Times New Roman" w:hAnsi="Times New Roman"/>
          <w:sz w:val="19"/>
          <w:szCs w:val="19"/>
          <w:color w:val="auto"/>
        </w:rPr>
      </w:pPr>
    </w:p>
    <w:p>
      <w:pPr>
        <w:ind w:left="1540" w:hanging="241"/>
        <w:spacing w:after="0" w:line="237" w:lineRule="auto"/>
        <w:tabs>
          <w:tab w:leader="none" w:pos="15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redeeming Notes as provided under Section 3.07 hereof, (ii) purchasing Notes through open-market purchases or (iii) by</w:t>
      </w:r>
    </w:p>
    <w:p>
      <w:pPr>
        <w:jc w:val="both"/>
        <w:ind w:left="1300"/>
        <w:spacing w:after="0" w:line="235" w:lineRule="auto"/>
        <w:rPr>
          <w:sz w:val="20"/>
          <w:szCs w:val="20"/>
          <w:color w:val="auto"/>
        </w:rPr>
      </w:pPr>
      <w:r>
        <w:rPr>
          <w:rFonts w:ascii="Times New Roman" w:cs="Times New Roman" w:eastAsia="Times New Roman" w:hAnsi="Times New Roman"/>
          <w:sz w:val="19"/>
          <w:szCs w:val="19"/>
          <w:color w:val="auto"/>
        </w:rPr>
        <w:t>making an offer (in accordance with the procedures set forth herein for an Asset Sale Offer) to all Holders to purchase their Notes at a purchase price equal to or higher than 100% of the principal amount thereof, plus the amount of accrued but unpaid interest, on the principal amount of the Notes to be repurchased to the date of repurchase; or</w:t>
      </w:r>
    </w:p>
    <w:p>
      <w:pPr>
        <w:spacing w:after="0" w:line="162" w:lineRule="exact"/>
        <w:rPr>
          <w:sz w:val="20"/>
          <w:szCs w:val="20"/>
          <w:color w:val="auto"/>
        </w:rPr>
      </w:pPr>
    </w:p>
    <w:p>
      <w:pPr>
        <w:ind w:left="1300" w:firstLine="647"/>
        <w:spacing w:after="0" w:line="280" w:lineRule="auto"/>
        <w:tabs>
          <w:tab w:leader="none" w:pos="2332"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in respect of Indebtedness of a Non-Guarantor Subsidiary, other than Indebtedness owed to the Issuer or another Restricted Subsidiary;</w:t>
      </w:r>
    </w:p>
    <w:p>
      <w:pPr>
        <w:spacing w:after="0" w:line="138" w:lineRule="exact"/>
        <w:rPr>
          <w:sz w:val="20"/>
          <w:szCs w:val="20"/>
          <w:color w:val="auto"/>
        </w:rPr>
      </w:pPr>
    </w:p>
    <w:p>
      <w:pPr>
        <w:jc w:val="both"/>
        <w:ind w:left="400"/>
        <w:spacing w:after="0" w:line="239"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in the case of clause (C) of this Section 4.10(b)(1), (i) if an offer to purchase any Indebtedness of the Issuer or any Restricted Subsidiary is made, such amount shall be deemed repaid to the extent of the amount of such offer, whether or not accepted by the holders of such Indebtedness, and no Available Proceeds in the amount of such offer shall be deemed to exist following such offer, and</w:t>
      </w:r>
    </w:p>
    <w:p>
      <w:pPr>
        <w:spacing w:after="0" w:line="2" w:lineRule="exact"/>
        <w:rPr>
          <w:sz w:val="20"/>
          <w:szCs w:val="20"/>
          <w:color w:val="auto"/>
        </w:rPr>
      </w:pPr>
    </w:p>
    <w:p>
      <w:pPr>
        <w:ind w:left="400" w:hanging="9"/>
        <w:spacing w:after="0" w:line="234" w:lineRule="auto"/>
        <w:tabs>
          <w:tab w:leader="none" w:pos="696"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any Indebtedness of a Restricted Subsidiary of the Issuer declines the repayment of such Indebtedness owed to it from such Available Proceeds, such amount shall be deemed repaid to the extent of the declined Available Proceeds; or</w:t>
      </w:r>
    </w:p>
    <w:p>
      <w:pPr>
        <w:spacing w:after="0" w:line="161" w:lineRule="exact"/>
        <w:rPr>
          <w:rFonts w:ascii="Times New Roman" w:cs="Times New Roman" w:eastAsia="Times New Roman" w:hAnsi="Times New Roman"/>
          <w:sz w:val="19"/>
          <w:szCs w:val="19"/>
          <w:color w:val="auto"/>
        </w:rPr>
      </w:pPr>
    </w:p>
    <w:p>
      <w:pPr>
        <w:jc w:val="both"/>
        <w:ind w:left="340" w:firstLine="641"/>
        <w:spacing w:after="0" w:line="231" w:lineRule="auto"/>
        <w:tabs>
          <w:tab w:leader="none" w:pos="1694" w:val="left"/>
        </w:tabs>
        <w:numPr>
          <w:ilvl w:val="1"/>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to invest (including capital expenditures) in or commit to invest in Additional Assets (including by means of an investment in Additional Assets by a Restricted Subsidiary); or (ii) to invest (including capital expenditures) in any one or more businesses, properties or assets that replace the businesses, properties and/or assets that are the subject of such Asset Sale, with any such investment made by way of a capital or other lease valued at the present value of the minimum amount of payments under such lease (as reasonably determined by the Issuer);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this clause (2), a binding commitment shall be treated as a permitted application of the Available Proceeds from the date of such commitment so long as the Issuer or such other Restricted Subsidiary enters into such commitment or intent with the good faith expectation that such Available Proceeds shall be applied to satisfy such commitment within 180 days of such commitment (or, if later, 540 days after the receipt of such Available Proceeds) (an “</w:t>
      </w:r>
      <w:r>
        <w:rPr>
          <w:rFonts w:ascii="Times New Roman" w:cs="Times New Roman" w:eastAsia="Times New Roman" w:hAnsi="Times New Roman"/>
          <w:sz w:val="19"/>
          <w:szCs w:val="19"/>
          <w:i w:val="1"/>
          <w:iCs w:val="1"/>
          <w:color w:val="auto"/>
        </w:rPr>
        <w:t>Acceptable Commitment</w:t>
      </w:r>
      <w:r>
        <w:rPr>
          <w:rFonts w:ascii="Times New Roman" w:cs="Times New Roman" w:eastAsia="Times New Roman" w:hAnsi="Times New Roman"/>
          <w:sz w:val="19"/>
          <w:szCs w:val="19"/>
          <w:color w:val="auto"/>
        </w:rPr>
        <w:t>”) and, in the event any Acceptable Commitment is later cancelled or terminated for any reason before the Available Proceeds are applied in connection therewith, the Issuer or such Restricted Subsidiary enters into another Acceptable Commitment (a “</w:t>
      </w:r>
      <w:r>
        <w:rPr>
          <w:rFonts w:ascii="Times New Roman" w:cs="Times New Roman" w:eastAsia="Times New Roman" w:hAnsi="Times New Roman"/>
          <w:sz w:val="19"/>
          <w:szCs w:val="19"/>
          <w:i w:val="1"/>
          <w:iCs w:val="1"/>
          <w:color w:val="auto"/>
        </w:rPr>
        <w:t>Second Commitment</w:t>
      </w:r>
      <w:r>
        <w:rPr>
          <w:rFonts w:ascii="Times New Roman" w:cs="Times New Roman" w:eastAsia="Times New Roman" w:hAnsi="Times New Roman"/>
          <w:sz w:val="19"/>
          <w:szCs w:val="19"/>
          <w:color w:val="auto"/>
        </w:rPr>
        <w:t xml:space="preserve">”) within 180 days of such cancellation or termination (or, if later, 540 days after the receipt of such Available Proceeds);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if any Second Commitment is later cancelled or terminated for any reason before such Available Proceeds are applied, then such Available Proceeds shall constitute Excess</w:t>
      </w:r>
    </w:p>
    <w:p>
      <w:pPr>
        <w:spacing w:after="0" w:line="8"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Proceeds on the date of such cancellation or termination; or</w:t>
      </w:r>
    </w:p>
    <w:p>
      <w:pPr>
        <w:spacing w:after="0" w:line="198"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combination of the foregoing;</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pending the final application of the amount of any such Available Proceeds pursuant to this Section 4.10, the Issuer or the applicable Restricted Subsidiaries may apply such Available Proceeds temporarily to reduce Indebtedness (including under the Credit Agreement) or otherwise apply such Available Proceeds in any manner not prohibited by this Indenture, and (2) the Issuer (or any Restricted Subsidiary, as the case may be) may elect to invest in Additional Assets prior to receiving the Available Proceeds attributable to any given Asset Sale (provided that such investment shall be made no earlier than execution of a definitive agreement for the relevant Asset Sale, and consummation of the relevant Asset Sale) and deem the amount so invested to be applied pursuant to and in accordance with Section 4.10(b)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 with respect to such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760"/>
          </w:cols>
          <w:pgMar w:left="580" w:top="1440" w:right="559" w:bottom="1440" w:gutter="0" w:footer="0" w:header="0"/>
        </w:sectPr>
      </w:pPr>
    </w:p>
    <w:bookmarkStart w:id="162" w:name="page163"/>
    <w:bookmarkEnd w:id="162"/>
    <w:p>
      <w:pPr>
        <w:spacing w:after="0" w:line="159" w:lineRule="exact"/>
        <w:rPr>
          <w:sz w:val="20"/>
          <w:szCs w:val="20"/>
          <w:color w:val="auto"/>
        </w:rPr>
      </w:pPr>
    </w:p>
    <w:p>
      <w:pPr>
        <w:jc w:val="both"/>
        <w:ind w:right="20" w:firstLine="650"/>
        <w:spacing w:after="0" w:line="266" w:lineRule="auto"/>
        <w:tabs>
          <w:tab w:leader="none" w:pos="103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portion of Net Proceeds or Available Proceeds payable in respect of the Notes is denominated in a currency other than Dollars, the amount thereof payable in respect of the Notes shall not exceed the net amount of funds in Dollars that is actually received by the Issuer upon converting such portion into Dollars.</w:t>
      </w:r>
    </w:p>
    <w:p>
      <w:pPr>
        <w:spacing w:after="0" w:line="29" w:lineRule="exact"/>
        <w:rPr>
          <w:rFonts w:ascii="Times New Roman" w:cs="Times New Roman" w:eastAsia="Times New Roman" w:hAnsi="Times New Roman"/>
          <w:sz w:val="19"/>
          <w:szCs w:val="19"/>
          <w:color w:val="auto"/>
        </w:rPr>
      </w:pPr>
    </w:p>
    <w:p>
      <w:pPr>
        <w:jc w:val="both"/>
        <w:ind w:right="20" w:firstLine="650"/>
        <w:spacing w:after="0" w:line="236" w:lineRule="auto"/>
        <w:tabs>
          <w:tab w:leader="none" w:pos="1031"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provisions of this covenant, (i) to the extent that any of or all the Available Proceeds of any Asset Sale received or deemed to be received by a Foreign Subsidiary (a “ </w:t>
      </w:r>
      <w:r>
        <w:rPr>
          <w:rFonts w:ascii="Times New Roman" w:cs="Times New Roman" w:eastAsia="Times New Roman" w:hAnsi="Times New Roman"/>
          <w:sz w:val="19"/>
          <w:szCs w:val="19"/>
          <w:u w:val="single" w:color="auto"/>
          <w:color w:val="auto"/>
        </w:rPr>
        <w:t>Foreign Disposition</w:t>
      </w:r>
      <w:r>
        <w:rPr>
          <w:rFonts w:ascii="Times New Roman" w:cs="Times New Roman" w:eastAsia="Times New Roman" w:hAnsi="Times New Roman"/>
          <w:sz w:val="19"/>
          <w:szCs w:val="19"/>
          <w:color w:val="auto"/>
        </w:rPr>
        <w:t>”) is (x) prohibited or delayed by applicable local law, (y) restricted by applicable organizational documents or any agreement or (z) subject to other onerous organizational or administrative impediments from being repatriated under applicable local law, an amount equal to the portion of such Net Proceeds so affected shall not be required to be applied in compliance with this covenant, and such amounts shall not be so applied so long, but only so long, as the applicable local law, documents or agreements shall not permit repatriation (the Issuer hereby agrees to use reasonable efforts (as determined in the Issuer’s reasonable business judgment) to otherwise cause the applicable Foreign Subsidiary to within one year following the date on which the respective payment would otherwise have been required, promptly take all actions reasonably required by the applicable local law, applicable organizational impediments or other impediment to permit such repatriation), and if within one year following the date on which the respective payment would otherwise have been required, such repatriation of any of such affected Net Proceeds is permitted under the applicable local law, applicable organizational impediment or other impediment, an amount equal to such Net Proceeds (net of additional Taxes that would be payable or reserved against as a result of such repatriation but only to the extent such Taxes do not reduce Net Proceeds pursuant to the definition thereof) shall be promptly (and in any event not later than five Business Days after such repatriation could be made) applied in compliance with this covenant and (ii) to the extent that the Issuer has determined in good faith that repatriation of any of or all the Net Proceeds of any Foreign Disposition would have an adverse Tax consequence (which for the avoidance of doubt, includes, but is not limited to, any prepayment out of such Net Proceeds whereby doing so the Issuer, any of its Subsidiaries, any Parent Entity or any of their respective affiliates and/or equity owners would incur a Tax liability, including a Tax dividend, deemed dividend pursuant to Code Section 956 or a withholding Tax), an amount equal to the Net Proceeds so affected may be retained by the applicable Foreign Subsidiary. The non-application of any prepayment amounts as a consequence of the foregoing provisions shall not, for the avoidance of doubt, constitute a Default or an Event of Default.</w:t>
      </w:r>
    </w:p>
    <w:p>
      <w:pPr>
        <w:spacing w:after="0" w:line="171" w:lineRule="exact"/>
        <w:rPr>
          <w:rFonts w:ascii="Times New Roman" w:cs="Times New Roman" w:eastAsia="Times New Roman" w:hAnsi="Times New Roman"/>
          <w:sz w:val="19"/>
          <w:szCs w:val="19"/>
          <w:color w:val="auto"/>
        </w:rPr>
      </w:pPr>
    </w:p>
    <w:p>
      <w:pPr>
        <w:jc w:val="both"/>
        <w:ind w:firstLine="650"/>
        <w:spacing w:after="0" w:line="229" w:lineRule="auto"/>
        <w:tabs>
          <w:tab w:leader="none" w:pos="103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 the Available Proceeds from the Asset Sale that are not invested or applied as provided and within the time period set forth in Section 4.10(b) (it being understood that any portion of such Available Proceeds used to make an offer to purchase Notes as described in clauses (b)(1)(A) or (b)(1)(C) of this Section 4.10 shall be deemed to have been so applied whether or not such offer is accepted) exceeds the greater of $216.8 million and 40.0% of LTM EBITDA (such amount of Available Proceeds that are less than or equal to the greater of $216.8 million and 40.0% of LTM EBITDA, “</w:t>
      </w:r>
      <w:r>
        <w:rPr>
          <w:rFonts w:ascii="Times New Roman" w:cs="Times New Roman" w:eastAsia="Times New Roman" w:hAnsi="Times New Roman"/>
          <w:sz w:val="19"/>
          <w:szCs w:val="19"/>
          <w:u w:val="single" w:color="auto"/>
          <w:color w:val="auto"/>
        </w:rPr>
        <w:t>Declined Excess Proceeds</w:t>
      </w:r>
      <w:r>
        <w:rPr>
          <w:rFonts w:ascii="Times New Roman" w:cs="Times New Roman" w:eastAsia="Times New Roman" w:hAnsi="Times New Roman"/>
          <w:sz w:val="19"/>
          <w:szCs w:val="19"/>
          <w:color w:val="auto"/>
        </w:rPr>
        <w:t>,” and such amount of Available Proceeds that are in excess of the greater of $216.8 million and 40.0% of LTM EBITDA, “</w:t>
      </w:r>
      <w:r>
        <w:rPr>
          <w:rFonts w:ascii="Times New Roman" w:cs="Times New Roman" w:eastAsia="Times New Roman" w:hAnsi="Times New Roman"/>
          <w:sz w:val="19"/>
          <w:szCs w:val="19"/>
          <w:u w:val="single" w:color="auto"/>
          <w:color w:val="auto"/>
        </w:rPr>
        <w:t>Excess Proceeds</w:t>
      </w:r>
      <w:r>
        <w:rPr>
          <w:rFonts w:ascii="Times New Roman" w:cs="Times New Roman" w:eastAsia="Times New Roman" w:hAnsi="Times New Roman"/>
          <w:sz w:val="19"/>
          <w:szCs w:val="19"/>
          <w:color w:val="auto"/>
        </w:rPr>
        <w:t xml:space="preserve">”), then subject to the limitations with respect to Foreign Dispositions set forth above, the Issuer shall make an offer (an “ </w:t>
      </w:r>
      <w:r>
        <w:rPr>
          <w:rFonts w:ascii="Times New Roman" w:cs="Times New Roman" w:eastAsia="Times New Roman" w:hAnsi="Times New Roman"/>
          <w:sz w:val="19"/>
          <w:szCs w:val="19"/>
          <w:u w:val="single" w:color="auto"/>
          <w:color w:val="auto"/>
        </w:rPr>
        <w:t>Asset Sale Offer</w:t>
      </w:r>
      <w:r>
        <w:rPr>
          <w:rFonts w:ascii="Times New Roman" w:cs="Times New Roman" w:eastAsia="Times New Roman" w:hAnsi="Times New Roman"/>
          <w:sz w:val="19"/>
          <w:szCs w:val="19"/>
          <w:color w:val="auto"/>
        </w:rPr>
        <w:t xml:space="preserve">”) to all Holders of the Notes and, at the option of the Issuer, to any holders of any Pari Passu Indebtedness, to purchase the maximum aggregate principal amount of the Notes and such Pari Passu Indebtedness that is, in the case of the Notes, in an amount equal to at least $2,000 or an integral multiple of $1,000 in excess thereof, that may be purchased out of the Excess Proceeds at an offer price, in the case of the Notes, in cash in an amount equal to 100.0% of the principal amount thereof (or accreted value thereof, if less),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interest, thereon to, but excluding, the date fixed for the closing of such offer, in accordance with the procedures set forth in this Indenture (and, in respect of such Pari Passu Indebtedness, such other price, if any, as may be provided for by the terms of such Pari Passu Indebtedness). The Issuer shall commence an Asset Sale Offer with respect to Excess Proceeds within 30 days after the expiration of the Proceeds Application Period by delivering the notice required pursuant to the terms of this Indenture, with a copy to the Trustee and the Paying Agent. The Issuer may, at its option, satisfy the foregoing obligations with respect to any Available Proceeds from an Asset Sale by making an Asset Sale Offer with respect to such Available Proceeds prior to the expiration of the Proceeds Application Period (the “</w:t>
      </w:r>
      <w:r>
        <w:rPr>
          <w:rFonts w:ascii="Times New Roman" w:cs="Times New Roman" w:eastAsia="Times New Roman" w:hAnsi="Times New Roman"/>
          <w:sz w:val="19"/>
          <w:szCs w:val="19"/>
          <w:u w:val="single" w:color="auto"/>
          <w:color w:val="auto"/>
        </w:rPr>
        <w:t>Advance Offer</w:t>
      </w:r>
      <w:r>
        <w:rPr>
          <w:rFonts w:ascii="Times New Roman" w:cs="Times New Roman" w:eastAsia="Times New Roman" w:hAnsi="Times New Roman"/>
          <w:sz w:val="19"/>
          <w:szCs w:val="19"/>
          <w:color w:val="auto"/>
        </w:rPr>
        <w:t>”) with respect to all or a part of the Available Proceeds (the “</w:t>
      </w:r>
      <w:r>
        <w:rPr>
          <w:rFonts w:ascii="Times New Roman" w:cs="Times New Roman" w:eastAsia="Times New Roman" w:hAnsi="Times New Roman"/>
          <w:sz w:val="19"/>
          <w:szCs w:val="19"/>
          <w:u w:val="single" w:color="auto"/>
          <w:color w:val="auto"/>
        </w:rPr>
        <w:t>Advance Portion</w:t>
      </w:r>
      <w:r>
        <w:rPr>
          <w:rFonts w:ascii="Times New Roman" w:cs="Times New Roman" w:eastAsia="Times New Roman" w:hAnsi="Times New Roman"/>
          <w:sz w:val="19"/>
          <w:szCs w:val="19"/>
          <w:color w:val="auto"/>
        </w:rPr>
        <w:t>”) in advance of being required to do so by this Indenture or with respect to</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Declined Excess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780"/>
          </w:cols>
          <w:pgMar w:left="580" w:top="1440" w:right="539" w:bottom="1440" w:gutter="0" w:footer="0" w:header="0"/>
        </w:sectPr>
      </w:pPr>
    </w:p>
    <w:bookmarkStart w:id="163" w:name="page164"/>
    <w:bookmarkEnd w:id="163"/>
    <w:p>
      <w:pPr>
        <w:spacing w:after="0" w:line="172" w:lineRule="exact"/>
        <w:rPr>
          <w:sz w:val="20"/>
          <w:szCs w:val="20"/>
          <w:color w:val="auto"/>
        </w:rPr>
      </w:pPr>
    </w:p>
    <w:p>
      <w:pPr>
        <w:jc w:val="both"/>
        <w:ind w:right="100" w:firstLine="650"/>
        <w:spacing w:after="0" w:line="232" w:lineRule="auto"/>
        <w:tabs>
          <w:tab w:leader="none" w:pos="104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the aggregate principal amount (or accreted value, as applicable) of Notes and such Pari Passu Indebtedness tendered pursuant to an Asset Sale Offer is less than the Excess Proceeds (or in the case of an Advance Offer, the Advance Portion), the Issuer may include any remaining Excess Proceeds (or in the case of an Advance Offer, the Advance Portion) in Declined Excess Proceeds, and use such Declined Excess Proceeds for any purpose not otherwise prohibited by this Indenture. If the aggregate principal amount (or accreted value, as applicable) of Notes or the Pari Passu Indebtedness surrendered by such holders thereof exceeds the amount of Excess Proceeds (or, in the case of an Advance Offer, the Advance Portion), the Issuer shall select the Notes (while the Notes are in global form, pursuant to the Applicable Procedures of the Depositary) and such Pari Passu Indebtedness to be purchased on a pro rata basis based on the accreted value or aggregate principal amount of the Notes or such Pari Passu Indebtedness tendered;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Notes shall be selected and purchased in an unauthorized denomination. Upon completion of any such Asset Sale Offer, the amount of Available Proceeds and Excess Proceeds(or in the case of an Advance Offer, the Advance Portion) shall be reset to zero. An Asset Sale Offer may be made at the same time as consents are solicited with respect to an amendment, supplement or waiver of this Indenture, Notes and/or Note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(but the Asset Sale Offer may not condition tenders on the delivery of such consents).</w:t>
      </w:r>
    </w:p>
    <w:p>
      <w:pPr>
        <w:spacing w:after="0" w:line="185" w:lineRule="exact"/>
        <w:rPr>
          <w:rFonts w:ascii="Times New Roman" w:cs="Times New Roman" w:eastAsia="Times New Roman" w:hAnsi="Times New Roman"/>
          <w:sz w:val="19"/>
          <w:szCs w:val="19"/>
          <w:color w:val="auto"/>
        </w:rPr>
      </w:pPr>
    </w:p>
    <w:p>
      <w:pPr>
        <w:jc w:val="both"/>
        <w:ind w:right="100" w:firstLine="650"/>
        <w:spacing w:after="0" w:line="251" w:lineRule="auto"/>
        <w:tabs>
          <w:tab w:leader="none" w:pos="1031"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notice to Holders, if sent in a manner herein provided, shall be conclusively presumed to have been given, whether or not the Holder receives such notice. If (A) the notice is sent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 The Issuer shall comply with the requirements of Rule 14e-1 under the Exchange Act and any other securities laws and regulations thereunder to the extent such laws or regulations are applicable in connection with the repurchase of the Notes pursuant to an Asset Sale Offer. To the extent that the provisions of any securities laws or regulations conflict with the provisions of this Indenture, the Issuer shall comply with the applicable securities laws and regulations and shall not be deemed to have breached its obligations described in this Indenture by virtue thereof. The Issuer may rely on any no-action letters issued by the SEC indicating that the staff of the SEC will not recommend enforcement action in the event a tender offer satisfies certain conditions.</w:t>
      </w:r>
    </w:p>
    <w:p>
      <w:pPr>
        <w:spacing w:after="0" w:line="185" w:lineRule="exact"/>
        <w:rPr>
          <w:rFonts w:ascii="Times New Roman" w:cs="Times New Roman" w:eastAsia="Times New Roman" w:hAnsi="Times New Roman"/>
          <w:sz w:val="19"/>
          <w:szCs w:val="19"/>
          <w:color w:val="auto"/>
        </w:rPr>
      </w:pPr>
    </w:p>
    <w:p>
      <w:pPr>
        <w:jc w:val="both"/>
        <w:ind w:right="100" w:firstLine="650"/>
        <w:spacing w:after="0" w:line="244" w:lineRule="auto"/>
        <w:tabs>
          <w:tab w:leader="none" w:pos="1031"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hereunder relating to the Issuer’s obligation to make an offer to repurchase the Notes as a result of an Asset Sale may be waived or modified in accordance with Section 9.02 hereof (at any time, including after the Issuer’s obligations to make an Asset Sale Offer have arisen) with the written consent of the Holders of a majority in aggregate principal amount of the Notes then outstanding.</w:t>
      </w:r>
    </w:p>
    <w:p>
      <w:pPr>
        <w:spacing w:after="0" w:line="17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4.11</w:t>
      </w:r>
      <w:r>
        <w:rPr>
          <w:sz w:val="20"/>
          <w:szCs w:val="20"/>
          <w:color w:val="auto"/>
        </w:rPr>
        <w:tab/>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00" w:firstLine="650"/>
        <w:spacing w:after="0" w:line="266" w:lineRule="auto"/>
        <w:tabs>
          <w:tab w:leader="none" w:pos="103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and shall not permit any of its Restricted Subsidiaries to, enter into or conduct any transaction with any Affiliate of the Issuer (each of the foregoing, an “</w:t>
      </w:r>
      <w:r>
        <w:rPr>
          <w:rFonts w:ascii="Times New Roman" w:cs="Times New Roman" w:eastAsia="Times New Roman" w:hAnsi="Times New Roman"/>
          <w:sz w:val="19"/>
          <w:szCs w:val="19"/>
          <w:u w:val="single" w:color="auto"/>
          <w:color w:val="auto"/>
        </w:rPr>
        <w:t>Affiliate Transaction</w:t>
      </w:r>
      <w:r>
        <w:rPr>
          <w:rFonts w:ascii="Times New Roman" w:cs="Times New Roman" w:eastAsia="Times New Roman" w:hAnsi="Times New Roman"/>
          <w:sz w:val="19"/>
          <w:szCs w:val="19"/>
          <w:color w:val="auto"/>
        </w:rPr>
        <w:t>”) involving aggregate payments or consideration in excess of the greater of $54.2 million and 10.0% of LTM EBITDA, unless:</w:t>
      </w:r>
    </w:p>
    <w:p>
      <w:pPr>
        <w:spacing w:after="0" w:line="164" w:lineRule="exact"/>
        <w:rPr>
          <w:rFonts w:ascii="Times New Roman" w:cs="Times New Roman" w:eastAsia="Times New Roman" w:hAnsi="Times New Roman"/>
          <w:sz w:val="19"/>
          <w:szCs w:val="19"/>
          <w:color w:val="auto"/>
        </w:rPr>
      </w:pPr>
    </w:p>
    <w:p>
      <w:pPr>
        <w:jc w:val="both"/>
        <w:ind w:left="340" w:right="140" w:firstLine="641"/>
        <w:spacing w:after="0" w:line="264" w:lineRule="auto"/>
        <w:tabs>
          <w:tab w:leader="none" w:pos="169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Affiliate Transaction taken as a whole is on terms that are not materially less favorable to the Issuer or its relevant Restricted Subsidiary, as the case may be, than those that could be obtained in a comparable transaction at the time of such transaction or the execution of the agreement providing for such transaction in arm’s length dealings with a Person who is not such an Affiliate; and</w:t>
      </w:r>
    </w:p>
    <w:p>
      <w:pPr>
        <w:spacing w:after="0" w:line="140" w:lineRule="exact"/>
        <w:rPr>
          <w:rFonts w:ascii="Times New Roman" w:cs="Times New Roman" w:eastAsia="Times New Roman" w:hAnsi="Times New Roman"/>
          <w:sz w:val="18"/>
          <w:szCs w:val="18"/>
          <w:color w:val="auto"/>
        </w:rPr>
      </w:pPr>
    </w:p>
    <w:p>
      <w:pPr>
        <w:ind w:left="1620" w:hanging="638"/>
        <w:spacing w:after="0"/>
        <w:tabs>
          <w:tab w:leader="none" w:pos="1620"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such Affiliate Transaction involves an aggregate value in excess of the greater of</w:t>
      </w:r>
    </w:p>
    <w:p>
      <w:pPr>
        <w:spacing w:after="0" w:line="18" w:lineRule="exact"/>
        <w:rPr>
          <w:sz w:val="20"/>
          <w:szCs w:val="20"/>
          <w:color w:val="auto"/>
        </w:rPr>
      </w:pPr>
    </w:p>
    <w:p>
      <w:pPr>
        <w:ind w:left="340" w:right="240"/>
        <w:spacing w:after="0" w:line="273" w:lineRule="auto"/>
        <w:rPr>
          <w:sz w:val="20"/>
          <w:szCs w:val="20"/>
          <w:color w:val="auto"/>
        </w:rPr>
      </w:pPr>
      <w:r>
        <w:rPr>
          <w:rFonts w:ascii="Times New Roman" w:cs="Times New Roman" w:eastAsia="Times New Roman" w:hAnsi="Times New Roman"/>
          <w:sz w:val="19"/>
          <w:szCs w:val="19"/>
          <w:color w:val="auto"/>
        </w:rPr>
        <w:t>$81.3 million and 15.0% of LTM EBITDA, the terms of such transaction have been approved by a majority of the Board of Directors of the Issuer.</w:t>
      </w:r>
    </w:p>
    <w:p>
      <w:pPr>
        <w:spacing w:after="0" w:line="117" w:lineRule="exact"/>
        <w:rPr>
          <w:sz w:val="20"/>
          <w:szCs w:val="20"/>
          <w:color w:val="auto"/>
        </w:rPr>
      </w:pPr>
    </w:p>
    <w:p>
      <w:pPr>
        <w:ind w:left="340"/>
        <w:spacing w:after="0" w:line="280" w:lineRule="auto"/>
        <w:rPr>
          <w:sz w:val="20"/>
          <w:szCs w:val="20"/>
          <w:color w:val="auto"/>
        </w:rPr>
      </w:pPr>
      <w:r>
        <w:rPr>
          <w:rFonts w:ascii="Times New Roman" w:cs="Times New Roman" w:eastAsia="Times New Roman" w:hAnsi="Times New Roman"/>
          <w:sz w:val="19"/>
          <w:szCs w:val="19"/>
          <w:color w:val="auto"/>
        </w:rPr>
        <w:t>Any Affiliate Transaction shall be deemed to have satisfied the requirements set forth in this Section 4.11(a) if such Affiliate Transaction is approved by a majority of the Disinterested Directors of the Issuer, if any.</w:t>
      </w:r>
    </w:p>
    <w:p>
      <w:pPr>
        <w:spacing w:after="0" w:line="125" w:lineRule="exact"/>
        <w:rPr>
          <w:sz w:val="20"/>
          <w:szCs w:val="20"/>
          <w:color w:val="auto"/>
        </w:rPr>
      </w:pPr>
    </w:p>
    <w:p>
      <w:pPr>
        <w:ind w:left="1280" w:hanging="629"/>
        <w:spacing w:after="0"/>
        <w:tabs>
          <w:tab w:leader="none" w:pos="128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Section 4.11(a) hereof shall not apply to the following:</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42" w:lineRule="exact"/>
        <w:rPr>
          <w:rFonts w:ascii="Times New Roman" w:cs="Times New Roman" w:eastAsia="Times New Roman" w:hAnsi="Times New Roman"/>
          <w:sz w:val="19"/>
          <w:szCs w:val="19"/>
          <w:color w:val="auto"/>
        </w:rPr>
      </w:pPr>
    </w:p>
    <w:p>
      <w:pPr>
        <w:ind w:left="51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-109-</w:t>
      </w:r>
    </w:p>
    <w:p>
      <w:pPr>
        <w:sectPr>
          <w:pgSz w:w="11900" w:h="16838" w:orient="portrait"/>
          <w:cols w:equalWidth="0" w:num="1">
            <w:col w:w="10860"/>
          </w:cols>
          <w:pgMar w:left="580" w:top="1440" w:right="459" w:bottom="1440" w:gutter="0" w:footer="0" w:header="0"/>
        </w:sectPr>
      </w:pPr>
    </w:p>
    <w:bookmarkStart w:id="164" w:name="page165"/>
    <w:bookmarkEnd w:id="164"/>
    <w:p>
      <w:pPr>
        <w:spacing w:after="0" w:line="172" w:lineRule="exact"/>
        <w:rPr>
          <w:sz w:val="20"/>
          <w:szCs w:val="20"/>
          <w:color w:val="auto"/>
        </w:rPr>
      </w:pPr>
    </w:p>
    <w:p>
      <w:pPr>
        <w:ind w:left="7" w:right="20" w:firstLine="641"/>
        <w:spacing w:after="0" w:line="255" w:lineRule="auto"/>
        <w:tabs>
          <w:tab w:leader="none" w:pos="1361"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transactions between or among the Issuer, any Restricted Subsidiary and/or any entity that becomes a Restricted Subsidiary as a result of such transaction, or between or among Restricted Subsidiaries and</w:t>
      </w:r>
    </w:p>
    <w:p>
      <w:pPr>
        <w:spacing w:after="0" w:line="1" w:lineRule="exact"/>
        <w:rPr>
          <w:rFonts w:ascii="Times New Roman" w:cs="Times New Roman" w:eastAsia="Times New Roman" w:hAnsi="Times New Roman"/>
          <w:sz w:val="19"/>
          <w:szCs w:val="19"/>
          <w:color w:val="auto"/>
        </w:rPr>
      </w:pPr>
    </w:p>
    <w:p>
      <w:pPr>
        <w:ind w:left="7" w:right="140" w:hanging="7"/>
        <w:spacing w:after="0" w:line="229" w:lineRule="auto"/>
        <w:tabs>
          <w:tab w:leader="none" w:pos="275"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merger, amalgamation or consolidation with any Parent Entity;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Parent Entity shall have no material liabilities and no material assets other than cash, Cash Equivalents and the Capital Stock of the Issuer</w:t>
      </w:r>
    </w:p>
    <w:p>
      <w:pPr>
        <w:spacing w:after="0" w:line="1" w:lineRule="exact"/>
        <w:rPr>
          <w:rFonts w:ascii="Times New Roman" w:cs="Times New Roman" w:eastAsia="Times New Roman" w:hAnsi="Times New Roman"/>
          <w:sz w:val="19"/>
          <w:szCs w:val="19"/>
          <w:color w:val="auto"/>
        </w:rPr>
      </w:pPr>
    </w:p>
    <w:p>
      <w:pPr>
        <w:ind w:left="7"/>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such merger, amalgamation or consolidation is otherwise permitted under this Indenture;</w:t>
      </w:r>
    </w:p>
    <w:p>
      <w:pPr>
        <w:spacing w:after="0" w:line="180" w:lineRule="exact"/>
        <w:rPr>
          <w:rFonts w:ascii="Times New Roman" w:cs="Times New Roman" w:eastAsia="Times New Roman" w:hAnsi="Times New Roman"/>
          <w:sz w:val="19"/>
          <w:szCs w:val="19"/>
          <w:color w:val="auto"/>
        </w:rPr>
      </w:pPr>
    </w:p>
    <w:p>
      <w:pPr>
        <w:ind w:left="7" w:right="20" w:firstLine="641"/>
        <w:spacing w:after="0" w:line="280" w:lineRule="auto"/>
        <w:tabs>
          <w:tab w:leader="none" w:pos="1361"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Payments or other transactions permitted to be made or undertaken by the provisions of this Indenture described in Section 4.07 hereof (including Permitted Payments) and the definition of “Permitted Investments”;</w:t>
      </w:r>
    </w:p>
    <w:p>
      <w:pPr>
        <w:spacing w:after="0" w:line="138" w:lineRule="exact"/>
        <w:rPr>
          <w:rFonts w:ascii="Times New Roman" w:cs="Times New Roman" w:eastAsia="Times New Roman" w:hAnsi="Times New Roman"/>
          <w:sz w:val="19"/>
          <w:szCs w:val="19"/>
          <w:color w:val="auto"/>
        </w:rPr>
      </w:pPr>
    </w:p>
    <w:p>
      <w:pPr>
        <w:jc w:val="both"/>
        <w:ind w:left="7" w:firstLine="641"/>
        <w:spacing w:after="0" w:line="234" w:lineRule="auto"/>
        <w:tabs>
          <w:tab w:leader="none" w:pos="1361"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management, consulting, monitoring, refinancing, transaction, advisory, indemnities and other fees, costs and expenses to any Permitted Holder (whether directly or indirectly), including to its affiliates or its designees, pursuant to any management services or similar agreements or the management services or other relevant provisions in an investor rights agreement, limited partnership agreement, limited liability company agreement or other equityholders’ agreement, as the case may be, as in effect from time to time (plus any unpaid management, consulting, monitoring, refinancing, transaction, advisory, indemnities and other fees, costs and expenses accrued in any prior year) and any exit and termination fees (including any such cash lump sum or present value fee upon the consummation of a corporate event, including an initial public offering) pursuant to such agreement, in each case as in effect on the Issue Date or any amendment thereto or replacement thereof (so long as any such amendment or replacement is not materially disadvantageous, in the good faith judgment of the Board of Directors of the Issuer, to the Holders when taken as a whole as compared to the management services or similar agreements in effect immediately prior to such amendment or replacement);</w:t>
      </w:r>
    </w:p>
    <w:p>
      <w:pPr>
        <w:spacing w:after="0" w:line="29" w:lineRule="exact"/>
        <w:rPr>
          <w:rFonts w:ascii="Times New Roman" w:cs="Times New Roman" w:eastAsia="Times New Roman" w:hAnsi="Times New Roman"/>
          <w:sz w:val="19"/>
          <w:szCs w:val="19"/>
          <w:color w:val="auto"/>
        </w:rPr>
      </w:pPr>
    </w:p>
    <w:p>
      <w:pPr>
        <w:jc w:val="both"/>
        <w:ind w:left="7" w:right="20" w:firstLine="641"/>
        <w:spacing w:after="0" w:line="252" w:lineRule="auto"/>
        <w:tabs>
          <w:tab w:leader="none" w:pos="1361"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fees, costs, compensation and expenses paid to, and indemnities (including under insurance policies) and reimbursements, employment and severance arrangements and employee benefit and pension expenses provided on behalf of, or for the benefit of, future, current or former directors, employees, officers, managers, contractors, distributors, advisors or consultants (or their respective Controlled Investment Affiliates or Immediate Family Members) of the Issuer, any of its Restricted Subsidiaries or any Parent Entity (whether directly or indirectly and including through their Controlled Investment Affiliates or Immediate Family Members);</w:t>
      </w:r>
    </w:p>
    <w:p>
      <w:pPr>
        <w:spacing w:after="0" w:line="162" w:lineRule="exact"/>
        <w:rPr>
          <w:rFonts w:ascii="Times New Roman" w:cs="Times New Roman" w:eastAsia="Times New Roman" w:hAnsi="Times New Roman"/>
          <w:sz w:val="19"/>
          <w:szCs w:val="19"/>
          <w:color w:val="auto"/>
        </w:rPr>
      </w:pPr>
    </w:p>
    <w:p>
      <w:pPr>
        <w:jc w:val="both"/>
        <w:ind w:left="7" w:right="20" w:firstLine="641"/>
        <w:spacing w:after="0" w:line="244" w:lineRule="auto"/>
        <w:tabs>
          <w:tab w:leader="none" w:pos="1361"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in which the Issuer or any of its Restricted Subsidiaries, as the case may be, delivers to the Trustee a letter from an Independent Financial Advisor stating that such transaction is fair to the Issuer or such Restricted Subsidiary from a financial point of view or stating that such transaction meets the requirements of clause (1) of Section 4.11(a);</w:t>
      </w:r>
    </w:p>
    <w:p>
      <w:pPr>
        <w:spacing w:after="0" w:line="157" w:lineRule="exact"/>
        <w:rPr>
          <w:rFonts w:ascii="Times New Roman" w:cs="Times New Roman" w:eastAsia="Times New Roman" w:hAnsi="Times New Roman"/>
          <w:sz w:val="19"/>
          <w:szCs w:val="19"/>
          <w:color w:val="auto"/>
        </w:rPr>
      </w:pPr>
    </w:p>
    <w:p>
      <w:pPr>
        <w:jc w:val="both"/>
        <w:ind w:left="7" w:firstLine="641"/>
        <w:spacing w:after="0" w:line="237" w:lineRule="auto"/>
        <w:tabs>
          <w:tab w:leader="none" w:pos="1361"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entry into and performance of obligations of the Issuer or any of its Restricted Subsidiaries under the terms of any transaction arising out of, and any payments pursuant to or for purposes of funding, any agreement or arrangement as in effect as of the Issue Date, or any amendment, modification, supplement, extension, renewal, refinancing or replacement thereof in accordance with the other terms of this covenant or so long as any such amendment, modification, supplement, extension, renewal, refinancing or replacement is not disadvantageous in any material respect to the Holders when taken as a whole as compared to the applicable agreement as in effect on the Issue Date and performance of obligations thereunder;</w:t>
      </w:r>
    </w:p>
    <w:p>
      <w:pPr>
        <w:spacing w:after="0" w:line="177" w:lineRule="exact"/>
        <w:rPr>
          <w:rFonts w:ascii="Times New Roman" w:cs="Times New Roman" w:eastAsia="Times New Roman" w:hAnsi="Times New Roman"/>
          <w:sz w:val="19"/>
          <w:szCs w:val="19"/>
          <w:color w:val="auto"/>
        </w:rPr>
      </w:pPr>
    </w:p>
    <w:p>
      <w:pPr>
        <w:jc w:val="both"/>
        <w:ind w:left="7" w:firstLine="641"/>
        <w:spacing w:after="0" w:line="235" w:lineRule="auto"/>
        <w:tabs>
          <w:tab w:leader="none" w:pos="1361"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existence of, or the performance, by the Issuer or any of its Restricted Subsidiaries of its obligations under the terms of, any equityholders, investor rights or similar agreement (including any registration rights agreement or purchase agreement related thereto) to which it is a party as of the Issue Date and any similar agreements which it (or any Parent Entity) may enter into thereafter;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existence of, or the performance by the Issuer or any of its Restricted Subsidiaries (or any Parent Entity) of obligations under any future amendment to any such existing agreement or under any similar agreement entered into after the Issue Date shall only be permitted by this clause (7) to the extent that the terms of any such existing agreement together with all amendments thereto are not otherwise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427"/>
          </w:cols>
          <w:pgMar w:left="913" w:top="1440" w:right="559" w:bottom="1440" w:gutter="0" w:footer="0" w:header="0"/>
        </w:sectPr>
      </w:pPr>
    </w:p>
    <w:bookmarkStart w:id="165" w:name="page166"/>
    <w:bookmarkEnd w:id="165"/>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disadvantageous in any material respect to the Holders when taken as a whole than those in effect on the Issue Date;</w:t>
      </w:r>
    </w:p>
    <w:p>
      <w:pPr>
        <w:spacing w:after="0" w:line="187" w:lineRule="exact"/>
        <w:rPr>
          <w:sz w:val="20"/>
          <w:szCs w:val="20"/>
          <w:color w:val="auto"/>
        </w:rPr>
      </w:pPr>
    </w:p>
    <w:p>
      <w:pPr>
        <w:jc w:val="both"/>
        <w:ind w:right="20" w:firstLine="641"/>
        <w:spacing w:after="0" w:line="241" w:lineRule="auto"/>
        <w:tabs>
          <w:tab w:leader="none" w:pos="1354"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with customers, vendors, clients, suppliers, contractors, joint venture partners, distributors or purchasers or sellers of goods or services, in each case in the ordinary course of business or consistent with past practice or industry practice, and which are fair to the Issuer and its Restricted Subsidiaries, in the reasonable determination of the Issuer, or are on terms, taken as a whole, that are not materially less favorable as might reasonably have been obtained at such time from an unaffiliated party;</w:t>
      </w:r>
    </w:p>
    <w:p>
      <w:pPr>
        <w:spacing w:after="0" w:line="175" w:lineRule="exact"/>
        <w:rPr>
          <w:rFonts w:ascii="Times New Roman" w:cs="Times New Roman" w:eastAsia="Times New Roman" w:hAnsi="Times New Roman"/>
          <w:sz w:val="19"/>
          <w:szCs w:val="19"/>
          <w:color w:val="auto"/>
        </w:rPr>
      </w:pPr>
    </w:p>
    <w:p>
      <w:pPr>
        <w:jc w:val="both"/>
        <w:ind w:firstLine="641"/>
        <w:spacing w:after="0" w:line="237" w:lineRule="auto"/>
        <w:tabs>
          <w:tab w:leader="none" w:pos="1354"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transfer or sale of (a) Equity Interests or other payments, awards or grants in cash, securities or otherwise to any Parent Entity, Permitted Holder or to any future, current or former director, officer, employee, manager, contractor, consultant or advisor (or their respective Controlled Investment Affiliates or Immediate Family Members) of the Issuer, any Parent Entity or any of its Subsidiaries and issuances of Equity Interests of the Issuer to the extent otherwise permitted by this Indenture and (b) directors’ qualifying shares and shares issued to foreign nationals as required under applicable law;</w:t>
      </w:r>
    </w:p>
    <w:p>
      <w:pPr>
        <w:spacing w:after="0" w:line="176" w:lineRule="exact"/>
        <w:rPr>
          <w:rFonts w:ascii="Times New Roman" w:cs="Times New Roman" w:eastAsia="Times New Roman" w:hAnsi="Times New Roman"/>
          <w:sz w:val="19"/>
          <w:szCs w:val="19"/>
          <w:color w:val="auto"/>
        </w:rPr>
      </w:pPr>
    </w:p>
    <w:p>
      <w:pPr>
        <w:ind w:right="20" w:firstLine="641"/>
        <w:spacing w:after="0" w:line="265" w:lineRule="auto"/>
        <w:tabs>
          <w:tab w:leader="none" w:pos="1354"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accounts receivable, or participations therein, Receivables Assets or related assets in connection with any Receivables Facility;</w:t>
      </w:r>
    </w:p>
    <w:p>
      <w:pPr>
        <w:spacing w:after="0" w:line="152" w:lineRule="exact"/>
        <w:rPr>
          <w:rFonts w:ascii="Times New Roman" w:cs="Times New Roman" w:eastAsia="Times New Roman" w:hAnsi="Times New Roman"/>
          <w:sz w:val="19"/>
          <w:szCs w:val="19"/>
          <w:color w:val="auto"/>
        </w:rPr>
      </w:pPr>
    </w:p>
    <w:p>
      <w:pPr>
        <w:jc w:val="both"/>
        <w:ind w:firstLine="641"/>
        <w:spacing w:after="0"/>
        <w:tabs>
          <w:tab w:leader="none" w:pos="1347"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by the Issuer or any of its Restricted Subsidiaries to any Permitted Holder (whether directly or indirectly, including through any Parent Entity) made for any financial advisory, consulting, financing, underwriting or placement services or in respect of other investment banking activities (including, without limitation, in connection with acquisitions, divestitures or financing), which payments are approved by a majority of the Board of Directors of the Issuer in good faith or a majority of the Disinterested Directors of the Issuer in good faith;</w:t>
      </w:r>
    </w:p>
    <w:p>
      <w:pPr>
        <w:spacing w:after="0" w:line="41" w:lineRule="exact"/>
        <w:rPr>
          <w:rFonts w:ascii="Times New Roman" w:cs="Times New Roman" w:eastAsia="Times New Roman" w:hAnsi="Times New Roman"/>
          <w:sz w:val="19"/>
          <w:szCs w:val="19"/>
          <w:color w:val="auto"/>
        </w:rPr>
      </w:pPr>
    </w:p>
    <w:p>
      <w:pPr>
        <w:jc w:val="both"/>
        <w:ind w:firstLine="641"/>
        <w:spacing w:after="0" w:line="245" w:lineRule="auto"/>
        <w:tabs>
          <w:tab w:leader="none" w:pos="1354"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Indebtedness and Disqualified Stock (and cancellation of any thereof) of the Issuer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Issuer, any of its Subsidiaries or any Parent Entity pursuant to any management equity plan or stock option plan, phantom equity plan or any other management or employee benefit plan or other compensatory plan or agreement or any stock subscription or shareholder agreement, and any employment agreements, termination or severance agreement, stock option plans and other compensatory arrangements (and any successor plans thereto) and any supplemental executive retirement benefit plans or arrangements with any such employees, directors, officers, managers, contractors, consultants or advisors (or their respective Controlled Investment Affiliates or Immediate Family Members) that are, in each case, approved by the Issuer in good faith;</w:t>
      </w:r>
    </w:p>
    <w:p>
      <w:pPr>
        <w:spacing w:after="0" w:line="139" w:lineRule="exact"/>
        <w:rPr>
          <w:rFonts w:ascii="Times New Roman" w:cs="Times New Roman" w:eastAsia="Times New Roman" w:hAnsi="Times New Roman"/>
          <w:sz w:val="19"/>
          <w:szCs w:val="19"/>
          <w:color w:val="auto"/>
        </w:rPr>
      </w:pPr>
    </w:p>
    <w:p>
      <w:pPr>
        <w:jc w:val="both"/>
        <w:ind w:firstLine="641"/>
        <w:spacing w:after="0"/>
        <w:tabs>
          <w:tab w:leader="none" w:pos="1354"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investments by Affiliates in securities or loans of the Issuer or any of its Restricted Subsidiaries (and payment of reasonable out-of-pocket expenses incurred by such Affiliates in connection therewith) so long as the investment is being offered generally to other investors on the same or more favorable terms and (b) payments to Affiliates in respect of securities or loans of the Issuer or any of its Restricted Subsidiaries contemplated in the foregoing subclause (a) or that were acquired from Persons other than the Issuer and its Restricted Subsidiaries, in each case, in accordance with the terms of such securities or loans;</w:t>
      </w:r>
    </w:p>
    <w:p>
      <w:pPr>
        <w:spacing w:after="0" w:line="163" w:lineRule="exact"/>
        <w:rPr>
          <w:rFonts w:ascii="Times New Roman" w:cs="Times New Roman" w:eastAsia="Times New Roman" w:hAnsi="Times New Roman"/>
          <w:sz w:val="19"/>
          <w:szCs w:val="19"/>
          <w:color w:val="auto"/>
        </w:rPr>
      </w:pPr>
    </w:p>
    <w:p>
      <w:pPr>
        <w:jc w:val="both"/>
        <w:ind w:firstLine="641"/>
        <w:spacing w:after="0" w:line="244" w:lineRule="auto"/>
        <w:tabs>
          <w:tab w:leader="none" w:pos="1354"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with a Person (including a joint venture or an Unrestricted Subsidiary) that is an Affiliate of the Issuer or an Associate or similar entity solely because the Issuer or a Restricted Subsidiary or any Affiliate of the Issuer or a Restricted Subsidiary or any Affiliate of any Permitted Holder owns an Equity Interest in or controls such Person;</w:t>
      </w:r>
    </w:p>
    <w:p>
      <w:pPr>
        <w:spacing w:after="0" w:line="170" w:lineRule="exact"/>
        <w:rPr>
          <w:rFonts w:ascii="Times New Roman" w:cs="Times New Roman" w:eastAsia="Times New Roman" w:hAnsi="Times New Roman"/>
          <w:sz w:val="19"/>
          <w:szCs w:val="19"/>
          <w:color w:val="auto"/>
        </w:rPr>
      </w:pPr>
    </w:p>
    <w:p>
      <w:pPr>
        <w:ind w:right="20" w:firstLine="641"/>
        <w:spacing w:after="0" w:line="280" w:lineRule="auto"/>
        <w:tabs>
          <w:tab w:leader="none" w:pos="1354"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Transactions and the payments made in connection with the Transactions (including the offering of the Notes), including the payment of fees, costs and expenses, including Transaction Costs;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420"/>
          </w:cols>
          <w:pgMar w:left="920" w:top="1440" w:right="559" w:bottom="1440" w:gutter="0" w:footer="0" w:header="0"/>
        </w:sectPr>
      </w:pPr>
    </w:p>
    <w:bookmarkStart w:id="166" w:name="page167"/>
    <w:bookmarkEnd w:id="166"/>
    <w:p>
      <w:pPr>
        <w:spacing w:after="0" w:line="186" w:lineRule="exact"/>
        <w:rPr>
          <w:sz w:val="20"/>
          <w:szCs w:val="20"/>
          <w:color w:val="auto"/>
        </w:rPr>
      </w:pPr>
    </w:p>
    <w:p>
      <w:pPr>
        <w:jc w:val="both"/>
        <w:ind w:right="20" w:firstLine="641"/>
        <w:spacing w:after="0" w:line="244"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employment and severance arrangements between the Issuer and its Restricted Subsidiaries and their respective officers and employees in the ordinary course of business or otherwise in connection with the Transactions (including loans and advances pursuant to clause (16) of the definition of Permitted Investments);</w:t>
      </w:r>
    </w:p>
    <w:p>
      <w:pPr>
        <w:spacing w:after="0" w:line="170" w:lineRule="exact"/>
        <w:rPr>
          <w:rFonts w:ascii="Times New Roman" w:cs="Times New Roman" w:eastAsia="Times New Roman" w:hAnsi="Times New Roman"/>
          <w:sz w:val="19"/>
          <w:szCs w:val="19"/>
          <w:color w:val="auto"/>
        </w:rPr>
      </w:pPr>
    </w:p>
    <w:p>
      <w:pPr>
        <w:jc w:val="both"/>
        <w:ind w:firstLine="641"/>
        <w:spacing w:after="0" w:line="251"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by the Issuer and its Restricted Subsidiaries or pursuant to any tax sharing agreement or arrangement among any Parent Entity, the Issuer and its Restricted Subsidiaries on customary terms to the extent attributable to the ownership or operation of the Issuer and its Restricted Subsidiaries, to the extent such payments are permitted by clause 15(b) of Section 4.07(b) hereof;</w:t>
      </w:r>
    </w:p>
    <w:p>
      <w:pPr>
        <w:spacing w:after="0" w:line="138" w:lineRule="exact"/>
        <w:rPr>
          <w:rFonts w:ascii="Times New Roman" w:cs="Times New Roman" w:eastAsia="Times New Roman" w:hAnsi="Times New Roman"/>
          <w:sz w:val="19"/>
          <w:szCs w:val="19"/>
          <w:color w:val="auto"/>
        </w:rPr>
      </w:pPr>
    </w:p>
    <w:p>
      <w:pPr>
        <w:jc w:val="both"/>
        <w:ind w:right="20" w:firstLine="641"/>
        <w:spacing w:after="0" w:line="266"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to or from, and transactions with, any Subsidiary or any joint venture in the ordinary course of business or consistent with past practice or industry practice (including, without limitation, any cash management activities or arrangements related thereto);</w:t>
      </w:r>
    </w:p>
    <w:p>
      <w:pPr>
        <w:spacing w:after="0" w:line="151" w:lineRule="exact"/>
        <w:rPr>
          <w:rFonts w:ascii="Times New Roman" w:cs="Times New Roman" w:eastAsia="Times New Roman" w:hAnsi="Times New Roman"/>
          <w:sz w:val="19"/>
          <w:szCs w:val="19"/>
          <w:color w:val="auto"/>
        </w:rPr>
      </w:pPr>
    </w:p>
    <w:p>
      <w:pPr>
        <w:jc w:val="both"/>
        <w:ind w:firstLine="641"/>
        <w:spacing w:after="0" w:line="244"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lease or sublease entered into between the Issuer or any Restricted Subsidiary, as lessee or sublessee and any Affiliate of the Issuer, as lessor or sublessor and (ii) any operational services or other arrangement entered into between the Issuer or any Restricted Subsidiary and any Affiliate of the Issuer, in each case, which is approved by the Issuer in good faith;</w:t>
      </w:r>
    </w:p>
    <w:p>
      <w:pPr>
        <w:spacing w:after="0" w:line="170" w:lineRule="exact"/>
        <w:rPr>
          <w:rFonts w:ascii="Times New Roman" w:cs="Times New Roman" w:eastAsia="Times New Roman" w:hAnsi="Times New Roman"/>
          <w:sz w:val="19"/>
          <w:szCs w:val="19"/>
          <w:color w:val="auto"/>
        </w:rPr>
      </w:pPr>
    </w:p>
    <w:p>
      <w:pPr>
        <w:ind w:firstLine="641"/>
        <w:spacing w:after="0" w:line="280"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intellectual property licensesor sublicenses (including the provision of software under an open source license) and research and development agreements in the ordinary course of business or consistent with past practice or industry practice;</w:t>
      </w:r>
    </w:p>
    <w:p>
      <w:pPr>
        <w:spacing w:after="0" w:line="138" w:lineRule="exact"/>
        <w:rPr>
          <w:rFonts w:ascii="Times New Roman" w:cs="Times New Roman" w:eastAsia="Times New Roman" w:hAnsi="Times New Roman"/>
          <w:sz w:val="19"/>
          <w:szCs w:val="19"/>
          <w:color w:val="auto"/>
        </w:rPr>
      </w:pPr>
    </w:p>
    <w:p>
      <w:pPr>
        <w:jc w:val="both"/>
        <w:ind w:right="20" w:firstLine="641"/>
        <w:spacing w:after="0" w:line="237"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transition services arrangement, supply arrangement or similar arrangement entered into in connection with or in contemplation of the disposition of assets or Equity Interests in any Restricted Subsidiary permitted under Section 4.10 or entered into with any Business Successor, in each case, that the Issuer determines in good faith is either fair to the Issuer or otherwise on customary terms for such type of arrangements in connection with similar transactions;</w:t>
      </w:r>
    </w:p>
    <w:p>
      <w:pPr>
        <w:spacing w:after="0" w:line="176" w:lineRule="exact"/>
        <w:rPr>
          <w:rFonts w:ascii="Times New Roman" w:cs="Times New Roman" w:eastAsia="Times New Roman" w:hAnsi="Times New Roman"/>
          <w:sz w:val="19"/>
          <w:szCs w:val="19"/>
          <w:color w:val="auto"/>
        </w:rPr>
      </w:pPr>
    </w:p>
    <w:p>
      <w:pPr>
        <w:jc w:val="both"/>
        <w:ind w:right="20" w:firstLine="641"/>
        <w:spacing w:after="0" w:line="251"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issuance, sale or transfer of Equity Interests (other than Disqualified Stock or Designated Preferred Stock) of the Issuer, any Parent Entity or any of its Restricted Subsidiaries and the granting of registration and other customary rights (and the performance of the related obligations) in connection therewith or any contribution to capital of the Issuer or any Restricted Subsidiary;</w:t>
      </w:r>
    </w:p>
    <w:p>
      <w:pPr>
        <w:spacing w:after="0" w:line="16" w:lineRule="exact"/>
        <w:rPr>
          <w:rFonts w:ascii="Times New Roman" w:cs="Times New Roman" w:eastAsia="Times New Roman" w:hAnsi="Times New Roman"/>
          <w:sz w:val="19"/>
          <w:szCs w:val="19"/>
          <w:color w:val="auto"/>
        </w:rPr>
      </w:pPr>
    </w:p>
    <w:p>
      <w:pPr>
        <w:ind w:right="40" w:firstLine="641"/>
        <w:spacing w:after="0" w:line="280"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to any Permitted Holder of all out of pocket expenses incurred by such Permitted Holder in connection with its direct or indirect investment in the Issuer and its Subsidiaries;</w:t>
      </w:r>
    </w:p>
    <w:p>
      <w:pPr>
        <w:spacing w:after="0" w:line="151" w:lineRule="exact"/>
        <w:rPr>
          <w:rFonts w:ascii="Times New Roman" w:cs="Times New Roman" w:eastAsia="Times New Roman" w:hAnsi="Times New Roman"/>
          <w:sz w:val="19"/>
          <w:szCs w:val="19"/>
          <w:color w:val="auto"/>
        </w:rPr>
      </w:pPr>
    </w:p>
    <w:p>
      <w:pPr>
        <w:jc w:val="both"/>
        <w:ind w:right="20" w:firstLine="641"/>
        <w:spacing w:after="0" w:line="241"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purchases by the Issuer’s Affiliates of Indebtedness or Disqualified Stock of the Issuer or any of its Restricted Subsidiaries the majority of which Indebtedness or Disqualified Stock is purchased by Persons who are not the Issuer’s Affiliates; provided that such purchases by the Issuer’s Affiliates are on the same terms as such purchases by such Persons who are not the Issuer’s Affiliates;</w:t>
      </w:r>
    </w:p>
    <w:p>
      <w:pPr>
        <w:spacing w:after="0" w:line="161" w:lineRule="exact"/>
        <w:rPr>
          <w:rFonts w:ascii="Times New Roman" w:cs="Times New Roman" w:eastAsia="Times New Roman" w:hAnsi="Times New Roman"/>
          <w:sz w:val="19"/>
          <w:szCs w:val="19"/>
          <w:color w:val="auto"/>
        </w:rPr>
      </w:pPr>
    </w:p>
    <w:p>
      <w:pPr>
        <w:jc w:val="both"/>
        <w:ind w:firstLine="641"/>
        <w:spacing w:after="0"/>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Issuer or its Restricted Subsidiaries and any distributor, employee, director, officer, manager, contractor, consultant or advisor (or their respective Controlled Investment Affiliates or Immediate Family Members) approved by the reasonable determination of the Issuer or entered into in connection with the Transactions;</w:t>
      </w:r>
    </w:p>
    <w:p>
      <w:pPr>
        <w:spacing w:after="0" w:line="149" w:lineRule="exact"/>
        <w:rPr>
          <w:rFonts w:ascii="Times New Roman" w:cs="Times New Roman" w:eastAsia="Times New Roman" w:hAnsi="Times New Roman"/>
          <w:sz w:val="19"/>
          <w:szCs w:val="19"/>
          <w:color w:val="auto"/>
        </w:rPr>
      </w:pPr>
    </w:p>
    <w:p>
      <w:pPr>
        <w:jc w:val="both"/>
        <w:ind w:right="20" w:firstLine="641"/>
        <w:spacing w:after="0" w:line="266"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entered into by an Unrestricted Subsidiary with an Affiliate prior to the day such Unrestricted Subsidiary is redesignated as a Restricted Subsidiary as described under the definition of “Unrestricted Subsidiary” and pledges of Capital Stock of Unrestricted Subsidiaries;</w:t>
      </w:r>
    </w:p>
    <w:p>
      <w:pPr>
        <w:spacing w:after="0" w:line="151" w:lineRule="exact"/>
        <w:rPr>
          <w:rFonts w:ascii="Times New Roman" w:cs="Times New Roman" w:eastAsia="Times New Roman" w:hAnsi="Times New Roman"/>
          <w:sz w:val="19"/>
          <w:szCs w:val="19"/>
          <w:color w:val="auto"/>
        </w:rPr>
      </w:pPr>
    </w:p>
    <w:p>
      <w:pPr>
        <w:ind w:right="20" w:firstLine="641"/>
        <w:spacing w:after="0" w:line="280" w:lineRule="auto"/>
        <w:tabs>
          <w:tab w:leader="none" w:pos="135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fees, costs and expenses related to registration rights and indemnities provided to equityholders pursuant to equityholders, investor rights, registration rights or similar agreements;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420"/>
          </w:cols>
          <w:pgMar w:left="920" w:top="1440" w:right="559" w:bottom="1440" w:gutter="0" w:footer="0" w:header="0"/>
        </w:sectPr>
      </w:pPr>
    </w:p>
    <w:bookmarkStart w:id="167" w:name="page168"/>
    <w:bookmarkEnd w:id="167"/>
    <w:p>
      <w:pPr>
        <w:spacing w:after="0" w:line="172" w:lineRule="exact"/>
        <w:rPr>
          <w:sz w:val="20"/>
          <w:szCs w:val="20"/>
          <w:color w:val="auto"/>
        </w:rPr>
      </w:pPr>
    </w:p>
    <w:p>
      <w:pPr>
        <w:ind w:left="1680" w:hanging="699"/>
        <w:spacing w:after="0"/>
        <w:tabs>
          <w:tab w:leader="none" w:pos="1680"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undertaken in the ordinary course of business pursuant to membership in a purchasing consortium; and</w:t>
      </w:r>
    </w:p>
    <w:p>
      <w:pPr>
        <w:spacing w:after="0" w:line="186"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Intercompany Activities, Intercompany License Agreements and related transactions.</w:t>
      </w:r>
    </w:p>
    <w:p>
      <w:pPr>
        <w:spacing w:after="0" w:line="200" w:lineRule="exact"/>
        <w:rPr>
          <w:rFonts w:ascii="Times New Roman" w:cs="Times New Roman" w:eastAsia="Times New Roman" w:hAnsi="Times New Roman"/>
          <w:sz w:val="19"/>
          <w:szCs w:val="19"/>
          <w:color w:val="auto"/>
        </w:rPr>
      </w:pPr>
    </w:p>
    <w:p>
      <w:pPr>
        <w:jc w:val="both"/>
        <w:ind w:firstLine="650"/>
        <w:spacing w:after="0" w:line="237" w:lineRule="auto"/>
        <w:tabs>
          <w:tab w:leader="none" w:pos="1034"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or any of its Restricted Subsidiaries (i) purchases or otherwise acquires assets or properties from a Person which is not an Affiliate, the purchase or acquisition by an Affiliate of the Issuer of an interest in all or a portion of the assets or properties acquired shall not be deemed an Affiliate Transaction (or cause such purchase or acquisition by the Issuer or a Restricted Subsidiary to be deemed an Affiliate Transaction) or (ii) sells or otherwise disposes of assets or other properties to a Person who is not an Affiliate, the sale or other disposition by an Affiliate of the Issuer of an interest in all or a portion of the assets or properties sold shall not be deemed an Affiliate Transaction (or cause such sale or other disposition by the Issuer or a Restricted Subsidiary to be deemed an Affiliate Transaction).</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4.12</w:t>
      </w:r>
      <w:r>
        <w:rPr>
          <w:sz w:val="20"/>
          <w:szCs w:val="20"/>
          <w:color w:val="auto"/>
        </w:rPr>
        <w:tab/>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The Issuer shall not, and shall not permit any Guarantor to, directly or indirectly, create, incur, assume or permit to exist any Lien (except Permitted Liens) (each, an “</w:t>
      </w:r>
      <w:r>
        <w:rPr>
          <w:rFonts w:ascii="Times New Roman" w:cs="Times New Roman" w:eastAsia="Times New Roman" w:hAnsi="Times New Roman"/>
          <w:sz w:val="19"/>
          <w:szCs w:val="19"/>
          <w:u w:val="single" w:color="auto"/>
          <w:color w:val="auto"/>
        </w:rPr>
        <w:t>Initial Lien</w:t>
      </w:r>
      <w:r>
        <w:rPr>
          <w:rFonts w:ascii="Times New Roman" w:cs="Times New Roman" w:eastAsia="Times New Roman" w:hAnsi="Times New Roman"/>
          <w:sz w:val="19"/>
          <w:szCs w:val="19"/>
          <w:color w:val="auto"/>
        </w:rPr>
        <w:t>”) that secures Obligations under any Indebtedness or any related Guarantee, on any asset or property of the Issuer or any Guarantor, unless:</w:t>
      </w:r>
    </w:p>
    <w:p>
      <w:pPr>
        <w:spacing w:after="0" w:line="157" w:lineRule="exact"/>
        <w:rPr>
          <w:sz w:val="20"/>
          <w:szCs w:val="20"/>
          <w:color w:val="auto"/>
        </w:rPr>
      </w:pPr>
    </w:p>
    <w:p>
      <w:pPr>
        <w:ind w:right="20" w:firstLine="650"/>
        <w:spacing w:after="0" w:line="280" w:lineRule="auto"/>
        <w:tabs>
          <w:tab w:leader="none" w:pos="1031"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Initial Liens on any Collateral, (i) such Initial Lien expressly has Junior Lien Priority on the Collateral relative to the Notes and the Note Guarantees or (ii) such Lien is a Permitted Lien; or</w:t>
      </w:r>
    </w:p>
    <w:p>
      <w:pPr>
        <w:spacing w:after="0" w:line="151" w:lineRule="exact"/>
        <w:rPr>
          <w:rFonts w:ascii="Times New Roman" w:cs="Times New Roman" w:eastAsia="Times New Roman" w:hAnsi="Times New Roman"/>
          <w:sz w:val="19"/>
          <w:szCs w:val="19"/>
          <w:color w:val="auto"/>
        </w:rPr>
      </w:pPr>
    </w:p>
    <w:p>
      <w:pPr>
        <w:jc w:val="both"/>
        <w:ind w:right="20" w:firstLine="650"/>
        <w:spacing w:after="0" w:line="264" w:lineRule="auto"/>
        <w:tabs>
          <w:tab w:leader="none" w:pos="103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Initial Lien on any asset or property that is not Collateral, (i) the Notes or the Note Guarantees are equally and ratably secured with (or on a senior basis to, in the case such Initial Lien secured any Subordinated Indebtedness) the Obligations secured by such Initial Lien until such time as such Obligations are no longer secured by such Initial Lien or (ii) such Initial Lien is a Permitted Lien,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except that the foregoing shall not apply to Liens securing the Notes(other than any Additional Notes) and the related Note Guarantees.</w:t>
      </w:r>
    </w:p>
    <w:p>
      <w:pPr>
        <w:spacing w:after="0" w:line="79"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Any Lien created for the benefit of Holders of the Notes pursuant to this covenant shall provide by its terms that such Lien will be automatically and unconditionally released and discharged upon the release and discharge of the Initial Lien.</w:t>
      </w:r>
    </w:p>
    <w:p>
      <w:pPr>
        <w:spacing w:after="0" w:line="152"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19"/>
          <w:szCs w:val="19"/>
          <w:u w:val="single" w:color="auto"/>
          <w:color w:val="auto"/>
        </w:rPr>
        <w:t>Increased Amount</w:t>
      </w:r>
      <w:r>
        <w:rPr>
          <w:rFonts w:ascii="Times New Roman" w:cs="Times New Roman" w:eastAsia="Times New Roman" w:hAnsi="Times New Roman"/>
          <w:sz w:val="19"/>
          <w:szCs w:val="19"/>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4.13 </w:t>
      </w:r>
      <w:r>
        <w:rPr>
          <w:rFonts w:ascii="Times New Roman" w:cs="Times New Roman" w:eastAsia="Times New Roman" w:hAnsi="Times New Roman"/>
          <w:sz w:val="19"/>
          <w:szCs w:val="19"/>
          <w:u w:val="single" w:color="auto"/>
          <w:color w:val="auto"/>
        </w:rPr>
        <w:t>Corporate Existence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9"/>
        <w:spacing w:after="0" w:line="233" w:lineRule="auto"/>
        <w:rPr>
          <w:sz w:val="20"/>
          <w:szCs w:val="20"/>
          <w:color w:val="auto"/>
        </w:rPr>
      </w:pPr>
      <w:r>
        <w:rPr>
          <w:rFonts w:ascii="Times New Roman" w:cs="Times New Roman" w:eastAsia="Times New Roman" w:hAnsi="Times New Roman"/>
          <w:sz w:val="19"/>
          <w:szCs w:val="19"/>
          <w:color w:val="auto"/>
        </w:rPr>
        <w:t xml:space="preserve">Except as otherwise provided in this Article 4, Article 5 hereof and Section 10.06 and subject to the ability of the Issuer or any Restricted Subsidiary to convert (or similar action) to another form of legal entity under the laws of the jurisdiction under which the Issuer or such Restricted Subsidiary then exists, the Issuer shall do or cause to be done all things necessary to preserve and keep in full force and effect its corporate or limited liability company existence, as applicable, and the Issuer shall do or cause to be done all things necessary to preserve and keep in fu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force and effect the corporate, limited liability company, partnership or other existence of the Issuer’s Restricted Subsidiaries, in accordance with the respective organizational documents (as the same may be amended from time to time) of the Issuer or any such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Issuer shall not be required to preserve any such corporate,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760"/>
          </w:cols>
          <w:pgMar w:left="580" w:top="1440" w:right="559" w:bottom="1440" w:gutter="0" w:footer="0" w:header="0"/>
        </w:sectPr>
      </w:pPr>
    </w:p>
    <w:bookmarkStart w:id="168" w:name="page169"/>
    <w:bookmarkEnd w:id="168"/>
    <w:p>
      <w:pPr>
        <w:spacing w:after="0" w:line="17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partnership or other existence of any of its Restricted Subsidiaries, if the Issuer in good faith shall determine that the preservation thereof is no longer desirable in the conduct of the business</w:t>
      </w:r>
    </w:p>
    <w:p>
      <w:pPr>
        <w:spacing w:after="0"/>
        <w:rPr>
          <w:sz w:val="20"/>
          <w:szCs w:val="20"/>
          <w:color w:val="auto"/>
        </w:rPr>
      </w:pPr>
      <w:r>
        <w:rPr>
          <w:rFonts w:ascii="Times New Roman" w:cs="Times New Roman" w:eastAsia="Times New Roman" w:hAnsi="Times New Roman"/>
          <w:sz w:val="19"/>
          <w:szCs w:val="19"/>
          <w:color w:val="auto"/>
        </w:rPr>
        <w:t>of the Issuer and its Restricted Subsidiaries, taken as a whole.</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4.14</w:t>
      </w:r>
      <w:r>
        <w:rPr>
          <w:sz w:val="20"/>
          <w:szCs w:val="20"/>
          <w:color w:val="auto"/>
        </w:rPr>
        <w:tab/>
      </w:r>
      <w:r>
        <w:rPr>
          <w:rFonts w:ascii="Times New Roman" w:cs="Times New Roman" w:eastAsia="Times New Roman" w:hAnsi="Times New Roman"/>
          <w:sz w:val="18"/>
          <w:szCs w:val="18"/>
          <w:u w:val="single" w:color="auto"/>
          <w:color w:val="auto"/>
        </w:rPr>
        <w:t>Offer to Repurchase Upon Change of Control Repurchase Event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50"/>
        <w:spacing w:after="0" w:line="234" w:lineRule="auto"/>
        <w:tabs>
          <w:tab w:leader="none" w:pos="1034"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Change of Control Repurchase Event occurs, unless the Issuer has previously or substantially concurrently therewith electronically delivered or mailed a redemption notice with respect to all the outstanding Notes as described under Section 3.07 hereof, the Issuer shall make an offer to purchase all of the Notes pursuant to the offer described below (the “</w:t>
      </w:r>
      <w:r>
        <w:rPr>
          <w:rFonts w:ascii="Times New Roman" w:cs="Times New Roman" w:eastAsia="Times New Roman" w:hAnsi="Times New Roman"/>
          <w:sz w:val="19"/>
          <w:szCs w:val="19"/>
          <w:u w:val="single" w:color="auto"/>
          <w:color w:val="auto"/>
        </w:rPr>
        <w:t>Change of Control Offer</w:t>
      </w:r>
      <w:r>
        <w:rPr>
          <w:rFonts w:ascii="Times New Roman" w:cs="Times New Roman" w:eastAsia="Times New Roman" w:hAnsi="Times New Roman"/>
          <w:sz w:val="19"/>
          <w:szCs w:val="19"/>
          <w:color w:val="auto"/>
        </w:rPr>
        <w:t>”) at a price in cash (the “</w:t>
      </w:r>
      <w:r>
        <w:rPr>
          <w:rFonts w:ascii="Times New Roman" w:cs="Times New Roman" w:eastAsia="Times New Roman" w:hAnsi="Times New Roman"/>
          <w:sz w:val="19"/>
          <w:szCs w:val="19"/>
          <w:u w:val="single" w:color="auto"/>
          <w:color w:val="auto"/>
        </w:rPr>
        <w:t>Change of Control Payment</w:t>
      </w:r>
      <w:r>
        <w:rPr>
          <w:rFonts w:ascii="Times New Roman" w:cs="Times New Roman" w:eastAsia="Times New Roman" w:hAnsi="Times New Roman"/>
          <w:sz w:val="19"/>
          <w:szCs w:val="19"/>
          <w:color w:val="auto"/>
        </w:rPr>
        <w:t>”) equal to 101% of the aggregate principal amount thereof plus accrued and unpaid interest, thereon to, but excluding, the date of purchase (provided that if the repurchase date is on or after the Record Date and on or before the corresponding Interest Payment Date, then Holders in whose names the Notes are registered at the close of business on such Record Date shall receive interest on the repurchase date). Within 60 days following any Change of Control Repurchase Event, the Issuer shall send notice of such Change of Control Offer by electronic delivery in accordance with the Applicable Procedures of the Depositary, or first-class mail, with a copy to the Trustee and the Paying Agent, to each Holder of Notes to the address of such Holder appearing in the Note Register or otherwise in accordance with the Applicable Procedures of the Depositary, with the following information:</w:t>
      </w:r>
    </w:p>
    <w:p>
      <w:pPr>
        <w:spacing w:after="0" w:line="164" w:lineRule="exact"/>
        <w:rPr>
          <w:rFonts w:ascii="Times New Roman" w:cs="Times New Roman" w:eastAsia="Times New Roman" w:hAnsi="Times New Roman"/>
          <w:sz w:val="19"/>
          <w:szCs w:val="19"/>
          <w:color w:val="auto"/>
        </w:rPr>
      </w:pPr>
    </w:p>
    <w:p>
      <w:pPr>
        <w:jc w:val="right"/>
        <w:ind w:left="4240" w:right="40" w:hanging="2631"/>
        <w:spacing w:after="0" w:line="309" w:lineRule="auto"/>
        <w:tabs>
          <w:tab w:leader="none" w:pos="2324"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Change of Control Offer is being made pursuant to this Section 4.14, and that all Notes properly tendered pursuant to such Change of Control Offer shall be accepted for payment by the Issuer;</w:t>
      </w:r>
    </w:p>
    <w:p>
      <w:pPr>
        <w:spacing w:after="0" w:line="128" w:lineRule="exact"/>
        <w:rPr>
          <w:rFonts w:ascii="Times New Roman" w:cs="Times New Roman" w:eastAsia="Times New Roman" w:hAnsi="Times New Roman"/>
          <w:sz w:val="18"/>
          <w:szCs w:val="18"/>
          <w:color w:val="auto"/>
        </w:rPr>
      </w:pPr>
    </w:p>
    <w:p>
      <w:pPr>
        <w:jc w:val="both"/>
        <w:ind w:left="340" w:right="20" w:firstLine="641"/>
        <w:spacing w:after="0" w:line="241" w:lineRule="auto"/>
        <w:tabs>
          <w:tab w:leader="none" w:pos="1694" w:val="left"/>
        </w:tabs>
        <w:numPr>
          <w:ilvl w:val="1"/>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 price and the purchase date, which will be no earlier than 10 days nor later than 60 days from the date such notice is mailed or otherwise delivered (the “</w:t>
      </w:r>
      <w:r>
        <w:rPr>
          <w:rFonts w:ascii="Times New Roman" w:cs="Times New Roman" w:eastAsia="Times New Roman" w:hAnsi="Times New Roman"/>
          <w:sz w:val="19"/>
          <w:szCs w:val="19"/>
          <w:u w:val="single" w:color="auto"/>
          <w:color w:val="auto"/>
        </w:rPr>
        <w:t>Change of Control Payment Date</w:t>
      </w:r>
      <w:r>
        <w:rPr>
          <w:rFonts w:ascii="Times New Roman" w:cs="Times New Roman" w:eastAsia="Times New Roman" w:hAnsi="Times New Roman"/>
          <w:sz w:val="19"/>
          <w:szCs w:val="19"/>
          <w:color w:val="auto"/>
        </w:rPr>
        <w:t>”), subject to extension (in the case where such notice is mailed or otherwise delivered prior to the occurrence of the Change of Control Repurchase Event) in the event that the occurrence of the Change of Control Repurchase Event is delayed;</w:t>
      </w:r>
    </w:p>
    <w:p>
      <w:pPr>
        <w:spacing w:after="0" w:line="202" w:lineRule="exact"/>
        <w:rPr>
          <w:sz w:val="20"/>
          <w:szCs w:val="20"/>
          <w:color w:val="auto"/>
        </w:rPr>
      </w:pPr>
    </w:p>
    <w:p>
      <w:pPr>
        <w:ind w:left="3740" w:hanging="633"/>
        <w:spacing w:after="0"/>
        <w:tabs>
          <w:tab w:leader="none" w:pos="374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properly tendered shall remain outstanding and continue to accrue interest;</w:t>
      </w:r>
    </w:p>
    <w:p>
      <w:pPr>
        <w:spacing w:after="0" w:line="211" w:lineRule="exact"/>
        <w:rPr>
          <w:rFonts w:ascii="Times New Roman" w:cs="Times New Roman" w:eastAsia="Times New Roman" w:hAnsi="Times New Roman"/>
          <w:sz w:val="18"/>
          <w:szCs w:val="18"/>
          <w:color w:val="auto"/>
        </w:rPr>
      </w:pPr>
    </w:p>
    <w:p>
      <w:pPr>
        <w:ind w:left="340" w:right="40" w:firstLine="641"/>
        <w:spacing w:after="0" w:line="265" w:lineRule="auto"/>
        <w:tabs>
          <w:tab w:leader="none" w:pos="1694"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unless the Issuer defaults in the payment of the Change of Control Payment, all Notes accepted for payment pursuant to the Change of Control Offer shall cease to accrue interest on the Change of Control Payment Date;</w:t>
      </w:r>
    </w:p>
    <w:p>
      <w:pPr>
        <w:spacing w:after="0" w:line="30" w:lineRule="exact"/>
        <w:rPr>
          <w:rFonts w:ascii="Times New Roman" w:cs="Times New Roman" w:eastAsia="Times New Roman" w:hAnsi="Times New Roman"/>
          <w:sz w:val="19"/>
          <w:szCs w:val="19"/>
          <w:color w:val="auto"/>
        </w:rPr>
      </w:pPr>
    </w:p>
    <w:p>
      <w:pPr>
        <w:jc w:val="both"/>
        <w:ind w:left="340" w:right="20" w:firstLine="641"/>
        <w:spacing w:after="0" w:line="237" w:lineRule="auto"/>
        <w:tabs>
          <w:tab w:leader="none" w:pos="1694"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electing to have any Notes purchased pursuant to a Change of Control Offer will be required to surrender the Notes, with the form entitled “Option of Holder to Elect Purchase” attached to the Notes completed to the Paying Agent at the address specified in the notice (or, in the case of Global Notes, Holders electing to have any Notes purchased pursuant to a Change of Control Offer will be required to tender the Note in accordance with the Applicable Procedures), in each case, prior to the close of business on the third Business Day preceding the Change of Control Payment Date;</w:t>
      </w:r>
    </w:p>
    <w:p>
      <w:pPr>
        <w:spacing w:after="0" w:line="163" w:lineRule="exact"/>
        <w:rPr>
          <w:rFonts w:ascii="Times New Roman" w:cs="Times New Roman" w:eastAsia="Times New Roman" w:hAnsi="Times New Roman"/>
          <w:sz w:val="19"/>
          <w:szCs w:val="19"/>
          <w:color w:val="auto"/>
        </w:rPr>
      </w:pPr>
    </w:p>
    <w:p>
      <w:pPr>
        <w:jc w:val="both"/>
        <w:ind w:left="340" w:right="20" w:firstLine="641"/>
        <w:spacing w:after="0" w:line="244" w:lineRule="auto"/>
        <w:tabs>
          <w:tab w:leader="none" w:pos="1694"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will be entitled to withdraw their election if the Issuer receives a facsimile transmission or letter setting forth the name of the Holder, the principal amount of Notes delivered for purchase, and a statement that such Holder is withdrawing its election to have the Notes purchased (or, in the case of Global Notes, a notice of withdrawal is delivered in accordance with the Applicable Procedures), in each case, not later than the close of business on the second Business Day preceding the Change of Control Payment Date; and</w:t>
      </w:r>
    </w:p>
    <w:p>
      <w:pPr>
        <w:spacing w:after="0" w:line="158" w:lineRule="exact"/>
        <w:rPr>
          <w:rFonts w:ascii="Times New Roman" w:cs="Times New Roman" w:eastAsia="Times New Roman" w:hAnsi="Times New Roman"/>
          <w:sz w:val="19"/>
          <w:szCs w:val="19"/>
          <w:color w:val="auto"/>
        </w:rPr>
      </w:pPr>
    </w:p>
    <w:p>
      <w:pPr>
        <w:jc w:val="both"/>
        <w:ind w:left="340" w:right="40" w:firstLine="641"/>
        <w:spacing w:after="0" w:line="244" w:lineRule="auto"/>
        <w:tabs>
          <w:tab w:leader="none" w:pos="1694"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whose Definitive Notes are being purchased only in part shall be issued new Definitive Notes and such new Definitive Notes shall be equal in principal amount to the unpurchased portion of the Definitive Notes surrendered. The unpurchased portion of the Definitive Notes must be equal to at least $2,000 or any integral multiple of $1,000 in excess thereof;</w:t>
      </w:r>
    </w:p>
    <w:p>
      <w:pPr>
        <w:spacing w:after="0" w:line="157" w:lineRule="exact"/>
        <w:rPr>
          <w:rFonts w:ascii="Times New Roman" w:cs="Times New Roman" w:eastAsia="Times New Roman" w:hAnsi="Times New Roman"/>
          <w:sz w:val="19"/>
          <w:szCs w:val="19"/>
          <w:color w:val="auto"/>
        </w:rPr>
      </w:pPr>
    </w:p>
    <w:p>
      <w:pPr>
        <w:ind w:left="340" w:right="20" w:firstLine="641"/>
        <w:spacing w:after="0" w:line="250" w:lineRule="auto"/>
        <w:tabs>
          <w:tab w:leader="none" w:pos="1694"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notice is delivered prior to the occurrence of a Change of Control Repurchase Event, stating that the Change of Control Offer is conditional on the occurrence of such Change of Control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780"/>
          </w:cols>
          <w:pgMar w:left="580" w:top="1440" w:right="539" w:bottom="1440" w:gutter="0" w:footer="0" w:header="0"/>
        </w:sectPr>
      </w:pPr>
    </w:p>
    <w:bookmarkStart w:id="169" w:name="page170"/>
    <w:bookmarkEnd w:id="169"/>
    <w:p>
      <w:pPr>
        <w:spacing w:after="0" w:line="172" w:lineRule="exact"/>
        <w:rPr>
          <w:sz w:val="20"/>
          <w:szCs w:val="20"/>
          <w:color w:val="auto"/>
        </w:rPr>
      </w:pPr>
    </w:p>
    <w:p>
      <w:pPr>
        <w:jc w:val="both"/>
        <w:ind w:left="340" w:right="20"/>
        <w:spacing w:after="0" w:line="235" w:lineRule="auto"/>
        <w:rPr>
          <w:sz w:val="20"/>
          <w:szCs w:val="20"/>
          <w:color w:val="auto"/>
        </w:rPr>
      </w:pPr>
      <w:r>
        <w:rPr>
          <w:rFonts w:ascii="Times New Roman" w:cs="Times New Roman" w:eastAsia="Times New Roman" w:hAnsi="Times New Roman"/>
          <w:sz w:val="19"/>
          <w:szCs w:val="19"/>
          <w:color w:val="auto"/>
        </w:rPr>
        <w:t>Repurchase Event and describing each such condition, and, if applicable, stating that, in the Issuer’s discretion, the Change of Control Payment Date may be delayed until such time (including more than 60 days after the date the notice of such Change of Control Repurchase Event was mailed or delivered, including by electronic transmission) as any or all such conditions are satisfied (or waived by the Issuer in its sole discretion), or such purchase may not occur and such notice may be rescinded in the event that any or all such conditions are not satisfied (or waived by the Issuer in its sole discretion) by the Change of Control Payment Date, or by the Change of Control Payment Date as so delayed, or such notice may be rescinded at any time in the Issuer’s discretion if in the good faith judgment of the Issuer any or all of such conditions will not be satisfied. In addition, the Issuer may provide in such notice that payment of the purchase price and performance of the Issuer’s obligations with respect to such Change of Control Offer may be performed by another Person; and</w:t>
      </w:r>
    </w:p>
    <w:p>
      <w:pPr>
        <w:spacing w:after="0" w:line="167" w:lineRule="exact"/>
        <w:rPr>
          <w:sz w:val="20"/>
          <w:szCs w:val="20"/>
          <w:color w:val="auto"/>
        </w:rPr>
      </w:pPr>
    </w:p>
    <w:p>
      <w:pPr>
        <w:ind w:left="340" w:right="40" w:firstLine="641"/>
        <w:spacing w:after="0" w:line="280" w:lineRule="auto"/>
        <w:tabs>
          <w:tab w:leader="none" w:pos="1694"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other instructions, as determined by the Issuer, consistent with this Section 4.14, that a Holder must follow in order to have its Notes repurchased.</w:t>
      </w:r>
    </w:p>
    <w:p>
      <w:pPr>
        <w:spacing w:after="0" w:line="152"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The Issuer shall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Indenture, the Issuer will comply with the applicable securities laws and regulations and shall not be deemed to have breached its obligations under this Section 4.14. The Issuer may rely on any no- action letters issued by the SEC indicating that the staff of the SEC will not recommend enforcement action in the event a tender offer satisfies certain conditions.</w:t>
      </w:r>
    </w:p>
    <w:p>
      <w:pPr>
        <w:spacing w:after="0" w:line="174" w:lineRule="exact"/>
        <w:rPr>
          <w:sz w:val="20"/>
          <w:szCs w:val="20"/>
          <w:color w:val="auto"/>
        </w:rPr>
      </w:pPr>
    </w:p>
    <w:p>
      <w:pPr>
        <w:ind w:left="1280" w:hanging="629"/>
        <w:spacing w:after="0"/>
        <w:tabs>
          <w:tab w:leader="none" w:pos="128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Change of Control Payment Date, the Issuer shall, to the extent permitted by law,</w:t>
      </w:r>
    </w:p>
    <w:p>
      <w:pPr>
        <w:spacing w:after="0" w:line="213"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accept for payment all Notes issued by it or portions thereof properly tendered pursuant to the Change of Control Offer,</w:t>
      </w:r>
    </w:p>
    <w:p>
      <w:pPr>
        <w:spacing w:after="0" w:line="200" w:lineRule="exact"/>
        <w:rPr>
          <w:rFonts w:ascii="Times New Roman" w:cs="Times New Roman" w:eastAsia="Times New Roman" w:hAnsi="Times New Roman"/>
          <w:sz w:val="19"/>
          <w:szCs w:val="19"/>
          <w:color w:val="auto"/>
        </w:rPr>
      </w:pPr>
    </w:p>
    <w:p>
      <w:pPr>
        <w:ind w:left="340" w:right="40" w:firstLine="641"/>
        <w:spacing w:after="0" w:line="280" w:lineRule="auto"/>
        <w:tabs>
          <w:tab w:leader="none" w:pos="1694"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 with the Paying Agent an amount equal to the aggregate Change of Control Payment in respect of all Notes or portions thereof so tendered, and</w:t>
      </w:r>
    </w:p>
    <w:p>
      <w:pPr>
        <w:spacing w:after="0" w:line="111" w:lineRule="exact"/>
        <w:rPr>
          <w:rFonts w:ascii="Times New Roman" w:cs="Times New Roman" w:eastAsia="Times New Roman" w:hAnsi="Times New Roman"/>
          <w:sz w:val="19"/>
          <w:szCs w:val="19"/>
          <w:color w:val="auto"/>
        </w:rPr>
      </w:pPr>
    </w:p>
    <w:p>
      <w:pPr>
        <w:ind w:left="340" w:right="40" w:firstLine="641"/>
        <w:spacing w:after="0" w:line="280" w:lineRule="auto"/>
        <w:tabs>
          <w:tab w:leader="none" w:pos="1694"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or cause to be delivered, to the Trustee or the Registrar for cancellation the Notes so accepted together with an Officer’s Certificate to the Trustee stating that such Notes or portions thereof have been tendered to and purchased by the Issuer.</w:t>
      </w:r>
    </w:p>
    <w:p>
      <w:pPr>
        <w:spacing w:after="0" w:line="16" w:lineRule="exact"/>
        <w:rPr>
          <w:rFonts w:ascii="Times New Roman" w:cs="Times New Roman" w:eastAsia="Times New Roman" w:hAnsi="Times New Roman"/>
          <w:sz w:val="19"/>
          <w:szCs w:val="19"/>
          <w:color w:val="auto"/>
        </w:rPr>
      </w:pPr>
    </w:p>
    <w:p>
      <w:pPr>
        <w:jc w:val="both"/>
        <w:ind w:right="20" w:firstLine="650"/>
        <w:spacing w:after="0" w:line="234" w:lineRule="auto"/>
        <w:tabs>
          <w:tab w:leader="none" w:pos="1034"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be required to make a Change of Control Offer following a Change of Control Repurchase Event if (i) a third party 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(ii) a notice of redemption of all outstanding Notes has been given pursuant to Section 3.03 hereof unless and until there is a default in the payment of the redemption price on the applicable Redemption Date or the redemption is not consummated due to the failure of a condition precedent contained in the applicable redemption notice to be satisfied or (iii) in connection with or in contemplation of any Change of Control Repurchase Event, the Issuer (or any Affiliate of the Issuer) has made an offer to purchase (an “</w:t>
      </w:r>
      <w:r>
        <w:rPr>
          <w:rFonts w:ascii="Times New Roman" w:cs="Times New Roman" w:eastAsia="Times New Roman" w:hAnsi="Times New Roman"/>
          <w:sz w:val="19"/>
          <w:szCs w:val="19"/>
          <w:u w:val="single" w:color="auto"/>
          <w:color w:val="auto"/>
        </w:rPr>
        <w:t>Alternate Offer</w:t>
      </w:r>
      <w:r>
        <w:rPr>
          <w:rFonts w:ascii="Times New Roman" w:cs="Times New Roman" w:eastAsia="Times New Roman" w:hAnsi="Times New Roman"/>
          <w:sz w:val="19"/>
          <w:szCs w:val="19"/>
          <w:color w:val="auto"/>
        </w:rPr>
        <w:t>”) any and all Notes validly tendered at a cash price equal to or higher than the Change of Control Payment and has purchased all Notes properly tendered in accordance with the terms of the Alternate Offer. Notwithstanding anything to the contrary herein, a Change of Control Offer or Alternate Offer may be made in advance of a Change of Control Repurchase Event, conditional upon such Change of Control Repurchase Event.</w:t>
      </w:r>
    </w:p>
    <w:p>
      <w:pPr>
        <w:spacing w:after="0" w:line="167" w:lineRule="exact"/>
        <w:rPr>
          <w:rFonts w:ascii="Times New Roman" w:cs="Times New Roman" w:eastAsia="Times New Roman" w:hAnsi="Times New Roman"/>
          <w:sz w:val="19"/>
          <w:szCs w:val="19"/>
          <w:color w:val="auto"/>
        </w:rPr>
      </w:pPr>
    </w:p>
    <w:p>
      <w:pPr>
        <w:ind w:right="20" w:firstLine="650"/>
        <w:spacing w:after="0" w:line="265" w:lineRule="auto"/>
        <w:tabs>
          <w:tab w:leader="none" w:pos="1031"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as specifically provided in this Section 4.14, any purchase pursuant to this Section 4.14 shall be made pursuant to the provisions of Sections 3.05 and 3.06 hereof.</w:t>
      </w:r>
    </w:p>
    <w:p>
      <w:pPr>
        <w:spacing w:after="0" w:line="152" w:lineRule="exact"/>
        <w:rPr>
          <w:rFonts w:ascii="Times New Roman" w:cs="Times New Roman" w:eastAsia="Times New Roman" w:hAnsi="Times New Roman"/>
          <w:sz w:val="19"/>
          <w:szCs w:val="19"/>
          <w:color w:val="auto"/>
        </w:rPr>
      </w:pPr>
    </w:p>
    <w:p>
      <w:pPr>
        <w:jc w:val="both"/>
        <w:ind w:right="20" w:firstLine="650"/>
        <w:spacing w:after="0" w:line="256" w:lineRule="auto"/>
        <w:tabs>
          <w:tab w:leader="none" w:pos="1034"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Issuer’s obligations to make an offer to repurchase the Notes as a result of a Change of Control Repurchase Event, including the definition of Change of Control, may be waived or modified in accordance with Section 9.02 hereof (at any time, including after a Change of Control Repurchase Event) with the written consent of the Holders of a majority in aggregate principal amount of the Notes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780"/>
          </w:cols>
          <w:pgMar w:left="580" w:top="1440" w:right="539" w:bottom="1440" w:gutter="0" w:footer="0" w:header="0"/>
        </w:sectPr>
      </w:pPr>
    </w:p>
    <w:bookmarkStart w:id="170" w:name="page171"/>
    <w:bookmarkEnd w:id="170"/>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4.15 </w:t>
      </w:r>
      <w:r>
        <w:rPr>
          <w:rFonts w:ascii="Times New Roman" w:cs="Times New Roman" w:eastAsia="Times New Roman" w:hAnsi="Times New Roman"/>
          <w:sz w:val="19"/>
          <w:szCs w:val="19"/>
          <w:u w:val="single" w:color="auto"/>
          <w:color w:val="auto"/>
        </w:rPr>
        <w:t>Limitation on Guarantees of Indebtedness by Restricted Subsidiaries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9"/>
        <w:spacing w:after="0" w:line="230" w:lineRule="auto"/>
        <w:rPr>
          <w:sz w:val="20"/>
          <w:szCs w:val="20"/>
          <w:color w:val="auto"/>
        </w:rPr>
      </w:pPr>
      <w:r>
        <w:rPr>
          <w:rFonts w:ascii="Times New Roman" w:cs="Times New Roman" w:eastAsia="Times New Roman" w:hAnsi="Times New Roman"/>
          <w:sz w:val="19"/>
          <w:szCs w:val="19"/>
          <w:color w:val="auto"/>
        </w:rPr>
        <w:t xml:space="preserve">The Issuer shall not permit any of its Wholly Owned Domestic Subsidiaries that are Restricted Subsidiaries (and non-Wholly Owned Domestic Subsidiaries if such non-Wholly Owned Domestic Subsidiaries guarantee the Credit Agreement), other than a Guarantor, to guarantee the payment of (i) any syndicated Credit Facility permitted under Section 4.09(b)(1) hereof or (ii) capital markets debt securities of the Issuer or any other Guarantor (any such Indebtedness, “Triggering Indebtedness”), in each case, unless such Restricted Subsidiary within 60 days executes and delivers a supplemental indenture to this Indenture, the form of which is attached as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 providing for a Note Guarantee by such Restricted Subsidiary, except that with respect to a guarantee of Indebtedness of the Issuer or any Guarantor: (x) if the Notes are subordinated in right of payment to such Indebtedness, the Note Guarantee under the supplemental indenture shall be subordinated to such Restricted Subsidiary’s guarantee with respect to such Indebtedness substantially to the same extent as the Notes are subordinated to such Indebtedness and (y) if such Indebtedness is by its express terms subordinated in right of payment to the Notes or such Guarantor’s Note Guarantee, any such guarantee by such Restricted Subsidiary with respect to such Indebtedness shall be subordinated in right of payment to such Note Guarantee substantially to the same extent as such Indebtedness is subordinated to the Notes or such Guarantor’s Note Guarantee;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covenant shall not be applicable (i) to any guarantee of any Restricted Subsidiary that existed at the time such Person became a Restricted Subsidiary and was not incurred in connection with, or in contemplation of, such Person becoming a Restricted Subsidiary and (ii) any Excluded Subsidiary. The Issuer may elect, in its sole discretion, to cause or allow, as the case may be, any Subsidiary or any of its Parent Entities that is not otherwise required to be a Guarantor to become a Guarantor, in which case such Subsidiary or Parent Entity shall not be required to comply with the 60 day period described above and such Note Guarantee may be released at any time in the Issuer’s sole discretion so long as any Indebtedness of such Subsidiary (including a Foreign Subsidiary) or Parent Entity then outstanding could have been incurred by such Subsidiary or Parent Entity (either (x) when so incurred or (y) at the time of the release of such Note Guarantee) assuming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Subsidiary were not a Guarantor at such time).</w:t>
      </w:r>
    </w:p>
    <w:p>
      <w:pPr>
        <w:spacing w:after="0" w:line="199" w:lineRule="exact"/>
        <w:rPr>
          <w:sz w:val="20"/>
          <w:szCs w:val="20"/>
          <w:color w:val="auto"/>
        </w:rPr>
      </w:pPr>
    </w:p>
    <w:p>
      <w:pPr>
        <w:jc w:val="both"/>
        <w:ind w:firstLine="649"/>
        <w:spacing w:after="0" w:line="232" w:lineRule="auto"/>
        <w:rPr>
          <w:sz w:val="20"/>
          <w:szCs w:val="20"/>
          <w:color w:val="auto"/>
        </w:rPr>
      </w:pPr>
      <w:r>
        <w:rPr>
          <w:rFonts w:ascii="Times New Roman" w:cs="Times New Roman" w:eastAsia="Times New Roman" w:hAnsi="Times New Roman"/>
          <w:sz w:val="19"/>
          <w:szCs w:val="19"/>
          <w:color w:val="auto"/>
        </w:rPr>
        <w:t>Each Person that becomes a Guarantor after the Issue Date shall also become a party to the applicable Collateral Documents and shall as promptly as practicable execute and deliver such security instruments, financing statements, mortgages, deeds of trust and other related real estate deliverables (in substantially the same form as those executed and delivered with respect to the Collateral on the Issue Date or on the date first delivered in the case of Collateral that this Indenture provides may be delivered after the Issue Date (to the extent, and substantially in the form, delivered on the Issue Date or the date first delivered, as applicable) but no greater scope) as may be necessary to vest in the Notes Collateral Agent a perfected first-priority security interest (subject to Permitted Liens) in properties and assets that constitute Collateral as may be necessary to have such property or asset added to the Collateral as required under the Collateral Documents and this Indenture, and thereupon all provisions of this Indenture relating to the Collateral shall be deemed to relate to such properties and assets to the same extent and with the same force and effect.</w:t>
      </w:r>
    </w:p>
    <w:p>
      <w:pPr>
        <w:spacing w:after="0" w:line="165"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 xml:space="preserve">If any Guarantor becomes an Immaterial Subsidiary or other Excluded Subsidiary, the Issuer shall have the right to cause such Subsidiary to automatically and unconditionally cease to be a Guarantor in accordance with Section 10.06,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Subsidiary shall be required to become a Guarantor if it ceases to be an Excluded Subsidiary (except that if such Subsidiary has been properly designated as an Unrestricted Subsidiary it shall not be so required to become a Guarantor or execute a supplemental indenture);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such Subsidiary shall not be permitted to Guarantee any Triggering Indebtedness unless it again becomes a Guarantor.</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4.16</w:t>
      </w:r>
      <w:r>
        <w:rPr>
          <w:sz w:val="20"/>
          <w:szCs w:val="20"/>
          <w:color w:val="auto"/>
        </w:rPr>
        <w:tab/>
      </w:r>
      <w:r>
        <w:rPr>
          <w:rFonts w:ascii="Times New Roman" w:cs="Times New Roman" w:eastAsia="Times New Roman" w:hAnsi="Times New Roman"/>
          <w:sz w:val="18"/>
          <w:szCs w:val="18"/>
          <w:u w:val="single" w:color="auto"/>
          <w:color w:val="auto"/>
        </w:rPr>
        <w:t>Discharge and Suspension of Covenants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50"/>
        <w:spacing w:after="0"/>
        <w:tabs>
          <w:tab w:leader="none" w:pos="1034"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on any date following the Issue Date (i) the Notes have achieved Investment Grade Ratings from two Rating Agencies (“</w:t>
      </w:r>
      <w:r>
        <w:rPr>
          <w:rFonts w:ascii="Times New Roman" w:cs="Times New Roman" w:eastAsia="Times New Roman" w:hAnsi="Times New Roman"/>
          <w:sz w:val="19"/>
          <w:szCs w:val="19"/>
          <w:u w:val="single" w:color="auto"/>
          <w:color w:val="auto"/>
        </w:rPr>
        <w:t>Investment Grade Status</w:t>
      </w:r>
      <w:r>
        <w:rPr>
          <w:rFonts w:ascii="Times New Roman" w:cs="Times New Roman" w:eastAsia="Times New Roman" w:hAnsi="Times New Roman"/>
          <w:sz w:val="19"/>
          <w:szCs w:val="19"/>
          <w:color w:val="auto"/>
        </w:rPr>
        <w:t>”) and (ii) no Default has occurred and is continuing under this Indenture (the occurrence of the events described in the foregoing clauses (i) and (ii) being collectively referred to as a “Covenant Suspension Event”), the Issuer and its Restricted Subsidiaries will not be subject to Section 4.07 hereof, Section 4.08 hereof, Section 4.09 hereof, Section 4.10 hereof, Section 4.11 hereof, Section 4.14 hereof, Section 4.15 hereof and clause (3) of Section 5.01(a) hereof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760"/>
          </w:cols>
          <w:pgMar w:left="580" w:top="1440" w:right="559" w:bottom="1440" w:gutter="0" w:footer="0" w:header="0"/>
        </w:sectPr>
      </w:pPr>
    </w:p>
    <w:bookmarkStart w:id="171" w:name="page172"/>
    <w:bookmarkEnd w:id="171"/>
    <w:p>
      <w:pPr>
        <w:spacing w:after="0" w:line="17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Suspended Covenants</w:t>
      </w:r>
      <w:r>
        <w:rPr>
          <w:rFonts w:ascii="Times New Roman" w:cs="Times New Roman" w:eastAsia="Times New Roman" w:hAnsi="Times New Roman"/>
          <w:sz w:val="19"/>
          <w:szCs w:val="19"/>
          <w:color w:val="auto"/>
        </w:rPr>
        <w:t>”). In addition, upon the occurrence of a Covenant Suspension Event, the amount of Excess Proceeds from Available Proceeds shall be reset at zero.</w:t>
      </w:r>
    </w:p>
    <w:p>
      <w:pPr>
        <w:spacing w:after="0" w:line="125" w:lineRule="exact"/>
        <w:rPr>
          <w:sz w:val="20"/>
          <w:szCs w:val="20"/>
          <w:color w:val="auto"/>
        </w:rPr>
      </w:pPr>
    </w:p>
    <w:p>
      <w:pPr>
        <w:jc w:val="both"/>
        <w:ind w:right="20" w:firstLine="650"/>
        <w:spacing w:after="0"/>
        <w:tabs>
          <w:tab w:leader="none" w:pos="1031"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Issuer and its Restricted Subsidiaries are not subject to the Suspended Covenants under this Indenture for any period of time as a result of the foregoing, and on any subsequent date (the “</w:t>
      </w:r>
      <w:r>
        <w:rPr>
          <w:rFonts w:ascii="Times New Roman" w:cs="Times New Roman" w:eastAsia="Times New Roman" w:hAnsi="Times New Roman"/>
          <w:sz w:val="19"/>
          <w:szCs w:val="19"/>
          <w:u w:val="single" w:color="auto"/>
          <w:color w:val="auto"/>
        </w:rPr>
        <w:t>Reversion Date</w:t>
      </w:r>
      <w:r>
        <w:rPr>
          <w:rFonts w:ascii="Times New Roman" w:cs="Times New Roman" w:eastAsia="Times New Roman" w:hAnsi="Times New Roman"/>
          <w:sz w:val="19"/>
          <w:szCs w:val="19"/>
          <w:color w:val="auto"/>
        </w:rPr>
        <w:t xml:space="preserve">”) the Notes cease to have such Investment Grade Status, then the Issuer and its Restricted Subsidiaries will thereafter again be subject to the Suspended Covenants under this Indenture with respect to future events unless and until the Notes subsequently attain Investment Grade Status (in which event the Suspended Covenants shall no longer be in effect for such time that the Notes maintain an Investment Grade Status). The period of time between the occurrence of a Covenant Suspension Event and the Reversion Date is referred to in this Indenture as the “ </w:t>
      </w:r>
      <w:r>
        <w:rPr>
          <w:rFonts w:ascii="Times New Roman" w:cs="Times New Roman" w:eastAsia="Times New Roman" w:hAnsi="Times New Roman"/>
          <w:sz w:val="19"/>
          <w:szCs w:val="19"/>
          <w:u w:val="single" w:color="auto"/>
          <w:color w:val="auto"/>
        </w:rPr>
        <w:t>Suspension Period</w:t>
      </w:r>
      <w:r>
        <w:rPr>
          <w:rFonts w:ascii="Times New Roman" w:cs="Times New Roman" w:eastAsia="Times New Roman" w:hAnsi="Times New Roman"/>
          <w:sz w:val="19"/>
          <w:szCs w:val="19"/>
          <w:color w:val="auto"/>
        </w:rPr>
        <w:t>.”</w:t>
      </w:r>
    </w:p>
    <w:p>
      <w:pPr>
        <w:spacing w:after="0" w:line="147" w:lineRule="exact"/>
        <w:rPr>
          <w:rFonts w:ascii="Times New Roman" w:cs="Times New Roman" w:eastAsia="Times New Roman" w:hAnsi="Times New Roman"/>
          <w:sz w:val="19"/>
          <w:szCs w:val="19"/>
          <w:color w:val="auto"/>
        </w:rPr>
      </w:pPr>
    </w:p>
    <w:p>
      <w:pPr>
        <w:jc w:val="both"/>
        <w:ind w:firstLine="650"/>
        <w:spacing w:after="0" w:line="234" w:lineRule="auto"/>
        <w:tabs>
          <w:tab w:leader="none" w:pos="1034"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in the event of any such reinstatement, no action taken or omitted to be taken by the Issuer or any of its Subsidiaries or events occurring prior to such reinstatement, or any actions taken at any time pursuant to any contractual obligation arising prior to the Reversion Date, shall give rise to a Default, Event of Default or breach of any kind under this Indenture, the Notes or the Note Guarantees nor shall the Issuer or any of its Subsidiaries bear any liability for such actions or events. With respect to Restricted Payments made after any such reinstatement, the amount available to be made as Restricted Payments shall be calculated as though Section 4.07 had been in effect prior to, but not during the Suspension Period. Accordingly, Restricted Payments made during the Suspension Period shall not reduce the amount available to be made as Restricted Payments under Section 4.07(a). All Indebtedness incurred, or Disqualified Stock or Preferred Stock issued, during the Suspension Period will be classified as having been incurred or issued pursuant to Section 4.09(b)</w:t>
      </w:r>
    </w:p>
    <w:p>
      <w:pPr>
        <w:spacing w:after="0" w:line="3" w:lineRule="exact"/>
        <w:rPr>
          <w:rFonts w:ascii="Times New Roman" w:cs="Times New Roman" w:eastAsia="Times New Roman" w:hAnsi="Times New Roman"/>
          <w:sz w:val="19"/>
          <w:szCs w:val="19"/>
          <w:color w:val="auto"/>
        </w:rPr>
      </w:pPr>
    </w:p>
    <w:p>
      <w:pPr>
        <w:jc w:val="both"/>
        <w:spacing w:after="0" w:line="23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 Any Affiliate Transaction entered into after the Reversion Date pursuant to an agreement entered into during any Suspension Period shall be deemed to be permitted pursuant to Section 4.11(b)(6). Any encumbrance or restriction on the ability of any Non- Guarantor Subsidiary to take any action described in clauses (1) through (3) of Section 4.08(a) that becomes effective during any Suspension Period shall be deemed to be permitted pursuant to clause (1) of Section 4.08(b). On and after the Reversion Date, all Liens created during the Suspension Period will be considered Permitted Liens pursuant to clause (7) of such definition. No Restricted Subsidiary of the Issuer shall be required to comply with Section 4.15 hereof after such reinstatement with respect to any guarantee entered into by such Restricted Subsidiary during any Suspension Period except that such Restricted Subsidiary shall execute and deliver a supplemental indenture to this Indenture providing for a Note Guarantee by such Restricted Subsidiary pursuant to the provisions of such covenant to the extent required and to the extent such Restricted Subsidiary has not already provided a Note Guarantee.</w:t>
      </w:r>
    </w:p>
    <w:p>
      <w:pPr>
        <w:spacing w:after="0" w:line="31" w:lineRule="exact"/>
        <w:rPr>
          <w:rFonts w:ascii="Times New Roman" w:cs="Times New Roman" w:eastAsia="Times New Roman" w:hAnsi="Times New Roman"/>
          <w:sz w:val="19"/>
          <w:szCs w:val="19"/>
          <w:color w:val="auto"/>
        </w:rPr>
      </w:pPr>
    </w:p>
    <w:p>
      <w:pPr>
        <w:jc w:val="both"/>
        <w:ind w:right="40" w:firstLine="650"/>
        <w:spacing w:after="0" w:line="258" w:lineRule="auto"/>
        <w:tabs>
          <w:tab w:leader="none" w:pos="1031"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and after each Reversion Date, the Issuer and its Subsidiaries shall be permitted to consummate the transactions contemplated by any contract entered into during the Suspension Period, so long as such contract and such consummation would have been permitted during such Suspension Period.</w:t>
      </w:r>
    </w:p>
    <w:p>
      <w:pPr>
        <w:spacing w:after="0" w:line="145"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deliver promptly to the Trustee an Officer’s Certificate notifying it of any such occurrence under this Section</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4.16.</w:t>
      </w:r>
    </w:p>
    <w:p>
      <w:pPr>
        <w:spacing w:after="0" w:line="193" w:lineRule="exact"/>
        <w:rPr>
          <w:rFonts w:ascii="Times New Roman" w:cs="Times New Roman" w:eastAsia="Times New Roman" w:hAnsi="Times New Roman"/>
          <w:sz w:val="19"/>
          <w:szCs w:val="19"/>
          <w:color w:val="auto"/>
        </w:rPr>
      </w:pPr>
    </w:p>
    <w:p>
      <w:pPr>
        <w:ind w:right="40" w:firstLine="650"/>
        <w:spacing w:after="0" w:line="280" w:lineRule="auto"/>
        <w:tabs>
          <w:tab w:leader="none" w:pos="104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have no duty to monitor the ratings of the Notes, determine whether a Covenant Suspension Event or Reversion Date has occurred or notify Holders of the same.</w:t>
      </w:r>
    </w:p>
    <w:p>
      <w:pPr>
        <w:spacing w:after="0" w:line="13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4.17</w:t>
      </w:r>
      <w:r>
        <w:rPr>
          <w:sz w:val="20"/>
          <w:szCs w:val="20"/>
          <w:color w:val="auto"/>
        </w:rPr>
        <w:tab/>
      </w:r>
      <w:r>
        <w:rPr>
          <w:rFonts w:ascii="Times New Roman" w:cs="Times New Roman" w:eastAsia="Times New Roman" w:hAnsi="Times New Roman"/>
          <w:sz w:val="18"/>
          <w:szCs w:val="18"/>
          <w:u w:val="single" w:color="auto"/>
          <w:color w:val="auto"/>
        </w:rPr>
        <w:t>Further Instruments and Acts; Information Regarding Collateral; Further Assurances; After- Acquired Property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300" w:hanging="649"/>
        <w:spacing w:after="0"/>
        <w:tabs>
          <w:tab w:leader="none" w:pos="130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3" w:lineRule="exact"/>
        <w:rPr>
          <w:rFonts w:ascii="Times New Roman" w:cs="Times New Roman" w:eastAsia="Times New Roman" w:hAnsi="Times New Roman"/>
          <w:sz w:val="19"/>
          <w:szCs w:val="19"/>
          <w:color w:val="auto"/>
        </w:rPr>
      </w:pPr>
    </w:p>
    <w:p>
      <w:pPr>
        <w:jc w:val="both"/>
        <w:ind w:right="20" w:firstLine="650"/>
        <w:spacing w:after="0" w:line="235" w:lineRule="auto"/>
        <w:tabs>
          <w:tab w:leader="none" w:pos="1031"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furnish to the Notes Collateral Agent, with respect to the Issuer, Holdings or any Guarantor (other than where such Person is a non-U.S. Guarantor), prompt written notice of any change in such Person’s (A) organizational name, (B) jurisdiction of organization or formation, (C) identity or organizational structure or (D) organizational identification number, and shall, and shall cause its Subsidiaries to, take any and all actions and make all filings, registrations and recordations (including the filing of UCC financing statements, continuation statements and amendments thereto) required to cause the Collateral Documents to continue and maintain, at all times following such change, as security for the Obligations of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780"/>
          </w:cols>
          <w:pgMar w:left="580" w:top="1440" w:right="539" w:bottom="1440" w:gutter="0" w:footer="0" w:header="0"/>
        </w:sectPr>
      </w:pPr>
    </w:p>
    <w:bookmarkStart w:id="172" w:name="page173"/>
    <w:bookmarkEnd w:id="172"/>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Issuer, Holdings and the Guarantors to the Noteholder Secured Parties under this Indenture, the Notes, the Guarantees and the Collateral Documents, a valid, legal and perfected Lien and security interest in and on all of the Collateral (subject to the terms of the Collateral Documents), in favor of the Notes Collateral Agent for the benefit of the Noteholder Secured Parties subject to no Liens other than Permitted Liens.</w:t>
      </w:r>
    </w:p>
    <w:p>
      <w:pPr>
        <w:spacing w:after="0" w:line="202" w:lineRule="exact"/>
        <w:rPr>
          <w:sz w:val="20"/>
          <w:szCs w:val="20"/>
          <w:color w:val="auto"/>
        </w:rPr>
      </w:pPr>
    </w:p>
    <w:p>
      <w:pPr>
        <w:jc w:val="both"/>
        <w:ind w:firstLine="650"/>
        <w:spacing w:after="0" w:line="235" w:lineRule="auto"/>
        <w:tabs>
          <w:tab w:leader="none" w:pos="1034"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Issue Date, upon the acquisition by the Issuer, Holdings or any Guarantor of any after-acquired property, the Issuer shall use commercially reasonable efforts to, and shall cause its Subsidiaries to use commercially reasonable efforts to, as soon as practicable following such acquisition, take any and all actions and make all filings, registrations and recordations (including the filing of UCC financing statements, continuation statements and amendments thereto) required to cause the Collateral Documents to create, perfect and maintain, as security for the Notes Obligations of the Issuer, Holdings and the Guarantors to the Noteholder Secured Parties under this Indenture, the Notes, the Note Guarantees and the Collateral Documents, a valid, legal and perfected Lien and security interest in and on all such after-acquired property (subject to the terms of the Collateral Documents), in favor of the Notes Collateral Agent for the benefit of the Noteholder Secured Parties, subject to no Liens other than Permitted Liens, and thereafter added to and deemed Collateral.</w:t>
      </w:r>
    </w:p>
    <w:p>
      <w:pPr>
        <w:spacing w:after="0" w:line="151" w:lineRule="exact"/>
        <w:rPr>
          <w:rFonts w:ascii="Times New Roman" w:cs="Times New Roman" w:eastAsia="Times New Roman" w:hAnsi="Times New Roman"/>
          <w:sz w:val="19"/>
          <w:szCs w:val="19"/>
          <w:color w:val="auto"/>
        </w:rPr>
      </w:pPr>
    </w:p>
    <w:p>
      <w:pPr>
        <w:jc w:val="both"/>
        <w:ind w:firstLine="650"/>
        <w:spacing w:after="0" w:line="246" w:lineRule="auto"/>
        <w:tabs>
          <w:tab w:leader="none" w:pos="1031"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so long as the Credit Agreement remains in effect, the Issuer, Holdings and the Guarantors shall not be required to take any action to provide for or perfect a security interest in any assets or property in favor of the Notes Collateral Agent unless the Issuer, Holdings or such Guarantor, as applicable, takes the comparable action to provide for or perfect a security interest in such assets or property in favor of the Credit Agreement Collateral Agent.</w:t>
      </w:r>
    </w:p>
    <w:p>
      <w:pPr>
        <w:spacing w:after="0" w:line="26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 xml:space="preserve">ARTICLE 5 </w:t>
      </w:r>
      <w:r>
        <w:rPr>
          <w:rFonts w:ascii="Times New Roman" w:cs="Times New Roman" w:eastAsia="Times New Roman" w:hAnsi="Times New Roman"/>
          <w:sz w:val="17"/>
          <w:szCs w:val="17"/>
          <w:color w:val="auto"/>
        </w:rPr>
        <w:t>SUCCESSORS</w:t>
      </w:r>
    </w:p>
    <w:p>
      <w:pPr>
        <w:spacing w:after="0" w:line="1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5.01</w:t>
      </w:r>
      <w:r>
        <w:rPr>
          <w:sz w:val="20"/>
          <w:szCs w:val="20"/>
          <w:color w:val="auto"/>
        </w:rPr>
        <w:tab/>
      </w:r>
      <w:r>
        <w:rPr>
          <w:rFonts w:ascii="Times New Roman" w:cs="Times New Roman" w:eastAsia="Times New Roman" w:hAnsi="Times New Roman"/>
          <w:sz w:val="18"/>
          <w:szCs w:val="18"/>
          <w:u w:val="single" w:color="auto"/>
          <w:color w:val="auto"/>
        </w:rPr>
        <w:t>Merger, Consolidation or Sale of All or Substantially All Assets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650"/>
        <w:spacing w:after="0" w:line="280" w:lineRule="auto"/>
        <w:tabs>
          <w:tab w:leader="none" w:pos="1034"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consolidate or merge with or into, or sell, transfer, lease or convey all or substantially all of its assets, in one transaction or a series of related transactions, to any Person, unless:</w:t>
      </w:r>
    </w:p>
    <w:p>
      <w:pPr>
        <w:spacing w:after="0" w:line="16" w:lineRule="exact"/>
        <w:rPr>
          <w:rFonts w:ascii="Times New Roman" w:cs="Times New Roman" w:eastAsia="Times New Roman" w:hAnsi="Times New Roman"/>
          <w:sz w:val="19"/>
          <w:szCs w:val="19"/>
          <w:color w:val="auto"/>
        </w:rPr>
      </w:pPr>
    </w:p>
    <w:p>
      <w:pPr>
        <w:jc w:val="both"/>
        <w:ind w:left="340" w:firstLine="641"/>
        <w:spacing w:after="0" w:line="252" w:lineRule="auto"/>
        <w:tabs>
          <w:tab w:leader="none" w:pos="1694"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is the surviving Person or the resulting, surviving or transferee Person (the “</w:t>
      </w:r>
      <w:r>
        <w:rPr>
          <w:rFonts w:ascii="Times New Roman" w:cs="Times New Roman" w:eastAsia="Times New Roman" w:hAnsi="Times New Roman"/>
          <w:sz w:val="19"/>
          <w:szCs w:val="19"/>
          <w:u w:val="single" w:color="auto"/>
          <w:color w:val="auto"/>
        </w:rPr>
        <w:t>Successor Company</w:t>
      </w:r>
      <w:r>
        <w:rPr>
          <w:rFonts w:ascii="Times New Roman" w:cs="Times New Roman" w:eastAsia="Times New Roman" w:hAnsi="Times New Roman"/>
          <w:sz w:val="19"/>
          <w:szCs w:val="19"/>
          <w:color w:val="auto"/>
        </w:rPr>
        <w:t>”) will be a Person organized or existing under the laws of Canada, the Netherlands, Luxembourg, the Cayman Islands, the Republic of Ireland or the United States, any state thereof, the District of Columbia, or any territory thereof and the Successor Company, if other than the Issuer, expressly assumes all the obligations of the Issuer under this Indenture, the Notes, the Collateral Documents and the Intercreditor Agreements pursuant to supplemental indentures or other documents or instruments;</w:t>
      </w:r>
    </w:p>
    <w:p>
      <w:pPr>
        <w:spacing w:after="0" w:line="162"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giving effect to such transaction, no Event of Default shall have occurred and be continuing,</w:t>
      </w:r>
    </w:p>
    <w:p>
      <w:pPr>
        <w:spacing w:after="0" w:line="182"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transaction, either,</w:t>
      </w:r>
    </w:p>
    <w:p>
      <w:pPr>
        <w:spacing w:after="0" w:line="204" w:lineRule="exact"/>
        <w:rPr>
          <w:rFonts w:ascii="Times New Roman" w:cs="Times New Roman" w:eastAsia="Times New Roman" w:hAnsi="Times New Roman"/>
          <w:sz w:val="19"/>
          <w:szCs w:val="19"/>
          <w:color w:val="auto"/>
        </w:rPr>
      </w:pPr>
    </w:p>
    <w:p>
      <w:pPr>
        <w:ind w:left="1300" w:firstLine="647"/>
        <w:spacing w:after="0" w:line="295" w:lineRule="auto"/>
        <w:tabs>
          <w:tab w:leader="none" w:pos="2332" w:val="left"/>
        </w:tabs>
        <w:numPr>
          <w:ilvl w:val="2"/>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Successor Company or the Issuer would be permitted to incur at least $1.00 of additional Indebtedness pursuant to Section 4.09(a), or</w:t>
      </w:r>
    </w:p>
    <w:p>
      <w:pPr>
        <w:spacing w:after="0" w:line="97" w:lineRule="exact"/>
        <w:rPr>
          <w:rFonts w:ascii="Times New Roman" w:cs="Times New Roman" w:eastAsia="Times New Roman" w:hAnsi="Times New Roman"/>
          <w:sz w:val="19"/>
          <w:szCs w:val="19"/>
          <w:color w:val="auto"/>
        </w:rPr>
      </w:pPr>
    </w:p>
    <w:p>
      <w:pPr>
        <w:jc w:val="both"/>
        <w:ind w:left="1300" w:firstLine="647"/>
        <w:spacing w:after="0" w:line="246" w:lineRule="auto"/>
        <w:tabs>
          <w:tab w:leader="none" w:pos="2335" w:val="left"/>
        </w:tabs>
        <w:numPr>
          <w:ilvl w:val="2"/>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Fixed Charge Coverage Ratio for the Successor Company or the Issuer and its respective Restricted Subsidiaries would not be lower than (x) the Fixed Charge Coverage Ratio for the Issuer immediately prior to such transaction or (y) 2.00 to 1.00 or (ii) the Consolidated Total Net Debt Ratio would not be higher than (x) 7.50 to 1.00 or (y) the Consolidated Total Net Debt Ratio was immediately prior to such transaction;</w:t>
      </w:r>
    </w:p>
    <w:p>
      <w:pPr>
        <w:spacing w:after="0" w:line="157" w:lineRule="exact"/>
        <w:rPr>
          <w:rFonts w:ascii="Times New Roman" w:cs="Times New Roman" w:eastAsia="Times New Roman" w:hAnsi="Times New Roman"/>
          <w:sz w:val="19"/>
          <w:szCs w:val="19"/>
          <w:color w:val="auto"/>
        </w:rPr>
      </w:pPr>
    </w:p>
    <w:p>
      <w:pPr>
        <w:jc w:val="both"/>
        <w:ind w:left="340" w:firstLine="641"/>
        <w:spacing w:after="0" w:line="244" w:lineRule="auto"/>
        <w:tabs>
          <w:tab w:leader="none" w:pos="1694"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Issuer shall have delivered to the Trustee an Officer’s Certificate and an Opinion of Counsel, each stating that such consolidation, merger or transfer and such supplemental indentures, documents and other instruments, if any, comply with this Indenture;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giving an Opinion of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760"/>
          </w:cols>
          <w:pgMar w:left="580" w:top="1440" w:right="559" w:bottom="1440" w:gutter="0" w:footer="0" w:header="0"/>
        </w:sectPr>
      </w:pPr>
    </w:p>
    <w:bookmarkStart w:id="173" w:name="page174"/>
    <w:bookmarkEnd w:id="173"/>
    <w:p>
      <w:pPr>
        <w:spacing w:after="0" w:line="172" w:lineRule="exact"/>
        <w:rPr>
          <w:sz w:val="20"/>
          <w:szCs w:val="20"/>
          <w:color w:val="auto"/>
        </w:rPr>
      </w:pPr>
    </w:p>
    <w:p>
      <w:pPr>
        <w:ind w:left="340"/>
        <w:spacing w:after="0" w:line="265" w:lineRule="auto"/>
        <w:rPr>
          <w:sz w:val="20"/>
          <w:szCs w:val="20"/>
          <w:color w:val="auto"/>
        </w:rPr>
      </w:pPr>
      <w:r>
        <w:rPr>
          <w:rFonts w:ascii="Times New Roman" w:cs="Times New Roman" w:eastAsia="Times New Roman" w:hAnsi="Times New Roman"/>
          <w:sz w:val="19"/>
          <w:szCs w:val="19"/>
          <w:color w:val="auto"/>
        </w:rPr>
        <w:t>Counsel, counsel may rely on an Officer’s Certificate as to any matters of fact, including as to satisfaction of clauses (2) and (3) above; and</w:t>
      </w:r>
    </w:p>
    <w:p>
      <w:pPr>
        <w:spacing w:after="0" w:line="152" w:lineRule="exact"/>
        <w:rPr>
          <w:sz w:val="20"/>
          <w:szCs w:val="20"/>
          <w:color w:val="auto"/>
        </w:rPr>
      </w:pPr>
    </w:p>
    <w:p>
      <w:pPr>
        <w:jc w:val="both"/>
        <w:ind w:left="340" w:firstLine="641"/>
        <w:spacing w:after="0" w:line="237" w:lineRule="auto"/>
        <w:tabs>
          <w:tab w:leader="none" w:pos="1694"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assets of the Person which is merged or consolidated with or into the Issuer are assets of the type which would constitute Collateral under the Collateral Documents, the Issuer or the Successor Company, as applicable, will take such action, if any, as may be reasonably necessary to cause such assets to be made subject to the Lien of the applicable Collateral Documents in the manner and to the extent required in this Indenture or the applicable Collateral Documents and shall take all reasonably necessary action so that such Lien is perfected to the extent required by the applicable Collateral Documents.</w:t>
      </w:r>
    </w:p>
    <w:p>
      <w:pPr>
        <w:spacing w:after="0" w:line="176" w:lineRule="exact"/>
        <w:rPr>
          <w:rFonts w:ascii="Times New Roman" w:cs="Times New Roman" w:eastAsia="Times New Roman" w:hAnsi="Times New Roman"/>
          <w:sz w:val="19"/>
          <w:szCs w:val="19"/>
          <w:color w:val="auto"/>
        </w:rPr>
      </w:pPr>
    </w:p>
    <w:p>
      <w:pPr>
        <w:jc w:val="both"/>
        <w:ind w:firstLine="650"/>
        <w:spacing w:after="0" w:line="251" w:lineRule="auto"/>
        <w:tabs>
          <w:tab w:leader="none" w:pos="1031"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Company shall succeed to, and be substituted for, and may exercise every right and power of, the Issuer under this Indenture, the Collateral Documents, the Intercreditor Agreements and the Notes, and the Issuer will automatically and unconditionally be released and discharged from its obligations thereunder.</w:t>
      </w:r>
    </w:p>
    <w:p>
      <w:pPr>
        <w:spacing w:after="0" w:line="151"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Sections 5.01(a) and (b) shall not apply to the creation of a new Subsidiary as a Restricted Subsidiary.</w:t>
      </w:r>
    </w:p>
    <w:p>
      <w:pPr>
        <w:spacing w:after="0" w:line="213" w:lineRule="exact"/>
        <w:rPr>
          <w:rFonts w:ascii="Times New Roman" w:cs="Times New Roman" w:eastAsia="Times New Roman" w:hAnsi="Times New Roman"/>
          <w:sz w:val="19"/>
          <w:szCs w:val="19"/>
          <w:color w:val="auto"/>
        </w:rPr>
      </w:pPr>
    </w:p>
    <w:p>
      <w:pPr>
        <w:jc w:val="both"/>
        <w:ind w:firstLine="650"/>
        <w:spacing w:after="0" w:line="234" w:lineRule="auto"/>
        <w:tabs>
          <w:tab w:leader="none" w:pos="1031"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in this Indenture to a merger, consolidation, conveyance, disposal, assignment, sale or disposition or similar term, shall be deemed to apply to a division of or by a limited liability company, corporation or partnership, or an allocation of assets to a series of or one or more limited liability companies, partnerships or corporations, or the unwinding of such a division or allocation, as if it were a merger, consolidation, conveyance, disposal, assignment, sale or disposition, or similar term, as applicable, to, of or with a separate Person. Any division of a limited liability company, corporation or partnership shall be deemed to constitute the formation of a separate Person, and any such division shall constitute a separate Person under this Indenture (and each division of any limited liability company, corporation or partnership that is a subsidiary, joint venture or any other like term shall also</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constitute such a Person or entity).</w:t>
      </w:r>
    </w:p>
    <w:p>
      <w:pPr>
        <w:spacing w:after="0" w:line="180"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0" w:lineRule="exact"/>
        <w:rPr>
          <w:rFonts w:ascii="Times New Roman" w:cs="Times New Roman" w:eastAsia="Times New Roman" w:hAnsi="Times New Roman"/>
          <w:sz w:val="19"/>
          <w:szCs w:val="19"/>
          <w:color w:val="auto"/>
        </w:rPr>
      </w:pPr>
    </w:p>
    <w:p>
      <w:pPr>
        <w:jc w:val="both"/>
        <w:ind w:right="20" w:firstLine="650"/>
        <w:spacing w:after="0" w:line="251" w:lineRule="auto"/>
        <w:tabs>
          <w:tab w:leader="none" w:pos="104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certain limitations described in this Indenture governing release of a Note Guarantee upon the sale, disposition or transfer of a Guarantor, no Guarantor may consolidate or merge with or into, or sell, transfer, lease or convey all or substantially all of its assets, in one transaction or a series of related transactions, to any Person (other than the Issuer or another Guarantor), unless:</w:t>
      </w:r>
    </w:p>
    <w:p>
      <w:pPr>
        <w:spacing w:after="0" w:line="43" w:lineRule="exact"/>
        <w:rPr>
          <w:rFonts w:ascii="Times New Roman" w:cs="Times New Roman" w:eastAsia="Times New Roman" w:hAnsi="Times New Roman"/>
          <w:sz w:val="19"/>
          <w:szCs w:val="19"/>
          <w:color w:val="auto"/>
        </w:rPr>
      </w:pPr>
    </w:p>
    <w:p>
      <w:pPr>
        <w:jc w:val="both"/>
        <w:ind w:left="340" w:firstLine="641"/>
        <w:spacing w:after="0" w:line="234" w:lineRule="auto"/>
        <w:tabs>
          <w:tab w:leader="none" w:pos="1694"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Person is the Issuer or any other Restricted Subsidiary that is a Guarantor or becomes a Guarantor concurrently with the transaction; or either (x) the Issuer or a Guarantor is the continuing Person (the “</w:t>
      </w:r>
      <w:r>
        <w:rPr>
          <w:rFonts w:ascii="Times New Roman" w:cs="Times New Roman" w:eastAsia="Times New Roman" w:hAnsi="Times New Roman"/>
          <w:sz w:val="19"/>
          <w:szCs w:val="19"/>
          <w:u w:val="single" w:color="auto"/>
          <w:color w:val="auto"/>
        </w:rPr>
        <w:t>Successor Guarantor</w:t>
      </w:r>
      <w:r>
        <w:rPr>
          <w:rFonts w:ascii="Times New Roman" w:cs="Times New Roman" w:eastAsia="Times New Roman" w:hAnsi="Times New Roman"/>
          <w:sz w:val="19"/>
          <w:szCs w:val="19"/>
          <w:color w:val="auto"/>
        </w:rPr>
        <w:t>”) or (y) the resulting, surviving or transferee Person expressly assumes all the obligations of the Guarantor under its Note Guarantee and this Indenture; (B) immediately after giving effect to such transaction, no Event of Default shall have occurred and be continuing; and (C) to the extent any assets of the Person which is merged or consolidated with or into such Guarantor are assets of the type which would constitute Collateral under the Collateral Documents, such Guarantor or the Successor Guarantor, as applicable, will take such action, if any, as may be reasonably necessary to cause such assets to be made subject to the Lien of the applicable Collateral Documents in the manner and to the extent required in this Indenture or the applicable Collateral Documents and shall take all reasonably necessary action so that such Lien is perfected to the extent required by the applicable Collateral Documents; or</w:t>
      </w:r>
    </w:p>
    <w:p>
      <w:pPr>
        <w:spacing w:after="0" w:line="175"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is not prohibited by Section 4.10(a) hereof.</w:t>
      </w:r>
    </w:p>
    <w:p>
      <w:pPr>
        <w:spacing w:after="0" w:line="186" w:lineRule="exact"/>
        <w:rPr>
          <w:rFonts w:ascii="Times New Roman" w:cs="Times New Roman" w:eastAsia="Times New Roman" w:hAnsi="Times New Roman"/>
          <w:sz w:val="19"/>
          <w:szCs w:val="19"/>
          <w:color w:val="auto"/>
        </w:rPr>
      </w:pPr>
    </w:p>
    <w:p>
      <w:pPr>
        <w:jc w:val="both"/>
        <w:ind w:right="20" w:firstLine="650"/>
        <w:spacing w:after="0" w:line="266" w:lineRule="auto"/>
        <w:tabs>
          <w:tab w:leader="none" w:pos="1031"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Guarantor shall succeed to, and be substituted for, such Guarantor under this Indenture and the Collateral Documents and such Guarantor’s Note Guarantee in accordance with, and subject to, the relevant provisions of this Indenture and the Collateral Documents.</w:t>
      </w:r>
    </w:p>
    <w:p>
      <w:pPr>
        <w:spacing w:after="0" w:line="164"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760"/>
          </w:cols>
          <w:pgMar w:left="580" w:top="1440" w:right="559" w:bottom="1440" w:gutter="0" w:footer="0" w:header="0"/>
        </w:sectPr>
      </w:pPr>
    </w:p>
    <w:bookmarkStart w:id="174" w:name="page175"/>
    <w:bookmarkEnd w:id="174"/>
    <w:p>
      <w:pPr>
        <w:spacing w:after="0" w:line="186" w:lineRule="exact"/>
        <w:rPr>
          <w:sz w:val="20"/>
          <w:szCs w:val="20"/>
          <w:color w:val="auto"/>
        </w:rPr>
      </w:pPr>
    </w:p>
    <w:p>
      <w:pPr>
        <w:ind w:left="1680" w:hanging="699"/>
        <w:spacing w:after="0"/>
        <w:tabs>
          <w:tab w:leader="none" w:pos="1680"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may consolidate or otherwise combine with, merge into or transfer all or part of its property or assets to a</w:t>
      </w:r>
    </w:p>
    <w:p>
      <w:pPr>
        <w:spacing w:after="0" w:line="25"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Guarantor;</w:t>
      </w:r>
    </w:p>
    <w:p>
      <w:pPr>
        <w:spacing w:after="0" w:line="185" w:lineRule="exact"/>
        <w:rPr>
          <w:rFonts w:ascii="Times New Roman" w:cs="Times New Roman" w:eastAsia="Times New Roman" w:hAnsi="Times New Roman"/>
          <w:sz w:val="19"/>
          <w:szCs w:val="19"/>
          <w:color w:val="auto"/>
        </w:rPr>
      </w:pPr>
    </w:p>
    <w:p>
      <w:pPr>
        <w:ind w:left="340" w:firstLine="641"/>
        <w:spacing w:after="0" w:line="280" w:lineRule="auto"/>
        <w:tabs>
          <w:tab w:leader="none" w:pos="1694"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may consolidate or otherwise combine with or merge into an Affiliate of the Issuer for the purpose of reincorporating the Issuer in another jurisdiction, or changing the legal form of the Issuer;</w:t>
      </w:r>
    </w:p>
    <w:p>
      <w:pPr>
        <w:spacing w:after="0" w:line="138" w:lineRule="exact"/>
        <w:rPr>
          <w:rFonts w:ascii="Times New Roman" w:cs="Times New Roman" w:eastAsia="Times New Roman" w:hAnsi="Times New Roman"/>
          <w:sz w:val="19"/>
          <w:szCs w:val="19"/>
          <w:color w:val="auto"/>
        </w:rPr>
      </w:pPr>
    </w:p>
    <w:p>
      <w:pPr>
        <w:jc w:val="both"/>
        <w:ind w:left="340" w:firstLine="641"/>
        <w:spacing w:after="0" w:line="233" w:lineRule="auto"/>
        <w:tabs>
          <w:tab w:leader="none" w:pos="1694"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Guarantor may (i) consolidate or otherwise combine with, merge into or transfer all or part of its properties and assets to the Issuer or another Guarantor (or to a Restricted Subsidiary if that Restricted Subsidiary becomes a Guarantor), (ii) consolidate or otherwise combine with or merge into an Affiliate solely for the purpose of reincorporating the Guarantor in another jurisdiction of organization or changing the legal domicile of the Guarantor, (iii) convert into a corporation, partnership, limited partnership, limited liability corporation or trust organized or existing under the laws of the jurisdiction of organization of such Guarantor, (iv) consolidate or amalgamate with or merge into or transfer all or part of its properties and assets to a Restricted Subsidiary that is not a Guarantor so long as (A) to the extent constituting an Investment, such Investment is otherwise permitted under Section 4.07 hereof or (B) to the extent constituting an Asset Sale, such Asset Sale is for fair market value (as determined in good faith by the Issuer) and any promissory note or other non-cash consideration received in respect thereof is a permitted Investment in a Restricted Subsidiary that is not a Guarantor in accordance with Section 4.07 hereof or (v) liquidate or dissolve or change its legal form if the Issuer determines in good faith that such action is in the best interests of the Issuer;</w:t>
      </w:r>
    </w:p>
    <w:p>
      <w:pPr>
        <w:spacing w:after="0" w:line="164" w:lineRule="exact"/>
        <w:rPr>
          <w:rFonts w:ascii="Times New Roman" w:cs="Times New Roman" w:eastAsia="Times New Roman" w:hAnsi="Times New Roman"/>
          <w:sz w:val="19"/>
          <w:szCs w:val="19"/>
          <w:color w:val="auto"/>
        </w:rPr>
      </w:pPr>
    </w:p>
    <w:p>
      <w:pPr>
        <w:ind w:left="340" w:right="40" w:firstLine="641"/>
        <w:spacing w:after="0" w:line="280" w:lineRule="auto"/>
        <w:tabs>
          <w:tab w:leader="none" w:pos="1694"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Subsidiary that is not a Guarantor may consolidate or otherwise combine with or merge into or transfer all or part of its properties and assets to the Issuer or any other Restricted Subsidiary; and</w:t>
      </w:r>
    </w:p>
    <w:p>
      <w:pPr>
        <w:spacing w:after="0" w:line="138"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and its Restricted Subsidiaries may consummate any Permitted Tax Restructuring.</w:t>
      </w:r>
    </w:p>
    <w:p>
      <w:pPr>
        <w:spacing w:after="0" w:line="227" w:lineRule="exact"/>
        <w:rPr>
          <w:rFonts w:ascii="Times New Roman" w:cs="Times New Roman" w:eastAsia="Times New Roman" w:hAnsi="Times New Roman"/>
          <w:sz w:val="19"/>
          <w:szCs w:val="19"/>
          <w:color w:val="auto"/>
        </w:rPr>
      </w:pPr>
    </w:p>
    <w:p>
      <w:pPr>
        <w:jc w:val="both"/>
        <w:ind w:firstLine="650"/>
        <w:spacing w:after="0" w:line="235" w:lineRule="auto"/>
        <w:tabs>
          <w:tab w:leader="none" w:pos="1043"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sale, lease or other disposition by the Issuer of any part of its assets shall not be deemed to constitute the sale, lease or other disposition of substantially all of its assets for purposes of this Indenture if the fair market value of the assets retained by the Issuer exceeds 100% of the aggregate principal amount of all outstanding Notes and any other outstanding Indebtedness of the Issuer that ranks equally with, or senior to, the Notes with respect to such assets. Such fair market value shall be established by the delivery to the Trustee of an independent expert’s certificate stating the independent expert’s opinion of such fair market value as of a date not more than 90 days before or after such sale, lease or other disposition. This Section 5.01(i) is not intended to limit the Issuer’s sales, leases or other dispositions of less than substantially all of its assets.</w:t>
      </w:r>
    </w:p>
    <w:p>
      <w:pPr>
        <w:spacing w:after="0" w:line="41" w:lineRule="exact"/>
        <w:rPr>
          <w:rFonts w:ascii="Times New Roman" w:cs="Times New Roman" w:eastAsia="Times New Roman" w:hAnsi="Times New Roman"/>
          <w:sz w:val="19"/>
          <w:szCs w:val="19"/>
          <w:color w:val="auto"/>
        </w:rPr>
      </w:pPr>
    </w:p>
    <w:p>
      <w:pPr>
        <w:jc w:val="both"/>
        <w:ind w:firstLine="650"/>
        <w:spacing w:after="0" w:line="232" w:lineRule="auto"/>
        <w:tabs>
          <w:tab w:leader="none" w:pos="1043"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becomes an entity that is not organized or existing under the laws of the United States, any state thereof or the District of Columbia as a result of a transaction contemplated above (such transaction, a “</w:t>
      </w:r>
      <w:r>
        <w:rPr>
          <w:rFonts w:ascii="Times New Roman" w:cs="Times New Roman" w:eastAsia="Times New Roman" w:hAnsi="Times New Roman"/>
          <w:sz w:val="19"/>
          <w:szCs w:val="19"/>
          <w:u w:val="single" w:color="auto"/>
          <w:color w:val="auto"/>
        </w:rPr>
        <w:t>Foreign Domicile Transaction</w:t>
      </w:r>
      <w:r>
        <w:rPr>
          <w:rFonts w:ascii="Times New Roman" w:cs="Times New Roman" w:eastAsia="Times New Roman" w:hAnsi="Times New Roman"/>
          <w:sz w:val="19"/>
          <w:szCs w:val="19"/>
          <w:color w:val="auto"/>
        </w:rPr>
        <w:t>”) and (a) there is a potential withholding tax obligation upon consummation of such Foreign Domicile Transaction, or (b) subsequent to consummation of such Foreign Domicile Transaction, a potential withholding tax obligation arises as a result of a change in law, prior to the first interest payment date (or, if applicable, any earlier redemption, repurchase or other payment date) with respect to which withholding tax will apply, the Issuer shall (x) use commercially reasonable efforts(including listing the Notes on an appropriate exchange) to eliminate the potential withholding tax obligation or (y) if the Issuer cannot eliminate the potential withholding tax obligation in accordance with clause (x) prior to such first applicable payment date, the Issuer shall amend this Indenture prior to such first applicable payment date to add a customary (as determined by the Issuer) tax gross-up or similar provisions for the benefit of the Holders, and a customary (as determined by the Issuer) tax redemption provision .</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5.02</w:t>
      </w:r>
      <w:r>
        <w:rPr>
          <w:sz w:val="20"/>
          <w:szCs w:val="20"/>
          <w:color w:val="auto"/>
        </w:rPr>
        <w:tab/>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Upon any consolidation or merger, amalgamation or any sale, assignment, transfer, lease, conveyance or other disposition of all or substantially all of the assets of the Issuer in accordance with Section 5.01(a) hereof, the successor corporation formed by such consolidation or into or with which the Issuer is merged or to which such sale, assignment, transfer, lease, conveyance or other disposition is made shall succeed to, and be substituted for (so that from and after the date of such consolidation, amalgamation, merger, sale,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760"/>
          </w:cols>
          <w:pgMar w:left="580" w:top="1440" w:right="559" w:bottom="1440" w:gutter="0" w:footer="0" w:header="0"/>
        </w:sectPr>
      </w:pPr>
    </w:p>
    <w:bookmarkStart w:id="175" w:name="page176"/>
    <w:bookmarkEnd w:id="175"/>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conveyance or other disposition, the provisions of this Indenture referring to the Issuer shall refer instead to the successor corporation and not to the Issuer), and may exercise every right and power of the Issuer, as applicable, under this Indenture with the same effect as if such successor Person had been named as the Issuer, as applicable, herein.</w:t>
      </w: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ARTICLE 6 DEFAULTS AND REMEDIES</w:t>
      </w:r>
    </w:p>
    <w:p>
      <w:pPr>
        <w:spacing w:after="0" w:line="1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300" w:hanging="649"/>
        <w:spacing w:after="0"/>
        <w:tabs>
          <w:tab w:leader="none" w:pos="130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following is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ind w:left="340" w:right="20" w:firstLine="641"/>
        <w:spacing w:after="0" w:line="295" w:lineRule="auto"/>
        <w:tabs>
          <w:tab w:leader="none" w:pos="1694"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payment when due and payable, upon redemption, acceleration or otherwise, of principal of, or premium, if any, on the Notes;</w:t>
      </w:r>
    </w:p>
    <w:p>
      <w:pPr>
        <w:spacing w:after="0" w:line="110"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for 30 days or more in the payment when due of interest on or with respect to the Notes;</w:t>
      </w:r>
    </w:p>
    <w:p>
      <w:pPr>
        <w:spacing w:after="0" w:line="200" w:lineRule="exact"/>
        <w:rPr>
          <w:rFonts w:ascii="Times New Roman" w:cs="Times New Roman" w:eastAsia="Times New Roman" w:hAnsi="Times New Roman"/>
          <w:sz w:val="19"/>
          <w:szCs w:val="19"/>
          <w:color w:val="auto"/>
        </w:rPr>
      </w:pPr>
    </w:p>
    <w:p>
      <w:pPr>
        <w:jc w:val="both"/>
        <w:ind w:left="340" w:firstLine="641"/>
        <w:spacing w:after="0" w:line="237" w:lineRule="auto"/>
        <w:tabs>
          <w:tab w:leader="none" w:pos="1694"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failure by the Issuer or any Guarantor for 60 days after receipt of written notice given by the Trustee on behalf of the Holders or by the Holders of not less than 30% in aggregate principal amount of the then outstanding Notes to comply with any of its obligations, covenants or agreements (other than a default referred to in clauses (1) and (2) above) contained in this Indenture or the 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 failure to comply with Section 4.03 hereof such period of continuance of such default or breach shall be 270 days after written notice described in this clause (3) has been given;</w:t>
      </w:r>
    </w:p>
    <w:p>
      <w:pPr>
        <w:spacing w:after="0" w:line="176" w:lineRule="exact"/>
        <w:rPr>
          <w:rFonts w:ascii="Times New Roman" w:cs="Times New Roman" w:eastAsia="Times New Roman" w:hAnsi="Times New Roman"/>
          <w:sz w:val="19"/>
          <w:szCs w:val="19"/>
          <w:color w:val="auto"/>
        </w:rPr>
      </w:pPr>
    </w:p>
    <w:p>
      <w:pPr>
        <w:jc w:val="both"/>
        <w:ind w:left="340" w:firstLine="641"/>
        <w:spacing w:after="0" w:line="237" w:lineRule="auto"/>
        <w:tabs>
          <w:tab w:leader="none" w:pos="1694"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under any mortgage, indenture or instrument under which there is issued or by which there is secured or evidenced any Indebtedness for money borrowed by the Issuer or any Significant Subsidiary (or group of Restricted Subsidiaries that, taken together (as of the latest audited consolidated financial statements for the Issuer and its Restricted Subsidiaries) would constitute a Significant Subsidiary) or the payment of which is guaranteed by the Issuer or any Significant Subsidiary (or group of Restricted Subsidiaries that, taken together (as of the latest audited consolidated financial statements for the Issuer and its Restricted Subsidiaries) would constitute a Significant Subsidiary) other than Indebtedness owed to the Issuer or a Restricted Subsidiary, whether such Indebtedness or guarantee now exists or is created after the Issue Date, if both:</w:t>
      </w:r>
    </w:p>
    <w:p>
      <w:pPr>
        <w:spacing w:after="0" w:line="177" w:lineRule="exact"/>
        <w:rPr>
          <w:rFonts w:ascii="Times New Roman" w:cs="Times New Roman" w:eastAsia="Times New Roman" w:hAnsi="Times New Roman"/>
          <w:sz w:val="19"/>
          <w:szCs w:val="19"/>
          <w:color w:val="auto"/>
        </w:rPr>
      </w:pPr>
    </w:p>
    <w:p>
      <w:pPr>
        <w:ind w:left="1300" w:firstLine="647"/>
        <w:spacing w:after="0" w:line="233" w:lineRule="auto"/>
        <w:tabs>
          <w:tab w:leader="none" w:pos="2333" w:val="left"/>
        </w:tabs>
        <w:numPr>
          <w:ilvl w:val="3"/>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default either (i) results from the failure to pay any principal of such Indebtedness at its stated final maturity (after giving effect to any applicable grace periods) or</w:t>
      </w:r>
    </w:p>
    <w:p>
      <w:pPr>
        <w:ind w:left="1580" w:hanging="281"/>
        <w:spacing w:after="0"/>
        <w:tabs>
          <w:tab w:leader="none" w:pos="1580" w:val="left"/>
        </w:tabs>
        <w:numPr>
          <w:ilvl w:val="2"/>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results in the acceleration of such Indebtedness prior to its stated final maturity; and</w:t>
      </w:r>
    </w:p>
    <w:p>
      <w:pPr>
        <w:spacing w:after="0" w:line="58" w:lineRule="exact"/>
        <w:rPr>
          <w:rFonts w:ascii="Times New Roman" w:cs="Times New Roman" w:eastAsia="Times New Roman" w:hAnsi="Times New Roman"/>
          <w:sz w:val="19"/>
          <w:szCs w:val="19"/>
          <w:color w:val="auto"/>
        </w:rPr>
      </w:pPr>
    </w:p>
    <w:p>
      <w:pPr>
        <w:jc w:val="both"/>
        <w:ind w:left="1300" w:firstLine="647"/>
        <w:spacing w:after="0" w:line="241" w:lineRule="auto"/>
        <w:tabs>
          <w:tab w:leader="none" w:pos="2330" w:val="left"/>
        </w:tabs>
        <w:numPr>
          <w:ilvl w:val="3"/>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aggregates to the greater of $135.5 million and 25.0% of LTM EBITDA or more at any one time outstanding;</w:t>
      </w:r>
    </w:p>
    <w:p>
      <w:pPr>
        <w:spacing w:after="0" w:line="175" w:lineRule="exact"/>
        <w:rPr>
          <w:rFonts w:ascii="Times New Roman" w:cs="Times New Roman" w:eastAsia="Times New Roman" w:hAnsi="Times New Roman"/>
          <w:sz w:val="19"/>
          <w:szCs w:val="19"/>
          <w:color w:val="auto"/>
        </w:rPr>
      </w:pPr>
    </w:p>
    <w:p>
      <w:pPr>
        <w:jc w:val="both"/>
        <w:ind w:left="340" w:firstLine="641"/>
        <w:spacing w:after="0" w:line="235" w:lineRule="auto"/>
        <w:tabs>
          <w:tab w:leader="none" w:pos="1694" w:val="left"/>
        </w:tabs>
        <w:numPr>
          <w:ilvl w:val="1"/>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 or any Significant Subsidiary (or any group of Restricted Subsidiaries that, taken together (as of the latest audited consolidated financial statements for the Issuer and its Restricted Subsidiaries) would constitute a Significant Subsidiary) to pa y final non-appealable judgments aggregating in excess of the greater of $162.6 million and 30.0% of LTM EBITDA (net of amounts covered by indemnities provided by, or insurance policies issued by, reputable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760"/>
          </w:cols>
          <w:pgMar w:left="580" w:top="1440" w:right="559" w:bottom="1440" w:gutter="0" w:footer="0" w:header="0"/>
        </w:sectPr>
      </w:pPr>
    </w:p>
    <w:bookmarkStart w:id="176" w:name="page177"/>
    <w:bookmarkEnd w:id="176"/>
    <w:p>
      <w:pPr>
        <w:spacing w:after="0" w:line="186" w:lineRule="exact"/>
        <w:rPr>
          <w:sz w:val="20"/>
          <w:szCs w:val="20"/>
          <w:color w:val="auto"/>
        </w:rPr>
      </w:pPr>
    </w:p>
    <w:p>
      <w:pPr>
        <w:jc w:val="both"/>
        <w:ind w:right="20" w:firstLine="641"/>
        <w:spacing w:after="0" w:line="244" w:lineRule="auto"/>
        <w:tabs>
          <w:tab w:leader="none" w:pos="1354"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Holdings, the Issuer or a Restricted Subsidiary of the Issuer that is a Significant Subsidiary or any group of Restricted Subsidiaries that, taken together (as of the latest audited consolidated financial statements for the Issuer and its Restricted Subsidiaries), would constitute a Significant Subsidiary, pursuant to or within the meaning of any Bankruptcy Law:</w:t>
      </w:r>
    </w:p>
    <w:p>
      <w:pPr>
        <w:spacing w:after="0" w:line="170" w:lineRule="exact"/>
        <w:rPr>
          <w:rFonts w:ascii="Times New Roman" w:cs="Times New Roman" w:eastAsia="Times New Roman" w:hAnsi="Times New Roman"/>
          <w:sz w:val="19"/>
          <w:szCs w:val="19"/>
          <w:color w:val="auto"/>
        </w:rPr>
      </w:pPr>
    </w:p>
    <w:p>
      <w:pPr>
        <w:ind w:left="2240" w:hanging="632"/>
        <w:spacing w:after="0"/>
        <w:tabs>
          <w:tab w:leader="none" w:pos="2240"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commences voluntary proceedings to be adjudicated bankrupt or insolvent;</w:t>
      </w:r>
    </w:p>
    <w:p>
      <w:pPr>
        <w:spacing w:after="0" w:line="213" w:lineRule="exact"/>
        <w:rPr>
          <w:rFonts w:ascii="Times New Roman" w:cs="Times New Roman" w:eastAsia="Times New Roman" w:hAnsi="Times New Roman"/>
          <w:sz w:val="19"/>
          <w:szCs w:val="19"/>
          <w:color w:val="auto"/>
        </w:rPr>
      </w:pPr>
    </w:p>
    <w:p>
      <w:pPr>
        <w:ind w:left="960" w:firstLine="647"/>
        <w:spacing w:after="0" w:line="265" w:lineRule="auto"/>
        <w:tabs>
          <w:tab w:leader="none" w:pos="2001"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to the institution of bankruptcy or insolvency proceedings against it, or the filing by it of a petition or answer or consent seeking reorganization or relief under applicable Bankruptcy Law;</w:t>
      </w:r>
    </w:p>
    <w:p>
      <w:pPr>
        <w:spacing w:after="0" w:line="152" w:lineRule="exact"/>
        <w:rPr>
          <w:rFonts w:ascii="Times New Roman" w:cs="Times New Roman" w:eastAsia="Times New Roman" w:hAnsi="Times New Roman"/>
          <w:sz w:val="19"/>
          <w:szCs w:val="19"/>
          <w:color w:val="auto"/>
        </w:rPr>
      </w:pPr>
    </w:p>
    <w:p>
      <w:pPr>
        <w:jc w:val="both"/>
        <w:ind w:left="960" w:right="20" w:firstLine="647"/>
        <w:spacing w:after="0" w:line="244" w:lineRule="auto"/>
        <w:tabs>
          <w:tab w:leader="none" w:pos="1999"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to the appointment of a receiver, liquidator, assignee, trustee, sequestrator or other similar official of it or for all or substantially all of its property (other than a consent made with respect to the Issuer or a Restricted Entity on a solvent basis);</w:t>
      </w:r>
    </w:p>
    <w:p>
      <w:pPr>
        <w:spacing w:after="0" w:line="170" w:lineRule="exact"/>
        <w:rPr>
          <w:rFonts w:ascii="Times New Roman" w:cs="Times New Roman" w:eastAsia="Times New Roman" w:hAnsi="Times New Roman"/>
          <w:sz w:val="19"/>
          <w:szCs w:val="19"/>
          <w:color w:val="auto"/>
        </w:rPr>
      </w:pPr>
    </w:p>
    <w:p>
      <w:pPr>
        <w:ind w:left="960" w:right="20" w:firstLine="647"/>
        <w:spacing w:after="0" w:line="265" w:lineRule="auto"/>
        <w:tabs>
          <w:tab w:leader="none" w:pos="1989"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makes a general assignment for the benefit of its creditors (other than an assignment made with respect to the Issuer or a Restricted Entity on a solvent basis);</w:t>
      </w:r>
    </w:p>
    <w:p>
      <w:pPr>
        <w:spacing w:after="0" w:line="179" w:lineRule="exact"/>
        <w:rPr>
          <w:rFonts w:ascii="Times New Roman" w:cs="Times New Roman" w:eastAsia="Times New Roman" w:hAnsi="Times New Roman"/>
          <w:sz w:val="19"/>
          <w:szCs w:val="19"/>
          <w:color w:val="auto"/>
        </w:rPr>
      </w:pPr>
    </w:p>
    <w:p>
      <w:pPr>
        <w:ind w:left="2240" w:hanging="632"/>
        <w:spacing w:after="0"/>
        <w:tabs>
          <w:tab w:leader="none" w:pos="2240"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admits in writing that it is unable to pay its debts as they become due; or</w:t>
      </w:r>
    </w:p>
    <w:p>
      <w:pPr>
        <w:spacing w:after="0" w:line="213" w:lineRule="exact"/>
        <w:rPr>
          <w:rFonts w:ascii="Times New Roman" w:cs="Times New Roman" w:eastAsia="Times New Roman" w:hAnsi="Times New Roman"/>
          <w:sz w:val="19"/>
          <w:szCs w:val="19"/>
          <w:color w:val="auto"/>
        </w:rPr>
      </w:pPr>
    </w:p>
    <w:p>
      <w:pPr>
        <w:ind w:left="2240" w:hanging="632"/>
        <w:spacing w:after="0"/>
        <w:tabs>
          <w:tab w:leader="none" w:pos="2240"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equivalent of any of the foregoing occurs in any relevant jurisdiction;</w:t>
      </w:r>
    </w:p>
    <w:p>
      <w:pPr>
        <w:spacing w:after="0" w:line="200" w:lineRule="exact"/>
        <w:rPr>
          <w:rFonts w:ascii="Times New Roman" w:cs="Times New Roman" w:eastAsia="Times New Roman" w:hAnsi="Times New Roman"/>
          <w:sz w:val="19"/>
          <w:szCs w:val="19"/>
          <w:color w:val="auto"/>
        </w:rPr>
      </w:pPr>
    </w:p>
    <w:p>
      <w:pPr>
        <w:ind w:left="1280" w:hanging="638"/>
        <w:spacing w:after="0"/>
        <w:tabs>
          <w:tab w:leader="none" w:pos="128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court of competent jurisdiction enters an order or decree under any Bankruptcy Law that:</w:t>
      </w:r>
    </w:p>
    <w:p>
      <w:pPr>
        <w:spacing w:after="0" w:line="213" w:lineRule="exact"/>
        <w:rPr>
          <w:rFonts w:ascii="Times New Roman" w:cs="Times New Roman" w:eastAsia="Times New Roman" w:hAnsi="Times New Roman"/>
          <w:sz w:val="19"/>
          <w:szCs w:val="19"/>
          <w:color w:val="auto"/>
        </w:rPr>
      </w:pPr>
    </w:p>
    <w:p>
      <w:pPr>
        <w:jc w:val="both"/>
        <w:ind w:left="960" w:firstLine="647"/>
        <w:spacing w:after="0"/>
        <w:tabs>
          <w:tab w:leader="none" w:pos="1989"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for relief against Holdings, the Issuer or any of its Restricted Subsidiaries that is a Significant Subsidiary or any group of Restricted Subsidiaries that, taken together (as of the latest audited consolidated financial statements for the Issuer and its Restricted Subsidiaries), would constitute a Significant Subsidiary, in a proceeding in which the Issuer or any such Significant Subsidiary or any group of Restricted Subsidiaries that, taken together, would constitute a Significant Subsidiary, is to be adjudicated bankrupt or insolvent;</w:t>
      </w:r>
    </w:p>
    <w:p>
      <w:pPr>
        <w:spacing w:after="0" w:line="163" w:lineRule="exact"/>
        <w:rPr>
          <w:rFonts w:ascii="Times New Roman" w:cs="Times New Roman" w:eastAsia="Times New Roman" w:hAnsi="Times New Roman"/>
          <w:sz w:val="19"/>
          <w:szCs w:val="19"/>
          <w:color w:val="auto"/>
        </w:rPr>
      </w:pPr>
    </w:p>
    <w:p>
      <w:pPr>
        <w:jc w:val="both"/>
        <w:ind w:left="960" w:firstLine="647"/>
        <w:spacing w:after="0" w:line="237" w:lineRule="auto"/>
        <w:tabs>
          <w:tab w:leader="none" w:pos="2001"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appoints a receiver, liquidator, assignee, trustee, sequestrator or other similar official of Holdings, the Issuer or any of its Restricted Subsidiaries that is a Significant Subsidiary or any group of Restricted Subsidiaries that, taken together (as of the latest audited consolidated financial statements for the Issuer and its Restricted Subsidiaries), would constitute a Significant Subsidiary, or for all or substantially all of the property of the Issuer or such Significant Subsidiary or any group of Restricted Subsidiaries that, taken together, would constitute a Significant Subsidiary; or</w:t>
      </w:r>
    </w:p>
    <w:p>
      <w:pPr>
        <w:spacing w:after="0" w:line="41" w:lineRule="exact"/>
        <w:rPr>
          <w:rFonts w:ascii="Times New Roman" w:cs="Times New Roman" w:eastAsia="Times New Roman" w:hAnsi="Times New Roman"/>
          <w:sz w:val="19"/>
          <w:szCs w:val="19"/>
          <w:color w:val="auto"/>
        </w:rPr>
      </w:pPr>
    </w:p>
    <w:p>
      <w:pPr>
        <w:ind w:left="960" w:right="20" w:firstLine="647"/>
        <w:spacing w:after="0" w:line="265" w:lineRule="auto"/>
        <w:tabs>
          <w:tab w:leader="none" w:pos="1999"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orders the liquidation of Holdings, the Issuer or any of its Restricted Subsidiaries that is a Significant Subsidiary or any group of Restricted Subsidiaries that, taken together, would constitute a Significant Subsidiary;</w:t>
      </w:r>
    </w:p>
    <w:p>
      <w:pPr>
        <w:spacing w:after="0" w:line="139" w:lineRule="exact"/>
        <w:rPr>
          <w:sz w:val="20"/>
          <w:szCs w:val="20"/>
          <w:color w:val="auto"/>
        </w:rPr>
      </w:pPr>
    </w:p>
    <w:p>
      <w:pPr>
        <w:ind w:left="640" w:right="20"/>
        <w:spacing w:after="0" w:line="280" w:lineRule="auto"/>
        <w:rPr>
          <w:sz w:val="20"/>
          <w:szCs w:val="20"/>
          <w:color w:val="auto"/>
        </w:rPr>
      </w:pPr>
      <w:r>
        <w:rPr>
          <w:rFonts w:ascii="Times New Roman" w:cs="Times New Roman" w:eastAsia="Times New Roman" w:hAnsi="Times New Roman"/>
          <w:sz w:val="19"/>
          <w:szCs w:val="19"/>
          <w:color w:val="auto"/>
        </w:rPr>
        <w:t>in each case other than an order, decree or appointment entered with respect to the Issuer or a Restricted Subsidiary on a solvent basis and the order or decree remains unstayed and in effect for 60 consecutive days;</w:t>
      </w:r>
    </w:p>
    <w:p>
      <w:pPr>
        <w:spacing w:after="0" w:line="125" w:lineRule="exact"/>
        <w:rPr>
          <w:sz w:val="20"/>
          <w:szCs w:val="20"/>
          <w:color w:val="auto"/>
        </w:rPr>
      </w:pPr>
    </w:p>
    <w:p>
      <w:pPr>
        <w:ind w:right="40" w:firstLine="641"/>
        <w:spacing w:after="0" w:line="280" w:lineRule="auto"/>
        <w:tabs>
          <w:tab w:leader="none" w:pos="1354"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 Guarantee of any Significant Subsidiary shall for any reason cease to be in full force and effect, other than by reason of the termination of this Indenture or the release of any such Note Guarantee in accordance with this Indenture; or</w:t>
      </w:r>
    </w:p>
    <w:p>
      <w:pPr>
        <w:spacing w:after="0" w:line="138" w:lineRule="exact"/>
        <w:rPr>
          <w:rFonts w:ascii="Times New Roman" w:cs="Times New Roman" w:eastAsia="Times New Roman" w:hAnsi="Times New Roman"/>
          <w:sz w:val="19"/>
          <w:szCs w:val="19"/>
          <w:color w:val="auto"/>
        </w:rPr>
      </w:pPr>
    </w:p>
    <w:p>
      <w:pPr>
        <w:jc w:val="both"/>
        <w:ind w:firstLine="641"/>
        <w:spacing w:after="0" w:line="237" w:lineRule="auto"/>
        <w:tabs>
          <w:tab w:leader="none" w:pos="1354"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Liens created by the Collateral Documents shall at any time not constitute a valid and perfected Lien on any material portion of the Collateral intended to be covered thereby (unless perfection is not required by this Indenture or the Collateral Documents) other than (A) in accordance with the terms of the relevant Collateral Document or this Indenture, (B) the satisfaction in full of all Obligations under this Indenture or (C) any loss of perfection that results from the failure of the Notes Collateral Agent or Credit Agreement Collateral Agent to maintain possession of certificates delivered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420"/>
          </w:cols>
          <w:pgMar w:left="920" w:top="1440" w:right="559" w:bottom="1440" w:gutter="0" w:footer="0" w:header="0"/>
        </w:sectPr>
      </w:pPr>
    </w:p>
    <w:bookmarkStart w:id="177" w:name="page178"/>
    <w:bookmarkEnd w:id="177"/>
    <w:p>
      <w:pPr>
        <w:spacing w:after="0" w:line="172" w:lineRule="exact"/>
        <w:rPr>
          <w:sz w:val="20"/>
          <w:szCs w:val="20"/>
          <w:color w:val="auto"/>
        </w:rPr>
      </w:pPr>
    </w:p>
    <w:p>
      <w:pPr>
        <w:jc w:val="both"/>
        <w:ind w:left="340"/>
        <w:spacing w:after="0" w:line="237" w:lineRule="auto"/>
        <w:rPr>
          <w:sz w:val="20"/>
          <w:szCs w:val="20"/>
          <w:color w:val="auto"/>
        </w:rPr>
      </w:pPr>
      <w:r>
        <w:rPr>
          <w:rFonts w:ascii="Times New Roman" w:cs="Times New Roman" w:eastAsia="Times New Roman" w:hAnsi="Times New Roman"/>
          <w:sz w:val="19"/>
          <w:szCs w:val="19"/>
          <w:color w:val="auto"/>
        </w:rPr>
        <w:t>representing securities pledged under the Collateral Documents or (ii) the Issuer or any Significant Subsidiary (or any group of Restricted Subsidiaries that, taken together (as of the latest audited consolidated financial statements for the Issuer and its Restricted Subsidiaries) would constitute a Significant Subsidiary) shall assert, in any pleading in any court of competent jurisdiction, that any security interest in any Collateral Document is invalid or unenforceable, and in each case of clause (i) and (ii), such default continues for 30 days after receipt of written notice given by the Trustee or the Holders of not less than 30% in aggregate principal amount of the then outstanding Notes.</w:t>
      </w:r>
    </w:p>
    <w:p>
      <w:pPr>
        <w:spacing w:after="0" w:line="177" w:lineRule="exact"/>
        <w:rPr>
          <w:sz w:val="20"/>
          <w:szCs w:val="20"/>
          <w:color w:val="auto"/>
        </w:rPr>
      </w:pPr>
    </w:p>
    <w:p>
      <w:pPr>
        <w:jc w:val="both"/>
        <w:ind w:firstLine="650"/>
        <w:spacing w:after="0" w:line="230" w:lineRule="auto"/>
        <w:tabs>
          <w:tab w:leader="none" w:pos="1031"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Default under clause (3), (4) or (5) of Section 6.01(a) will not constitute an Event of Default until the Trustee or the Holders of at least 30% in principal amount of the outstanding Notes notify the Issuer of the Default and, with respect to clauses (3) and (5) of Section 6.01(a), the Issuer does not cure such Default within the time specified in clause (3) or (5) of Section 6.01(a) after receipt of such notice; provided that a notice of Default may not be given with respect to any action taken, and reported publicly or to Holders, more than two years prior to such notice of Default. Any notice of Default, notice of acceleration or instruction to the Trustee or the Notes Collateral Agent to provide a notice of Default, notice of acceleration or take any other action (a “</w:t>
      </w:r>
      <w:r>
        <w:rPr>
          <w:rFonts w:ascii="Times New Roman" w:cs="Times New Roman" w:eastAsia="Times New Roman" w:hAnsi="Times New Roman"/>
          <w:sz w:val="19"/>
          <w:szCs w:val="19"/>
          <w:u w:val="single" w:color="auto"/>
          <w:color w:val="auto"/>
        </w:rPr>
        <w:t>Noteholder Direction</w:t>
      </w:r>
      <w:r>
        <w:rPr>
          <w:rFonts w:ascii="Times New Roman" w:cs="Times New Roman" w:eastAsia="Times New Roman" w:hAnsi="Times New Roman"/>
          <w:sz w:val="19"/>
          <w:szCs w:val="19"/>
          <w:color w:val="auto"/>
        </w:rPr>
        <w:t>”) provided by any one or more Holders (each a “</w:t>
      </w:r>
      <w:r>
        <w:rPr>
          <w:rFonts w:ascii="Times New Roman" w:cs="Times New Roman" w:eastAsia="Times New Roman" w:hAnsi="Times New Roman"/>
          <w:sz w:val="19"/>
          <w:szCs w:val="19"/>
          <w:u w:val="single" w:color="auto"/>
          <w:color w:val="auto"/>
        </w:rPr>
        <w:t>Directing Holder</w:t>
      </w:r>
      <w:r>
        <w:rPr>
          <w:rFonts w:ascii="Times New Roman" w:cs="Times New Roman" w:eastAsia="Times New Roman" w:hAnsi="Times New Roman"/>
          <w:sz w:val="19"/>
          <w:szCs w:val="19"/>
          <w:color w:val="auto"/>
        </w:rPr>
        <w:t>”) must be accompanied by a written representation from each such Holder delivered to the Issuer and the Trustee that such Holder is not (or, in the case such Holder is DTC or its nominee, that such Holder is being instructed solely by beneficial owners that are not) Net Short (a “</w:t>
      </w:r>
      <w:r>
        <w:rPr>
          <w:rFonts w:ascii="Times New Roman" w:cs="Times New Roman" w:eastAsia="Times New Roman" w:hAnsi="Times New Roman"/>
          <w:sz w:val="19"/>
          <w:szCs w:val="19"/>
          <w:u w:val="single" w:color="auto"/>
          <w:color w:val="auto"/>
        </w:rPr>
        <w:t>Position Representation</w:t>
      </w:r>
      <w:r>
        <w:rPr>
          <w:rFonts w:ascii="Times New Roman" w:cs="Times New Roman" w:eastAsia="Times New Roman" w:hAnsi="Times New Roman"/>
          <w:sz w:val="19"/>
          <w:szCs w:val="19"/>
          <w:color w:val="auto"/>
        </w:rPr>
        <w:t>”), which representation, in the case of a Noteholder Direction relating to the delivery of a notice of Default shall be deemed a continuing representation until the resulting Event of Default is cured or otherwise ceases to exist or the Notes are accelerated. In addition, each Directing Holder is deemed, at the time of providing a Noteholder Direction, to covenant to provide the Issuer with such other information as the Issuer may reasonably request from time to time in order to verify the accuracy of such Noteholder’s Position Representation within five Business Days of request therefor (a “</w:t>
      </w:r>
      <w:r>
        <w:rPr>
          <w:rFonts w:ascii="Times New Roman" w:cs="Times New Roman" w:eastAsia="Times New Roman" w:hAnsi="Times New Roman"/>
          <w:sz w:val="19"/>
          <w:szCs w:val="19"/>
          <w:u w:val="single" w:color="auto"/>
          <w:color w:val="auto"/>
        </w:rPr>
        <w:t>Verification Covenant</w:t>
      </w:r>
      <w:r>
        <w:rPr>
          <w:rFonts w:ascii="Times New Roman" w:cs="Times New Roman" w:eastAsia="Times New Roman" w:hAnsi="Times New Roman"/>
          <w:sz w:val="19"/>
          <w:szCs w:val="19"/>
          <w:color w:val="auto"/>
        </w:rPr>
        <w:t>”). In any case in which the Holder is DTC or DTC’s nominee, any Position Representation or Verification Covenant required hereunder shall be provided by the beneficial owner of the Notes in lieu of DTC or DTC’s nominee and DTC shall be entitled to conclusively rely on such Position Representation and Verification Covenant in delivering its direction to the Trustee or the Notes Collateral Agent.</w:t>
      </w:r>
    </w:p>
    <w:p>
      <w:pPr>
        <w:spacing w:after="0" w:line="295" w:lineRule="exact"/>
        <w:rPr>
          <w:rFonts w:ascii="Times New Roman" w:cs="Times New Roman" w:eastAsia="Times New Roman" w:hAnsi="Times New Roman"/>
          <w:sz w:val="19"/>
          <w:szCs w:val="19"/>
          <w:color w:val="auto"/>
        </w:rPr>
      </w:pPr>
    </w:p>
    <w:p>
      <w:pPr>
        <w:jc w:val="both"/>
        <w:ind w:firstLine="650"/>
        <w:spacing w:after="0" w:line="239" w:lineRule="auto"/>
        <w:tabs>
          <w:tab w:leader="none" w:pos="1034"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and the Notes Collateral Agent, if applicable,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the Issuer provides to the Trustee and the Notes Collateral Agent, if applicable,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(other than any indemnity such Directing Holder may have offered the Trustee or the Notes Collateral Agent), with the effect that such Event of Default shall be deemed never to have occurred, acceleration voided and the Trustee and the Notes Collateral Agent, if applicable, shall be deemed not to have received such Noteholder Direction or any notice of such Default or Event of Default.</w:t>
      </w:r>
    </w:p>
    <w:p>
      <w:pPr>
        <w:spacing w:after="0" w:line="162" w:lineRule="exact"/>
        <w:rPr>
          <w:rFonts w:ascii="Times New Roman" w:cs="Times New Roman" w:eastAsia="Times New Roman" w:hAnsi="Times New Roman"/>
          <w:sz w:val="19"/>
          <w:szCs w:val="19"/>
          <w:color w:val="auto"/>
        </w:rPr>
      </w:pPr>
    </w:p>
    <w:p>
      <w:pPr>
        <w:jc w:val="both"/>
        <w:ind w:firstLine="650"/>
        <w:spacing w:after="0" w:line="244" w:lineRule="auto"/>
        <w:tabs>
          <w:tab w:leader="none" w:pos="1031"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Sections 6.01(b) and 6.01(c) to the contrary, any Noteholder Direction delivered to the Trustee or the Notes Collateral Agent during the pendency of an Event of Default as the result of a bankruptcy or similar proceeding shall not require compliance with Sections 6.01(b) and 6.01(c).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760"/>
          </w:cols>
          <w:pgMar w:left="580" w:top="1440" w:right="559" w:bottom="1440" w:gutter="0" w:footer="0" w:header="0"/>
        </w:sectPr>
      </w:pPr>
    </w:p>
    <w:bookmarkStart w:id="178" w:name="page179"/>
    <w:bookmarkEnd w:id="178"/>
    <w:p>
      <w:pPr>
        <w:spacing w:after="0" w:line="186" w:lineRule="exact"/>
        <w:rPr>
          <w:sz w:val="20"/>
          <w:szCs w:val="20"/>
          <w:color w:val="auto"/>
        </w:rPr>
      </w:pPr>
    </w:p>
    <w:p>
      <w:pPr>
        <w:jc w:val="both"/>
        <w:ind w:firstLine="650"/>
        <w:spacing w:after="0" w:line="237" w:lineRule="auto"/>
        <w:tabs>
          <w:tab w:leader="none" w:pos="1034"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and the Notes Collateral Agent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Neither the Trustee nor the Notes Collateral Agent shall have any liability to the Issuer, any Holder or any other Person in acting in good faith on a Noteholder Direction.</w:t>
      </w:r>
    </w:p>
    <w:p>
      <w:pPr>
        <w:spacing w:after="0" w:line="177" w:lineRule="exact"/>
        <w:rPr>
          <w:rFonts w:ascii="Times New Roman" w:cs="Times New Roman" w:eastAsia="Times New Roman" w:hAnsi="Times New Roman"/>
          <w:sz w:val="19"/>
          <w:szCs w:val="19"/>
          <w:color w:val="auto"/>
        </w:rPr>
      </w:pPr>
    </w:p>
    <w:p>
      <w:pPr>
        <w:ind w:right="20" w:firstLine="650"/>
        <w:spacing w:after="0" w:line="280" w:lineRule="auto"/>
        <w:tabs>
          <w:tab w:leader="none" w:pos="104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time period in this Indenture to cure any actual or alleged Default or Event of Default may be extended or stayed by a court of competent jurisdiction.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6.02 </w:t>
      </w:r>
      <w:r>
        <w:rPr>
          <w:rFonts w:ascii="Times New Roman" w:cs="Times New Roman" w:eastAsia="Times New Roman" w:hAnsi="Times New Roman"/>
          <w:sz w:val="19"/>
          <w:szCs w:val="19"/>
          <w:u w:val="single" w:color="auto"/>
          <w:color w:val="auto"/>
        </w:rPr>
        <w:t>Acceleration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50"/>
        <w:spacing w:after="0" w:line="237" w:lineRule="auto"/>
        <w:tabs>
          <w:tab w:leader="none" w:pos="1034"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Event of Default (other than of a type specified in Sections 6.01(a)(6) and 6.01(a)(7)) occurs and is continuing under this Indenture, the Trustee by written notice to the Issuer or the Holders of at least 30% in aggregate principal amount of the then total outstanding Notes by written notice to the Issuer and the Trustee may declare the principal of and accrued and unpaid interest, on all the then outstanding Notes to be due and payable immediately. Upon the effectiveness of such declaration, such principal and accrued and unpaid interest, shall be due and payable immediately. Notwithstanding the foregoing, if an Event of Default arising under Sections 6.01(a)(6) and 6.01(a)(7) hereof occurs and is continuing, all outstanding Notes shall become due and payable without further action or notice.</w:t>
      </w:r>
    </w:p>
    <w:p>
      <w:pPr>
        <w:spacing w:after="0" w:line="163" w:lineRule="exact"/>
        <w:rPr>
          <w:rFonts w:ascii="Times New Roman" w:cs="Times New Roman" w:eastAsia="Times New Roman" w:hAnsi="Times New Roman"/>
          <w:sz w:val="19"/>
          <w:szCs w:val="19"/>
          <w:color w:val="auto"/>
        </w:rPr>
      </w:pPr>
    </w:p>
    <w:p>
      <w:pPr>
        <w:jc w:val="both"/>
        <w:ind w:firstLine="650"/>
        <w:spacing w:after="0" w:line="234" w:lineRule="auto"/>
        <w:tabs>
          <w:tab w:leader="none" w:pos="1031"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Holders of a majority in aggregate principal amount of the then outstanding Notes by written notice to the Trustee may on behalf of the Holders of all of the Notes waive all past or any existing Default or Event of Default and its consequences under this Indenture (except a continuing Default in the payment of interest or the principal of any Note held by a non-consenting Holder and except a Default in respect of a provision that cannot be amended without the consent of each Holder of a Note affected thereby) and rescind any acceleration with respect to the Notes and its consequences;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rescission would not conflict with any judgment of a court of competent jurisdiction. For the avoidance of doubt, the Holders of a majority in aggregate principal amount of the then outstanding Notes may on behalf of the Holders of all of the Notes waive, amend or modify the obligation to make a Change of Control Repurchase Offer, a Change of Control Payment, an Asset Sale Offer or an Asset Sale payment, either before or after such obligation arises; provided that the foregoing shall be without prejudice to the right of the Holders of Notes to receive the principal amount and interest on their Notes if and when due.</w:t>
      </w:r>
    </w:p>
    <w:p>
      <w:pPr>
        <w:spacing w:after="0" w:line="161" w:lineRule="exact"/>
        <w:rPr>
          <w:rFonts w:ascii="Times New Roman" w:cs="Times New Roman" w:eastAsia="Times New Roman" w:hAnsi="Times New Roman"/>
          <w:sz w:val="19"/>
          <w:szCs w:val="19"/>
          <w:color w:val="auto"/>
        </w:rPr>
      </w:pPr>
    </w:p>
    <w:p>
      <w:pPr>
        <w:jc w:val="both"/>
        <w:ind w:firstLine="650"/>
        <w:spacing w:after="0" w:line="242" w:lineRule="auto"/>
        <w:tabs>
          <w:tab w:leader="none" w:pos="1034"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If a Default for a failure to report or failure to deliver a required certificate in connection with another default (the “</w:t>
      </w:r>
      <w:r>
        <w:rPr>
          <w:rFonts w:ascii="Times New Roman" w:cs="Times New Roman" w:eastAsia="Times New Roman" w:hAnsi="Times New Roman"/>
          <w:sz w:val="19"/>
          <w:szCs w:val="19"/>
          <w:u w:val="single" w:color="auto"/>
          <w:color w:val="auto"/>
        </w:rPr>
        <w:t>Initial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6.03 </w:t>
      </w:r>
      <w:r>
        <w:rPr>
          <w:rFonts w:ascii="Times New Roman" w:cs="Times New Roman" w:eastAsia="Times New Roman" w:hAnsi="Times New Roman"/>
          <w:sz w:val="19"/>
          <w:szCs w:val="19"/>
          <w:u w:val="single" w:color="auto"/>
          <w:color w:val="auto"/>
        </w:rPr>
        <w:t>Other Remedies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39"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760"/>
          </w:cols>
          <w:pgMar w:left="580" w:top="1440" w:right="5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9"/>
          <w:szCs w:val="19"/>
          <w:color w:val="auto"/>
        </w:rPr>
        <w:t xml:space="preserve">Section 6.04 </w:t>
      </w:r>
      <w:r>
        <w:rPr>
          <w:rFonts w:ascii="Times New Roman" w:cs="Times New Roman" w:eastAsia="Times New Roman" w:hAnsi="Times New Roman"/>
          <w:sz w:val="19"/>
          <w:szCs w:val="19"/>
          <w:u w:val="single" w:color="auto"/>
          <w:color w:val="auto"/>
        </w:rPr>
        <w:t>Waiver of Past Defaults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right="220" w:firstLine="650"/>
        <w:spacing w:after="0" w:line="232" w:lineRule="auto"/>
        <w:tabs>
          <w:tab w:leader="none" w:pos="1034"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Holders of a majority in aggregate principal amount of the then outstanding Notes by written notice to the Trustee may on behalf of the Holders of all of the Notes waive all past or any existing Default or Event of Default and its consequences under this Indenture (except a continuing Default in the payment of interest or the principal of any Note held by a non-consenting Holder and except a Default in respect of a provision that cannot be amended without the consent of each Holder of a Note affected thereby) and rescind any acceleration with respect to the Notes and its consequences;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rescission would not conflict with any judgment of a court of competent jurisdiction. For the avoidance of doubt, the Holders of a majority in aggregate principal amount of the then outstanding Notes may on behalf of the Holders of all of the Notes waive, amend or modify the obligation to make a Change of Control Repurchase Offer, a Change of Control Payment, an Asset Sale Offer or an Asset Sale payment, either before or after such obligation arises; provided that the foregoing shall be without prejudice to the right of the</w:t>
      </w:r>
    </w:p>
    <w:p>
      <w:pPr>
        <w:spacing w:after="0" w:line="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Holders of Notes to receive the principal amount and interest on their Notes if and when due.</w:t>
      </w:r>
    </w:p>
    <w:p>
      <w:pPr>
        <w:spacing w:after="0" w:line="185" w:lineRule="exact"/>
        <w:rPr>
          <w:rFonts w:ascii="Times New Roman" w:cs="Times New Roman" w:eastAsia="Times New Roman" w:hAnsi="Times New Roman"/>
          <w:sz w:val="19"/>
          <w:szCs w:val="19"/>
          <w:color w:val="auto"/>
        </w:rPr>
      </w:pPr>
    </w:p>
    <w:p>
      <w:pPr>
        <w:jc w:val="both"/>
        <w:ind w:right="220" w:firstLine="650"/>
        <w:spacing w:after="0" w:line="244" w:lineRule="auto"/>
        <w:tabs>
          <w:tab w:leader="none" w:pos="1031"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Event of Default specified in Section 6.01(a)(4) has occurred and is continuing, such Event of Default and all consequences thereof (excluding any resulting payment default, other than as a result of acceleration of the Notes) shall be annulled, waived and rescinded, automatically and without any action by the Trustee or the Holders, if within 30 days after such Event of Default arose:</w:t>
      </w:r>
    </w:p>
    <w:p>
      <w:pPr>
        <w:spacing w:after="0" w:line="171" w:lineRule="exact"/>
        <w:rPr>
          <w:sz w:val="20"/>
          <w:szCs w:val="20"/>
          <w:color w:val="auto"/>
        </w:rPr>
      </w:pPr>
    </w:p>
    <w:p>
      <w:pPr>
        <w:ind w:left="1620" w:hanging="638"/>
        <w:spacing w:after="0"/>
        <w:tabs>
          <w:tab w:leader="none" w:pos="1620"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Indebtedness or guarantee that is the basis for such Event of Default has been discharged;</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or</w:t>
      </w:r>
    </w:p>
    <w:p>
      <w:pPr>
        <w:spacing w:after="0" w:line="167" w:lineRule="exact"/>
        <w:rPr>
          <w:sz w:val="20"/>
          <w:szCs w:val="20"/>
          <w:color w:val="auto"/>
        </w:rPr>
      </w:pPr>
    </w:p>
    <w:p>
      <w:pPr>
        <w:ind w:left="1620" w:hanging="638"/>
        <w:spacing w:after="0" w:line="280" w:lineRule="auto"/>
        <w:tabs>
          <w:tab w:leader="none" w:pos="1611"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Holders thereof have rescinded or waived the acceleration, notice or action (as the case maybe) giving rise to such Event of Default; or</w:t>
      </w:r>
    </w:p>
    <w:p>
      <w:pPr>
        <w:spacing w:after="0" w:line="138"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default that is the basis for such Event of Default has been cured.</w:t>
      </w: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6.05</w:t>
      </w:r>
      <w:r>
        <w:rPr>
          <w:sz w:val="20"/>
          <w:szCs w:val="20"/>
          <w:color w:val="auto"/>
        </w:rPr>
        <w:tab/>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right="220" w:firstLine="649"/>
        <w:spacing w:after="0" w:line="237" w:lineRule="auto"/>
        <w:rPr>
          <w:sz w:val="20"/>
          <w:szCs w:val="20"/>
          <w:color w:val="auto"/>
        </w:rPr>
      </w:pPr>
      <w:r>
        <w:rPr>
          <w:rFonts w:ascii="Times New Roman" w:cs="Times New Roman" w:eastAsia="Times New Roman" w:hAnsi="Times New Roman"/>
          <w:sz w:val="19"/>
          <w:szCs w:val="19"/>
          <w:color w:val="auto"/>
        </w:rPr>
        <w:t>Subject to the terms of this Indenture, Holders of a majority in aggregate principal amount of the outstanding Notes may direct the time, method and place of conducting any proceeding for any remedy available to the Trustee or the Notes Collateral Agent or of exercising any trust or power conferred on the Trustee or the Notes Collateral Agent. The Trustee and the Notes Collateral Agent, however, may refuse to follow any direction that conflicts with law or this Indenture or that the Trustee determines is unduly prejudicial to the rights of any other Holder of a Note or that would involve the Trustee or the Notes Collateral Agent in personal liability (it being understood that the Trustee and the Notes Collateral Agent shall have no duty to determine whether an action is prejudicial to any Holder).</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6.06</w:t>
      </w:r>
      <w:r>
        <w:rPr>
          <w:sz w:val="20"/>
          <w:szCs w:val="20"/>
          <w:color w:val="auto"/>
        </w:rPr>
        <w:tab/>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260" w:firstLine="649"/>
        <w:spacing w:after="0" w:line="280" w:lineRule="auto"/>
        <w:rPr>
          <w:sz w:val="20"/>
          <w:szCs w:val="20"/>
          <w:color w:val="auto"/>
        </w:rPr>
      </w:pPr>
      <w:r>
        <w:rPr>
          <w:rFonts w:ascii="Times New Roman" w:cs="Times New Roman" w:eastAsia="Times New Roman" w:hAnsi="Times New Roman"/>
          <w:sz w:val="19"/>
          <w:szCs w:val="19"/>
          <w:color w:val="auto"/>
        </w:rPr>
        <w:t>Subject to Section 6.07 hereof, no Holder of a Note may pursue any remedy with respect to this Indenture, any Collateral Documents or the Notes unless:</w:t>
      </w:r>
    </w:p>
    <w:p>
      <w:pPr>
        <w:spacing w:after="0" w:line="17" w:lineRule="exact"/>
        <w:rPr>
          <w:sz w:val="20"/>
          <w:szCs w:val="20"/>
          <w:color w:val="auto"/>
        </w:rPr>
      </w:pPr>
    </w:p>
    <w:p>
      <w:pPr>
        <w:ind w:left="1680" w:hanging="699"/>
        <w:spacing w:after="0"/>
        <w:tabs>
          <w:tab w:leader="none" w:pos="168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 has previously given the Trustee written notice that an Event of Default is continuing;</w:t>
      </w:r>
    </w:p>
    <w:p>
      <w:pPr>
        <w:spacing w:after="0" w:line="200" w:lineRule="exact"/>
        <w:rPr>
          <w:rFonts w:ascii="Times New Roman" w:cs="Times New Roman" w:eastAsia="Times New Roman" w:hAnsi="Times New Roman"/>
          <w:sz w:val="19"/>
          <w:szCs w:val="19"/>
          <w:color w:val="auto"/>
        </w:rPr>
      </w:pPr>
    </w:p>
    <w:p>
      <w:pPr>
        <w:ind w:left="340" w:right="240" w:firstLine="641"/>
        <w:spacing w:after="0" w:line="280" w:lineRule="auto"/>
        <w:tabs>
          <w:tab w:leader="none" w:pos="1694"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Holders of at least 30% in aggregate principal amount of the total outstanding Notes have requested the Trustee to pursue the remedy;</w:t>
      </w:r>
    </w:p>
    <w:p>
      <w:pPr>
        <w:spacing w:after="0" w:line="151" w:lineRule="exact"/>
        <w:rPr>
          <w:rFonts w:ascii="Times New Roman" w:cs="Times New Roman" w:eastAsia="Times New Roman" w:hAnsi="Times New Roman"/>
          <w:sz w:val="19"/>
          <w:szCs w:val="19"/>
          <w:color w:val="auto"/>
        </w:rPr>
      </w:pPr>
    </w:p>
    <w:p>
      <w:pPr>
        <w:ind w:left="340" w:right="220" w:firstLine="641"/>
        <w:spacing w:after="0" w:line="280" w:lineRule="auto"/>
        <w:tabs>
          <w:tab w:leader="none" w:pos="1694"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Holders of the Notes have offered and, if requested, provided to the Trustee indemnity or security satisfactory to the Trustee against any loss, liability or expense;</w:t>
      </w:r>
    </w:p>
    <w:p>
      <w:pPr>
        <w:spacing w:after="0" w:line="111" w:lineRule="exact"/>
        <w:rPr>
          <w:rFonts w:ascii="Times New Roman" w:cs="Times New Roman" w:eastAsia="Times New Roman" w:hAnsi="Times New Roman"/>
          <w:sz w:val="19"/>
          <w:szCs w:val="19"/>
          <w:color w:val="auto"/>
        </w:rPr>
      </w:pPr>
    </w:p>
    <w:p>
      <w:pPr>
        <w:ind w:left="340" w:right="260" w:firstLine="641"/>
        <w:spacing w:after="0" w:line="280" w:lineRule="auto"/>
        <w:tabs>
          <w:tab w:leader="none" w:pos="1694"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has not complied with such request within 60 days after the receipt of the written request and the offer of security or indemnity; 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0"/>
          </w:cols>
          <w:pgMar w:left="580" w:top="1423" w:right="339" w:bottom="1440" w:gutter="0" w:footer="0" w:header="0"/>
        </w:sectPr>
      </w:pPr>
    </w:p>
    <w:bookmarkStart w:id="180" w:name="page181"/>
    <w:bookmarkEnd w:id="180"/>
    <w:p>
      <w:pPr>
        <w:spacing w:after="0" w:line="186" w:lineRule="exact"/>
        <w:rPr>
          <w:sz w:val="20"/>
          <w:szCs w:val="20"/>
          <w:color w:val="auto"/>
        </w:rPr>
      </w:pPr>
    </w:p>
    <w:p>
      <w:pPr>
        <w:ind w:left="340" w:right="20" w:firstLine="641"/>
        <w:spacing w:after="0" w:line="265" w:lineRule="auto"/>
        <w:tabs>
          <w:tab w:leader="none" w:pos="1694"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Holders of a majority in aggregate principal amount of the total outstanding Notes have not given the Trustee a direction inconsistent with such request within such 60 -day period.</w:t>
      </w:r>
    </w:p>
    <w:p>
      <w:pPr>
        <w:spacing w:after="0" w:line="166" w:lineRule="exact"/>
        <w:rPr>
          <w:sz w:val="20"/>
          <w:szCs w:val="20"/>
          <w:color w:val="auto"/>
        </w:rPr>
      </w:pPr>
    </w:p>
    <w:p>
      <w:pPr>
        <w:ind w:right="40" w:firstLine="649"/>
        <w:spacing w:after="0" w:line="280" w:lineRule="auto"/>
        <w:rPr>
          <w:sz w:val="20"/>
          <w:szCs w:val="20"/>
          <w:color w:val="auto"/>
        </w:rPr>
      </w:pPr>
      <w:r>
        <w:rPr>
          <w:rFonts w:ascii="Times New Roman" w:cs="Times New Roman" w:eastAsia="Times New Roman" w:hAnsi="Times New Roman"/>
          <w:sz w:val="19"/>
          <w:szCs w:val="19"/>
          <w:color w:val="auto"/>
        </w:rPr>
        <w:t>A Holder of a Note may not use this Indenture to prejudice the rights of another Holder of a Note or to obtain a preference or priority over another Holder of a Note.</w:t>
      </w:r>
    </w:p>
    <w:p>
      <w:pPr>
        <w:spacing w:after="0" w:line="13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6.07</w:t>
      </w:r>
      <w:r>
        <w:rPr>
          <w:sz w:val="20"/>
          <w:szCs w:val="20"/>
          <w:color w:val="auto"/>
        </w:rPr>
        <w:tab/>
      </w:r>
      <w:r>
        <w:rPr>
          <w:rFonts w:ascii="Times New Roman" w:cs="Times New Roman" w:eastAsia="Times New Roman" w:hAnsi="Times New Roman"/>
          <w:sz w:val="18"/>
          <w:szCs w:val="18"/>
          <w:u w:val="single" w:color="auto"/>
          <w:color w:val="auto"/>
        </w:rPr>
        <w:t>Rights of Holders of Notes to Receive Payment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Notwithstanding any other provision of this Indenture, the right of any Holder of a Note to receive payment of principal, premium, if any, and interest on the Note, on or after the respective due dates expressed in the Note (except in connection with an Asset Sale Offer or a Change of Control Offer), or to institute suit for the enforcement of any such payment on or after such respective dates, shall not be impaired or affected without the consent of such Holder.</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6.08</w:t>
      </w:r>
      <w:r>
        <w:rPr>
          <w:sz w:val="20"/>
          <w:szCs w:val="20"/>
          <w:color w:val="auto"/>
        </w:rPr>
        <w:tab/>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If an Event of Default specified in Section 6.01(a)(1) or (2)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6.09</w:t>
      </w:r>
      <w:r>
        <w:rPr>
          <w:sz w:val="20"/>
          <w:szCs w:val="20"/>
          <w:color w:val="auto"/>
        </w:rPr>
        <w:tab/>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If the Trustee, the Notes Collateral Agent or any Holder has instituted any proceeding to enforce any right or remedy under this Indenture and such proceeding has been discontinued or abandoned for any reason, or has been determined adversely to the Trustee, the Notes Collateral Agent or to such Holder, then and in every such case, subject to any determination in such proceedings, the Issuer, the Trustee, the Notes Collateral Agent and the Holders shall be restored severally and respectively to their former positions hereunder and thereafter all rights and remedies of the Trustee, the Notes Collateral Agent and the Holders shall continue as though no such proceeding has been instituted.</w:t>
      </w:r>
    </w:p>
    <w:p>
      <w:pPr>
        <w:spacing w:after="0" w:line="21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6.10</w:t>
      </w:r>
      <w:r>
        <w:rPr>
          <w:sz w:val="20"/>
          <w:szCs w:val="20"/>
          <w:color w:val="auto"/>
        </w:rPr>
        <w:tab/>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Except as otherwise provided with respect to the replacement or payment of mutilated, destroyed, lost or stolen Notes in Section 2.07 hereof, no right or remedy herein conferred upon or reserved to the Trustee, the Notes Collateral Agent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3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6.11</w:t>
      </w:r>
      <w:r>
        <w:rPr>
          <w:sz w:val="20"/>
          <w:szCs w:val="20"/>
          <w:color w:val="auto"/>
        </w:rPr>
        <w:tab/>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No delay or omission of the Trustee, the Notes Collateral Agent or of any Holder of any Note to exercise any right or remedy accruing upon any Event of Default shall impair any such right or remedy or constitute a waiver of any such Event of Default or an acquiescence therein. Every right and remedy given by this Article or by law to the Trustee, the Notes Collateral Agent or to the Holders may be exercised from time to time, and as often as may be deemed expedient, by the Trustee, the Notes Collateral Agent or by the Holders, as the case may be.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6.12</w:t>
      </w:r>
      <w:r>
        <w:rPr>
          <w:sz w:val="20"/>
          <w:szCs w:val="20"/>
          <w:color w:val="auto"/>
        </w:rPr>
        <w:tab/>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760"/>
          </w:cols>
          <w:pgMar w:left="580" w:top="1440" w:right="559" w:bottom="1440" w:gutter="0" w:footer="0" w:header="0"/>
        </w:sectPr>
      </w:pPr>
    </w:p>
    <w:bookmarkStart w:id="181" w:name="page182"/>
    <w:bookmarkEnd w:id="181"/>
    <w:p>
      <w:pPr>
        <w:spacing w:after="0" w:line="172" w:lineRule="exact"/>
        <w:rPr>
          <w:sz w:val="20"/>
          <w:szCs w:val="20"/>
          <w:color w:val="auto"/>
        </w:rPr>
      </w:pPr>
    </w:p>
    <w:p>
      <w:pPr>
        <w:jc w:val="both"/>
        <w:ind w:firstLine="649"/>
        <w:spacing w:after="0" w:line="231" w:lineRule="auto"/>
        <w:rPr>
          <w:sz w:val="20"/>
          <w:szCs w:val="20"/>
          <w:color w:val="auto"/>
        </w:rPr>
      </w:pPr>
      <w:r>
        <w:rPr>
          <w:rFonts w:ascii="Times New Roman" w:cs="Times New Roman" w:eastAsia="Times New Roman" w:hAnsi="Times New Roman"/>
          <w:sz w:val="19"/>
          <w:szCs w:val="19"/>
          <w:color w:val="auto"/>
        </w:rPr>
        <w:t>The Trustee is authorized to file such proofs of claim and other papers or documents as may be necessary or advisable in order to have the claims of the Trustee and the Notes Collateral Agent (including any claim for the reasonable compensation, expenses, disbursements and advances of the Trustee, the Notes Collateral Agent, their agents and counsel) and the Holders of the Notes allowed in any judicial proceedings relative to the Issuer (or any other obligor upon the Notes including Holdings or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the Notes Collateral Agent, their agents and counsel, and any other amounts due the Trustee or the Notes Collateral Agent under Sections 7.07 and 13.09(aa) hereof. To the extent that the payment of any such compensation, expenses, disbursements and advances of the Trustee, the Notes Collateral Agent, their agents and counsel, and any other amounts due the Trustee or Notes Collateral Agent under Sections 7.07 and 13.09(aa)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6.13</w:t>
      </w:r>
      <w:r>
        <w:rPr>
          <w:sz w:val="20"/>
          <w:szCs w:val="20"/>
          <w:color w:val="auto"/>
        </w:rPr>
        <w:tab/>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right="40"/>
        <w:spacing w:after="0" w:line="250" w:lineRule="auto"/>
        <w:rPr>
          <w:sz w:val="20"/>
          <w:szCs w:val="20"/>
          <w:color w:val="auto"/>
        </w:rPr>
      </w:pPr>
      <w:r>
        <w:rPr>
          <w:rFonts w:ascii="Times New Roman" w:cs="Times New Roman" w:eastAsia="Times New Roman" w:hAnsi="Times New Roman"/>
          <w:sz w:val="19"/>
          <w:szCs w:val="19"/>
          <w:color w:val="auto"/>
        </w:rPr>
        <w:t>If the Trustee collects any money or property pursuant to this Article 6, subject to the Pari Passu Intercreditor Agreement, it shall pay out the money or property in the following order:</w:t>
      </w:r>
    </w:p>
    <w:p>
      <w:pPr>
        <w:spacing w:after="0" w:line="139" w:lineRule="exact"/>
        <w:rPr>
          <w:sz w:val="20"/>
          <w:szCs w:val="20"/>
          <w:color w:val="auto"/>
        </w:rPr>
      </w:pPr>
    </w:p>
    <w:p>
      <w:pPr>
        <w:jc w:val="both"/>
        <w:ind w:left="660" w:firstLine="726"/>
        <w:spacing w:after="0" w:line="251" w:lineRule="auto"/>
        <w:tabs>
          <w:tab w:leader="none" w:pos="1695"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Trustee, the Notes Collateral Agent, each Agent and each of their respective agents and attorneys for amounts due under Sections 7.07 and 13.09(aa) hereof, including payment of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compensation, expenses and liabilities incurred, and all advances made, by the Trustee, the Notes Collateral Agent and/or any Agent, and the costs and expenses of collection;</w:t>
      </w:r>
    </w:p>
    <w:p>
      <w:pPr>
        <w:spacing w:after="0" w:line="165" w:lineRule="exact"/>
        <w:rPr>
          <w:rFonts w:ascii="Times New Roman" w:cs="Times New Roman" w:eastAsia="Times New Roman" w:hAnsi="Times New Roman"/>
          <w:sz w:val="19"/>
          <w:szCs w:val="19"/>
          <w:color w:val="auto"/>
        </w:rPr>
      </w:pPr>
    </w:p>
    <w:p>
      <w:pPr>
        <w:jc w:val="both"/>
        <w:ind w:left="660" w:right="20" w:firstLine="683"/>
        <w:spacing w:after="0" w:line="244" w:lineRule="auto"/>
        <w:tabs>
          <w:tab w:leader="none" w:pos="1691"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70" w:lineRule="exact"/>
        <w:rPr>
          <w:rFonts w:ascii="Times New Roman" w:cs="Times New Roman" w:eastAsia="Times New Roman" w:hAnsi="Times New Roman"/>
          <w:sz w:val="19"/>
          <w:szCs w:val="19"/>
          <w:color w:val="auto"/>
        </w:rPr>
      </w:pPr>
    </w:p>
    <w:p>
      <w:pPr>
        <w:ind w:left="1680" w:hanging="396"/>
        <w:spacing w:after="0"/>
        <w:tabs>
          <w:tab w:leader="none" w:pos="1680"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Issuer, or to the extent the Trustee collects any amount from any Guarantor, to such Guarantor.</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Trustee may fix a record date and payment date for any payment to Holders of Notes pursuant to this Section 6.13.</w:t>
      </w:r>
    </w:p>
    <w:p>
      <w:pPr>
        <w:spacing w:after="0" w:line="18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6.14</w:t>
      </w:r>
      <w:r>
        <w:rPr>
          <w:sz w:val="20"/>
          <w:szCs w:val="20"/>
          <w:color w:val="auto"/>
        </w:rPr>
        <w:tab/>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80" w:firstLine="649"/>
        <w:spacing w:after="0" w:line="230" w:lineRule="auto"/>
        <w:rPr>
          <w:sz w:val="20"/>
          <w:szCs w:val="20"/>
          <w:color w:val="auto"/>
        </w:rPr>
      </w:pPr>
      <w:r>
        <w:rPr>
          <w:rFonts w:ascii="Times New Roman" w:cs="Times New Roman" w:eastAsia="Times New Roman" w:hAnsi="Times New Roman"/>
          <w:sz w:val="19"/>
          <w:szCs w:val="19"/>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 in principal amount of the then outstanding Notes.</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ARTICLE 7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760"/>
          </w:cols>
          <w:pgMar w:left="580" w:top="1440" w:right="5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9"/>
          <w:szCs w:val="19"/>
          <w:color w:val="auto"/>
        </w:rPr>
        <w:t xml:space="preserve">Section 7.01 </w:t>
      </w:r>
      <w:r>
        <w:rPr>
          <w:rFonts w:ascii="Times New Roman" w:cs="Times New Roman" w:eastAsia="Times New Roman" w:hAnsi="Times New Roman"/>
          <w:sz w:val="19"/>
          <w:szCs w:val="19"/>
          <w:u w:val="single" w:color="auto"/>
          <w:color w:val="auto"/>
        </w:rPr>
        <w:t>Duties of Trustee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50"/>
        <w:spacing w:after="0" w:line="258" w:lineRule="auto"/>
        <w:tabs>
          <w:tab w:leader="none" w:pos="1034"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2"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during the continuance of an Event of Default:</w:t>
      </w:r>
    </w:p>
    <w:p>
      <w:pPr>
        <w:spacing w:after="0" w:line="213" w:lineRule="exact"/>
        <w:rPr>
          <w:rFonts w:ascii="Times New Roman" w:cs="Times New Roman" w:eastAsia="Times New Roman" w:hAnsi="Times New Roman"/>
          <w:sz w:val="19"/>
          <w:szCs w:val="19"/>
          <w:color w:val="auto"/>
        </w:rPr>
      </w:pPr>
    </w:p>
    <w:p>
      <w:pPr>
        <w:jc w:val="both"/>
        <w:ind w:left="660" w:firstLine="726"/>
        <w:spacing w:after="0" w:line="244" w:lineRule="auto"/>
        <w:tabs>
          <w:tab w:leader="none" w:pos="1695"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70" w:lineRule="exact"/>
        <w:rPr>
          <w:rFonts w:ascii="Times New Roman" w:cs="Times New Roman" w:eastAsia="Times New Roman" w:hAnsi="Times New Roman"/>
          <w:sz w:val="19"/>
          <w:szCs w:val="19"/>
          <w:color w:val="auto"/>
        </w:rPr>
      </w:pPr>
    </w:p>
    <w:p>
      <w:pPr>
        <w:jc w:val="both"/>
        <w:ind w:left="660" w:firstLine="683"/>
        <w:spacing w:after="0" w:line="237" w:lineRule="auto"/>
        <w:tabs>
          <w:tab w:leader="none" w:pos="1691"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63" w:lineRule="exact"/>
        <w:rPr>
          <w:rFonts w:ascii="Times New Roman" w:cs="Times New Roman" w:eastAsia="Times New Roman" w:hAnsi="Times New Roman"/>
          <w:sz w:val="19"/>
          <w:szCs w:val="19"/>
          <w:color w:val="auto"/>
        </w:rPr>
      </w:pPr>
    </w:p>
    <w:p>
      <w:pPr>
        <w:ind w:right="40" w:firstLine="650"/>
        <w:spacing w:after="0" w:line="295" w:lineRule="auto"/>
        <w:tabs>
          <w:tab w:leader="none" w:pos="1034"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not be relieved from liabilities for its own grossly negligent action, its own grossly negligent failure to act, or its own willful misconduct, except that:</w:t>
      </w:r>
    </w:p>
    <w:p>
      <w:pPr>
        <w:spacing w:after="0" w:line="110" w:lineRule="exact"/>
        <w:rPr>
          <w:rFonts w:ascii="Times New Roman" w:cs="Times New Roman" w:eastAsia="Times New Roman" w:hAnsi="Times New Roman"/>
          <w:sz w:val="19"/>
          <w:szCs w:val="19"/>
          <w:color w:val="auto"/>
        </w:rPr>
      </w:pPr>
    </w:p>
    <w:p>
      <w:pPr>
        <w:ind w:left="1940" w:hanging="554"/>
        <w:spacing w:after="0"/>
        <w:tabs>
          <w:tab w:leader="none" w:pos="1940"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7.01(c) does not limit the effect of Section 7.01(b);</w:t>
      </w:r>
    </w:p>
    <w:p>
      <w:pPr>
        <w:spacing w:after="0" w:line="213" w:lineRule="exact"/>
        <w:rPr>
          <w:rFonts w:ascii="Times New Roman" w:cs="Times New Roman" w:eastAsia="Times New Roman" w:hAnsi="Times New Roman"/>
          <w:sz w:val="19"/>
          <w:szCs w:val="19"/>
          <w:color w:val="auto"/>
        </w:rPr>
      </w:pPr>
    </w:p>
    <w:p>
      <w:pPr>
        <w:ind w:left="660" w:right="20" w:firstLine="683"/>
        <w:spacing w:after="0" w:line="250" w:lineRule="auto"/>
        <w:tabs>
          <w:tab w:leader="none" w:pos="1691"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for any error of judgment made in good faith by a Responsible Officer, unless it is proved in a court of competent jurisdiction that the Trustee was grossly negligent in ascertaining the pertinent facts; and</w:t>
      </w:r>
    </w:p>
    <w:p>
      <w:pPr>
        <w:spacing w:after="0" w:line="165" w:lineRule="exact"/>
        <w:rPr>
          <w:rFonts w:ascii="Times New Roman" w:cs="Times New Roman" w:eastAsia="Times New Roman" w:hAnsi="Times New Roman"/>
          <w:sz w:val="19"/>
          <w:szCs w:val="19"/>
          <w:color w:val="auto"/>
        </w:rPr>
      </w:pPr>
    </w:p>
    <w:p>
      <w:pPr>
        <w:ind w:left="660" w:firstLine="624"/>
        <w:spacing w:after="0" w:line="280" w:lineRule="auto"/>
        <w:tabs>
          <w:tab w:leader="none" w:pos="1698"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with respect to any action it takes or omits to take in good faith in accordance with a direction received by it pursuant to Section 6.05 hereof.</w:t>
      </w:r>
    </w:p>
    <w:p>
      <w:pPr>
        <w:spacing w:after="0" w:line="138" w:lineRule="exact"/>
        <w:rPr>
          <w:rFonts w:ascii="Times New Roman" w:cs="Times New Roman" w:eastAsia="Times New Roman" w:hAnsi="Times New Roman"/>
          <w:sz w:val="19"/>
          <w:szCs w:val="19"/>
          <w:color w:val="auto"/>
        </w:rPr>
      </w:pPr>
    </w:p>
    <w:p>
      <w:pPr>
        <w:ind w:right="20" w:firstLine="650"/>
        <w:spacing w:after="0" w:line="280" w:lineRule="auto"/>
        <w:tabs>
          <w:tab w:leader="none" w:pos="1031"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or not therein expressly so provided, every provision of this Indenture that in any way relates to the Trustee is subject to this Section 7.01.</w:t>
      </w:r>
    </w:p>
    <w:p>
      <w:pPr>
        <w:spacing w:after="0" w:line="124" w:lineRule="exact"/>
        <w:rPr>
          <w:rFonts w:ascii="Times New Roman" w:cs="Times New Roman" w:eastAsia="Times New Roman" w:hAnsi="Times New Roman"/>
          <w:sz w:val="19"/>
          <w:szCs w:val="19"/>
          <w:color w:val="auto"/>
        </w:rPr>
      </w:pPr>
    </w:p>
    <w:p>
      <w:pPr>
        <w:jc w:val="both"/>
        <w:ind w:right="20" w:firstLine="650"/>
        <w:spacing w:after="0" w:line="258" w:lineRule="auto"/>
        <w:tabs>
          <w:tab w:leader="none" w:pos="1034"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be under no obligation to exercise any of its rights or powers under this Indenture at the request or direction of any of the Holders of the Notes, unless the Holders have offered, and if requested, provided to the Trustee indemnity or security satisfactory to the Trustee against any loss, liability or expense.</w:t>
      </w:r>
    </w:p>
    <w:p>
      <w:pPr>
        <w:spacing w:after="0" w:line="159" w:lineRule="exact"/>
        <w:rPr>
          <w:rFonts w:ascii="Times New Roman" w:cs="Times New Roman" w:eastAsia="Times New Roman" w:hAnsi="Times New Roman"/>
          <w:sz w:val="19"/>
          <w:szCs w:val="19"/>
          <w:color w:val="auto"/>
        </w:rPr>
      </w:pPr>
    </w:p>
    <w:p>
      <w:pPr>
        <w:jc w:val="both"/>
        <w:ind w:right="20" w:firstLine="650"/>
        <w:spacing w:after="0" w:line="241" w:lineRule="auto"/>
        <w:tabs>
          <w:tab w:leader="none" w:pos="104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security or indemnity satisfactory to it against such risk or liability is not assured to it.</w:t>
      </w:r>
    </w:p>
    <w:p>
      <w:pPr>
        <w:spacing w:after="0" w:line="40" w:lineRule="exact"/>
        <w:rPr>
          <w:rFonts w:ascii="Times New Roman" w:cs="Times New Roman" w:eastAsia="Times New Roman" w:hAnsi="Times New Roman"/>
          <w:sz w:val="19"/>
          <w:szCs w:val="19"/>
          <w:color w:val="auto"/>
        </w:rPr>
      </w:pPr>
    </w:p>
    <w:p>
      <w:pPr>
        <w:ind w:firstLine="650"/>
        <w:spacing w:after="0" w:line="265" w:lineRule="auto"/>
        <w:tabs>
          <w:tab w:leader="none" w:pos="1031"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for interest on (or the investment of) any money received by it except as the Trustee may agree in writing with the Issuer. Money held in trust by the Trustee need not be segregated from other funds except to the extent required by law.</w:t>
      </w:r>
    </w:p>
    <w:p>
      <w:pPr>
        <w:spacing w:after="0" w:line="1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7.02</w:t>
      </w:r>
      <w:r>
        <w:rPr>
          <w:sz w:val="20"/>
          <w:szCs w:val="20"/>
          <w:color w:val="auto"/>
        </w:rPr>
        <w:tab/>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50"/>
        <w:spacing w:after="0" w:line="241" w:lineRule="auto"/>
        <w:tabs>
          <w:tab w:leader="none" w:pos="1034"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760"/>
          </w:cols>
          <w:pgMar w:left="580" w:top="1436" w:right="559" w:bottom="1440" w:gutter="0" w:footer="0" w:header="0"/>
        </w:sectPr>
      </w:pPr>
    </w:p>
    <w:bookmarkStart w:id="183" w:name="page184"/>
    <w:bookmarkEnd w:id="183"/>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sole cost of the Issuer and shall incur no liability or additional liability of any kind by reason of such inquiry or investigation.</w:t>
      </w:r>
    </w:p>
    <w:p>
      <w:pPr>
        <w:spacing w:after="0" w:line="200" w:lineRule="exact"/>
        <w:rPr>
          <w:sz w:val="20"/>
          <w:szCs w:val="20"/>
          <w:color w:val="auto"/>
        </w:rPr>
      </w:pPr>
    </w:p>
    <w:p>
      <w:pPr>
        <w:jc w:val="both"/>
        <w:ind w:firstLine="650"/>
        <w:spacing w:after="0" w:line="237" w:lineRule="auto"/>
        <w:tabs>
          <w:tab w:leader="none" w:pos="1031"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or both shall be full and complete authorization and protection from liability in respect of any action taken, suffered or omitted by it hereunder in good faith and in reliance thereon.</w:t>
      </w:r>
    </w:p>
    <w:p>
      <w:pPr>
        <w:spacing w:after="0" w:line="176" w:lineRule="exact"/>
        <w:rPr>
          <w:rFonts w:ascii="Times New Roman" w:cs="Times New Roman" w:eastAsia="Times New Roman" w:hAnsi="Times New Roman"/>
          <w:sz w:val="19"/>
          <w:szCs w:val="19"/>
          <w:color w:val="auto"/>
        </w:rPr>
      </w:pPr>
    </w:p>
    <w:p>
      <w:pPr>
        <w:ind w:firstLine="650"/>
        <w:spacing w:after="0" w:line="280" w:lineRule="auto"/>
        <w:tabs>
          <w:tab w:leader="none" w:pos="1034"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act through its attorneys and agents and shall not be responsible for the misconduct or negligence of any agent or attorney appointed with due care.</w:t>
      </w:r>
    </w:p>
    <w:p>
      <w:pPr>
        <w:spacing w:after="0" w:line="124" w:lineRule="exact"/>
        <w:rPr>
          <w:rFonts w:ascii="Times New Roman" w:cs="Times New Roman" w:eastAsia="Times New Roman" w:hAnsi="Times New Roman"/>
          <w:sz w:val="19"/>
          <w:szCs w:val="19"/>
          <w:color w:val="auto"/>
        </w:rPr>
      </w:pPr>
    </w:p>
    <w:p>
      <w:pPr>
        <w:ind w:right="20" w:firstLine="650"/>
        <w:spacing w:after="0" w:line="280" w:lineRule="auto"/>
        <w:tabs>
          <w:tab w:leader="none" w:pos="1031"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for any action it takes or omits to take in good faith that it believes to be authorized or within the rights or powers conferred upon it by this Indenture.</w:t>
      </w:r>
    </w:p>
    <w:p>
      <w:pPr>
        <w:spacing w:after="0" w:line="111" w:lineRule="exact"/>
        <w:rPr>
          <w:rFonts w:ascii="Times New Roman" w:cs="Times New Roman" w:eastAsia="Times New Roman" w:hAnsi="Times New Roman"/>
          <w:sz w:val="19"/>
          <w:szCs w:val="19"/>
          <w:color w:val="auto"/>
        </w:rPr>
      </w:pPr>
    </w:p>
    <w:p>
      <w:pPr>
        <w:ind w:right="20" w:firstLine="650"/>
        <w:spacing w:after="0" w:line="280" w:lineRule="auto"/>
        <w:tabs>
          <w:tab w:leader="none" w:pos="1034"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specifically provided in this Indenture, any demand, request, direction or notice from the Issuer, Holdings or any Guarantor shall be sufficient if signed by one Officer of the Issuer, Holdings or such Guarantor, as applicable.</w:t>
      </w:r>
    </w:p>
    <w:p>
      <w:pPr>
        <w:spacing w:after="0" w:line="138" w:lineRule="exact"/>
        <w:rPr>
          <w:rFonts w:ascii="Times New Roman" w:cs="Times New Roman" w:eastAsia="Times New Roman" w:hAnsi="Times New Roman"/>
          <w:sz w:val="19"/>
          <w:szCs w:val="19"/>
          <w:color w:val="auto"/>
        </w:rPr>
      </w:pPr>
    </w:p>
    <w:p>
      <w:pPr>
        <w:jc w:val="both"/>
        <w:ind w:right="20" w:firstLine="650"/>
        <w:spacing w:after="0" w:line="244" w:lineRule="auto"/>
        <w:tabs>
          <w:tab w:leader="none" w:pos="104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and such notice references the Notes and this Indenture.</w:t>
      </w:r>
    </w:p>
    <w:p>
      <w:pPr>
        <w:spacing w:after="0" w:line="184" w:lineRule="exact"/>
        <w:rPr>
          <w:rFonts w:ascii="Times New Roman" w:cs="Times New Roman" w:eastAsia="Times New Roman" w:hAnsi="Times New Roman"/>
          <w:sz w:val="19"/>
          <w:szCs w:val="19"/>
          <w:color w:val="auto"/>
        </w:rPr>
      </w:pPr>
    </w:p>
    <w:p>
      <w:pPr>
        <w:jc w:val="both"/>
        <w:ind w:firstLine="650"/>
        <w:spacing w:after="0" w:line="244" w:lineRule="auto"/>
        <w:tabs>
          <w:tab w:leader="none" w:pos="1031"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Trustee be responsible or liable for special, indirect, punitive, incidental or consequential loss or damage of any kind whatsoever (including, but not limited to, loss of profit) irrespective of whether the Trustee has been advised of the likelihood of such loss or damage and regardless of the form of action.</w:t>
      </w:r>
    </w:p>
    <w:p>
      <w:pPr>
        <w:spacing w:after="0" w:line="170" w:lineRule="exact"/>
        <w:rPr>
          <w:rFonts w:ascii="Times New Roman" w:cs="Times New Roman" w:eastAsia="Times New Roman" w:hAnsi="Times New Roman"/>
          <w:sz w:val="19"/>
          <w:szCs w:val="19"/>
          <w:color w:val="auto"/>
        </w:rPr>
      </w:pPr>
    </w:p>
    <w:p>
      <w:pPr>
        <w:jc w:val="both"/>
        <w:ind w:firstLine="650"/>
        <w:spacing w:after="0" w:line="244" w:lineRule="auto"/>
        <w:tabs>
          <w:tab w:leader="none" w:pos="1031"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privileges, protections, immunities and benefits given to the Trustee, including, without limitation, its right to be indemnified, are extended to, and shall be enforceable by, the Trustee in each of its capacities hereunder, each Agent (including the Notes Collateral Agent), and each other agent, custodian and other Person employed to act hereunder.</w:t>
      </w:r>
    </w:p>
    <w:p>
      <w:pPr>
        <w:spacing w:after="0" w:line="157" w:lineRule="exact"/>
        <w:rPr>
          <w:rFonts w:ascii="Times New Roman" w:cs="Times New Roman" w:eastAsia="Times New Roman" w:hAnsi="Times New Roman"/>
          <w:sz w:val="19"/>
          <w:szCs w:val="19"/>
          <w:color w:val="auto"/>
        </w:rPr>
      </w:pPr>
    </w:p>
    <w:p>
      <w:pPr>
        <w:jc w:val="both"/>
        <w:ind w:firstLine="650"/>
        <w:spacing w:after="0" w:line="264" w:lineRule="auto"/>
        <w:tabs>
          <w:tab w:leader="none" w:pos="104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Holdings and any Guarantor deliver an Officer’s Certificate setting forth the names of the individuals and/or titles of Officers (with specimen signatures) authorized at such times to take specific actions pursuant to this Indenture, which Officer’s Certificate may be signed by any person specified as so authorized in any certificate previously delivered and not superseded.</w:t>
      </w:r>
    </w:p>
    <w:p>
      <w:pPr>
        <w:spacing w:after="0" w:line="15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required to give any bond or surety in respect of the performance of its powers and duties hereunder.</w:t>
      </w:r>
    </w:p>
    <w:p>
      <w:pPr>
        <w:spacing w:after="0" w:line="213"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permissive right of the Trustee to take or refrain from taking any actions enumerated herein shall not be construed as a</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duty.</w:t>
      </w:r>
    </w:p>
    <w:p>
      <w:pPr>
        <w:spacing w:after="0" w:line="50" w:lineRule="exact"/>
        <w:rPr>
          <w:rFonts w:ascii="Times New Roman" w:cs="Times New Roman" w:eastAsia="Times New Roman" w:hAnsi="Times New Roman"/>
          <w:sz w:val="19"/>
          <w:szCs w:val="19"/>
          <w:color w:val="auto"/>
        </w:rPr>
      </w:pPr>
    </w:p>
    <w:p>
      <w:pPr>
        <w:jc w:val="both"/>
        <w:ind w:firstLine="650"/>
        <w:spacing w:after="0" w:line="235" w:lineRule="auto"/>
        <w:tabs>
          <w:tab w:leader="none" w:pos="1043"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have the right to accept and act upon Instructions, including with respect to fund transfers given pursuant to this Indenture and related documents, delivered using Electronic Means. If the Issuer, Holdings or a Guarantor elects to give the Trustee Instructions using Electronic Means and the Trustee in its discretion elects to act upon such Instructions, the Trustee’s understanding of such Instructions shall be deemed controlling. Each of the Issuer, Holdings and each Guarantor understands and agrees that if the Trustee cannot determine the identity of the actual sender of such Instructions, that the Trustee shall conclusively presume that directions that purport to have been sent by an Authorized Person have been sent by such Authorized Person. Each of the Issuer, Holdings and each Guarantor shall be responsible for ensuring that only Authorized Persons transmit such Instructions to the Trustee and that each of the Issuer, Holdings and each Guarantor and all Authorized Persons are solely responsible to safeguard the use and confidentiality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760"/>
          </w:cols>
          <w:pgMar w:left="580" w:top="1440" w:right="559" w:bottom="1440" w:gutter="0" w:footer="0" w:header="0"/>
        </w:sectPr>
      </w:pPr>
    </w:p>
    <w:bookmarkStart w:id="184" w:name="page185"/>
    <w:bookmarkEnd w:id="184"/>
    <w:p>
      <w:pPr>
        <w:spacing w:after="0" w:line="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applicable user and authorization codes, passwords or authentication keys upon receipt by the Issuer, Holdings or a Guarantor, as the case may be.</w:t>
      </w:r>
    </w:p>
    <w:p>
      <w:pPr>
        <w:spacing w:after="0" w:line="1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7.03</w:t>
      </w:r>
      <w:r>
        <w:rPr>
          <w:sz w:val="20"/>
          <w:szCs w:val="20"/>
          <w:color w:val="auto"/>
        </w:rPr>
        <w:tab/>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right="20" w:firstLine="649"/>
        <w:spacing w:after="0" w:line="237" w:lineRule="auto"/>
        <w:rPr>
          <w:sz w:val="20"/>
          <w:szCs w:val="20"/>
          <w:color w:val="auto"/>
        </w:rPr>
      </w:pPr>
      <w:r>
        <w:rPr>
          <w:rFonts w:ascii="Times New Roman" w:cs="Times New Roman" w:eastAsia="Times New Roman" w:hAnsi="Times New Roman"/>
          <w:sz w:val="19"/>
          <w:szCs w:val="19"/>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(as defined under the Trust Indenture Act of 1939, as amended), it must eliminate such conflict within 90 days, apply to the SEC for permission to continue as trustee or resign. Any Agent and the Notes Collateral Agent may do the same with like rights and duties. The Trustee is also subject to Section 7.11 hereof.</w:t>
      </w:r>
    </w:p>
    <w:p>
      <w:pPr>
        <w:spacing w:after="0" w:line="19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7.04</w:t>
      </w:r>
      <w:r>
        <w:rPr>
          <w:sz w:val="20"/>
          <w:szCs w:val="20"/>
          <w:color w:val="auto"/>
        </w:rPr>
        <w:tab/>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52"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the Notes, the Note Guarantees, any Collateral or any Collateral Document, it shall not be accountable for the Issuer’s use of the proceeds from the Notes or any money paid to the Issuer or upon the Issuer’s direction under any provision of this Indenture, the Notes, the Note Guarantees, any Collateral or any Collateral Document,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or the other Notes Documents other than its certificate of authentication.</w:t>
      </w:r>
    </w:p>
    <w:p>
      <w:pPr>
        <w:spacing w:after="0" w:line="15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7.05</w:t>
      </w:r>
      <w:r>
        <w:rPr>
          <w:sz w:val="20"/>
          <w:szCs w:val="20"/>
          <w:color w:val="auto"/>
        </w:rPr>
        <w:tab/>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If a Default occurs and is continuing and if it is known to the Trustee, the Trustee shall send to Holders of Notes a notice of the Default within the later of 90 days after it occurs or 60 days after a Responsible Officer of the Trustee has obtained actual knowledge thereof. The Trustee may withhold from the Holders notice of any continuing Default, except a Default relating to the payment of principal, premium, if any, or interest on any Note, if it determines that withholding the notice is in the interests of the Holders of the Notes. The Trustee shall not be deemed to know of any Default unless a Responsible Officer of the Trustee has actual knowledge thereof or unless written notice of any event which is such a Default is received by the Trustee at the Corporate Trust Office and such notice references this Indenture and states that it is a “notice of default.”</w:t>
      </w:r>
    </w:p>
    <w:p>
      <w:pPr>
        <w:spacing w:after="0" w:line="17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9"/>
          <w:szCs w:val="19"/>
          <w:color w:val="auto"/>
        </w:rPr>
        <w:t>Section 7.06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7.07</w:t>
      </w:r>
      <w:r>
        <w:rPr>
          <w:sz w:val="20"/>
          <w:szCs w:val="20"/>
          <w:color w:val="auto"/>
        </w:rPr>
        <w:tab/>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The Issuer shall pay to the Trustee from time to time such compensation for its acceptance of this Indenture and services hereunder as the Issuer and the Trustee shall agree in writing from time to time. The Trustee’s compensation shall not be limited by any law on compensation of a trustee of an express trust. The Issuer agrees to reimburse the Trustee promptly upon request for all reasonable out-of-pocket disbursements, advances and expenses incurred or made by it in addition to the compensation for its services. Such expenses shall include the reasonable compensation, disbursements and expenses of the Trustee’s agents and counsel.</w:t>
      </w:r>
    </w:p>
    <w:p>
      <w:pPr>
        <w:spacing w:after="0" w:line="42" w:lineRule="exact"/>
        <w:rPr>
          <w:sz w:val="20"/>
          <w:szCs w:val="20"/>
          <w:color w:val="auto"/>
        </w:rPr>
      </w:pPr>
    </w:p>
    <w:p>
      <w:pPr>
        <w:jc w:val="both"/>
        <w:ind w:firstLine="649"/>
        <w:spacing w:after="0" w:line="234" w:lineRule="auto"/>
        <w:rPr>
          <w:sz w:val="20"/>
          <w:szCs w:val="20"/>
          <w:color w:val="auto"/>
        </w:rPr>
      </w:pPr>
      <w:r>
        <w:rPr>
          <w:rFonts w:ascii="Times New Roman" w:cs="Times New Roman" w:eastAsia="Times New Roman" w:hAnsi="Times New Roman"/>
          <w:sz w:val="19"/>
          <w:szCs w:val="19"/>
          <w:color w:val="auto"/>
        </w:rPr>
        <w:t>The Issuer, Holdings and the Guarantors, jointly and severally, shall indemnify the Trustee, its officers, directors, employees and agents for, and hold the Trustee harmless against, any and all loss, damage, claim, liability or expense (including attorneys’ fees) incurred by it in connection with the acceptance or administration of this trust and the performance of its duties hereunder and under the other Notes Documents (including the costs and expenses of enforcing this Indenture against the Issuer, Holdings or any of the Guarantors (including this Section 7.07) or defending itself against any claim whether asserted by any Holder, the Issuer or any Guarantor, or liability in connection with the acceptance, exercise or performance of any of its rights, powers or duties hereunder). The Trustee shall notify the Issuer promptly of any claim for which it may seek indemnity. Failure by the Trustee to so notify the Issuer shall not relieve the Issuer, Holdings or any Guarantor of its obligations hereunder. The Issuer, Holdings and the Guarantors shall defend the claim and the Trustee may have separate counsel and the Issuer, Holdings and the Guarantors shall pay the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760"/>
          </w:cols>
          <w:pgMar w:left="580" w:top="1440" w:right="559" w:bottom="1440" w:gutter="0" w:footer="0" w:header="0"/>
        </w:sectPr>
      </w:pPr>
    </w:p>
    <w:bookmarkStart w:id="185" w:name="page186"/>
    <w:bookmarkEnd w:id="185"/>
    <w:p>
      <w:pPr>
        <w:spacing w:after="0" w:line="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of such counsel. The Issuer need not reimburse any expense or indemnify against any loss, liability or expense incurred by the Trustee through the Trustee’s own willful misconduct or gross negligence, as determined by a final, non-appealable judgment of a court of competent jurisdiction.</w:t>
      </w:r>
    </w:p>
    <w:p>
      <w:pPr>
        <w:spacing w:after="0" w:line="157"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The obligations of the Issuer, Holdings and the Guarantors under this Section 7.07 shall survive the satisfaction and discharge of this Indenture or the earlier resignation or removal of the Trustee.</w:t>
      </w:r>
    </w:p>
    <w:p>
      <w:pPr>
        <w:spacing w:after="0" w:line="125"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To secure the payment obligations of the Issuer, Holdings and the Guarantors in this Section 7.07, the Trustee shall have a Lien prior to the Notes on all money or property held or collected by the Trustee, except that held in trust to pay principal and interest on particular Notes. Such Lien shall survive the satisfaction and discharge of this Indenture or the earlier resignation or removal of the Trustee.</w:t>
      </w:r>
    </w:p>
    <w:p>
      <w:pPr>
        <w:spacing w:after="0" w:line="138"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When the Trustee incurs expenses or renders services after an Event of Default specified in Section 6.01(a)(6) or (7) hereof occurs, the expenses and the compensation for the services (including the fees and expenses of its agents and counsel) are intended to constitute expenses of administration under any Bankruptcy Law.</w:t>
      </w:r>
    </w:p>
    <w:p>
      <w:pPr>
        <w:spacing w:after="0" w:line="16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7.08</w:t>
      </w:r>
      <w:r>
        <w:rPr>
          <w:sz w:val="20"/>
          <w:szCs w:val="20"/>
          <w:color w:val="auto"/>
        </w:rPr>
        <w:tab/>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649"/>
        <w:spacing w:after="0" w:line="246" w:lineRule="auto"/>
        <w:rPr>
          <w:sz w:val="20"/>
          <w:szCs w:val="20"/>
          <w:color w:val="auto"/>
        </w:rPr>
      </w:pPr>
      <w:r>
        <w:rPr>
          <w:rFonts w:ascii="Times New Roman" w:cs="Times New Roman" w:eastAsia="Times New Roman" w:hAnsi="Times New Roman"/>
          <w:sz w:val="19"/>
          <w:szCs w:val="19"/>
          <w:color w:val="auto"/>
        </w:rPr>
        <w:t>A resignation or removal of the Trustee and appointment of a successor Trustee shall become effective only upon the successor Trustee’s acceptance of appointment as provided in this Section 7.08. The Trustee may resign in writing at any time and be discharged from the trust hereby created by so notifying the Issuer. The Holders of a majority in principal amount of the then outstanding Notes may remove the Trustee by so notifying the Trustee and the Issuer in writing. The Issuer may remove the Trustee if:</w:t>
      </w:r>
    </w:p>
    <w:p>
      <w:pPr>
        <w:spacing w:after="0" w:line="171" w:lineRule="exact"/>
        <w:rPr>
          <w:sz w:val="20"/>
          <w:szCs w:val="20"/>
          <w:color w:val="auto"/>
        </w:rPr>
      </w:pPr>
    </w:p>
    <w:p>
      <w:pPr>
        <w:ind w:left="1300" w:hanging="649"/>
        <w:spacing w:after="0"/>
        <w:tabs>
          <w:tab w:leader="none" w:pos="130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fails to comply with Section 7.11 hereof;</w:t>
      </w:r>
    </w:p>
    <w:p>
      <w:pPr>
        <w:spacing w:after="0" w:line="213" w:lineRule="exact"/>
        <w:rPr>
          <w:rFonts w:ascii="Times New Roman" w:cs="Times New Roman" w:eastAsia="Times New Roman" w:hAnsi="Times New Roman"/>
          <w:sz w:val="19"/>
          <w:szCs w:val="19"/>
          <w:color w:val="auto"/>
        </w:rPr>
      </w:pPr>
    </w:p>
    <w:p>
      <w:pPr>
        <w:ind w:right="20" w:firstLine="650"/>
        <w:spacing w:after="0" w:line="265" w:lineRule="auto"/>
        <w:tabs>
          <w:tab w:leader="none" w:pos="1031"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is adjudged a bankrupt or an insolvent or an order for relief is entered with respect to the Trustee under any Bankruptcy Law;</w:t>
      </w:r>
    </w:p>
    <w:p>
      <w:pPr>
        <w:spacing w:after="0" w:line="165"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custodian or public officer takes charge of the Trustee or its property; or</w:t>
      </w:r>
    </w:p>
    <w:p>
      <w:pPr>
        <w:spacing w:after="0" w:line="227"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becomes incapable of acting.</w:t>
      </w:r>
    </w:p>
    <w:p>
      <w:pPr>
        <w:spacing w:after="0" w:line="200" w:lineRule="exact"/>
        <w:rPr>
          <w:sz w:val="20"/>
          <w:szCs w:val="20"/>
          <w:color w:val="auto"/>
        </w:rPr>
      </w:pPr>
    </w:p>
    <w:p>
      <w:pPr>
        <w:jc w:val="both"/>
        <w:ind w:right="20" w:firstLine="649"/>
        <w:spacing w:after="0" w:line="295" w:lineRule="auto"/>
        <w:rPr>
          <w:sz w:val="20"/>
          <w:szCs w:val="20"/>
          <w:color w:val="auto"/>
        </w:rPr>
      </w:pPr>
      <w:r>
        <w:rPr>
          <w:rFonts w:ascii="Times New Roman" w:cs="Times New Roman" w:eastAsia="Times New Roman" w:hAnsi="Times New Roman"/>
          <w:sz w:val="19"/>
          <w:szCs w:val="19"/>
          <w:color w:val="auto"/>
        </w:rPr>
        <w:t>If the Trustee resigns or is removed or if a vacancy exists in the office of Trustee for any reason, the Issuer shall promptly appoint a successor Trustee.</w:t>
      </w:r>
    </w:p>
    <w:p>
      <w:pPr>
        <w:spacing w:after="0" w:line="97"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If a successor Trustee does not take office within 60 days after the retiring Trustee resigns or is removed, the retiring Trustee (at the Issuer’s expense), the Issuer or the Holders of at least 10% in principal amount of the then outstanding Notes may petition any court of competent jurisdiction for the appointment of a successor Trustee.</w:t>
      </w:r>
    </w:p>
    <w:p>
      <w:pPr>
        <w:spacing w:after="0" w:line="152"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44"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all sums owing to the Trustee hereunder have been paid and subject to the Lien provided for in Section 7.07 hereof. Notwithstanding replacement of the Trustee pursuant to this Section 7.08, the obligations of the Issuer, Holdings and the Guarantors under Section 7.07 hereof shall continue for the benefit of the retiring Trustee.</w:t>
      </w:r>
    </w:p>
    <w:p>
      <w:pPr>
        <w:spacing w:after="0" w:line="1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7.09</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760"/>
          </w:cols>
          <w:pgMar w:left="580" w:top="1440" w:right="559" w:bottom="1440" w:gutter="0" w:footer="0" w:header="0"/>
        </w:sectPr>
      </w:pPr>
    </w:p>
    <w:bookmarkStart w:id="186" w:name="page187"/>
    <w:bookmarkEnd w:id="186"/>
    <w:p>
      <w:pPr>
        <w:spacing w:after="0" w:line="18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7.10</w:t>
      </w:r>
      <w:r>
        <w:rPr>
          <w:sz w:val="20"/>
          <w:szCs w:val="20"/>
          <w:color w:val="auto"/>
        </w:rPr>
        <w:tab/>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65" w:lineRule="auto"/>
        <w:rPr>
          <w:sz w:val="20"/>
          <w:szCs w:val="20"/>
          <w:color w:val="auto"/>
        </w:rPr>
      </w:pPr>
      <w:r>
        <w:rPr>
          <w:rFonts w:ascii="Times New Roman" w:cs="Times New Roman" w:eastAsia="Times New Roman" w:hAnsi="Times New Roman"/>
          <w:sz w:val="19"/>
          <w:szCs w:val="19"/>
          <w:color w:val="auto"/>
        </w:rPr>
        <w:t>If the Trustee consolidates, merges or converts into, or transfers all or substantially all of its corporate trust business (including its obligations under the Transactions) to, another corporation, the successor corporation without any further act shall be the successor Trustee.</w:t>
      </w:r>
    </w:p>
    <w:p>
      <w:pPr>
        <w:spacing w:after="0" w:line="15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7.11</w:t>
      </w:r>
      <w:r>
        <w:rPr>
          <w:sz w:val="20"/>
          <w:szCs w:val="20"/>
          <w:color w:val="auto"/>
        </w:rPr>
        <w:tab/>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right="20" w:firstLine="649"/>
        <w:spacing w:after="0" w:line="241" w:lineRule="auto"/>
        <w:rPr>
          <w:sz w:val="20"/>
          <w:szCs w:val="20"/>
          <w:color w:val="auto"/>
        </w:rPr>
      </w:pPr>
      <w:r>
        <w:rPr>
          <w:rFonts w:ascii="Times New Roman" w:cs="Times New Roman" w:eastAsia="Times New Roman" w:hAnsi="Times New Roman"/>
          <w:sz w:val="19"/>
          <w:szCs w:val="19"/>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ARTICLE 8</w:t>
      </w:r>
    </w:p>
    <w:p>
      <w:pPr>
        <w:spacing w:after="0" w:line="2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LEGAL DEFEASANCE AND COVENANT DEFEASANCE</w:t>
      </w: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8.01</w:t>
      </w:r>
      <w:r>
        <w:rPr>
          <w:sz w:val="20"/>
          <w:szCs w:val="20"/>
          <w:color w:val="auto"/>
        </w:rPr>
        <w:tab/>
      </w:r>
      <w:r>
        <w:rPr>
          <w:rFonts w:ascii="Times New Roman" w:cs="Times New Roman" w:eastAsia="Times New Roman" w:hAnsi="Times New Roman"/>
          <w:sz w:val="18"/>
          <w:szCs w:val="18"/>
          <w:u w:val="single" w:color="auto"/>
          <w:color w:val="auto"/>
        </w:rPr>
        <w:t>Option to Effect Legal Defeasance or Covenant Defeasance</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9"/>
        <w:spacing w:after="0" w:line="284" w:lineRule="auto"/>
        <w:rPr>
          <w:sz w:val="20"/>
          <w:szCs w:val="20"/>
          <w:color w:val="auto"/>
        </w:rPr>
      </w:pPr>
      <w:r>
        <w:rPr>
          <w:rFonts w:ascii="Times New Roman" w:cs="Times New Roman" w:eastAsia="Times New Roman" w:hAnsi="Times New Roman"/>
          <w:sz w:val="19"/>
          <w:szCs w:val="19"/>
          <w:color w:val="auto"/>
        </w:rPr>
        <w:t xml:space="preserve">The Issuer may, at its option and at any time, elect to have either Section 8.02 or 8.03 hereof applied to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outstanding Notes upon compliance with the conditions set forth below in this Article 8.</w:t>
      </w:r>
    </w:p>
    <w:p>
      <w:pPr>
        <w:spacing w:after="0" w:line="1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8.02</w:t>
      </w:r>
      <w:r>
        <w:rPr>
          <w:sz w:val="20"/>
          <w:szCs w:val="20"/>
          <w:color w:val="auto"/>
        </w:rPr>
        <w:tab/>
      </w:r>
      <w:r>
        <w:rPr>
          <w:rFonts w:ascii="Times New Roman" w:cs="Times New Roman" w:eastAsia="Times New Roman" w:hAnsi="Times New Roman"/>
          <w:sz w:val="18"/>
          <w:szCs w:val="18"/>
          <w:u w:val="single" w:color="auto"/>
          <w:color w:val="auto"/>
        </w:rPr>
        <w:t>Legal Defeasance and Discharge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4" w:lineRule="auto"/>
        <w:rPr>
          <w:sz w:val="20"/>
          <w:szCs w:val="20"/>
          <w:color w:val="auto"/>
        </w:rPr>
      </w:pPr>
      <w:r>
        <w:rPr>
          <w:rFonts w:ascii="Times New Roman" w:cs="Times New Roman" w:eastAsia="Times New Roman" w:hAnsi="Times New Roman"/>
          <w:sz w:val="19"/>
          <w:szCs w:val="19"/>
          <w:color w:val="auto"/>
        </w:rPr>
        <w:t xml:space="preserve">Upon the Issuer’s exercise under Section 8.01 hereof of the option applicable to this Section 8.02, the Issuer, Holdings and the Guarantors shall, subject to the satisfaction of the conditions set forth in Section 8.04 hereof with respect to the Notes, be deemed to have been discharged from their obligations with respect to all outstanding Notes and the Note Guarantees and the Liens on the Collateral securing the Notes will be released on the date the conditions set forth below are satisfied and all then existing Defaults and Events of Default will be cured (“ </w:t>
      </w:r>
      <w:r>
        <w:rPr>
          <w:rFonts w:ascii="Times New Roman" w:cs="Times New Roman" w:eastAsia="Times New Roman" w:hAnsi="Times New Roman"/>
          <w:sz w:val="19"/>
          <w:szCs w:val="19"/>
          <w:u w:val="single" w:color="auto"/>
          <w:color w:val="auto"/>
        </w:rPr>
        <w:t>Legal Defeasance</w:t>
      </w:r>
      <w:r>
        <w:rPr>
          <w:rFonts w:ascii="Times New Roman" w:cs="Times New Roman" w:eastAsia="Times New Roman" w:hAnsi="Times New Roman"/>
          <w:sz w:val="19"/>
          <w:szCs w:val="19"/>
          <w:color w:val="auto"/>
        </w:rPr>
        <w:t>”). For this purpose, “Legal Defeasance” means that the Issuer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clauses (a) and (b) below, and to have satisfied all its other obligations under the Notes, the Note Guarantees and this Indenture and the Liens on the Collateral securing the Notes will be released (and the Trustee, on demand of and at the expense of the Issuer, shall execute such instruments reasonably requested by the Issuer acknowledging the same) and to have cured all then existing Defaults and Events of Default, except for the following provisions which shall survive until otherwise terminated or discharged hereunder:</w:t>
      </w:r>
    </w:p>
    <w:p>
      <w:pPr>
        <w:spacing w:after="0" w:line="168" w:lineRule="exact"/>
        <w:rPr>
          <w:sz w:val="20"/>
          <w:szCs w:val="20"/>
          <w:color w:val="auto"/>
        </w:rPr>
      </w:pPr>
    </w:p>
    <w:p>
      <w:pPr>
        <w:ind w:firstLine="650"/>
        <w:spacing w:after="0" w:line="265" w:lineRule="auto"/>
        <w:tabs>
          <w:tab w:leader="none" w:pos="1034"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Holders of Notes to receive payments in respect of the principal of, premium, if any, and interest on the Notes when such payments are due solely out of the trust created pursuant to this Indenture referred to in Section 8.04 hereof;</w:t>
      </w:r>
    </w:p>
    <w:p>
      <w:pPr>
        <w:spacing w:after="0" w:line="30" w:lineRule="exact"/>
        <w:rPr>
          <w:rFonts w:ascii="Times New Roman" w:cs="Times New Roman" w:eastAsia="Times New Roman" w:hAnsi="Times New Roman"/>
          <w:sz w:val="19"/>
          <w:szCs w:val="19"/>
          <w:color w:val="auto"/>
        </w:rPr>
      </w:pPr>
    </w:p>
    <w:p>
      <w:pPr>
        <w:ind w:firstLine="650"/>
        <w:spacing w:after="0" w:line="265" w:lineRule="auto"/>
        <w:tabs>
          <w:tab w:leader="none" w:pos="1031"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138" w:lineRule="exact"/>
        <w:rPr>
          <w:rFonts w:ascii="Times New Roman" w:cs="Times New Roman" w:eastAsia="Times New Roman" w:hAnsi="Times New Roman"/>
          <w:sz w:val="19"/>
          <w:szCs w:val="19"/>
          <w:color w:val="auto"/>
        </w:rPr>
      </w:pPr>
    </w:p>
    <w:p>
      <w:pPr>
        <w:ind w:right="20" w:firstLine="650"/>
        <w:spacing w:after="0" w:line="280" w:lineRule="auto"/>
        <w:tabs>
          <w:tab w:leader="none" w:pos="1034"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powers, trusts, duties and immunities of the Trustee and the Agents, and the obligations of the Issuer, Holdings and the Guarantors in connection therewith; and</w:t>
      </w:r>
    </w:p>
    <w:p>
      <w:pPr>
        <w:spacing w:after="0" w:line="165"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8.02.</w:t>
      </w:r>
    </w:p>
    <w:p>
      <w:pPr>
        <w:spacing w:after="0" w:line="187"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Subject to compliance with this Article 8, the Issuer may exercise its option under this Section 8.02 notwithstanding the prior exercise of its option under Section 8.03 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760"/>
          </w:cols>
          <w:pgMar w:left="580" w:top="1440" w:right="559" w:bottom="1440" w:gutter="0" w:footer="0" w:header="0"/>
        </w:sectPr>
      </w:pPr>
    </w:p>
    <w:bookmarkStart w:id="187" w:name="page188"/>
    <w:bookmarkEnd w:id="187"/>
    <w:p>
      <w:pPr>
        <w:spacing w:after="0" w:line="19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8.03</w:t>
      </w:r>
      <w:r>
        <w:rPr>
          <w:sz w:val="20"/>
          <w:szCs w:val="20"/>
          <w:color w:val="auto"/>
        </w:rPr>
        <w:tab/>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1" w:lineRule="auto"/>
        <w:rPr>
          <w:sz w:val="20"/>
          <w:szCs w:val="20"/>
          <w:color w:val="auto"/>
        </w:rPr>
      </w:pPr>
      <w:r>
        <w:rPr>
          <w:rFonts w:ascii="Times New Roman" w:cs="Times New Roman" w:eastAsia="Times New Roman" w:hAnsi="Times New Roman"/>
          <w:sz w:val="19"/>
          <w:szCs w:val="19"/>
          <w:color w:val="auto"/>
        </w:rPr>
        <w:t>Upon the Issuer’s exercise under Section 8.01 hereof of the option applicable to this Section 8.03, the Issuer, Holdings and the Guarantors shall, subject to the satisfaction of the conditions set forth in Section 8.04 hereof, be released from their obligations under the covenants contained in Sections 4.03, 4.04, 4.07, 4.08, 4.09, 4.10, 4.11, 4.12, 4.13, 4.14 and 4.15 hereof and Section 5.01 hereof (except Sections 5.01(a)(1) and (a)(2)) with respect to the outstanding Notes and the Note Guarantees and the Liens on the Collateral securing the Notes will be released on and after the date the conditions set forth in Section 8.04 hereof are satisfied (“</w:t>
      </w:r>
      <w:r>
        <w:rPr>
          <w:rFonts w:ascii="Times New Roman" w:cs="Times New Roman" w:eastAsia="Times New Roman" w:hAnsi="Times New Roman"/>
          <w:sz w:val="19"/>
          <w:szCs w:val="19"/>
          <w:u w:val="single" w:color="auto"/>
          <w:color w:val="auto"/>
        </w:rPr>
        <w:t>Covenant Defeasance</w:t>
      </w:r>
      <w:r>
        <w:rPr>
          <w:rFonts w:ascii="Times New Roman" w:cs="Times New Roman" w:eastAsia="Times New Roman" w:hAnsi="Times New Roman"/>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subject to the satisfaction of the conditions set forth in Section 8.04 hereof, Sections 6.01(a)(3), 6.01(a)(4), 6.01(a)(5), 6.01(a)(6) (solely with respect to Restricted Subsidiaries that are Significant Subsidiaries or a group of Restricted Subsidiaries that, taken together (as of the latest audited consolidated financial statements for the Issuer and the Restricted Subsidiaries) would constitute a Significant Subsidiary), 6.01(a)(7) (solely with respect to Restricted Subsidiaries that are Significant Subsidiaries or a group of Restricted Subsidiaries that, taken together (as of the latest audited consolidated financial statements for the Issuer and the Restricted Subsidiaries) would constitute a Significant Subsidiary) and 6.01(a)(8) hereof shall not constitute Events of Default.</w:t>
      </w:r>
    </w:p>
    <w:p>
      <w:pPr>
        <w:spacing w:after="0" w:line="19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8.04</w:t>
      </w:r>
      <w:r>
        <w:rPr>
          <w:sz w:val="20"/>
          <w:szCs w:val="20"/>
          <w:color w:val="auto"/>
        </w:rPr>
        <w:tab/>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order to exercise either Legal Defeasance or Covenant Defeasance with respect to the Notes:</w:t>
      </w:r>
    </w:p>
    <w:p>
      <w:pPr>
        <w:spacing w:after="0" w:line="214" w:lineRule="exact"/>
        <w:rPr>
          <w:sz w:val="20"/>
          <w:szCs w:val="20"/>
          <w:color w:val="auto"/>
        </w:rPr>
      </w:pPr>
    </w:p>
    <w:p>
      <w:pPr>
        <w:jc w:val="both"/>
        <w:ind w:left="340" w:firstLine="641"/>
        <w:spacing w:after="0" w:line="232" w:lineRule="auto"/>
        <w:tabs>
          <w:tab w:leader="none" w:pos="1694"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Issuer must irrevocably deposit with the Trustee (or another entity designated or appointed (as agent) by the Issuer for this purpose), in trust, for the benefit of the Holders of the Notes, cash in Dollars, U.S. Government Securities, or a combination thereof, in such amounts as will be sufficient in the opinion of a nationally recognized firm of independent public accountants expressed in a written certification thereof delivered to the Trustee to pay the principal of, premium, if any, and interest due on the Notes on the Stated Maturity date or on the Redemption Date,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any redemption that requires the payment of the Applicable Premium, the amount deposited shall be sufficient for purposes of this Indenture to the extent that an amount is deposited with the Trustee (or another entity designated or appointed (as agent) by the Issuer for this purpose) equal to the Applicable Premium calculated as of the date of the notice of redemption, with any deficit as of the date of redemption (any such amount, the “</w:t>
      </w:r>
      <w:r>
        <w:rPr>
          <w:rFonts w:ascii="Times New Roman" w:cs="Times New Roman" w:eastAsia="Times New Roman" w:hAnsi="Times New Roman"/>
          <w:sz w:val="19"/>
          <w:szCs w:val="19"/>
          <w:u w:val="single" w:color="auto"/>
          <w:color w:val="auto"/>
        </w:rPr>
        <w:t>Applicable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Premium Deficit</w:t>
      </w:r>
      <w:r>
        <w:rPr>
          <w:rFonts w:ascii="Times New Roman" w:cs="Times New Roman" w:eastAsia="Times New Roman" w:hAnsi="Times New Roman"/>
          <w:sz w:val="19"/>
          <w:szCs w:val="19"/>
          <w:color w:val="auto"/>
        </w:rPr>
        <w:t>”) only required to be deposited with the Trustee (or another entity designated or appointed (as agent) by the Issuer for this purpose) on or prior to the date of redemption. Any Applicable Premium Deficit shall be set forth in an Officer’s Certificate delivered to the Trustee at least two Business Days prior to the deposit of such Applicable Premium Deficit that confirms that such Applicable Premium Deficit shall be applied toward such redemption;</w:t>
      </w:r>
    </w:p>
    <w:p>
      <w:pPr>
        <w:spacing w:after="0" w:line="165" w:lineRule="exact"/>
        <w:rPr>
          <w:rFonts w:ascii="Times New Roman" w:cs="Times New Roman" w:eastAsia="Times New Roman" w:hAnsi="Times New Roman"/>
          <w:sz w:val="19"/>
          <w:szCs w:val="19"/>
          <w:color w:val="auto"/>
        </w:rPr>
      </w:pPr>
    </w:p>
    <w:p>
      <w:pPr>
        <w:ind w:left="340" w:right="20" w:firstLine="641"/>
        <w:spacing w:after="0" w:line="280" w:lineRule="auto"/>
        <w:tabs>
          <w:tab w:leader="none" w:pos="1694"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Legal Defeasance, the Issuer shall have delivered to the Trustee an Opinion of Counsel confirming that, subject to customary assumptions and exclusions,</w:t>
      </w:r>
    </w:p>
    <w:p>
      <w:pPr>
        <w:spacing w:after="0" w:line="138" w:lineRule="exact"/>
        <w:rPr>
          <w:rFonts w:ascii="Times New Roman" w:cs="Times New Roman" w:eastAsia="Times New Roman" w:hAnsi="Times New Roman"/>
          <w:sz w:val="19"/>
          <w:szCs w:val="19"/>
          <w:color w:val="auto"/>
        </w:rPr>
      </w:pPr>
    </w:p>
    <w:p>
      <w:pPr>
        <w:ind w:left="2340" w:hanging="393"/>
        <w:spacing w:after="0"/>
        <w:tabs>
          <w:tab w:leader="none" w:pos="234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received from, or there has been published by, the United States Internal Revenue Service a</w:t>
      </w:r>
    </w:p>
    <w:p>
      <w:pPr>
        <w:spacing w:after="0" w:line="25"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ruling, or</w:t>
      </w:r>
    </w:p>
    <w:p>
      <w:pPr>
        <w:spacing w:after="0" w:line="171" w:lineRule="exact"/>
        <w:rPr>
          <w:rFonts w:ascii="Times New Roman" w:cs="Times New Roman" w:eastAsia="Times New Roman" w:hAnsi="Times New Roman"/>
          <w:sz w:val="19"/>
          <w:szCs w:val="19"/>
          <w:color w:val="auto"/>
        </w:rPr>
      </w:pPr>
    </w:p>
    <w:p>
      <w:pPr>
        <w:ind w:left="2320" w:hanging="373"/>
        <w:spacing w:after="0"/>
        <w:tabs>
          <w:tab w:leader="none" w:pos="232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issuance of the Notes, there has been a change in the applicable U.S. federal income tax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-2007235</wp:posOffset>
            </wp:positionV>
            <wp:extent cx="29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760"/>
          </w:cols>
          <w:pgMar w:left="580" w:top="1440" w:right="559" w:bottom="1440" w:gutter="0" w:footer="0" w:header="0"/>
        </w:sectPr>
      </w:pPr>
    </w:p>
    <w:bookmarkStart w:id="188" w:name="page189"/>
    <w:bookmarkEnd w:id="188"/>
    <w:p>
      <w:pPr>
        <w:spacing w:after="0" w:line="186" w:lineRule="exact"/>
        <w:rPr>
          <w:sz w:val="20"/>
          <w:szCs w:val="20"/>
          <w:color w:val="auto"/>
        </w:rPr>
      </w:pPr>
    </w:p>
    <w:p>
      <w:pPr>
        <w:jc w:val="both"/>
        <w:ind w:left="340"/>
        <w:spacing w:after="0" w:line="241" w:lineRule="auto"/>
        <w:rPr>
          <w:sz w:val="20"/>
          <w:szCs w:val="20"/>
          <w:color w:val="auto"/>
        </w:rPr>
      </w:pPr>
      <w:r>
        <w:rPr>
          <w:rFonts w:ascii="Times New Roman" w:cs="Times New Roman" w:eastAsia="Times New Roman" w:hAnsi="Times New Roman"/>
          <w:sz w:val="19"/>
          <w:szCs w:val="19"/>
          <w:color w:val="auto"/>
        </w:rPr>
        <w:t>in either case to the effect that, and based thereon, such Opinion of Counsel shall confirm that, subject to customary assumptions and exclusions, the beneficial owners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spacing w:after="0" w:line="162" w:lineRule="exact"/>
        <w:rPr>
          <w:sz w:val="20"/>
          <w:szCs w:val="20"/>
          <w:color w:val="auto"/>
        </w:rPr>
      </w:pPr>
    </w:p>
    <w:p>
      <w:pPr>
        <w:jc w:val="both"/>
        <w:ind w:left="340" w:firstLine="641"/>
        <w:spacing w:after="0" w:line="241" w:lineRule="auto"/>
        <w:tabs>
          <w:tab w:leader="none" w:pos="1694"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Covenant Defeasance, the Issuer shall have delivered to the Trustee an Opinion of Counsel confirming that, subject to customary assumptions and exclusions, the beneficial owners of the Notes will not recognize income, gain or loss for U.S. federal income tax purposes as a result of such Covenant Defeasance and will be subject to such U.S. federal income tax on the same amounts, in the same manner and at the same times as would have been the case if such Covenant Defeasance had not occurred;</w:t>
      </w:r>
    </w:p>
    <w:p>
      <w:pPr>
        <w:spacing w:after="0" w:line="175" w:lineRule="exact"/>
        <w:rPr>
          <w:rFonts w:ascii="Times New Roman" w:cs="Times New Roman" w:eastAsia="Times New Roman" w:hAnsi="Times New Roman"/>
          <w:sz w:val="19"/>
          <w:szCs w:val="19"/>
          <w:color w:val="auto"/>
        </w:rPr>
      </w:pPr>
    </w:p>
    <w:p>
      <w:pPr>
        <w:ind w:left="340" w:firstLine="641"/>
        <w:spacing w:after="0" w:line="250" w:lineRule="auto"/>
        <w:tabs>
          <w:tab w:leader="none" w:pos="1694"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have delivered to the Trustee an Officer’s Certificate stating that the deposit was not made by the Issuer with the intent of defeating, hindering, delaying or defrauding any creditors of the Issuer; and</w:t>
      </w:r>
    </w:p>
    <w:p>
      <w:pPr>
        <w:spacing w:after="0" w:line="165" w:lineRule="exact"/>
        <w:rPr>
          <w:rFonts w:ascii="Times New Roman" w:cs="Times New Roman" w:eastAsia="Times New Roman" w:hAnsi="Times New Roman"/>
          <w:sz w:val="19"/>
          <w:szCs w:val="19"/>
          <w:color w:val="auto"/>
        </w:rPr>
      </w:pPr>
    </w:p>
    <w:p>
      <w:pPr>
        <w:jc w:val="both"/>
        <w:ind w:left="340" w:firstLine="641"/>
        <w:spacing w:after="0" w:line="251" w:lineRule="auto"/>
        <w:tabs>
          <w:tab w:leader="none" w:pos="1694"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Issuer shall have delivered to the Trustee an Officer’s Certificate and an Opinion of Counsel (which Opinion of Counsel may be subject to customary assumptions and exclusions), each stating that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conditions precedent provided for or relating to the Legal Defeasance or the Covenant Defeasance, as the case may be, have been complied with.</w:t>
      </w:r>
    </w:p>
    <w:p>
      <w:pPr>
        <w:spacing w:after="0" w:line="1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8.05</w:t>
      </w:r>
      <w:r>
        <w:rPr>
          <w:sz w:val="20"/>
          <w:szCs w:val="20"/>
          <w:color w:val="auto"/>
        </w:rPr>
        <w:tab/>
      </w:r>
      <w:r>
        <w:rPr>
          <w:rFonts w:ascii="Times New Roman" w:cs="Times New Roman" w:eastAsia="Times New Roman" w:hAnsi="Times New Roman"/>
          <w:sz w:val="18"/>
          <w:szCs w:val="18"/>
          <w:u w:val="single" w:color="auto"/>
          <w:color w:val="auto"/>
        </w:rPr>
        <w:t>Deposited Money and U.S. Government Securities to Be Held in Trust; Other Miscellaneous Provisions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Subject to Section 8.06 hereof, all money and U.S. Government Securities (including the proceeds thereof) deposited with the Trustee (or other qualifying trustee, collectively for purposes of this Section 8.05,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or a Guarantor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77"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The Issuer shall pay and indemnify the Trustee against any tax, fee or other charge imposed on or assessed against the cash or U.S. Government Securities deposited pursuant to Section 8.04 hereof or the principal and interest received in respect thereof other than any such tax, fee or other charge which by law is for the account of the Holders of the outstanding Notes.</w:t>
      </w:r>
    </w:p>
    <w:p>
      <w:pPr>
        <w:spacing w:after="0" w:line="157"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Anything in this Article 8 to the contrary notwithstanding, the Trustee shall deliver or pay to the Issuer from time to time upon the request of the Issuer any money or U.S. Government Securities held by it as provided in Section 8.04 hereof which, in the opinion of a nationally recognized firm of independent public accountants expressed in a written certification thereof delivered to the Trustee (which may be the opinion delivered under clause (1) of Section 8.04 hereof), are in excess of the amount thereof that would then be required to be deposited to effect an equivalent Legal Defeasance or Covenant Defeasance.</w:t>
      </w:r>
    </w:p>
    <w:p>
      <w:pPr>
        <w:spacing w:after="0" w:line="2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8.06</w:t>
      </w:r>
      <w:r>
        <w:rPr>
          <w:sz w:val="20"/>
          <w:szCs w:val="20"/>
          <w:color w:val="auto"/>
        </w:rPr>
        <w:tab/>
      </w:r>
      <w:r>
        <w:rPr>
          <w:rFonts w:ascii="Times New Roman" w:cs="Times New Roman" w:eastAsia="Times New Roman" w:hAnsi="Times New Roman"/>
          <w:sz w:val="18"/>
          <w:szCs w:val="18"/>
          <w:u w:val="single" w:color="auto"/>
          <w:color w:val="auto"/>
        </w:rPr>
        <w:t>Repayment to Issuer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Subject to applicable abandoned property law, 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760"/>
          </w:cols>
          <w:pgMar w:left="580" w:top="1440" w:right="559" w:bottom="1440" w:gutter="0" w:footer="0" w:header="0"/>
        </w:sectPr>
      </w:pPr>
    </w:p>
    <w:bookmarkStart w:id="189" w:name="page190"/>
    <w:bookmarkEnd w:id="189"/>
    <w:p>
      <w:pPr>
        <w:spacing w:after="0" w:line="18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8.07</w:t>
      </w:r>
      <w:r>
        <w:rPr>
          <w:sz w:val="20"/>
          <w:szCs w:val="20"/>
          <w:color w:val="auto"/>
        </w:rPr>
        <w:tab/>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 xml:space="preserve">If the Trustee or Paying Agent is unable to apply any United States dollars or U.S.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ARTICLE 9</w:t>
      </w:r>
    </w:p>
    <w:p>
      <w:pPr>
        <w:spacing w:after="0" w:line="227" w:lineRule="exact"/>
        <w:rPr>
          <w:sz w:val="20"/>
          <w:szCs w:val="20"/>
          <w:color w:val="auto"/>
        </w:rPr>
      </w:pPr>
    </w:p>
    <w:p>
      <w:pPr>
        <w:ind w:right="3520" w:firstLine="3480"/>
        <w:spacing w:after="0" w:line="467" w:lineRule="auto"/>
        <w:rPr>
          <w:sz w:val="20"/>
          <w:szCs w:val="20"/>
          <w:color w:val="auto"/>
        </w:rPr>
      </w:pPr>
      <w:r>
        <w:rPr>
          <w:rFonts w:ascii="Times New Roman" w:cs="Times New Roman" w:eastAsia="Times New Roman" w:hAnsi="Times New Roman"/>
          <w:sz w:val="19"/>
          <w:szCs w:val="19"/>
          <w:color w:val="auto"/>
        </w:rPr>
        <w:t xml:space="preserve">AMENDMENT, SUPPLEMENT AND WAIVER Section 9.01 </w:t>
      </w:r>
      <w:r>
        <w:rPr>
          <w:rFonts w:ascii="Times New Roman" w:cs="Times New Roman" w:eastAsia="Times New Roman" w:hAnsi="Times New Roman"/>
          <w:sz w:val="19"/>
          <w:szCs w:val="19"/>
          <w:u w:val="single" w:color="auto"/>
          <w:color w:val="auto"/>
        </w:rPr>
        <w:t>Without Consent of Holders of Notes</w:t>
      </w:r>
      <w:r>
        <w:rPr>
          <w:rFonts w:ascii="Times New Roman" w:cs="Times New Roman" w:eastAsia="Times New Roman" w:hAnsi="Times New Roman"/>
          <w:sz w:val="19"/>
          <w:szCs w:val="19"/>
          <w:color w:val="auto"/>
        </w:rPr>
        <w:t>.</w:t>
      </w:r>
    </w:p>
    <w:p>
      <w:pPr>
        <w:jc w:val="both"/>
        <w:ind w:firstLine="650"/>
        <w:spacing w:after="0" w:line="244" w:lineRule="auto"/>
        <w:tabs>
          <w:tab w:leader="none" w:pos="1034"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9.02 hereof, the Issuer, Holdings or any Guarantor (with respect to a Note Guarantee or this Indenture), if applicable, the Trustee, the Notes Collateral Agent and the other parties thereto, as the case may be, may amend or supplement any Notes Document without the consent of any Holder to:</w:t>
      </w:r>
    </w:p>
    <w:p>
      <w:pPr>
        <w:spacing w:after="0" w:line="170"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cure any ambiguity, omission, mistake, defect, error or inconsistency or reduce the minimum denomination of the</w:t>
      </w:r>
    </w:p>
    <w:p>
      <w:pPr>
        <w:spacing w:after="0" w:line="25"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w:t>
      </w:r>
    </w:p>
    <w:p>
      <w:pPr>
        <w:spacing w:after="0" w:line="198" w:lineRule="exact"/>
        <w:rPr>
          <w:rFonts w:ascii="Times New Roman" w:cs="Times New Roman" w:eastAsia="Times New Roman" w:hAnsi="Times New Roman"/>
          <w:sz w:val="19"/>
          <w:szCs w:val="19"/>
          <w:color w:val="auto"/>
        </w:rPr>
      </w:pPr>
    </w:p>
    <w:p>
      <w:pPr>
        <w:jc w:val="both"/>
        <w:ind w:left="340" w:firstLine="641"/>
        <w:spacing w:after="0" w:line="244" w:lineRule="auto"/>
        <w:tabs>
          <w:tab w:leader="none" w:pos="1694"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for uncertificated Notes in addition to or in place of certificated Notes or to alter the provisions of this Indenture relating to the form of the Notes (including related definitions) (provided that the uncertificated Notes are issued in registered form for purposes of Section 163(f) of the Code);</w:t>
      </w:r>
    </w:p>
    <w:p>
      <w:pPr>
        <w:spacing w:after="0" w:line="211"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comply with Article 5 hereof;</w:t>
      </w:r>
    </w:p>
    <w:p>
      <w:pPr>
        <w:spacing w:after="0" w:line="186"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for the assumption by a successor Person of the Issuer’s, Holdings’ or any Guarantor’s obligations under any</w:t>
      </w:r>
    </w:p>
    <w:p>
      <w:pPr>
        <w:spacing w:after="0" w:line="25"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Document;</w:t>
      </w:r>
    </w:p>
    <w:p>
      <w:pPr>
        <w:spacing w:after="0" w:line="198" w:lineRule="exact"/>
        <w:rPr>
          <w:rFonts w:ascii="Times New Roman" w:cs="Times New Roman" w:eastAsia="Times New Roman" w:hAnsi="Times New Roman"/>
          <w:sz w:val="19"/>
          <w:szCs w:val="19"/>
          <w:color w:val="auto"/>
        </w:rPr>
      </w:pPr>
    </w:p>
    <w:p>
      <w:pPr>
        <w:jc w:val="both"/>
        <w:ind w:left="340" w:firstLine="641"/>
        <w:spacing w:after="0" w:line="258" w:lineRule="auto"/>
        <w:tabs>
          <w:tab w:leader="none" w:pos="1694"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(including changing the CUSIP, ISIN or other identifying number on any Notes) that would provide any additional rights or benefits to the Holders or that does not materially and adversely affect the rights of any Holder in any material respect;</w:t>
      </w:r>
    </w:p>
    <w:p>
      <w:pPr>
        <w:spacing w:after="0" w:line="172"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 or modify covenants or provide for a Note Guarantee for the benefit of the Holders;</w:t>
      </w:r>
    </w:p>
    <w:p>
      <w:pPr>
        <w:spacing w:after="0" w:line="200" w:lineRule="exact"/>
        <w:rPr>
          <w:rFonts w:ascii="Times New Roman" w:cs="Times New Roman" w:eastAsia="Times New Roman" w:hAnsi="Times New Roman"/>
          <w:sz w:val="19"/>
          <w:szCs w:val="19"/>
          <w:color w:val="auto"/>
        </w:rPr>
      </w:pPr>
    </w:p>
    <w:p>
      <w:pPr>
        <w:ind w:left="340" w:firstLine="641"/>
        <w:spacing w:after="0" w:line="280" w:lineRule="auto"/>
        <w:tabs>
          <w:tab w:leader="none" w:pos="1694"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Issuer’s election, comply with requirements of the SEC in order to effect or maintain the qualification of this Indenture under the Trust Indenture Act;</w:t>
      </w:r>
    </w:p>
    <w:p>
      <w:pPr>
        <w:spacing w:after="0" w:line="124" w:lineRule="exact"/>
        <w:rPr>
          <w:rFonts w:ascii="Times New Roman" w:cs="Times New Roman" w:eastAsia="Times New Roman" w:hAnsi="Times New Roman"/>
          <w:sz w:val="19"/>
          <w:szCs w:val="19"/>
          <w:color w:val="auto"/>
        </w:rPr>
      </w:pPr>
    </w:p>
    <w:p>
      <w:pPr>
        <w:jc w:val="both"/>
        <w:ind w:left="340" w:right="20" w:firstLine="641"/>
        <w:spacing w:after="0" w:line="251" w:lineRule="auto"/>
        <w:tabs>
          <w:tab w:leader="none" w:pos="1694"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and provide for the acceptance and appointment under this Indenture of a successor Trustee or successor Paying Agent hereunder pursuant to the requirements hereof or to provide for the accession by the Trustee or the Notes Collateral Agent, as applicable, to any Notes Document;</w:t>
      </w:r>
    </w:p>
    <w:p>
      <w:pPr>
        <w:spacing w:after="0" w:line="30" w:lineRule="exact"/>
        <w:rPr>
          <w:rFonts w:ascii="Times New Roman" w:cs="Times New Roman" w:eastAsia="Times New Roman" w:hAnsi="Times New Roman"/>
          <w:sz w:val="19"/>
          <w:szCs w:val="19"/>
          <w:color w:val="auto"/>
        </w:rPr>
      </w:pPr>
    </w:p>
    <w:p>
      <w:pPr>
        <w:ind w:left="340" w:right="20" w:firstLine="641"/>
        <w:spacing w:after="0" w:line="280" w:lineRule="auto"/>
        <w:tabs>
          <w:tab w:leader="none" w:pos="1694"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for the issuance of exchange notes or private exchange notes, which are identical to exchange notes except that they are not freely transferable;</w:t>
      </w:r>
    </w:p>
    <w:p>
      <w:pPr>
        <w:spacing w:after="0" w:line="151"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 a Guarantor or a co-obligor of the Notes under this Indenture;</w:t>
      </w:r>
    </w:p>
    <w:p>
      <w:pPr>
        <w:spacing w:after="0" w:line="200"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conform the text of the Notes Documents to any provision of the “Description of Notes” section of the Offering</w:t>
      </w:r>
    </w:p>
    <w:p>
      <w:pPr>
        <w:spacing w:after="0" w:line="25"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Memorandum;</w:t>
      </w:r>
    </w:p>
    <w:p>
      <w:pPr>
        <w:sectPr>
          <w:pgSz w:w="11900" w:h="16838" w:orient="portrait"/>
          <w:cols w:equalWidth="0" w:num="1">
            <w:col w:w="10760"/>
          </w:cols>
          <w:pgMar w:left="580" w:top="144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760"/>
          </w:cols>
          <w:pgMar w:left="580" w:top="1440" w:right="559" w:bottom="1440" w:gutter="0" w:footer="0" w:header="0"/>
          <w:type w:val="continuous"/>
        </w:sectPr>
      </w:pPr>
    </w:p>
    <w:bookmarkStart w:id="190" w:name="page191"/>
    <w:bookmarkEnd w:id="190"/>
    <w:p>
      <w:pPr>
        <w:spacing w:after="0" w:line="186" w:lineRule="exact"/>
        <w:rPr>
          <w:sz w:val="20"/>
          <w:szCs w:val="20"/>
          <w:color w:val="auto"/>
        </w:rPr>
      </w:pPr>
    </w:p>
    <w:p>
      <w:pPr>
        <w:jc w:val="both"/>
        <w:ind w:left="340" w:firstLine="641"/>
        <w:spacing w:after="0" w:line="244"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make any amendment to the provisions of this Indenture relating to the transfer and legending of Notes as permitted by this Indenture, including, without limitation to facilitate the issuance and administration of the 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amendment does not materially and adversely affect the rights of Holders to transfer Notes;</w:t>
      </w:r>
    </w:p>
    <w:p>
      <w:pPr>
        <w:spacing w:after="0" w:line="157" w:lineRule="exact"/>
        <w:rPr>
          <w:rFonts w:ascii="Times New Roman" w:cs="Times New Roman" w:eastAsia="Times New Roman" w:hAnsi="Times New Roman"/>
          <w:sz w:val="19"/>
          <w:szCs w:val="19"/>
          <w:color w:val="auto"/>
        </w:rPr>
      </w:pPr>
    </w:p>
    <w:p>
      <w:pPr>
        <w:jc w:val="both"/>
        <w:ind w:left="340" w:right="20" w:firstLine="641"/>
        <w:spacing w:after="0" w:line="246"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for any Restricted Subsidiary to provide a Note Guarantee in accordance with Section 4.09 hereof to add Note Guarantees with respect to the Notes, to add security to or for the benefit of the Notes, or to confirm and evidence the release, termination, discharge or retaking of any Note Guarantee or Lien with respect to or securing the Notes when such release, termination, discharge or retaking is provided for under this Indenture;</w:t>
      </w:r>
    </w:p>
    <w:p>
      <w:pPr>
        <w:spacing w:after="0" w:line="170"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such provisions as necessary for the issuance of Additional Notes;</w:t>
      </w:r>
    </w:p>
    <w:p>
      <w:pPr>
        <w:spacing w:after="0" w:line="213"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comply with the rules and procedures of any applicable securities depositary;</w:t>
      </w:r>
    </w:p>
    <w:p>
      <w:pPr>
        <w:spacing w:after="0" w:line="200" w:lineRule="exact"/>
        <w:rPr>
          <w:rFonts w:ascii="Times New Roman" w:cs="Times New Roman" w:eastAsia="Times New Roman" w:hAnsi="Times New Roman"/>
          <w:sz w:val="19"/>
          <w:szCs w:val="19"/>
          <w:color w:val="auto"/>
        </w:rPr>
      </w:pPr>
    </w:p>
    <w:p>
      <w:pPr>
        <w:ind w:left="340" w:right="20" w:firstLine="641"/>
        <w:spacing w:after="0" w:line="280"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amendment to the provisions of the Notes Documents to eliminate the effect of any Accounting Change or in the application thereof as described in the last paragraph of the definition of “GAAP”;</w:t>
      </w:r>
    </w:p>
    <w:p>
      <w:pPr>
        <w:spacing w:after="0" w:line="151" w:lineRule="exact"/>
        <w:rPr>
          <w:rFonts w:ascii="Times New Roman" w:cs="Times New Roman" w:eastAsia="Times New Roman" w:hAnsi="Times New Roman"/>
          <w:sz w:val="19"/>
          <w:szCs w:val="19"/>
          <w:color w:val="auto"/>
        </w:rPr>
      </w:pPr>
    </w:p>
    <w:p>
      <w:pPr>
        <w:jc w:val="both"/>
        <w:ind w:left="340" w:firstLine="641"/>
        <w:spacing w:after="0" w:line="237"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mortgage, pledge, hypothecate or grant a security interest in favor of the Notes Collateral Agent or the Trustee for the benefit of the Noteholder Secured Parties as additional security for the payment and performance of the Issuer’s, Holdings’ or any Guarantor’s obligations under the Notes Documents, in any property, or assets, including any of which are required to be mortgaged, pledged or hypothecated, or in which a security interest is required to be granted to the Notes Collateral Agent or the Trustee in accordance with the terms of the Collateral Documents;</w:t>
      </w:r>
    </w:p>
    <w:p>
      <w:pPr>
        <w:spacing w:after="0" w:line="217"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 additional parties with Pari Passu Lien Priority to any Collateral Documents;</w:t>
      </w:r>
    </w:p>
    <w:p>
      <w:pPr>
        <w:spacing w:after="0" w:line="200" w:lineRule="exact"/>
        <w:rPr>
          <w:rFonts w:ascii="Times New Roman" w:cs="Times New Roman" w:eastAsia="Times New Roman" w:hAnsi="Times New Roman"/>
          <w:sz w:val="19"/>
          <w:szCs w:val="19"/>
          <w:color w:val="auto"/>
        </w:rPr>
      </w:pPr>
    </w:p>
    <w:p>
      <w:pPr>
        <w:ind w:left="340" w:right="20" w:firstLine="641"/>
        <w:spacing w:after="0" w:line="295"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any intercreditor agreement having substantially similar terms with respect to the Holders as those set forth in the applicable Intercreditor Agreement, taken as a whole, or any joinder thereto;</w:t>
      </w:r>
    </w:p>
    <w:p>
      <w:pPr>
        <w:spacing w:after="0" w:line="97" w:lineRule="exact"/>
        <w:rPr>
          <w:rFonts w:ascii="Times New Roman" w:cs="Times New Roman" w:eastAsia="Times New Roman" w:hAnsi="Times New Roman"/>
          <w:sz w:val="19"/>
          <w:szCs w:val="19"/>
          <w:color w:val="auto"/>
        </w:rPr>
      </w:pPr>
    </w:p>
    <w:p>
      <w:pPr>
        <w:ind w:left="340" w:firstLine="641"/>
        <w:spacing w:after="0" w:line="265"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Collateral Document, to include therein any legend required to be set forth therein pursuant to any applicable Intercreditor Agreement or to modify any such legend as required by the Pari Passu Intercreditor Agreement;</w:t>
      </w:r>
    </w:p>
    <w:p>
      <w:pPr>
        <w:spacing w:after="0" w:line="138" w:lineRule="exact"/>
        <w:rPr>
          <w:rFonts w:ascii="Times New Roman" w:cs="Times New Roman" w:eastAsia="Times New Roman" w:hAnsi="Times New Roman"/>
          <w:sz w:val="19"/>
          <w:szCs w:val="19"/>
          <w:color w:val="auto"/>
        </w:rPr>
      </w:pPr>
    </w:p>
    <w:p>
      <w:pPr>
        <w:jc w:val="both"/>
        <w:ind w:left="340" w:firstLine="641"/>
        <w:spacing w:after="0" w:line="251"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amendments, modifications or changes that are administrative, ministerial, technical or conforming in nature in connection with the entry into (or amendment, renewal, extension, substitution, refinancing, restructuring, replacement, supplementing or other modification from time to time of) any ABL Facility that is not prohibited by this Indenture;</w:t>
      </w:r>
    </w:p>
    <w:p>
      <w:pPr>
        <w:spacing w:after="0" w:line="165" w:lineRule="exact"/>
        <w:rPr>
          <w:rFonts w:ascii="Times New Roman" w:cs="Times New Roman" w:eastAsia="Times New Roman" w:hAnsi="Times New Roman"/>
          <w:sz w:val="19"/>
          <w:szCs w:val="19"/>
          <w:color w:val="auto"/>
        </w:rPr>
      </w:pPr>
    </w:p>
    <w:p>
      <w:pPr>
        <w:jc w:val="both"/>
        <w:ind w:left="340" w:firstLine="641"/>
        <w:spacing w:after="0" w:line="237"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for the succession of any parties to the Collateral Documents (and other amendments, modifications or changes that are administrative, ministerial, technical or conforming in nature) in connection with an amendment, renewal, extension, substitution, refinancing, restructuring, replacement, supplementing or other modification from time to time of the Credit Agreement or any other agreement that is not prohibited by this Indenture;</w:t>
      </w:r>
    </w:p>
    <w:p>
      <w:pPr>
        <w:spacing w:after="0" w:line="176" w:lineRule="exact"/>
        <w:rPr>
          <w:rFonts w:ascii="Times New Roman" w:cs="Times New Roman" w:eastAsia="Times New Roman" w:hAnsi="Times New Roman"/>
          <w:sz w:val="19"/>
          <w:szCs w:val="19"/>
          <w:color w:val="auto"/>
        </w:rPr>
      </w:pPr>
    </w:p>
    <w:p>
      <w:pPr>
        <w:ind w:left="340" w:right="20" w:firstLine="641"/>
        <w:spacing w:after="0" w:line="280" w:lineRule="auto"/>
        <w:tabs>
          <w:tab w:leader="none" w:pos="1694"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 (x) a tax gross-up or similar provisions for the benefit of Holders and (y) a tax redemption provision, in each case pursuant to Section 5.01(j).</w:t>
      </w:r>
    </w:p>
    <w:p>
      <w:pPr>
        <w:spacing w:after="0" w:line="3" w:lineRule="exact"/>
        <w:rPr>
          <w:rFonts w:ascii="Times New Roman" w:cs="Times New Roman" w:eastAsia="Times New Roman" w:hAnsi="Times New Roman"/>
          <w:sz w:val="19"/>
          <w:szCs w:val="19"/>
          <w:color w:val="auto"/>
        </w:rPr>
      </w:pPr>
    </w:p>
    <w:p>
      <w:pPr>
        <w:ind w:right="20" w:firstLine="650"/>
        <w:spacing w:after="0" w:line="280" w:lineRule="auto"/>
        <w:tabs>
          <w:tab w:leader="none" w:pos="1031"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the Holders will be deemed to have consented for purposes of the Collateral Documents to any of the following amendments and other modifications to the Collateral Documents :</w:t>
      </w:r>
    </w:p>
    <w:p>
      <w:pPr>
        <w:spacing w:after="0" w:line="151" w:lineRule="exact"/>
        <w:rPr>
          <w:rFonts w:ascii="Times New Roman" w:cs="Times New Roman" w:eastAsia="Times New Roman" w:hAnsi="Times New Roman"/>
          <w:sz w:val="19"/>
          <w:szCs w:val="19"/>
          <w:color w:val="auto"/>
        </w:rPr>
      </w:pPr>
    </w:p>
    <w:p>
      <w:pPr>
        <w:jc w:val="both"/>
        <w:ind w:left="340" w:firstLine="641"/>
        <w:spacing w:after="0" w:line="244" w:lineRule="auto"/>
        <w:tabs>
          <w:tab w:leader="none" w:pos="1694"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to add other parties (or any authorized agent thereof or trustee therefor) holding Credit Agreement Obligations that is incurred in compliance with the Credit Agreement, the Indenture, the Collateral Documents and (b) to establish that the Liens on any Collateral securing such Obligations shall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760"/>
          </w:cols>
          <w:pgMar w:left="580" w:top="1440" w:right="559" w:bottom="1440" w:gutter="0" w:footer="0" w:header="0"/>
        </w:sectPr>
      </w:pPr>
    </w:p>
    <w:bookmarkStart w:id="191" w:name="page192"/>
    <w:bookmarkEnd w:id="191"/>
    <w:p>
      <w:pPr>
        <w:spacing w:after="0" w:line="186" w:lineRule="exact"/>
        <w:rPr>
          <w:sz w:val="20"/>
          <w:szCs w:val="20"/>
          <w:color w:val="auto"/>
        </w:rPr>
      </w:pPr>
    </w:p>
    <w:p>
      <w:pPr>
        <w:jc w:val="both"/>
        <w:ind w:left="340" w:right="20"/>
        <w:spacing w:after="0" w:line="244" w:lineRule="auto"/>
        <w:rPr>
          <w:sz w:val="20"/>
          <w:szCs w:val="20"/>
          <w:color w:val="auto"/>
        </w:rPr>
      </w:pPr>
      <w:r>
        <w:rPr>
          <w:rFonts w:ascii="Times New Roman" w:cs="Times New Roman" w:eastAsia="Times New Roman" w:hAnsi="Times New Roman"/>
          <w:sz w:val="19"/>
          <w:szCs w:val="19"/>
          <w:color w:val="auto"/>
        </w:rPr>
        <w:t>be under the Pari Passu Intercreditor Agreement with the Liens on such Collateral securing the Obligations under the Indenture, the Notes and the Note Guarantees, all on the terms provided for in the Pari Passu Intercreditor Agreement in effect immediately prior to such amendment or other modification; and</w:t>
      </w:r>
    </w:p>
    <w:p>
      <w:pPr>
        <w:spacing w:after="0" w:line="171" w:lineRule="exact"/>
        <w:rPr>
          <w:sz w:val="20"/>
          <w:szCs w:val="20"/>
          <w:color w:val="auto"/>
        </w:rPr>
      </w:pPr>
    </w:p>
    <w:p>
      <w:pPr>
        <w:jc w:val="both"/>
        <w:ind w:left="340" w:firstLine="641"/>
        <w:spacing w:after="0" w:line="241" w:lineRule="auto"/>
        <w:tabs>
          <w:tab w:leader="none" w:pos="1694" w:val="left"/>
        </w:tabs>
        <w:numPr>
          <w:ilvl w:val="1"/>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establish that the Liens on any Collateral securing any Indebtedness replacing the Credit Agreement permitted to be incurred under the Indenture shall be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to the Liens on such Collateral securing any Obligations under the Indenture, the Notes and the Note Guarantees, all on the terms provided for in the Pari Passu Intercreditor Agreement in effect immediately prior to such amendment or other modification.</w:t>
      </w:r>
    </w:p>
    <w:p>
      <w:pPr>
        <w:spacing w:after="0" w:line="161" w:lineRule="exact"/>
        <w:rPr>
          <w:rFonts w:ascii="Times New Roman" w:cs="Times New Roman" w:eastAsia="Times New Roman" w:hAnsi="Times New Roman"/>
          <w:sz w:val="19"/>
          <w:szCs w:val="19"/>
          <w:color w:val="auto"/>
        </w:rPr>
      </w:pPr>
    </w:p>
    <w:p>
      <w:pPr>
        <w:jc w:val="both"/>
        <w:ind w:firstLine="650"/>
        <w:spacing w:after="0"/>
        <w:tabs>
          <w:tab w:leader="none" w:pos="1034"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13.01 or any other provision herein to the contrary, in connection with the establishment of an ABL Facility, the Collateral Documents may be amended, amended and restated, modified or supplemented to cause the security interests in the ABL Priority Collateral (but not in any other Collateral) granted to the Notes Collateral Agent pursuant to the Collateral Documents to be made subordinate (on a second-priority basis, subject to Permitted Liens) to the security interests in the ABL Priority Collateral securing the obligations under the ABL Facility, by the Notes Collateral Agent and the Issuer.</w:t>
      </w:r>
    </w:p>
    <w:p>
      <w:pPr>
        <w:spacing w:after="0" w:line="176" w:lineRule="exact"/>
        <w:rPr>
          <w:rFonts w:ascii="Times New Roman" w:cs="Times New Roman" w:eastAsia="Times New Roman" w:hAnsi="Times New Roman"/>
          <w:sz w:val="19"/>
          <w:szCs w:val="19"/>
          <w:color w:val="auto"/>
        </w:rPr>
      </w:pPr>
    </w:p>
    <w:p>
      <w:pPr>
        <w:jc w:val="both"/>
        <w:ind w:firstLine="650"/>
        <w:spacing w:after="0" w:line="232" w:lineRule="auto"/>
        <w:tabs>
          <w:tab w:leader="none" w:pos="1031"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request of the Issuer and upon receipt by the Trustee or the Notes Collateral Agent, if applicable, of the documents described in Section 9.06 hereof, the Trustee and the Notes Collateral Agent, if applicable, shall join with the Issuer, Holdings and the Guarantors, if applicable, in the execution of any amended or supplemental indenture or amendment or supplement to the other Notes Documents authorized or permitted by the terms of this Indenture and to make any further appropriate agreements and stipulations that may be therein contained, but the Trustee or the Notes Collateral Agent, if applicable, shall not be obligated to enter into such amended or supplemental indenture or amendment or supplement to the other Notes Documents that affects its own rights, duties or immunities under this Indenture or otherwise. Notwithstanding the foregoing, no Opinion of Counsel shall be required in connection with the addition of a Guarantor under this Indenture upon (i) execution and delivery by such Guarantor and the Trustee and the Notes Collateral Agent of a supplemental indenture to this Indenture in the form attached as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 and (ii) delivery of an Officer’s Certificate complying with the provisions of Sections 9.06, 12.04 and 12.05 hereof; provided, however, that an Opinion of Counsel shall be furnished to the extent that such supplemental indenture contains limitations on such Additional Notes Guarantee requiring modification to the terms of the form of supplemental indenture attached as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w:t>
      </w:r>
    </w:p>
    <w:p>
      <w:pPr>
        <w:spacing w:after="0" w:line="2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9.02</w:t>
      </w:r>
      <w:r>
        <w:rPr>
          <w:sz w:val="20"/>
          <w:szCs w:val="20"/>
          <w:color w:val="auto"/>
        </w:rPr>
        <w:tab/>
      </w:r>
      <w:r>
        <w:rPr>
          <w:rFonts w:ascii="Times New Roman" w:cs="Times New Roman" w:eastAsia="Times New Roman" w:hAnsi="Times New Roman"/>
          <w:sz w:val="18"/>
          <w:szCs w:val="18"/>
          <w:u w:val="single" w:color="auto"/>
          <w:color w:val="auto"/>
        </w:rPr>
        <w:t>With Consent of Holders of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4" w:lineRule="auto"/>
        <w:rPr>
          <w:sz w:val="20"/>
          <w:szCs w:val="20"/>
          <w:color w:val="auto"/>
        </w:rPr>
      </w:pPr>
      <w:r>
        <w:rPr>
          <w:rFonts w:ascii="Times New Roman" w:cs="Times New Roman" w:eastAsia="Times New Roman" w:hAnsi="Times New Roman"/>
          <w:sz w:val="19"/>
          <w:szCs w:val="19"/>
          <w:color w:val="auto"/>
        </w:rPr>
        <w:t>Except as provided below in this Section 9.02, the Issuer, Holdings or the Guarantors (with respect to a Note Guarantee or this Indenture), if applicable, the Trustee, the Notes Collateral Agent, if applicable, and any other parties thereto may amend, supplement or modify the Notes Documents with the consent of the Holders of at least a majority in principal amount of the Notes then outstanding (including, without limitation, consents obtained before or after a Change of Control Repurchase Event or in connection with a purchase of, or tender offer or exchange offer for, the Notes), and any existing Default or Event of Default or compliance with any provision of the Notes Documents (except a continuing Default in the payment of interest or the principal of any Note held by a non-consenting Holder and except a Default in respect of a provision that cannot be amended without the consent of each Holder of a Note affected thereby) may be waived with the consent of the Holders of at least a majority in aggregate principal amount of the then outstanding Notes (including consents obtained before or after a Change of Control or in connection with a purchase of, or tender offer or exchange offer for, the Notes). Section 2.08 and Section 2.09 hereof shall determine which Notes are considered to be “outstanding” for the purposes of this Section 9.02.</w:t>
      </w:r>
    </w:p>
    <w:p>
      <w:pPr>
        <w:spacing w:after="0" w:line="165"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Notwithstanding the foregoing, without the consent of each affected Holder of Notes, an amendment or waiver under this Section 9.02 may not with respect to any Notes held by a non-consenting Holder:</w:t>
      </w:r>
    </w:p>
    <w:p>
      <w:pPr>
        <w:spacing w:after="0" w:line="3" w:lineRule="exact"/>
        <w:rPr>
          <w:sz w:val="20"/>
          <w:szCs w:val="20"/>
          <w:color w:val="auto"/>
        </w:rPr>
      </w:pPr>
    </w:p>
    <w:p>
      <w:pPr>
        <w:ind w:left="1680" w:hanging="699"/>
        <w:spacing w:after="0"/>
        <w:tabs>
          <w:tab w:leader="none" w:pos="168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amount of such Notes whose Holders must consent to an amendment, supplement or waiver;</w:t>
      </w:r>
    </w:p>
    <w:p>
      <w:pPr>
        <w:spacing w:after="0" w:line="227" w:lineRule="exact"/>
        <w:rPr>
          <w:rFonts w:ascii="Times New Roman" w:cs="Times New Roman" w:eastAsia="Times New Roman" w:hAnsi="Times New Roman"/>
          <w:sz w:val="19"/>
          <w:szCs w:val="19"/>
          <w:color w:val="auto"/>
        </w:rPr>
      </w:pPr>
    </w:p>
    <w:p>
      <w:pPr>
        <w:ind w:left="340" w:right="20" w:firstLine="641"/>
        <w:spacing w:after="0" w:line="250" w:lineRule="auto"/>
        <w:tabs>
          <w:tab w:leader="none" w:pos="1694"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reduce the principal of or extend the Stated Maturity of any such Note (other than provisions relating to Change of Control and Asset Sales) or (b) reduce the premium payable upon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760"/>
          </w:cols>
          <w:pgMar w:left="580" w:top="1440" w:right="559" w:bottom="1440" w:gutter="0" w:footer="0" w:header="0"/>
        </w:sectPr>
      </w:pPr>
    </w:p>
    <w:bookmarkStart w:id="192" w:name="page193"/>
    <w:bookmarkEnd w:id="192"/>
    <w:p>
      <w:pPr>
        <w:spacing w:after="0" w:line="199"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9"/>
          <w:szCs w:val="19"/>
          <w:color w:val="auto"/>
        </w:rPr>
        <w:t>redemption of any such Note or change the time at which any such Note may be redeemed, in each case with respect to this clause (b) as described above under Section 3.07 hereof;</w:t>
      </w:r>
    </w:p>
    <w:p>
      <w:pPr>
        <w:spacing w:after="0" w:line="139" w:lineRule="exact"/>
        <w:rPr>
          <w:sz w:val="20"/>
          <w:szCs w:val="20"/>
          <w:color w:val="auto"/>
        </w:rPr>
      </w:pPr>
    </w:p>
    <w:p>
      <w:pPr>
        <w:ind w:left="340" w:right="20" w:firstLine="641"/>
        <w:spacing w:after="0" w:line="265" w:lineRule="auto"/>
        <w:tabs>
          <w:tab w:leader="none" w:pos="1694"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rate of or extend the stated time for payment of interest on any Note (other than provisions relating to Change of Control and Asset Sales);</w:t>
      </w:r>
    </w:p>
    <w:p>
      <w:pPr>
        <w:spacing w:after="0" w:line="165" w:lineRule="exact"/>
        <w:rPr>
          <w:rFonts w:ascii="Times New Roman" w:cs="Times New Roman" w:eastAsia="Times New Roman" w:hAnsi="Times New Roman"/>
          <w:sz w:val="19"/>
          <w:szCs w:val="19"/>
          <w:color w:val="auto"/>
        </w:rPr>
      </w:pPr>
    </w:p>
    <w:p>
      <w:pPr>
        <w:jc w:val="both"/>
        <w:ind w:left="340" w:firstLine="641"/>
        <w:spacing w:after="0" w:line="251" w:lineRule="auto"/>
        <w:tabs>
          <w:tab w:leader="none" w:pos="1694"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a Default or Event of Default with respect to the nonpayment of principal of or premium, if any, or interest on the Notes, except a rescission of acceleration of the Notes by the Holders of at least a majority in aggregate principal amount of the Notes outstanding and a waiver of the payment default that resulted from such acceleration;</w:t>
      </w:r>
    </w:p>
    <w:p>
      <w:pPr>
        <w:spacing w:after="0" w:line="151" w:lineRule="exact"/>
        <w:rPr>
          <w:rFonts w:ascii="Times New Roman" w:cs="Times New Roman" w:eastAsia="Times New Roman" w:hAnsi="Times New Roman"/>
          <w:sz w:val="19"/>
          <w:szCs w:val="19"/>
          <w:color w:val="auto"/>
        </w:rPr>
      </w:pPr>
    </w:p>
    <w:p>
      <w:pPr>
        <w:ind w:left="1620" w:hanging="638"/>
        <w:spacing w:after="0"/>
        <w:tabs>
          <w:tab w:leader="none" w:pos="162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Note payable in currency other than that stated therein;</w:t>
      </w:r>
    </w:p>
    <w:p>
      <w:pPr>
        <w:spacing w:after="0" w:line="213"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in these amendment and waiver provisions which required the Holders’ consent described in this</w:t>
      </w:r>
    </w:p>
    <w:p>
      <w:pPr>
        <w:spacing w:after="0" w:line="25"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sentence;</w:t>
      </w:r>
    </w:p>
    <w:p>
      <w:pPr>
        <w:spacing w:after="0" w:line="185" w:lineRule="exact"/>
        <w:rPr>
          <w:rFonts w:ascii="Times New Roman" w:cs="Times New Roman" w:eastAsia="Times New Roman" w:hAnsi="Times New Roman"/>
          <w:sz w:val="19"/>
          <w:szCs w:val="19"/>
          <w:color w:val="auto"/>
        </w:rPr>
      </w:pPr>
    </w:p>
    <w:p>
      <w:pPr>
        <w:ind w:left="340" w:right="20" w:firstLine="641"/>
        <w:spacing w:after="0" w:line="295" w:lineRule="auto"/>
        <w:tabs>
          <w:tab w:leader="none" w:pos="1694"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impair the right of any Holder to institute suit for the enforcement of any payment of principal of and interest on such Holder’s Notes on or after the due dates therefor; and</w:t>
      </w:r>
    </w:p>
    <w:p>
      <w:pPr>
        <w:spacing w:after="0" w:line="110" w:lineRule="exact"/>
        <w:rPr>
          <w:rFonts w:ascii="Times New Roman" w:cs="Times New Roman" w:eastAsia="Times New Roman" w:hAnsi="Times New Roman"/>
          <w:sz w:val="19"/>
          <w:szCs w:val="19"/>
          <w:color w:val="auto"/>
        </w:rPr>
      </w:pPr>
    </w:p>
    <w:p>
      <w:pPr>
        <w:ind w:left="1680" w:hanging="699"/>
        <w:spacing w:after="0"/>
        <w:tabs>
          <w:tab w:leader="none" w:pos="168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to or modify the ranking of such Notes that would adversely affect the Holders.</w:t>
      </w:r>
    </w:p>
    <w:p>
      <w:pPr>
        <w:spacing w:after="0" w:line="173"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No amendment to, or deletion of, Sections 4.03, 4.07, 4.08, 4.09, 4.11, 4.12, 4.15 or 4.16 hereof, or action taken in compliance with such covenants as in effect at the time of such action, shall be deemed to impair or affect any legal rights of any Holders of the Notes to receive payment of principal of or premium, if any, or interest on the Notes or to institute suit for the enforcement of any payment on or with respect to such Holder’s Notes.</w:t>
      </w:r>
    </w:p>
    <w:p>
      <w:pPr>
        <w:spacing w:after="0" w:line="162"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Notwithstanding the provisions of Section 9.01 or any other provision of this Section 9.02, without the consent of the Holders of at least 66-2/3% in aggregate principal amount of the Notes then outstanding, no amendment or waiver may (A) make any change in any Collateral Document or the provisions in this Indenture dealing with Collateral or application of trust proceeds of the Collateral with the effect of releasing the Liens on all or substantially all of the Collateral which secure the Obligations in respect of the Notes, or (B) change or alter the priority of the Liens securing the Obligations in respect of the Notes in any material portion of the Collateral in any way materially adverse, taken as a whole, to the Holders, other than, in each case, as provided under the terms of this Indenture (including Sections 9.01(c) and 13.09(l) hereof), the Collateral Documents, or any applicable Intercreditor Agreement.</w:t>
      </w:r>
    </w:p>
    <w:p>
      <w:pPr>
        <w:spacing w:after="0" w:line="164"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Upon the request of the Issuer and upon the filing with the Trustee and the Notes Collateral Agent, if applicable, of evidence satisfactory to the Trustee or the Notes Collateral Agent, if applicable, of the consent of the Holders of Notes as aforesaid, and upon receipt by the Trustee and the Notes Collateral Agent, as applicable, of the documents described in Section 9.06 hereof, the Trustee or the Notes Collateral Agent shall join with the Issuer, Holdings and the Guarantors, if applicable, in the execution of such amended or supplemental indenture or amendment or supplement to the other Notes Documents unless such amended or supplemental indenture or amendment or supplement to the other Notes Documents affects the Trustee’s or Notes Collateral Agent’s own rights, duties or immunities under this Indenture or otherwise, in which case the Trustee or the Notes Collateral Agent, as applicable, may in its discretion, but shall not be obligated to, enter into such amended or supplemental indenture or amendment or supplement to the other Notes Documents.</w:t>
      </w:r>
    </w:p>
    <w:p>
      <w:pPr>
        <w:spacing w:after="0" w:line="137"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It shall not be necessary for the consent of the Holders of Notes under this Section 9.02 to approve the particular form of any proposed amendment or waiver of any Notes Document, but it shall be sufficient if such consent approves the substance thereof.</w:t>
      </w:r>
    </w:p>
    <w:p>
      <w:pPr>
        <w:spacing w:after="0" w:line="17"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After an amendment, supplement or waiver under this Section 9.02 becomes effective, the Issuer shall send to the Holders of Notes affected thereby a notice briefly describing the amendment, supplement or waiver. Any failure of the Issuer to send such notice, or any defect therein, shall not, however, in any way impair or affect the validity of any such amendment, supplement or waiver.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760"/>
          </w:cols>
          <w:pgMar w:left="580" w:top="1440" w:right="559" w:bottom="1440" w:gutter="0" w:footer="0" w:header="0"/>
        </w:sectPr>
      </w:pPr>
    </w:p>
    <w:bookmarkStart w:id="193" w:name="page194"/>
    <w:bookmarkEnd w:id="193"/>
    <w:p>
      <w:pPr>
        <w:spacing w:after="0" w:line="18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9.03</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9.04</w:t>
      </w:r>
      <w:r>
        <w:rPr>
          <w:sz w:val="20"/>
          <w:szCs w:val="20"/>
          <w:color w:val="auto"/>
        </w:rPr>
        <w:tab/>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63"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9.05</w:t>
      </w:r>
      <w:r>
        <w:rPr>
          <w:sz w:val="20"/>
          <w:szCs w:val="20"/>
          <w:color w:val="auto"/>
        </w:rPr>
        <w:tab/>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51"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Failure to make the appropriate notation or issue a new Note shall not affect the validity and effect of such amendment, supplement or waiver.</w:t>
      </w:r>
    </w:p>
    <w:p>
      <w:pPr>
        <w:spacing w:after="0" w:line="1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Section 9.06</w:t>
      </w:r>
      <w:r>
        <w:rPr>
          <w:sz w:val="20"/>
          <w:szCs w:val="20"/>
          <w:color w:val="auto"/>
        </w:rPr>
        <w:tab/>
      </w:r>
      <w:r>
        <w:rPr>
          <w:rFonts w:ascii="Times New Roman" w:cs="Times New Roman" w:eastAsia="Times New Roman" w:hAnsi="Times New Roman"/>
          <w:sz w:val="18"/>
          <w:szCs w:val="18"/>
          <w:u w:val="single" w:color="auto"/>
          <w:color w:val="auto"/>
        </w:rPr>
        <w:t>Trustee to Sign Amendments,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9"/>
        <w:spacing w:after="0" w:line="230" w:lineRule="auto"/>
        <w:rPr>
          <w:sz w:val="20"/>
          <w:szCs w:val="20"/>
          <w:color w:val="auto"/>
        </w:rPr>
      </w:pPr>
      <w:r>
        <w:rPr>
          <w:rFonts w:ascii="Times New Roman" w:cs="Times New Roman" w:eastAsia="Times New Roman" w:hAnsi="Times New Roman"/>
          <w:sz w:val="19"/>
          <w:szCs w:val="19"/>
          <w:color w:val="auto"/>
        </w:rPr>
        <w:t>The Trustee and Notes Collateral Agent shall sign any amendment, supplement or waiver authorized pursuant to this Article 9 if the amendment or supplement does not adversely affect the rights, duties, liabilities or immunities of the Trustee or Notes Collateral Agent. In executing any amendment, supplement or waiver, the Trustee and Notes Collateral Agent, as applicable, shall be entitled to receive and (subject to Section 7.01 hereof) shall be fully protected in relying upon, in addition to the documents required by Section 12.04 hereof, an Officer’s Certificate and an Opinion of Counsel stating that the execution of such amended or supplemental indenture or amendment or supplement to the other Notes Documents is authorized or permitted by this Indenture and the other Notes Documents and that such amendment, supplement or waiver is the valid and binding obligation of the Issuer, Holdings and any Guarantors party thereto, enforceable against each of them in accordance with its terms, subject to customary exceptions. Notwithstanding the foregoing and upon satisfaction of the requirements set forth in the last sentence of Section 9.01 hereof, no Opinion of Counsel shall be required for the Trustee to execute any amendment or supplement adding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Guarantor under this Indenture.</w:t>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 xml:space="preserve">ARTICLE 10 </w:t>
      </w:r>
      <w:r>
        <w:rPr>
          <w:rFonts w:ascii="Times New Roman" w:cs="Times New Roman" w:eastAsia="Times New Roman" w:hAnsi="Times New Roman"/>
          <w:sz w:val="17"/>
          <w:szCs w:val="17"/>
          <w:color w:val="auto"/>
        </w:rPr>
        <w:t>GUARANTEES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10.01 </w:t>
      </w:r>
      <w:r>
        <w:rPr>
          <w:rFonts w:ascii="Times New Roman" w:cs="Times New Roman" w:eastAsia="Times New Roman" w:hAnsi="Times New Roman"/>
          <w:sz w:val="19"/>
          <w:szCs w:val="19"/>
          <w:u w:val="single" w:color="auto"/>
          <w:color w:val="auto"/>
        </w:rPr>
        <w:t>Note Guarantee</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Subject to this Article 10, Holdings and each of the Guarantors hereby, jointly and severally irrevocably and unconditionally guarantees, to each Holder of a Note authenticated and delivered by the Trustee and to the Trustee, the Notes Collateral Agent and each of their successors and assigns, irrespective of the validity and enforceability of this Indenture, the Notes or the obligations of the Issuer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760"/>
          </w:cols>
          <w:pgMar w:left="580" w:top="1440" w:right="559" w:bottom="1440" w:gutter="0" w:footer="0" w:header="0"/>
        </w:sectPr>
      </w:pPr>
    </w:p>
    <w:bookmarkStart w:id="194" w:name="page195"/>
    <w:bookmarkEnd w:id="194"/>
    <w:p>
      <w:pPr>
        <w:spacing w:after="0" w:line="1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thereunder, that: (a) the principal of, interest and premium on the Notes shall be promptly paid in full when due, whether at maturity, by acceleration, redemption or otherwise, and interest on the overdue principal of and interest on the Notes, if any, if lawful, and all other obligations of the Issuer to the Holders or the Trustee or Notes Collateral Agent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Holdings and the Guarantors shall be jointly and severally obligated to pay the same immediately. Holdings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each Guarantor agrees that this is a guarantee of payment and not a guarantee of collection.</w:t>
      </w:r>
    </w:p>
    <w:p>
      <w:pPr>
        <w:spacing w:after="0" w:line="185" w:lineRule="exact"/>
        <w:rPr>
          <w:sz w:val="20"/>
          <w:szCs w:val="20"/>
          <w:color w:val="auto"/>
        </w:rPr>
      </w:pPr>
    </w:p>
    <w:p>
      <w:pPr>
        <w:jc w:val="both"/>
        <w:ind w:right="20" w:firstLine="649"/>
        <w:spacing w:after="0" w:line="241" w:lineRule="auto"/>
        <w:rPr>
          <w:sz w:val="20"/>
          <w:szCs w:val="20"/>
          <w:color w:val="auto"/>
        </w:rPr>
      </w:pPr>
      <w:r>
        <w:rPr>
          <w:rFonts w:ascii="Times New Roman" w:cs="Times New Roman" w:eastAsia="Times New Roman" w:hAnsi="Times New Roman"/>
          <w:sz w:val="19"/>
          <w:szCs w:val="19"/>
          <w:color w:val="auto"/>
        </w:rPr>
        <w:t>Holdings and each Guarantor hereby waives diligence, presentment, demand of payment, filing of claims with a court in the event of insolvency or bankruptcy of the Issuer, any right to require a proceeding first against the Issuer, protest, notice and all demands whatsoever and covenants that its Note Guarantee shall not be discharged except by complete performance of the obligations contained in the Notes and this Indenture.</w:t>
      </w:r>
    </w:p>
    <w:p>
      <w:pPr>
        <w:spacing w:after="0" w:line="175" w:lineRule="exact"/>
        <w:rPr>
          <w:sz w:val="20"/>
          <w:szCs w:val="20"/>
          <w:color w:val="auto"/>
        </w:rPr>
      </w:pPr>
    </w:p>
    <w:p>
      <w:pPr>
        <w:jc w:val="both"/>
        <w:ind w:firstLine="649"/>
        <w:spacing w:after="0" w:line="265" w:lineRule="auto"/>
        <w:rPr>
          <w:sz w:val="20"/>
          <w:szCs w:val="20"/>
          <w:color w:val="auto"/>
        </w:rPr>
      </w:pPr>
      <w:r>
        <w:rPr>
          <w:rFonts w:ascii="Times New Roman" w:cs="Times New Roman" w:eastAsia="Times New Roman" w:hAnsi="Times New Roman"/>
          <w:sz w:val="19"/>
          <w:szCs w:val="19"/>
          <w:color w:val="auto"/>
        </w:rPr>
        <w:t>Holdings and each Guarantor also agrees to pay any and all reasonable out-of-pocket costs and expenses (including reasonable attorneys’ fees) incurred by the Trustee, the Notes Collateral Agent or any Holder in enforcing any rights under this Section 10.01.</w:t>
      </w:r>
    </w:p>
    <w:p>
      <w:pPr>
        <w:spacing w:after="0" w:line="152" w:lineRule="exact"/>
        <w:rPr>
          <w:sz w:val="20"/>
          <w:szCs w:val="20"/>
          <w:color w:val="auto"/>
        </w:rPr>
      </w:pPr>
    </w:p>
    <w:p>
      <w:pPr>
        <w:jc w:val="both"/>
        <w:ind w:right="20" w:firstLine="649"/>
        <w:spacing w:after="0" w:line="241" w:lineRule="auto"/>
        <w:rPr>
          <w:sz w:val="20"/>
          <w:szCs w:val="20"/>
          <w:color w:val="auto"/>
        </w:rPr>
      </w:pPr>
      <w:r>
        <w:rPr>
          <w:rFonts w:ascii="Times New Roman" w:cs="Times New Roman" w:eastAsia="Times New Roman" w:hAnsi="Times New Roman"/>
          <w:sz w:val="19"/>
          <w:szCs w:val="19"/>
          <w:color w:val="auto"/>
        </w:rPr>
        <w:t>If any Holder, the Trustee or the Notes Collateral Agent is required by any court or otherwise to return to the Issuer, Holdings the Guarantors or any custodian, trustee, liquidator or other similar official acting in relation to any of the Issuer, Holdings or the Guarantors, any amount paid either to the Trustee, the Notes Collateral Agent or such Holder, each Note Guarantee, to the extent theretofore discharged, shall be reinstated in full force and effect.</w:t>
      </w:r>
    </w:p>
    <w:p>
      <w:pPr>
        <w:spacing w:after="0" w:line="162"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Holdings and each Guarantor agrees that it shall not be entitled to any right of subrogation in relation to the Holders, the Trustee and/or the Notes Collateral Agent in respect of any obligations guaranteed hereby until payment in full of all obligations guaranteed hereby. Holdings and each Guarantor further agrees that, as between Holdings and the Guarantors, on the one hand, and the Holders, the Trustee and the Notes Collateral Agent, on the other hand,</w:t>
      </w:r>
    </w:p>
    <w:p>
      <w:pPr>
        <w:spacing w:after="0" w:line="1" w:lineRule="exact"/>
        <w:rPr>
          <w:sz w:val="20"/>
          <w:szCs w:val="20"/>
          <w:color w:val="auto"/>
        </w:rPr>
      </w:pPr>
    </w:p>
    <w:p>
      <w:pPr>
        <w:jc w:val="both"/>
        <w:ind w:firstLine="1"/>
        <w:spacing w:after="0" w:line="236" w:lineRule="auto"/>
        <w:tabs>
          <w:tab w:leader="none" w:pos="303"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maturity of the obligations guaranteed hereby may be accelerated as provided in Article 6 hereof for the purposes of its Note Guarantee, and (y) in the event of any declaration of acceleration of such obligations as provided in Article 6 hereof, such obligations (whether or not due and payable) shall forthwith become due and payable by Holdings and the Guarantors for the purpose of its Note Guarantee. Holdings and the Guarantors shall have the right to seek contribution from any non-paying Guarantor so long as the exercise of such right does not impair the rights of the Holders under the Note Guarantees.</w:t>
      </w:r>
    </w:p>
    <w:p>
      <w:pPr>
        <w:spacing w:after="0" w:line="161" w:lineRule="exact"/>
        <w:rPr>
          <w:sz w:val="20"/>
          <w:szCs w:val="20"/>
          <w:color w:val="auto"/>
        </w:rPr>
      </w:pPr>
    </w:p>
    <w:p>
      <w:pPr>
        <w:jc w:val="both"/>
        <w:ind w:firstLine="649"/>
        <w:spacing w:after="0" w:line="234" w:lineRule="auto"/>
        <w:rPr>
          <w:sz w:val="20"/>
          <w:szCs w:val="20"/>
          <w:color w:val="auto"/>
        </w:rPr>
      </w:pPr>
      <w:r>
        <w:rPr>
          <w:rFonts w:ascii="Times New Roman" w:cs="Times New Roman" w:eastAsia="Times New Roman" w:hAnsi="Times New Roman"/>
          <w:sz w:val="19"/>
          <w:szCs w:val="19"/>
          <w:color w:val="auto"/>
        </w:rPr>
        <w:t>Each Note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Note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 In case any provision of any Note Guarantee shall be invalid, illegal or unenforceable, the validity, legality, and enforceability of the remaining provisions shall not in any way be affected or impaired thereby.</w:t>
      </w:r>
    </w:p>
    <w:p>
      <w:pPr>
        <w:spacing w:after="0" w:line="165"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 xml:space="preserve">The Note Guarantee of Holdings or any Guarantor shall be a general secured senior obligation of Holdings or such Guarantor, as applicable, and shall be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payment with all existing and future Senior Indebtedness of Holdings or such Guarantor, as applicable.</w:t>
      </w:r>
    </w:p>
    <w:p>
      <w:pPr>
        <w:spacing w:after="0" w:line="152"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Each payment to be made by Holdings or a Guarantor in respect of its Note Guarantee shall be made without set-off, counterclaim, reduction or diminution of any kind or nature.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760"/>
          </w:cols>
          <w:pgMar w:left="580" w:top="1440" w:right="559" w:bottom="1440" w:gutter="0" w:footer="0" w:header="0"/>
        </w:sectPr>
      </w:pPr>
    </w:p>
    <w:bookmarkStart w:id="195" w:name="page196"/>
    <w:bookmarkEnd w:id="195"/>
    <w:p>
      <w:pPr>
        <w:spacing w:after="0" w:line="18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10.02</w:t>
      </w:r>
      <w:r>
        <w:rPr>
          <w:sz w:val="20"/>
          <w:szCs w:val="20"/>
          <w:color w:val="auto"/>
        </w:rPr>
        <w:tab/>
      </w:r>
      <w:r>
        <w:rPr>
          <w:rFonts w:ascii="Times New Roman" w:cs="Times New Roman" w:eastAsia="Times New Roman" w:hAnsi="Times New Roman"/>
          <w:sz w:val="18"/>
          <w:szCs w:val="18"/>
          <w:u w:val="single" w:color="auto"/>
          <w:color w:val="auto"/>
        </w:rPr>
        <w:t>Limitation on Guarantor Liability</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29" w:lineRule="auto"/>
        <w:rPr>
          <w:sz w:val="20"/>
          <w:szCs w:val="20"/>
          <w:color w:val="auto"/>
        </w:rPr>
      </w:pPr>
      <w:r>
        <w:rPr>
          <w:rFonts w:ascii="Times New Roman" w:cs="Times New Roman" w:eastAsia="Times New Roman" w:hAnsi="Times New Roman"/>
          <w:sz w:val="19"/>
          <w:szCs w:val="19"/>
          <w:color w:val="auto"/>
        </w:rPr>
        <w:t xml:space="preserve">Holdings and 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Notwithstanding any other provision of this Indenture, the obligations of Holdings and each Guarantor under its Note Guarantee shall be limited under the relevant laws applicable to Holdings or such Guarantor, as applicable, and the granting of such Note Guarantees (including laws relating to corporate benefit, capital preservation, financial assistance, fraudulent conveyances and transfers, voidable preferences or transactions under value). To effectuate the foregoing intention, the Trustee, the Notes Collateral Agent, the Holders, Holdings and the Guarantors hereby irrevocably agree that the obligations of such Guarantor, other than those Guarantors incorporated under the laws of a jurisdiction to which specific limitations apply pursuant to Section 10.07 apply (and in respect of which Holdings and the Guarantors only such jurisdiction-specific limitations will apply), will be limited to the maximum amount that would, after specifying in an Officer’s Certificate delivered to the Trustee of such maximum amount and giving effect to such maximum amount and all other contingent and fixed liabilities of Holdings or such Guarantor that are relevant under such laws, and after giving effect to any collections from, rights to receive contribution from or payments made by or on behalf of any other Guarantor in respect of the obligations of Holdings or such other Guarantor, as applicable, under this Article 10, not render Holdings’ or the Guarantor’s, as applicable, obligations subject to avoidance under applicable fraudulent conveyance provisions of the United States Bankruptcy Code of 1978 or any comparable provision of foreign or state law to comply with corporate benefit, financial assistance and other laws affecting the rights of creditors generally. Holdings and each Guarantor that makes a payment under its Note Guarantee shall be entitled upon payment in full of all guaranteed obligations under this Indenture to a contribution from Holdings and each other Guarantor, as applicable, in an amount equal to Holdings’ or such other Guarantor’s, as applicable,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portion of such payment based on the respective net assets of Holdings and all the Guarantors at the time of such payment determined in accordance with GAAP.</w:t>
      </w:r>
    </w:p>
    <w:p>
      <w:pPr>
        <w:spacing w:after="0" w:line="24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10.03</w:t>
      </w:r>
      <w:r>
        <w:rPr>
          <w:sz w:val="20"/>
          <w:szCs w:val="20"/>
          <w:color w:val="auto"/>
        </w:rPr>
        <w:tab/>
      </w:r>
      <w:r>
        <w:rPr>
          <w:rFonts w:ascii="Times New Roman" w:cs="Times New Roman" w:eastAsia="Times New Roman" w:hAnsi="Times New Roman"/>
          <w:sz w:val="19"/>
          <w:szCs w:val="19"/>
          <w:u w:val="single" w:color="auto"/>
          <w:color w:val="auto"/>
        </w:rPr>
        <w:t>Execution and Delivery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Holdings and each Guarantor hereby agrees that its Note Guarantee set forth in Section 10.01 hereof shall remain in full force and effect notwithstanding the absence of the endorsement of any notation of such Note Guarantee on the Notes.</w:t>
      </w:r>
    </w:p>
    <w:p>
      <w:pPr>
        <w:spacing w:after="0" w:line="138"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If an Officer whose signature is on this Indenture no longer holds that office at the time the Trustee authenticates the Note, the Note Guarantee shall be valid nevertheless.</w:t>
      </w:r>
    </w:p>
    <w:p>
      <w:pPr>
        <w:spacing w:after="0" w:line="125" w:lineRule="exact"/>
        <w:rPr>
          <w:sz w:val="20"/>
          <w:szCs w:val="20"/>
          <w:color w:val="auto"/>
        </w:rPr>
      </w:pPr>
    </w:p>
    <w:p>
      <w:pPr>
        <w:ind w:right="20" w:firstLine="649"/>
        <w:spacing w:after="0" w:line="265" w:lineRule="auto"/>
        <w:rPr>
          <w:sz w:val="20"/>
          <w:szCs w:val="20"/>
          <w:color w:val="auto"/>
        </w:rPr>
      </w:pPr>
      <w:r>
        <w:rPr>
          <w:rFonts w:ascii="Times New Roman" w:cs="Times New Roman" w:eastAsia="Times New Roman" w:hAnsi="Times New Roman"/>
          <w:sz w:val="19"/>
          <w:szCs w:val="19"/>
          <w:color w:val="auto"/>
        </w:rPr>
        <w:t>The delivery of any Note by the Trustee, after the authentication thereof hereunder, shall constitute due delivery of the Note Guarantee set forth in this Indenture on behalf of Holdings and the Guarantors.</w:t>
      </w:r>
    </w:p>
    <w:p>
      <w:pPr>
        <w:spacing w:after="0" w:line="166"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If required by Section 4.15 hereof, the Issuer shall cause any newly created or acquired Restricted Subsidiary to comply with the provisions of Section 4.15 hereof and this Article 10, to the extent applicable.</w:t>
      </w:r>
    </w:p>
    <w:p>
      <w:pPr>
        <w:spacing w:after="0" w:line="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10.04</w:t>
      </w:r>
      <w:r>
        <w:rPr>
          <w:sz w:val="20"/>
          <w:szCs w:val="20"/>
          <w:color w:val="auto"/>
        </w:rPr>
        <w:tab/>
      </w:r>
      <w:r>
        <w:rPr>
          <w:rFonts w:ascii="Times New Roman" w:cs="Times New Roman" w:eastAsia="Times New Roman" w:hAnsi="Times New Roman"/>
          <w:sz w:val="19"/>
          <w:szCs w:val="19"/>
          <w:u w:val="single" w:color="auto"/>
          <w:color w:val="auto"/>
        </w:rPr>
        <w:t>Subrogation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9"/>
        <w:spacing w:after="0" w:line="246" w:lineRule="auto"/>
        <w:rPr>
          <w:sz w:val="20"/>
          <w:szCs w:val="20"/>
          <w:color w:val="auto"/>
        </w:rPr>
      </w:pPr>
      <w:r>
        <w:rPr>
          <w:rFonts w:ascii="Times New Roman" w:cs="Times New Roman" w:eastAsia="Times New Roman" w:hAnsi="Times New Roman"/>
          <w:sz w:val="19"/>
          <w:szCs w:val="19"/>
          <w:color w:val="auto"/>
        </w:rPr>
        <w:t xml:space="preserve">Holdings and each Guarantor shall be subrogated to all rights of Holders of Notes against the Issuer in respect of any amounts paid by any Guarantor pursuant to the provisions of Section 10.01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 Event of Default has occurred and is continuing, neither Holdings nor any Guarantor shall be entitled to enforce or receive any payments arising out of, or based upon, such right of subrogation until all amounts then due and payable by the Issuer under this Indenture or the Notes shall have been paid in full.</w:t>
      </w:r>
    </w:p>
    <w:p>
      <w:pPr>
        <w:spacing w:after="0" w:line="17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10.05</w:t>
      </w:r>
      <w:r>
        <w:rPr>
          <w:sz w:val="20"/>
          <w:szCs w:val="20"/>
          <w:color w:val="auto"/>
        </w:rPr>
        <w:tab/>
      </w:r>
      <w:r>
        <w:rPr>
          <w:rFonts w:ascii="Times New Roman" w:cs="Times New Roman" w:eastAsia="Times New Roman" w:hAnsi="Times New Roman"/>
          <w:sz w:val="19"/>
          <w:szCs w:val="19"/>
          <w:u w:val="single" w:color="auto"/>
          <w:color w:val="auto"/>
        </w:rPr>
        <w:t>Benefits Acknowledged</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jc w:val="both"/>
        <w:ind w:right="20" w:firstLine="649"/>
        <w:spacing w:after="0" w:line="266" w:lineRule="auto"/>
        <w:rPr>
          <w:sz w:val="20"/>
          <w:szCs w:val="20"/>
          <w:color w:val="auto"/>
        </w:rPr>
      </w:pPr>
      <w:r>
        <w:rPr>
          <w:rFonts w:ascii="Times New Roman" w:cs="Times New Roman" w:eastAsia="Times New Roman" w:hAnsi="Times New Roman"/>
          <w:sz w:val="19"/>
          <w:szCs w:val="19"/>
          <w:color w:val="auto"/>
        </w:rPr>
        <w:t>Holdings and each Guarantor acknowledges that it shall receive direct and indirect benefits from the financing arrangements contemplated by this Indenture and that the guarantee and waivers made by it pursuant to its Note Guarantee are knowingly made in contemplation of such benefits.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760"/>
          </w:cols>
          <w:pgMar w:left="580" w:top="1440" w:right="559" w:bottom="1440" w:gutter="0" w:footer="0" w:header="0"/>
        </w:sectPr>
      </w:pPr>
    </w:p>
    <w:bookmarkStart w:id="196" w:name="page197"/>
    <w:bookmarkEnd w:id="196"/>
    <w:p>
      <w:pPr>
        <w:spacing w:after="0" w:line="19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10.06</w:t>
      </w:r>
      <w:r>
        <w:rPr>
          <w:sz w:val="20"/>
          <w:szCs w:val="20"/>
          <w:color w:val="auto"/>
        </w:rPr>
        <w:tab/>
      </w:r>
      <w:r>
        <w:rPr>
          <w:rFonts w:ascii="Times New Roman" w:cs="Times New Roman" w:eastAsia="Times New Roman" w:hAnsi="Times New Roman"/>
          <w:sz w:val="18"/>
          <w:szCs w:val="18"/>
          <w:u w:val="single" w:color="auto"/>
          <w:color w:val="auto"/>
        </w:rPr>
        <w:t>Release of Note Guarantees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 Note Guarantee of Holdings or a Guarantor, as applicable, shall be automatically and unconditionally released and discharged:</w:t>
      </w:r>
    </w:p>
    <w:p>
      <w:pPr>
        <w:spacing w:after="0" w:line="214" w:lineRule="exact"/>
        <w:rPr>
          <w:sz w:val="20"/>
          <w:szCs w:val="20"/>
          <w:color w:val="auto"/>
        </w:rPr>
      </w:pPr>
    </w:p>
    <w:p>
      <w:pPr>
        <w:jc w:val="both"/>
        <w:ind w:left="660" w:firstLine="639"/>
        <w:spacing w:after="0"/>
        <w:tabs>
          <w:tab w:leader="none" w:pos="1693"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Guarantor, upon any sale, exchange, transfer or other disposition (including by way of merger, amalgamation, consolidation, dividend distribution or otherwise) of (i) the Capital Stock of such Guarantor after which the applicable Guarantor is no longer a Restricted Subsidiary, or (ii) all or substantially all of the assets of such Guarantor (including to the Issuer or another Guarantor), in each case, if such sale, exchange, transfer or other disposition is made in compliance with the applicable provisions of this Indenture;</w:t>
      </w:r>
    </w:p>
    <w:p>
      <w:pPr>
        <w:spacing w:after="0" w:line="149"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Holdings or such Guarantor being (or being substantially concurrently) released or discharged from:</w:t>
      </w:r>
    </w:p>
    <w:p>
      <w:pPr>
        <w:spacing w:after="0" w:line="213" w:lineRule="exact"/>
        <w:rPr>
          <w:rFonts w:ascii="Times New Roman" w:cs="Times New Roman" w:eastAsia="Times New Roman" w:hAnsi="Times New Roman"/>
          <w:sz w:val="19"/>
          <w:szCs w:val="19"/>
          <w:color w:val="auto"/>
        </w:rPr>
      </w:pPr>
    </w:p>
    <w:p>
      <w:pPr>
        <w:ind w:left="2340" w:hanging="393"/>
        <w:spacing w:after="0"/>
        <w:tabs>
          <w:tab w:leader="none" w:pos="2340"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its Guarantees of payment of any Indebtedness of the Issuer under the Credit Agreement; or</w:t>
      </w:r>
    </w:p>
    <w:p>
      <w:pPr>
        <w:spacing w:after="0" w:line="186" w:lineRule="exact"/>
        <w:rPr>
          <w:rFonts w:ascii="Times New Roman" w:cs="Times New Roman" w:eastAsia="Times New Roman" w:hAnsi="Times New Roman"/>
          <w:sz w:val="19"/>
          <w:szCs w:val="19"/>
          <w:color w:val="auto"/>
        </w:rPr>
      </w:pPr>
    </w:p>
    <w:p>
      <w:pPr>
        <w:ind w:left="1300" w:right="20" w:firstLine="647"/>
        <w:spacing w:after="0" w:line="280" w:lineRule="auto"/>
        <w:tabs>
          <w:tab w:leader="none" w:pos="2330"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Guarantor whose Note Guarantee was created as a result of the Guarantee of other Indebtedness of the Issuer or a Guarantor, all of its Guarantees of payment of such other Indebtedness,</w:t>
      </w:r>
    </w:p>
    <w:p>
      <w:pPr>
        <w:spacing w:after="0" w:line="152" w:lineRule="exact"/>
        <w:rPr>
          <w:sz w:val="20"/>
          <w:szCs w:val="20"/>
          <w:color w:val="auto"/>
        </w:rPr>
      </w:pPr>
    </w:p>
    <w:p>
      <w:pPr>
        <w:jc w:val="both"/>
        <w:ind w:left="1300"/>
        <w:spacing w:after="0" w:line="237" w:lineRule="auto"/>
        <w:rPr>
          <w:sz w:val="20"/>
          <w:szCs w:val="20"/>
          <w:color w:val="auto"/>
        </w:rPr>
      </w:pPr>
      <w:r>
        <w:rPr>
          <w:rFonts w:ascii="Times New Roman" w:cs="Times New Roman" w:eastAsia="Times New Roman" w:hAnsi="Times New Roman"/>
          <w:sz w:val="19"/>
          <w:szCs w:val="19"/>
          <w:color w:val="auto"/>
        </w:rPr>
        <w:t>except in the case of each of clauses (a) and (b), a release or discharge by or as a result of payment under such Guarantee (it being understood that a release subject to a contingent reinstatement is still considered a release) and will constitute a release for the purposes of this provision, and that if any such Guarantee is so reinstated, such Note Guarantee shall also be reinstated (in the case of a Guarantor, to the extent that such Guarantor would then be required to provide a Note Guarantee pursuant to Section 4.09 hereof);</w:t>
      </w:r>
    </w:p>
    <w:p>
      <w:pPr>
        <w:spacing w:after="0" w:line="177" w:lineRule="exact"/>
        <w:rPr>
          <w:sz w:val="20"/>
          <w:szCs w:val="20"/>
          <w:color w:val="auto"/>
        </w:rPr>
      </w:pPr>
    </w:p>
    <w:p>
      <w:pPr>
        <w:jc w:val="both"/>
        <w:ind w:left="660" w:firstLine="639"/>
        <w:spacing w:after="0" w:line="244" w:lineRule="auto"/>
        <w:tabs>
          <w:tab w:leader="none" w:pos="1696"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Guarantor, upon the designation of such Guarantor as an Unrestricted Subsidiary in accordance with the applicable provisions of this Indenture or the occurrence of any event after which such Guarantor is no longer a Restricted Subsidiary in compliance with the applicable provisions of this Indenture;</w:t>
      </w:r>
    </w:p>
    <w:p>
      <w:pPr>
        <w:spacing w:after="0" w:line="157" w:lineRule="exact"/>
        <w:rPr>
          <w:rFonts w:ascii="Times New Roman" w:cs="Times New Roman" w:eastAsia="Times New Roman" w:hAnsi="Times New Roman"/>
          <w:sz w:val="19"/>
          <w:szCs w:val="19"/>
          <w:color w:val="auto"/>
        </w:rPr>
      </w:pPr>
    </w:p>
    <w:p>
      <w:pPr>
        <w:ind w:left="660" w:firstLine="639"/>
        <w:spacing w:after="0" w:line="280" w:lineRule="auto"/>
        <w:tabs>
          <w:tab w:leader="none" w:pos="1693"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exercise by the Issuer of its Legal Defeasance option or Covenant Defeasance option as provided in Article 8 hereof or the satisfaction and discharge of the Issuer’s obligations under this Indenture as provided in Section 11.01 hereof;</w:t>
      </w:r>
    </w:p>
    <w:p>
      <w:pPr>
        <w:spacing w:after="0" w:line="16" w:lineRule="exact"/>
        <w:rPr>
          <w:rFonts w:ascii="Times New Roman" w:cs="Times New Roman" w:eastAsia="Times New Roman" w:hAnsi="Times New Roman"/>
          <w:sz w:val="19"/>
          <w:szCs w:val="19"/>
          <w:color w:val="auto"/>
        </w:rPr>
      </w:pPr>
    </w:p>
    <w:p>
      <w:pPr>
        <w:jc w:val="both"/>
        <w:ind w:left="660" w:right="20" w:firstLine="639"/>
        <w:spacing w:after="0" w:line="258" w:lineRule="auto"/>
        <w:tabs>
          <w:tab w:leader="none" w:pos="1699"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Guarantor, (a) to the extent that such Guarantor is not an Immaterial Subsidiary solely due to the operation of clause (i) of the definition of “Immaterial Subsidiary,” upon the release of the Guarantee referred to in such clause, or</w:t>
      </w:r>
    </w:p>
    <w:p>
      <w:pPr>
        <w:spacing w:after="0" w:line="1" w:lineRule="exact"/>
        <w:rPr>
          <w:sz w:val="20"/>
          <w:szCs w:val="20"/>
          <w:color w:val="auto"/>
        </w:rPr>
      </w:pPr>
    </w:p>
    <w:p>
      <w:pPr>
        <w:ind w:left="660" w:right="6020" w:hanging="9"/>
        <w:spacing w:after="0" w:line="226" w:lineRule="auto"/>
        <w:tabs>
          <w:tab w:leader="none" w:pos="94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accordance with the last paragraph of Section </w:t>
      </w:r>
      <w:r>
        <w:rPr>
          <w:rFonts w:ascii="Times New Roman" w:cs="Times New Roman" w:eastAsia="Times New Roman" w:hAnsi="Times New Roman"/>
          <w:sz w:val="18"/>
          <w:szCs w:val="18"/>
          <w:color w:val="auto"/>
        </w:rPr>
        <w:t>4.15 (subject to the proviso thereof);</w:t>
      </w:r>
    </w:p>
    <w:p>
      <w:pPr>
        <w:spacing w:after="0" w:line="175" w:lineRule="exact"/>
        <w:rPr>
          <w:rFonts w:ascii="Times New Roman" w:cs="Times New Roman" w:eastAsia="Times New Roman" w:hAnsi="Times New Roman"/>
          <w:sz w:val="20"/>
          <w:szCs w:val="20"/>
          <w:color w:val="auto"/>
        </w:rPr>
      </w:pPr>
    </w:p>
    <w:p>
      <w:pPr>
        <w:jc w:val="both"/>
        <w:ind w:left="660" w:right="20" w:firstLine="639"/>
        <w:spacing w:after="0" w:line="244" w:lineRule="auto"/>
        <w:tabs>
          <w:tab w:leader="none" w:pos="1688" w:val="left"/>
        </w:tabs>
        <w:numPr>
          <w:ilvl w:val="1"/>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merger, amalgamation or consolidation of Holdings or such Guarantor with and into the Issuer or another Guarantor or upon the liquidation of Holdings or such Guarantor, in each case, in compliance with the applicable provisions of this Indenture;</w:t>
      </w:r>
    </w:p>
    <w:p>
      <w:pPr>
        <w:spacing w:after="0" w:line="170"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3" w:val="left"/>
        </w:tabs>
        <w:numPr>
          <w:ilvl w:val="1"/>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achievement of Investment Grade Status by the 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Note Guarantee shall be reinstated upon the Reversion Date; and</w:t>
      </w:r>
    </w:p>
    <w:p>
      <w:pPr>
        <w:spacing w:after="0" w:line="138"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1"/>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an amendment or supplement entered into in accordance with Article 9 hereof.</w:t>
      </w:r>
    </w:p>
    <w:p>
      <w:pPr>
        <w:spacing w:after="0" w:line="214"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Notwithstanding the foregoing, any Note Guarantee by a Parent Entity (other than Holdings) may be automatically and unconditionally released and discharged for any reason at the option of the Issuer.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760"/>
          </w:cols>
          <w:pgMar w:left="580" w:top="1440" w:right="559" w:bottom="1440" w:gutter="0" w:footer="0" w:header="0"/>
        </w:sectPr>
      </w:pPr>
    </w:p>
    <w:bookmarkStart w:id="197" w:name="page198"/>
    <w:bookmarkEnd w:id="197"/>
    <w:p>
      <w:pPr>
        <w:spacing w:after="0" w:line="19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10.07</w:t>
      </w:r>
      <w:r>
        <w:rPr>
          <w:sz w:val="20"/>
          <w:szCs w:val="20"/>
          <w:color w:val="auto"/>
        </w:rPr>
        <w:tab/>
      </w:r>
      <w:r>
        <w:rPr>
          <w:rFonts w:ascii="Times New Roman" w:cs="Times New Roman" w:eastAsia="Times New Roman" w:hAnsi="Times New Roman"/>
          <w:sz w:val="19"/>
          <w:szCs w:val="19"/>
          <w:u w:val="single" w:color="auto"/>
          <w:color w:val="auto"/>
        </w:rPr>
        <w:t>Additional Note Guarantees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9"/>
        <w:spacing w:after="0" w:line="234" w:lineRule="auto"/>
        <w:rPr>
          <w:sz w:val="20"/>
          <w:szCs w:val="20"/>
          <w:color w:val="auto"/>
        </w:rPr>
      </w:pPr>
      <w:r>
        <w:rPr>
          <w:rFonts w:ascii="Times New Roman" w:cs="Times New Roman" w:eastAsia="Times New Roman" w:hAnsi="Times New Roman"/>
          <w:sz w:val="19"/>
          <w:szCs w:val="19"/>
          <w:color w:val="auto"/>
        </w:rPr>
        <w:t>The Issuer may from time to time designate a Restricted Subsidiary as an additional Guarantor (an “</w:t>
      </w:r>
      <w:r>
        <w:rPr>
          <w:rFonts w:ascii="Times New Roman" w:cs="Times New Roman" w:eastAsia="Times New Roman" w:hAnsi="Times New Roman"/>
          <w:sz w:val="19"/>
          <w:szCs w:val="19"/>
          <w:u w:val="single" w:color="auto"/>
          <w:color w:val="auto"/>
        </w:rPr>
        <w:t>Additional Guarantor</w:t>
      </w:r>
      <w:r>
        <w:rPr>
          <w:rFonts w:ascii="Times New Roman" w:cs="Times New Roman" w:eastAsia="Times New Roman" w:hAnsi="Times New Roman"/>
          <w:sz w:val="19"/>
          <w:szCs w:val="19"/>
          <w:color w:val="auto"/>
        </w:rPr>
        <w:t>” and the Note Guarantee of such Additional Guarantor, an “</w:t>
      </w:r>
      <w:r>
        <w:rPr>
          <w:rFonts w:ascii="Times New Roman" w:cs="Times New Roman" w:eastAsia="Times New Roman" w:hAnsi="Times New Roman"/>
          <w:sz w:val="19"/>
          <w:szCs w:val="19"/>
          <w:u w:val="single" w:color="auto"/>
          <w:color w:val="auto"/>
        </w:rPr>
        <w:t>Additional Notes Guarantee</w:t>
      </w:r>
      <w:r>
        <w:rPr>
          <w:rFonts w:ascii="Times New Roman" w:cs="Times New Roman" w:eastAsia="Times New Roman" w:hAnsi="Times New Roman"/>
          <w:sz w:val="19"/>
          <w:szCs w:val="19"/>
          <w:color w:val="auto"/>
        </w:rPr>
        <w:t xml:space="preserve">”) of the Notes by causing it to execute and deliver to the Trustee and the Notes Collateral Agent a supplemental indenture substantially in the form attached to this Indenture, pursuant to which such Restricted Subsidiary will become a Guarantor. The Notes Guarantee of any Restricted Subsidiary who executes and delivers a supplemental indenture substantially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attached hereto and becomes a Guarantor hereunder after the Issue Date is subject to any limitations relating to such Restricted Subsidiary and set out in the relevant supplemental indenture. For avoidance of doubt, any limitations set forth in a supplemental indenture designating an Additional Guarantor apply only to the Additional Notes Guarantee of such Additional Guarantor and any successors (to the extent still applicable), and the inclusion of such limitations in a supplemental indenture does not constitute an amendment of this Indenture for purposes of Article 9 hereof.</w:t>
      </w: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ARTICLE 11 </w:t>
      </w:r>
      <w:r>
        <w:rPr>
          <w:rFonts w:ascii="Times New Roman" w:cs="Times New Roman" w:eastAsia="Times New Roman" w:hAnsi="Times New Roman"/>
          <w:sz w:val="17"/>
          <w:szCs w:val="17"/>
          <w:color w:val="auto"/>
        </w:rPr>
        <w:t>SATISFACTION AND DISCHARGE</w:t>
      </w:r>
    </w:p>
    <w:p>
      <w:pPr>
        <w:spacing w:after="0" w:line="10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11.01</w:t>
      </w:r>
      <w:r>
        <w:rPr>
          <w:sz w:val="20"/>
          <w:szCs w:val="20"/>
          <w:color w:val="auto"/>
        </w:rPr>
        <w:tab/>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This Indenture, and the rights of the Trustee and the Holders under the Pari Passu Intercreditor Agreement and the Collateral Documents, shall be discharged and shall cease to be of further effect as to all Notes, and the Liens, if any, on the Collateral securing the Notes will be released (except as to surviving rights of transfer or exchange of the Notes and the rights of the Trustee and the Notes Collateral Agent, as expressly provided for in this Indenture), when either:</w:t>
      </w:r>
    </w:p>
    <w:p>
      <w:pPr>
        <w:spacing w:after="0" w:line="163" w:lineRule="exact"/>
        <w:rPr>
          <w:sz w:val="20"/>
          <w:szCs w:val="20"/>
          <w:color w:val="auto"/>
        </w:rPr>
      </w:pPr>
    </w:p>
    <w:p>
      <w:pPr>
        <w:jc w:val="both"/>
        <w:ind w:left="340" w:right="20" w:firstLine="641"/>
        <w:spacing w:after="0" w:line="258" w:lineRule="auto"/>
        <w:tabs>
          <w:tab w:leader="none" w:pos="1694"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Notes theretofore authenticated and delivered, except lost, stolen or destroyed Notes which have been replaced or paid and Notes for whose payment money has theretofore been deposited in trust or released, have been delivered to the Trustee for cancellation; or</w:t>
      </w:r>
    </w:p>
    <w:p>
      <w:pPr>
        <w:spacing w:after="0" w:line="51" w:lineRule="exact"/>
        <w:rPr>
          <w:rFonts w:ascii="Times New Roman" w:cs="Times New Roman" w:eastAsia="Times New Roman" w:hAnsi="Times New Roman"/>
          <w:sz w:val="19"/>
          <w:szCs w:val="19"/>
          <w:color w:val="auto"/>
        </w:rPr>
      </w:pPr>
    </w:p>
    <w:p>
      <w:pPr>
        <w:jc w:val="both"/>
        <w:ind w:left="340" w:firstLine="641"/>
        <w:spacing w:after="0" w:line="238" w:lineRule="auto"/>
        <w:tabs>
          <w:tab w:leader="none" w:pos="1694"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all Notes not theretofore delivered to the Trustee for cancellation have become due and payable by reason of the making of a notice of redemption or otherwise, will become due and payable within one year or may be called for redemption within one year under arrangements satisfactory to the Trustee for the giving of notice of redemption by the Trustee in the name, and at the expense, of the Issuer and the Issuer, Holdings or any Guarantor have deposited or caused to be deposited with the Trustee (or another entity designated or appointed (as agent) by the Issuer for this purpose), in trust, for the benefit of the Holders of the Notes, cash in Dollars, U.S. Government Securities, or a combination thereof, in such amounts as will be sufficient without consideration of any reinvestment of interest to pay and discharge the entire indebtedness on the Notes not theretofore delivered to the Trustee or the Registrar for cancellation for principal, premium, if any, and accrued interest to the date of maturity or redemption;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upon any redemption that requires the payment of the Applicable Premium, the amount deposited shall be sufficient for purposes of this Indenture to the extent that an amount is deposited with the Trustee (or another entity designated or appointed (as agent) by the Issuer for this purpose) equal to the Applicable Premium calculated as of the date of the notice of redemption, with any Applicable Premium Deficit only required to be deposited with the Trustee (or another entity designated or appointed (as agent) by the Issuer for this purpose) on or prior to the date of redemption. Any Applicable Premium Deficit shall be set forth in an Officer’s Certificate delivered to the Trustee at least two Business Days prior to the deposit of such Applicable Premium Deficit that confirms that such Applicable Premium Deficit shall be applied toward such redemption;</w:t>
      </w:r>
    </w:p>
    <w:p>
      <w:pPr>
        <w:spacing w:after="0" w:line="179"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1"/>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paid or caused to be paid all sums payable by it under this Indenture; and</w:t>
      </w:r>
    </w:p>
    <w:p>
      <w:pPr>
        <w:spacing w:after="0" w:line="200"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6" w:val="left"/>
        </w:tabs>
        <w:numPr>
          <w:ilvl w:val="1"/>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delivered instructions to the Trustee or the Paying Agent to apply the deposited money toward the payment of the Notes at maturity or the Redemption Date, as the case may be.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760"/>
          </w:cols>
          <w:pgMar w:left="580" w:top="1440" w:right="559" w:bottom="1440" w:gutter="0" w:footer="0" w:header="0"/>
        </w:sectPr>
      </w:pPr>
    </w:p>
    <w:bookmarkStart w:id="198" w:name="page199"/>
    <w:bookmarkEnd w:id="198"/>
    <w:p>
      <w:pPr>
        <w:spacing w:after="0" w:line="159"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 xml:space="preserve">In addition, the Issuer must deliver an Officer’s Certificate and an Opinion of Counsel to the Trustee stating that all conditions precedent to satisfaction and discharge have been satisfied;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counsel may rely on any Officer’s Certificate as to matters of fact (including as to compliance with the foregoing clauses (1) and (2)).</w:t>
      </w:r>
    </w:p>
    <w:p>
      <w:pPr>
        <w:spacing w:after="0" w:line="138"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Notwithstanding the satisfaction and discharge of this Indenture, the provisions of Sections 7.07 and 13.09(aa) hereof shall survive and, if money shall have been deposited with the Trustee pursuant to subclause (A) of clause (2) of this Section 11.01, the provisions of Section 11.02 and Section 8.06 hereof shall also survive.</w:t>
      </w:r>
    </w:p>
    <w:p>
      <w:pPr>
        <w:spacing w:after="0" w:line="16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11.02</w:t>
      </w:r>
      <w:r>
        <w:rPr>
          <w:sz w:val="20"/>
          <w:szCs w:val="20"/>
          <w:color w:val="auto"/>
        </w:rPr>
        <w:tab/>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Subject to the provisions of Section 8.06 hereof, all money deposited with the Trustee pursuant to Section 11.01 hereof shall be held in trust and applied by it, in accordance with the provisions of the Notes and this Indenture, to the payment, either directly or through any Paying Agent (including the Issuer, Holdings or any Guarantor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63"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 xml:space="preserve">If the Trustee or Paying Agent is unable to apply any money or U.S. Government Securities in accordance with Section 11.01 hereof by reason of any legal proceeding or by reason of any order or judgment of any court or governmental authority enjoining, restraining or otherwise prohibiting such application, the Issuer’s, Holdings’ and any Guarantor’s obligations under this Indenture and the Notes shall be revived and reinstated as though no deposit had occurred pursuant to Section 11.01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U.S. Government Securities held by the Trustee or Paying Agent.</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 xml:space="preserve">ARTICLE 12 </w:t>
      </w:r>
      <w:r>
        <w:rPr>
          <w:rFonts w:ascii="Times New Roman" w:cs="Times New Roman" w:eastAsia="Times New Roman" w:hAnsi="Times New Roman"/>
          <w:sz w:val="17"/>
          <w:szCs w:val="17"/>
          <w:color w:val="auto"/>
        </w:rPr>
        <w:t>MISCELLANEOUS</w:t>
      </w:r>
    </w:p>
    <w:p>
      <w:pPr>
        <w:spacing w:after="0" w:line="10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12.01</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12.02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right="20" w:firstLine="649"/>
        <w:spacing w:after="0" w:line="251" w:lineRule="auto"/>
        <w:rPr>
          <w:sz w:val="20"/>
          <w:szCs w:val="20"/>
          <w:color w:val="auto"/>
        </w:rPr>
      </w:pPr>
      <w:r>
        <w:rPr>
          <w:rFonts w:ascii="Times New Roman" w:cs="Times New Roman" w:eastAsia="Times New Roman" w:hAnsi="Times New Roman"/>
          <w:sz w:val="19"/>
          <w:szCs w:val="19"/>
          <w:color w:val="auto"/>
        </w:rPr>
        <w:t>Any notice or communication by the Issuer, Holdings, any Guarantor, the Trustee or the Notes Collateral Agent to the others is duly given if in writing and delivered in person, sent by electronic mail in pdf format or mailed by first-class mail (registered or certified, return receipt requested), fax or overnight air courier guaranteeing next day delivery, to the others’ address:</w:t>
      </w: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to the Issuer, Holdings and/or any Guarantor:</w:t>
      </w:r>
    </w:p>
    <w:p>
      <w:pPr>
        <w:spacing w:after="0" w:line="200" w:lineRule="exact"/>
        <w:rPr>
          <w:sz w:val="20"/>
          <w:szCs w:val="20"/>
          <w:color w:val="auto"/>
        </w:rPr>
      </w:pPr>
    </w:p>
    <w:p>
      <w:pPr>
        <w:spacing w:after="0" w:line="24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Alex Dimitrief</w:t>
      </w:r>
    </w:p>
    <w:p>
      <w:pPr>
        <w:spacing w:after="0" w:line="4" w:lineRule="exact"/>
        <w:rPr>
          <w:sz w:val="20"/>
          <w:szCs w:val="20"/>
          <w:color w:val="auto"/>
        </w:rPr>
      </w:pPr>
    </w:p>
    <w:p>
      <w:pPr>
        <w:ind w:left="660"/>
        <w:spacing w:after="0"/>
        <w:tabs>
          <w:tab w:leader="none" w:pos="1600" w:val="left"/>
          <w:tab w:leader="none" w:pos="4740" w:val="left"/>
        </w:tabs>
        <w:rPr>
          <w:sz w:val="20"/>
          <w:szCs w:val="20"/>
          <w:color w:val="auto"/>
        </w:rPr>
      </w:pPr>
      <w:r>
        <w:rPr>
          <w:rFonts w:ascii="Times New Roman" w:cs="Times New Roman" w:eastAsia="Times New Roman" w:hAnsi="Times New Roman"/>
          <w:sz w:val="19"/>
          <w:szCs w:val="19"/>
          <w:color w:val="auto"/>
        </w:rPr>
        <w:t>Company:</w:t>
        <w:tab/>
        <w:t>Sotera Health Holdings, LLC Address:</w:t>
      </w:r>
      <w:r>
        <w:rPr>
          <w:sz w:val="20"/>
          <w:szCs w:val="20"/>
          <w:color w:val="auto"/>
        </w:rPr>
        <w:tab/>
      </w:r>
      <w:r>
        <w:rPr>
          <w:rFonts w:ascii="Times New Roman" w:cs="Times New Roman" w:eastAsia="Times New Roman" w:hAnsi="Times New Roman"/>
          <w:sz w:val="18"/>
          <w:szCs w:val="18"/>
          <w:color w:val="auto"/>
        </w:rPr>
        <w:t>9100 South Hills Blvd,</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Suite 300</w:t>
      </w:r>
    </w:p>
    <w:p>
      <w:pPr>
        <w:ind w:left="1940"/>
        <w:spacing w:after="0" w:line="225" w:lineRule="auto"/>
        <w:rPr>
          <w:sz w:val="20"/>
          <w:szCs w:val="20"/>
          <w:color w:val="auto"/>
        </w:rPr>
      </w:pPr>
      <w:r>
        <w:rPr>
          <w:rFonts w:ascii="Times New Roman" w:cs="Times New Roman" w:eastAsia="Times New Roman" w:hAnsi="Times New Roman"/>
          <w:sz w:val="19"/>
          <w:szCs w:val="19"/>
          <w:color w:val="auto"/>
        </w:rPr>
        <w:t>Broadview Heights, OH 44147</w:t>
      </w:r>
    </w:p>
    <w:p>
      <w:pPr>
        <w:ind w:left="660"/>
        <w:spacing w:after="0"/>
        <w:tabs>
          <w:tab w:leader="none" w:pos="1200" w:val="left"/>
        </w:tabs>
        <w:rPr>
          <w:sz w:val="20"/>
          <w:szCs w:val="20"/>
          <w:color w:val="auto"/>
        </w:rPr>
      </w:pPr>
      <w:r>
        <w:rPr>
          <w:rFonts w:ascii="Times New Roman" w:cs="Times New Roman" w:eastAsia="Times New Roman" w:hAnsi="Times New Roman"/>
          <w:sz w:val="19"/>
          <w:szCs w:val="19"/>
          <w:color w:val="auto"/>
        </w:rPr>
        <w:t>Attn:</w:t>
      </w:r>
      <w:r>
        <w:rPr>
          <w:sz w:val="20"/>
          <w:szCs w:val="20"/>
          <w:color w:val="auto"/>
        </w:rPr>
        <w:tab/>
      </w:r>
      <w:r>
        <w:rPr>
          <w:rFonts w:ascii="Times New Roman" w:cs="Times New Roman" w:eastAsia="Times New Roman" w:hAnsi="Times New Roman"/>
          <w:sz w:val="18"/>
          <w:szCs w:val="18"/>
          <w:color w:val="auto"/>
        </w:rPr>
        <w:t>General Counsel, Sotera Health Company Telephone: [***]</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E-Mail: [***] with copies to (which shall not constitute notice) to</w:t>
      </w:r>
    </w:p>
    <w:p>
      <w:pPr>
        <w:spacing w:after="0" w:line="119"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Jonathan Lyons and Jason Peterson</w:t>
      </w:r>
    </w:p>
    <w:p>
      <w:pPr>
        <w:spacing w:after="0" w:line="18" w:lineRule="exact"/>
        <w:rPr>
          <w:sz w:val="20"/>
          <w:szCs w:val="20"/>
          <w:color w:val="auto"/>
        </w:rPr>
      </w:pPr>
    </w:p>
    <w:p>
      <w:pPr>
        <w:ind w:left="660" w:right="4260"/>
        <w:spacing w:after="0" w:line="234" w:lineRule="auto"/>
        <w:rPr>
          <w:sz w:val="20"/>
          <w:szCs w:val="20"/>
          <w:color w:val="auto"/>
        </w:rPr>
      </w:pPr>
      <w:r>
        <w:rPr>
          <w:rFonts w:ascii="Times New Roman" w:cs="Times New Roman" w:eastAsia="Times New Roman" w:hAnsi="Times New Roman"/>
          <w:sz w:val="19"/>
          <w:szCs w:val="19"/>
          <w:color w:val="auto"/>
        </w:rPr>
        <w:t>Company: Sotera Health Holdings, LLC Address: 9100 South Hills Blvd, Suite 300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760"/>
          </w:cols>
          <w:pgMar w:left="580" w:top="1440" w:right="559" w:bottom="1440" w:gutter="0" w:footer="0" w:header="0"/>
        </w:sectPr>
      </w:pPr>
    </w:p>
    <w:bookmarkStart w:id="199" w:name="page200"/>
    <w:bookmarkEnd w:id="199"/>
    <w:p>
      <w:pPr>
        <w:ind w:left="1940"/>
        <w:spacing w:after="0"/>
        <w:rPr>
          <w:sz w:val="20"/>
          <w:szCs w:val="20"/>
          <w:color w:val="auto"/>
        </w:rPr>
      </w:pPr>
      <w:r>
        <w:rPr>
          <w:rFonts w:ascii="Times New Roman" w:cs="Times New Roman" w:eastAsia="Times New Roman" w:hAnsi="Times New Roman"/>
          <w:sz w:val="19"/>
          <w:szCs w:val="19"/>
          <w:color w:val="auto"/>
        </w:rPr>
        <w:t>Broadview Heights, OH 44147</w:t>
      </w:r>
    </w:p>
    <w:p>
      <w:pPr>
        <w:ind w:left="660"/>
        <w:spacing w:after="0"/>
        <w:tabs>
          <w:tab w:leader="none" w:pos="1200" w:val="left"/>
        </w:tabs>
        <w:rPr>
          <w:sz w:val="20"/>
          <w:szCs w:val="20"/>
          <w:color w:val="auto"/>
        </w:rPr>
      </w:pPr>
      <w:r>
        <w:rPr>
          <w:rFonts w:ascii="Times New Roman" w:cs="Times New Roman" w:eastAsia="Times New Roman" w:hAnsi="Times New Roman"/>
          <w:sz w:val="19"/>
          <w:szCs w:val="19"/>
          <w:color w:val="auto"/>
        </w:rPr>
        <w:t>Attn:</w:t>
      </w:r>
      <w:r>
        <w:rPr>
          <w:sz w:val="20"/>
          <w:szCs w:val="20"/>
          <w:color w:val="auto"/>
        </w:rPr>
        <w:tab/>
      </w:r>
      <w:r>
        <w:rPr>
          <w:rFonts w:ascii="Times New Roman" w:cs="Times New Roman" w:eastAsia="Times New Roman" w:hAnsi="Times New Roman"/>
          <w:sz w:val="18"/>
          <w:szCs w:val="18"/>
          <w:color w:val="auto"/>
        </w:rPr>
        <w:t>CFO/Treasurer</w:t>
      </w:r>
    </w:p>
    <w:p>
      <w:pPr>
        <w:ind w:left="660"/>
        <w:spacing w:after="0"/>
        <w:tabs>
          <w:tab w:leader="none" w:pos="1660" w:val="left"/>
        </w:tabs>
        <w:rPr>
          <w:sz w:val="20"/>
          <w:szCs w:val="20"/>
          <w:color w:val="auto"/>
        </w:rPr>
      </w:pPr>
      <w:r>
        <w:rPr>
          <w:rFonts w:ascii="Times New Roman" w:cs="Times New Roman" w:eastAsia="Times New Roman" w:hAnsi="Times New Roman"/>
          <w:sz w:val="19"/>
          <w:szCs w:val="19"/>
          <w:color w:val="auto"/>
        </w:rPr>
        <w:t>Telephone:</w:t>
      </w:r>
      <w:r>
        <w:rPr>
          <w:sz w:val="20"/>
          <w:szCs w:val="20"/>
          <w:color w:val="auto"/>
        </w:rPr>
        <w:tab/>
      </w:r>
      <w:r>
        <w:rPr>
          <w:rFonts w:ascii="Times New Roman" w:cs="Times New Roman" w:eastAsia="Times New Roman" w:hAnsi="Times New Roman"/>
          <w:sz w:val="18"/>
          <w:szCs w:val="18"/>
          <w:color w:val="auto"/>
        </w:rPr>
        <w:t>[***]</w:t>
      </w:r>
    </w:p>
    <w:p>
      <w:pPr>
        <w:ind w:left="660"/>
        <w:spacing w:after="0"/>
        <w:tabs>
          <w:tab w:leader="none" w:pos="1400" w:val="left"/>
        </w:tabs>
        <w:rPr>
          <w:sz w:val="20"/>
          <w:szCs w:val="20"/>
          <w:color w:val="auto"/>
        </w:rPr>
      </w:pPr>
      <w:r>
        <w:rPr>
          <w:rFonts w:ascii="Times New Roman" w:cs="Times New Roman" w:eastAsia="Times New Roman" w:hAnsi="Times New Roman"/>
          <w:sz w:val="19"/>
          <w:szCs w:val="19"/>
          <w:color w:val="auto"/>
        </w:rPr>
        <w:t>E-Mail:</w:t>
        <w:tab/>
        <w:t>[***]</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a copy (which shall not constitute notice) to</w:t>
      </w:r>
    </w:p>
    <w:p>
      <w:pPr>
        <w:spacing w:after="0" w:line="11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Katherine R. Reaves</w:t>
      </w:r>
    </w:p>
    <w:p>
      <w:pPr>
        <w:spacing w:after="0" w:line="4" w:lineRule="exact"/>
        <w:rPr>
          <w:sz w:val="20"/>
          <w:szCs w:val="20"/>
          <w:color w:val="auto"/>
        </w:rPr>
      </w:pPr>
    </w:p>
    <w:p>
      <w:pPr>
        <w:ind w:left="1620" w:right="3860" w:hanging="1296"/>
        <w:spacing w:after="0" w:line="237" w:lineRule="auto"/>
        <w:tabs>
          <w:tab w:leader="none" w:pos="1600" w:val="left"/>
        </w:tabs>
        <w:rPr>
          <w:sz w:val="20"/>
          <w:szCs w:val="20"/>
          <w:color w:val="auto"/>
        </w:rPr>
      </w:pPr>
      <w:r>
        <w:rPr>
          <w:rFonts w:ascii="Times New Roman" w:cs="Times New Roman" w:eastAsia="Times New Roman" w:hAnsi="Times New Roman"/>
          <w:sz w:val="19"/>
          <w:szCs w:val="19"/>
          <w:color w:val="auto"/>
        </w:rPr>
        <w:t>Company:</w:t>
        <w:tab/>
        <w:t>Cleary Gottlieb Steen &amp; Hamilton LLP Address: One Liberty Plaza New York, NY 10006</w:t>
      </w:r>
    </w:p>
    <w:p>
      <w:pPr>
        <w:ind w:left="660"/>
        <w:spacing w:after="0" w:line="219" w:lineRule="auto"/>
        <w:tabs>
          <w:tab w:leader="none" w:pos="1660" w:val="left"/>
        </w:tabs>
        <w:rPr>
          <w:sz w:val="20"/>
          <w:szCs w:val="20"/>
          <w:color w:val="auto"/>
        </w:rPr>
      </w:pPr>
      <w:r>
        <w:rPr>
          <w:rFonts w:ascii="Times New Roman" w:cs="Times New Roman" w:eastAsia="Times New Roman" w:hAnsi="Times New Roman"/>
          <w:sz w:val="19"/>
          <w:szCs w:val="19"/>
          <w:color w:val="auto"/>
        </w:rPr>
        <w:t>Telephone:</w:t>
      </w:r>
      <w:r>
        <w:rPr>
          <w:sz w:val="20"/>
          <w:szCs w:val="20"/>
          <w:color w:val="auto"/>
        </w:rPr>
        <w:tab/>
      </w:r>
      <w:r>
        <w:rPr>
          <w:rFonts w:ascii="Times New Roman" w:cs="Times New Roman" w:eastAsia="Times New Roman" w:hAnsi="Times New Roman"/>
          <w:sz w:val="18"/>
          <w:szCs w:val="18"/>
          <w:color w:val="auto"/>
        </w:rPr>
        <w:t>212-225-2632 and 212-225-2312</w:t>
      </w:r>
    </w:p>
    <w:p>
      <w:pPr>
        <w:ind w:left="660"/>
        <w:spacing w:after="0"/>
        <w:tabs>
          <w:tab w:leader="none" w:pos="1600" w:val="left"/>
        </w:tabs>
        <w:rPr>
          <w:sz w:val="20"/>
          <w:szCs w:val="20"/>
          <w:color w:val="auto"/>
        </w:rPr>
      </w:pPr>
      <w:r>
        <w:rPr>
          <w:rFonts w:ascii="Times New Roman" w:cs="Times New Roman" w:eastAsia="Times New Roman" w:hAnsi="Times New Roman"/>
          <w:sz w:val="19"/>
          <w:szCs w:val="19"/>
          <w:color w:val="auto"/>
        </w:rPr>
        <w:t>Facsimile:</w:t>
        <w:tab/>
        <w:t>212-225-3999</w:t>
      </w:r>
    </w:p>
    <w:p>
      <w:pPr>
        <w:spacing w:after="0" w:line="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9"/>
          <w:szCs w:val="19"/>
          <w:color w:val="auto"/>
        </w:rPr>
        <w:t>Email:</w:t>
      </w:r>
      <w:r>
        <w:rPr>
          <w:sz w:val="20"/>
          <w:szCs w:val="20"/>
          <w:color w:val="auto"/>
        </w:rPr>
        <w:tab/>
      </w:r>
      <w:r>
        <w:rPr>
          <w:rFonts w:ascii="Times New Roman" w:cs="Times New Roman" w:eastAsia="Times New Roman" w:hAnsi="Times New Roman"/>
          <w:sz w:val="18"/>
          <w:szCs w:val="18"/>
          <w:color w:val="auto"/>
        </w:rPr>
        <w:t>kreaves@cgsh.com If to the Trustee: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Wilmington Trust, National Association Global Capital Markets</w:t>
      </w:r>
    </w:p>
    <w:p>
      <w:pPr>
        <w:ind w:left="660"/>
        <w:spacing w:after="0" w:line="191" w:lineRule="auto"/>
        <w:rPr>
          <w:sz w:val="20"/>
          <w:szCs w:val="20"/>
          <w:color w:val="auto"/>
        </w:rPr>
      </w:pPr>
      <w:r>
        <w:rPr>
          <w:rFonts w:ascii="Times New Roman" w:cs="Times New Roman" w:eastAsia="Times New Roman" w:hAnsi="Times New Roman"/>
          <w:sz w:val="19"/>
          <w:szCs w:val="19"/>
          <w:color w:val="auto"/>
        </w:rPr>
        <w:t>277 Park Avenue,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 New York, NY 10172</w:t>
      </w:r>
    </w:p>
    <w:p>
      <w:pPr>
        <w:ind w:left="660"/>
        <w:spacing w:after="0"/>
        <w:rPr>
          <w:sz w:val="20"/>
          <w:szCs w:val="20"/>
          <w:color w:val="auto"/>
        </w:rPr>
      </w:pPr>
      <w:r>
        <w:rPr>
          <w:rFonts w:ascii="Times New Roman" w:cs="Times New Roman" w:eastAsia="Times New Roman" w:hAnsi="Times New Roman"/>
          <w:sz w:val="19"/>
          <w:szCs w:val="19"/>
          <w:color w:val="auto"/>
        </w:rPr>
        <w:t>Fax: 203-453-1183</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Attention: Sotera Health Holdings, LLC Notes Administrator If to the Notes Collateral</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Agent: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Wilmington Trust, National Association Global Capital Markets</w:t>
      </w:r>
    </w:p>
    <w:p>
      <w:pPr>
        <w:ind w:left="660"/>
        <w:spacing w:after="0" w:line="203" w:lineRule="auto"/>
        <w:rPr>
          <w:sz w:val="20"/>
          <w:szCs w:val="20"/>
          <w:color w:val="auto"/>
        </w:rPr>
      </w:pPr>
      <w:r>
        <w:rPr>
          <w:rFonts w:ascii="Times New Roman" w:cs="Times New Roman" w:eastAsia="Times New Roman" w:hAnsi="Times New Roman"/>
          <w:sz w:val="19"/>
          <w:szCs w:val="19"/>
          <w:color w:val="auto"/>
        </w:rPr>
        <w:t>277 Park Avenue,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 New York, NY 10172</w:t>
      </w:r>
    </w:p>
    <w:p>
      <w:pPr>
        <w:ind w:left="660"/>
        <w:spacing w:after="0" w:line="222" w:lineRule="auto"/>
        <w:rPr>
          <w:sz w:val="20"/>
          <w:szCs w:val="20"/>
          <w:color w:val="auto"/>
        </w:rPr>
      </w:pPr>
      <w:r>
        <w:rPr>
          <w:rFonts w:ascii="Times New Roman" w:cs="Times New Roman" w:eastAsia="Times New Roman" w:hAnsi="Times New Roman"/>
          <w:sz w:val="19"/>
          <w:szCs w:val="19"/>
          <w:color w:val="auto"/>
        </w:rPr>
        <w:t>Fax: 203-453-1183</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Attention: Sotera Health Holdings, LLC Notes Administrator</w:t>
      </w:r>
    </w:p>
    <w:p>
      <w:pPr>
        <w:spacing w:after="0" w:line="200" w:lineRule="exact"/>
        <w:rPr>
          <w:sz w:val="20"/>
          <w:szCs w:val="20"/>
          <w:color w:val="auto"/>
        </w:rPr>
      </w:pPr>
    </w:p>
    <w:p>
      <w:pPr>
        <w:spacing w:after="0" w:line="210"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The Issuer, Holdings, any Guarantor, the Trustee or the Notes Collateral Agent, by notice to the others, may designate additional or different addresses for subsequent notices or communications.</w:t>
      </w:r>
    </w:p>
    <w:p>
      <w:pPr>
        <w:spacing w:after="0" w:line="125"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 xml:space="preserve">All notices and communications (other than those sent to Holders) shall be deemed to have been duly given: as of the date so delivered if delivered electronically in pdf format; at the time delivered by hand, if personally delivered; on first date on which publication is made, if by publication; five (5) calendar days after being deposited in the mail, postage prepaid, if mailed by first-class mail; when receipt acknowledged, if faxed; and the next Business Day after timely delivery to the courier, if sent by overnight air courier guaranteeing next day delivery;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or communication delivered to the Trustee or the Notes Collateral Agent shall be deemed effective upon actual receipt thereof.</w:t>
      </w:r>
    </w:p>
    <w:p>
      <w:pPr>
        <w:spacing w:after="0" w:line="150"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9"/>
          <w:szCs w:val="19"/>
          <w:color w:val="auto"/>
        </w:rPr>
        <w:t>Any notice or communication to a Holder shall be delivered to the Holder at the Holder’s address as it is shown on the Note Register kept by the Registrar. Failure to send a notice or communication to a Holder or any defect in it shall not affect its sufficiency with respect to other Holders.</w:t>
      </w:r>
    </w:p>
    <w:p>
      <w:pPr>
        <w:spacing w:after="0" w:line="138"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the Depositary pursuant to the standing instructions from the Depositary.</w:t>
      </w:r>
    </w:p>
    <w:p>
      <w:pPr>
        <w:spacing w:after="0" w:line="165" w:lineRule="exact"/>
        <w:rPr>
          <w:sz w:val="20"/>
          <w:szCs w:val="20"/>
          <w:color w:val="auto"/>
        </w:rPr>
      </w:pPr>
    </w:p>
    <w:p>
      <w:pPr>
        <w:jc w:val="both"/>
        <w:ind w:firstLine="649"/>
        <w:spacing w:after="0" w:line="265" w:lineRule="auto"/>
        <w:rPr>
          <w:sz w:val="20"/>
          <w:szCs w:val="20"/>
          <w:color w:val="auto"/>
        </w:rPr>
      </w:pPr>
      <w:r>
        <w:rPr>
          <w:rFonts w:ascii="Times New Roman" w:cs="Times New Roman" w:eastAsia="Times New Roman" w:hAnsi="Times New Roman"/>
          <w:sz w:val="19"/>
          <w:szCs w:val="19"/>
          <w:color w:val="auto"/>
        </w:rPr>
        <w:t>If a notice or communication is sent in the manner provided above within the time prescribed, it is duly given, whether or not the addressee receives it.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740"/>
          </w:cols>
          <w:pgMar w:left="580" w:top="1423" w:right="579" w:bottom="1440" w:gutter="0" w:footer="0" w:header="0"/>
        </w:sectPr>
      </w:pPr>
    </w:p>
    <w:bookmarkStart w:id="200" w:name="page201"/>
    <w:bookmarkEnd w:id="200"/>
    <w:p>
      <w:pPr>
        <w:spacing w:after="0" w:line="186"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If the Issuer sends a notice or communication to Holders, it shall send a copy to the Trustee, the Notes Collateral Agent and each Agent at the same time.</w:t>
      </w:r>
    </w:p>
    <w:p>
      <w:pPr>
        <w:spacing w:after="0" w:line="152"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The Trustee agrees to accept and act upon instructions or directions pursuant to this Indenture sent by unsecured e-mail, facsimile transmission or other similar unsecured electronic methods. If the Issuer, any Guarantor or any Holder elects to give the Trustee e-mail or facsimile instructions(or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12.03 </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12.04</w:t>
      </w:r>
      <w:r>
        <w:rPr>
          <w:sz w:val="20"/>
          <w:szCs w:val="20"/>
          <w:color w:val="auto"/>
        </w:rPr>
        <w:tab/>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right="20" w:firstLine="649"/>
        <w:spacing w:after="0" w:line="244" w:lineRule="auto"/>
        <w:rPr>
          <w:sz w:val="20"/>
          <w:szCs w:val="20"/>
          <w:color w:val="auto"/>
        </w:rPr>
      </w:pPr>
      <w:r>
        <w:rPr>
          <w:rFonts w:ascii="Times New Roman" w:cs="Times New Roman" w:eastAsia="Times New Roman" w:hAnsi="Times New Roman"/>
          <w:sz w:val="19"/>
          <w:szCs w:val="19"/>
          <w:color w:val="auto"/>
        </w:rPr>
        <w:t>Upon any request or application by the Issuer, Holdings or any of the Guarantors to the Trustee or the Notes Collateral Agent to take any action under this Indenture, the Issuer, Holdings or such Guarantor, as the case may be, shall furnish to the Trustee or, if such action relates to a Collateral Document or an Intercreditor Agreement, the Notes Collateral Agent:</w:t>
      </w:r>
    </w:p>
    <w:p>
      <w:pPr>
        <w:spacing w:after="0" w:line="157" w:lineRule="exact"/>
        <w:rPr>
          <w:sz w:val="20"/>
          <w:szCs w:val="20"/>
          <w:color w:val="auto"/>
        </w:rPr>
      </w:pPr>
    </w:p>
    <w:p>
      <w:pPr>
        <w:jc w:val="both"/>
        <w:ind w:firstLine="650"/>
        <w:spacing w:after="0" w:line="258" w:lineRule="auto"/>
        <w:tabs>
          <w:tab w:leader="none" w:pos="1034"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Officer’s Certificate in form satisfactory to the Trustee or the Notes Collateral Agent, as applicable, (which shall include the statements set forth in Section 12.05 hereof) stating that, in the opinion of the signers, all conditions precedent and covenants, if any, provided for in this Indenture relating to the proposed action have been satisfied; and</w:t>
      </w:r>
    </w:p>
    <w:p>
      <w:pPr>
        <w:spacing w:after="0" w:line="159" w:lineRule="exact"/>
        <w:rPr>
          <w:rFonts w:ascii="Times New Roman" w:cs="Times New Roman" w:eastAsia="Times New Roman" w:hAnsi="Times New Roman"/>
          <w:sz w:val="19"/>
          <w:szCs w:val="19"/>
          <w:color w:val="auto"/>
        </w:rPr>
      </w:pPr>
    </w:p>
    <w:p>
      <w:pPr>
        <w:jc w:val="both"/>
        <w:ind w:firstLine="650"/>
        <w:spacing w:after="0" w:line="251" w:lineRule="auto"/>
        <w:tabs>
          <w:tab w:leader="none" w:pos="1031"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Counsel in form satisfactory to the Trustee or the Notes Collateral Agent, as applicable, (which shall include the statements set forth in Section 12.05 hereof) stating that, in the opinion of such counsel, all such conditions precedent and covenants, if any, have been complied with.</w:t>
      </w:r>
    </w:p>
    <w:p>
      <w:pPr>
        <w:spacing w:after="0" w:line="16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12.05</w:t>
      </w:r>
      <w:r>
        <w:rPr>
          <w:sz w:val="20"/>
          <w:szCs w:val="20"/>
          <w:color w:val="auto"/>
        </w:rPr>
        <w:tab/>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Each certificate or opinion with respect to compliance with a condition or covenant provided for in this Indenture (other than a certificate provided pursuant to Section 4.04 hereof) shall include:</w:t>
      </w:r>
    </w:p>
    <w:p>
      <w:pPr>
        <w:spacing w:after="0" w:line="125" w:lineRule="exact"/>
        <w:rPr>
          <w:sz w:val="20"/>
          <w:szCs w:val="20"/>
          <w:color w:val="auto"/>
        </w:rPr>
      </w:pPr>
    </w:p>
    <w:p>
      <w:pPr>
        <w:ind w:left="1300" w:hanging="649"/>
        <w:spacing w:after="0"/>
        <w:tabs>
          <w:tab w:leader="none" w:pos="130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the Person making such certificate or opinion has read such covenant or condition;</w:t>
      </w:r>
    </w:p>
    <w:p>
      <w:pPr>
        <w:spacing w:after="0" w:line="78" w:lineRule="exact"/>
        <w:rPr>
          <w:rFonts w:ascii="Times New Roman" w:cs="Times New Roman" w:eastAsia="Times New Roman" w:hAnsi="Times New Roman"/>
          <w:sz w:val="19"/>
          <w:szCs w:val="19"/>
          <w:color w:val="auto"/>
        </w:rPr>
      </w:pPr>
    </w:p>
    <w:p>
      <w:pPr>
        <w:ind w:right="20" w:firstLine="650"/>
        <w:spacing w:after="0" w:line="280" w:lineRule="auto"/>
        <w:tabs>
          <w:tab w:leader="none" w:pos="1031"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brief statement as to the nature and scope of the examination or investigation upon which the statements or opinions contained in such certificate or opinion are based;</w:t>
      </w:r>
    </w:p>
    <w:p>
      <w:pPr>
        <w:spacing w:after="0" w:line="151" w:lineRule="exact"/>
        <w:rPr>
          <w:rFonts w:ascii="Times New Roman" w:cs="Times New Roman" w:eastAsia="Times New Roman" w:hAnsi="Times New Roman"/>
          <w:sz w:val="19"/>
          <w:szCs w:val="19"/>
          <w:color w:val="auto"/>
        </w:rPr>
      </w:pPr>
    </w:p>
    <w:p>
      <w:pPr>
        <w:jc w:val="both"/>
        <w:ind w:right="20" w:firstLine="650"/>
        <w:spacing w:after="0" w:line="244" w:lineRule="auto"/>
        <w:tabs>
          <w:tab w:leader="none" w:pos="1034"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157" w:lineRule="exact"/>
        <w:rPr>
          <w:rFonts w:ascii="Times New Roman" w:cs="Times New Roman" w:eastAsia="Times New Roman" w:hAnsi="Times New Roman"/>
          <w:sz w:val="19"/>
          <w:szCs w:val="19"/>
          <w:color w:val="auto"/>
        </w:rPr>
      </w:pPr>
    </w:p>
    <w:p>
      <w:pPr>
        <w:ind w:firstLine="650"/>
        <w:spacing w:after="0" w:line="265" w:lineRule="auto"/>
        <w:tabs>
          <w:tab w:leader="none" w:pos="1031"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statement as to whether or not, in the opinion of such Person, such condition or covenant has been complied 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matters of fact, an Opinion of Counsel may rely on an Officer’s Certificate or certificates of public officials.</w:t>
      </w:r>
    </w:p>
    <w:p>
      <w:pPr>
        <w:spacing w:after="0" w:line="16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12.06</w:t>
      </w:r>
      <w:r>
        <w:rPr>
          <w:sz w:val="20"/>
          <w:szCs w:val="20"/>
          <w:color w:val="auto"/>
        </w:rPr>
        <w:tab/>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right="820" w:firstLine="649"/>
        <w:spacing w:after="0" w:line="265" w:lineRule="auto"/>
        <w:rPr>
          <w:sz w:val="20"/>
          <w:szCs w:val="20"/>
          <w:color w:val="auto"/>
        </w:rPr>
      </w:pPr>
      <w:r>
        <w:rPr>
          <w:rFonts w:ascii="Times New Roman" w:cs="Times New Roman" w:eastAsia="Times New Roman" w:hAnsi="Times New Roman"/>
          <w:sz w:val="19"/>
          <w:szCs w:val="19"/>
          <w:color w:val="auto"/>
        </w:rPr>
        <w:t>The Trustee may make reasonable rules for action by or at a meeting of Holders. The Registrar or Paying Agent may make reasonable rules and set reasonable requirements for its functions.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760"/>
          </w:cols>
          <w:pgMar w:left="580" w:top="1440" w:right="559" w:bottom="1440" w:gutter="0" w:footer="0" w:header="0"/>
        </w:sectPr>
      </w:pPr>
    </w:p>
    <w:bookmarkStart w:id="201" w:name="page202"/>
    <w:bookmarkEnd w:id="201"/>
    <w:p>
      <w:pPr>
        <w:spacing w:after="0" w:line="18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12.07</w:t>
      </w:r>
      <w:r>
        <w:rPr>
          <w:sz w:val="20"/>
          <w:szCs w:val="20"/>
          <w:color w:val="auto"/>
        </w:rPr>
        <w:tab/>
      </w:r>
      <w:r>
        <w:rPr>
          <w:rFonts w:ascii="Times New Roman" w:cs="Times New Roman" w:eastAsia="Times New Roman" w:hAnsi="Times New Roman"/>
          <w:sz w:val="18"/>
          <w:szCs w:val="18"/>
          <w:u w:val="single" w:color="auto"/>
          <w:color w:val="auto"/>
        </w:rPr>
        <w:t>No Personal Liability of Directors, Officers, Employees and Stockholders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No past, present or future director, manager, officer, employee, incorporator, member, partner or stockholder of the Issuer or any of its Subsidiaries, Parent Entities or Affiliates shall have any liability for any obligations of the Issuer, Holdings or the Guarantors under the Notes Documents or for any claim based on, in respect of, or by reason of such obligations or their creation. Each Holder by accepting Notes waives and releases all such liability. The waiver and release are part of the consideration for issuance of the Notes.</w:t>
      </w:r>
    </w:p>
    <w:p>
      <w:pPr>
        <w:spacing w:after="0" w:line="2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12.08</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right="20" w:firstLine="649"/>
        <w:spacing w:after="0" w:line="265" w:lineRule="auto"/>
        <w:rPr>
          <w:sz w:val="20"/>
          <w:szCs w:val="20"/>
          <w:color w:val="auto"/>
        </w:rPr>
      </w:pPr>
      <w:r>
        <w:rPr>
          <w:rFonts w:ascii="Times New Roman" w:cs="Times New Roman" w:eastAsia="Times New Roman" w:hAnsi="Times New Roman"/>
          <w:sz w:val="19"/>
          <w:szCs w:val="19"/>
          <w:color w:val="auto"/>
        </w:rPr>
        <w:t>THIS INDENTURE, THE NOTES AND ANY NOTE GUARANTEE WILL BE GOVERNED BY AND CONSTRUED IN ACCORDANCE WITH THE LAWS OF THE STATE OF NEW YORK.</w:t>
      </w:r>
    </w:p>
    <w:p>
      <w:pPr>
        <w:spacing w:after="0" w:line="1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12.09</w:t>
      </w:r>
      <w:r>
        <w:rPr>
          <w:sz w:val="20"/>
          <w:szCs w:val="20"/>
          <w:color w:val="auto"/>
        </w:rPr>
        <w:tab/>
      </w:r>
      <w:r>
        <w:rPr>
          <w:rFonts w:ascii="Times New Roman" w:cs="Times New Roman" w:eastAsia="Times New Roman" w:hAnsi="Times New Roman"/>
          <w:sz w:val="18"/>
          <w:szCs w:val="18"/>
          <w:u w:val="single" w:color="auto"/>
          <w:color w:val="auto"/>
        </w:rPr>
        <w:t>Jurisdiction; Agent for Service; Waiver of Immunities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3" w:lineRule="auto"/>
        <w:rPr>
          <w:sz w:val="20"/>
          <w:szCs w:val="20"/>
          <w:color w:val="auto"/>
        </w:rPr>
      </w:pPr>
      <w:r>
        <w:rPr>
          <w:rFonts w:ascii="Times New Roman" w:cs="Times New Roman" w:eastAsia="Times New Roman" w:hAnsi="Times New Roman"/>
          <w:sz w:val="19"/>
          <w:szCs w:val="19"/>
          <w:color w:val="auto"/>
        </w:rPr>
        <w:t>Each of the parties hereto irrevocably agrees that any suit, action or proceeding arising out of, related to, or in connection with any Notes Documents or the transactions contemplated hereby, and any action arising under U.S. federal or state securities laws, may be instituted in any U.S. federal or state court located in the state and city of New York, borough of Manhattan; irrevocably waives, to the fullest extent it may effectively do so, any objection which it may now or hereafter have to the laying of venue of any such proceeding; and irrevocably submits to the non-exclusive jurisdiction of such courts in any such suit, action or proceeding. The Issuer, Holdings and each of the Guarantors hereby appoints the Company as their authorized agent upon whom process may be served in any such suit, action or proceeding which may be instituted in any U.S. federal or state court located in the state and city of New York, borough of Manhattan arising out of or based upon any Notes Documents or the transactions contemplated hereby or thereby, and any action brought under U.S. federal or state securities laws (the “</w:t>
      </w:r>
      <w:r>
        <w:rPr>
          <w:rFonts w:ascii="Times New Roman" w:cs="Times New Roman" w:eastAsia="Times New Roman" w:hAnsi="Times New Roman"/>
          <w:sz w:val="19"/>
          <w:szCs w:val="19"/>
          <w:u w:val="single" w:color="auto"/>
          <w:color w:val="auto"/>
        </w:rPr>
        <w:t>Authorized Agent</w:t>
      </w:r>
      <w:r>
        <w:rPr>
          <w:rFonts w:ascii="Times New Roman" w:cs="Times New Roman" w:eastAsia="Times New Roman" w:hAnsi="Times New Roman"/>
          <w:sz w:val="19"/>
          <w:szCs w:val="19"/>
          <w:color w:val="auto"/>
        </w:rPr>
        <w:t>”). The Issuer, Holdings and the Guarantors agree that final judgment in any such suit, action or proceeding brought in such court shall be conclusive and binding upon the Issuer, Holdings or the Guarantors, as the case may be, and may be enforced in any court to the jurisdiction of which the Issuer, Holdings or the Guarantors, as the case may be, are subject by a suit upon such judgment.</w:t>
      </w:r>
    </w:p>
    <w:p>
      <w:pPr>
        <w:spacing w:after="0" w:line="1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12.10</w:t>
      </w:r>
      <w:r>
        <w:rPr>
          <w:sz w:val="20"/>
          <w:szCs w:val="20"/>
          <w:color w:val="auto"/>
        </w:rPr>
        <w:tab/>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EACH OF THE ISSUER, HOLDINGS THE GUARANTORS, THE TRUSTEE AND THE NOTES COLLATERAL AGENT HEREBY IRREVOCABLY WAIVES, TO THE FULLEST EXTENT PERMITTED BY APPLICABLE LAW, ANY AND ALL RIGHT TO TRIAL BY JURY IN ANY LEGAL PROCEEDI NG ARISING OUT OF OR RELATING TO THIS INDENTURE, THE NOTES, THE NOTE GUARANTEES, THE COLLATERAL DOCUMENTS OR THE TRANSACTIONS CONTEMPLATED HEREBY OR THEREBY.</w:t>
      </w:r>
    </w:p>
    <w:p>
      <w:pPr>
        <w:spacing w:after="0" w:line="2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12.11</w:t>
      </w:r>
      <w:r>
        <w:rPr>
          <w:sz w:val="20"/>
          <w:szCs w:val="20"/>
          <w:color w:val="auto"/>
        </w:rPr>
        <w:tab/>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In no event shall the Trustee or the Notes Collateral Agent be responsible or liable for any failure or delay in the performance of its obligations under any Notes Documents arising out of or caused by, directly or indirectly, forces beyond its reasonable control, including without limitation strikes, work stoppages, accidents, acts of war or terrorism, civil or military disturbances, nuclear or natural catastrophes or acts of God, pandemics, epidemics and interruptions, loss or malfunctions of utilities, communications or computer (software or hardware) services or the unavailability of the Federal Reserve Bank wire or telex or other wire or communication facility.</w:t>
      </w:r>
    </w:p>
    <w:p>
      <w:pPr>
        <w:spacing w:after="0" w:line="17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12.12</w:t>
      </w:r>
      <w:r>
        <w:rPr>
          <w:sz w:val="20"/>
          <w:szCs w:val="20"/>
          <w:color w:val="auto"/>
        </w:rPr>
        <w:tab/>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This Indenture may not be used to interpret any other indenture, loan or debt agreement of Holdings, the Issuer or its Restricted Subsidiaries or of any other Person. Any such indenture, loan or debt agreement may not be used to interpret this Indenture.</w:t>
      </w:r>
    </w:p>
    <w:p>
      <w:pPr>
        <w:spacing w:after="0" w:line="13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12.13</w:t>
      </w:r>
      <w:r>
        <w:rPr>
          <w:sz w:val="20"/>
          <w:szCs w:val="20"/>
          <w:color w:val="auto"/>
        </w:rPr>
        <w:tab/>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760"/>
          </w:cols>
          <w:pgMar w:left="580" w:top="1440" w:right="559" w:bottom="1440" w:gutter="0" w:footer="0" w:header="0"/>
        </w:sectPr>
      </w:pPr>
    </w:p>
    <w:bookmarkStart w:id="202" w:name="page203"/>
    <w:bookmarkEnd w:id="202"/>
    <w:p>
      <w:pPr>
        <w:spacing w:after="0" w:line="172" w:lineRule="exact"/>
        <w:rPr>
          <w:sz w:val="20"/>
          <w:szCs w:val="20"/>
          <w:color w:val="auto"/>
        </w:rPr>
      </w:pPr>
    </w:p>
    <w:p>
      <w:pPr>
        <w:jc w:val="both"/>
        <w:ind w:right="20" w:firstLine="649"/>
        <w:spacing w:after="0" w:line="258" w:lineRule="auto"/>
        <w:rPr>
          <w:sz w:val="20"/>
          <w:szCs w:val="20"/>
          <w:color w:val="auto"/>
        </w:rPr>
      </w:pPr>
      <w:r>
        <w:rPr>
          <w:rFonts w:ascii="Times New Roman" w:cs="Times New Roman" w:eastAsia="Times New Roman" w:hAnsi="Times New Roman"/>
          <w:sz w:val="19"/>
          <w:szCs w:val="19"/>
          <w:color w:val="auto"/>
        </w:rPr>
        <w:t>All agreements of the Issuer in this Indenture and the Notes shall bind its successors. All agreements of the Trustee in this Indenture shall bind its successors. All agreements of Holdings and each Guarantor in this Indenture shall bind its successors, except as otherwise provided in Section 10.05 hereof.</w:t>
      </w:r>
    </w:p>
    <w:p>
      <w:pPr>
        <w:spacing w:after="0" w:line="17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12.14</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6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12.15</w:t>
      </w:r>
      <w:r>
        <w:rPr>
          <w:sz w:val="20"/>
          <w:szCs w:val="20"/>
          <w:color w:val="auto"/>
        </w:rPr>
        <w:tab/>
      </w:r>
      <w:r>
        <w:rPr>
          <w:rFonts w:ascii="Times New Roman" w:cs="Times New Roman" w:eastAsia="Times New Roman" w:hAnsi="Times New Roman"/>
          <w:sz w:val="18"/>
          <w:szCs w:val="18"/>
          <w:u w:val="single" w:color="auto"/>
          <w:color w:val="auto"/>
        </w:rPr>
        <w:t>Counterpart Originals; Execution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line="233" w:lineRule="auto"/>
        <w:rPr>
          <w:sz w:val="20"/>
          <w:szCs w:val="20"/>
          <w:color w:val="auto"/>
        </w:rPr>
      </w:pPr>
      <w:r>
        <w:rPr>
          <w:rFonts w:ascii="Times New Roman" w:cs="Times New Roman" w:eastAsia="Times New Roman" w:hAnsi="Times New Roman"/>
          <w:sz w:val="19"/>
          <w:szCs w:val="19"/>
          <w:color w:val="auto"/>
        </w:rPr>
        <w:t>The parties may sign any number of copies of this Indenture. Each signed copy shall be an original, but all of them together represent one and the same agreement. The exchange of copies of this Indenture and of signature pages by facsimile, PDF or other electronic transmission shall constitute effective execution and delivery of this Indenture as to the parties hereto and may be used in lieu of the original Indenture and signature pages for all purposes. Any signature (including, without limitation, (x) any electronic symbol or process attached to, or associated with, a contract or other record and adopted by a person with the intent to sign, authenticate or accept such contract or record and (y) any facsimile, E-pencil or.pdf signature) hereto, any other Notes Document or to any other certificate, agreement or document related to this Indenture, and any contract formation or record-keeping, in each case, through electronic means, shall have the same legal validity and enforceability as a manually executed signature or use of a paper-based record-keeping system to the fullest extent permitted by applicable law; provided that notwithstanding anything herein to the contrary, the Trustee and the Notes Collateral Agent are not under any obligation to agree to accept electronic signatures in any form or in any format unless expressly agreed to by the Trustee or the Notes Collateral Agent, as applicable, pursuant to reasonable procedures approved by the Trustee or the Notes Collateral Agent, as the case may be. For the avoidance of doubt, the foregoing also applies to any amendment, extension or renewal of this Indenture; provided that notwithstanding anything herein to the contrary, the Trustee and the Notes Collateral Agent are not under any obligation to agree to accept electronic signatures in any form or in any format unless expressly agreed to by the Trustee and the Notes Collateral Agent, as applicable, pursuant to reasonable procedures approved by the Trustee and the Notes Collateral Agent, as applicable. Each of the Issuer, Holdings and the Guarantors represents and warrants to the other parties that it has the corporate capacity and authority to execute this Indenture through electronic means and there are no restrictions for doing so in that party’s constitutive documents.</w:t>
      </w:r>
    </w:p>
    <w:p>
      <w:pPr>
        <w:spacing w:after="0" w:line="16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12.16</w:t>
      </w:r>
      <w:r>
        <w:rPr>
          <w:sz w:val="20"/>
          <w:szCs w:val="20"/>
          <w:color w:val="auto"/>
        </w:rPr>
        <w:tab/>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12.17</w:t>
      </w:r>
      <w:r>
        <w:rPr>
          <w:sz w:val="20"/>
          <w:szCs w:val="20"/>
          <w:color w:val="auto"/>
        </w:rPr>
        <w:tab/>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The parties hereto acknowledge that in accordance with Section 326 of the U.S.A. PATRIOT Act, each of the Trustee and the Notes Collateral Agent is required to obtain, verify and record information that identifies each person or legal entity that establishes a relationship or opens an account with the Trustee or the Notes Collateral Agent. The parties to this Indenture agree that they will provide the Trustee and the Notes Collateral Agent with such information as the Trustee or the Notes Collateral Agent may reasonably request in order for the Trustee and the Notes Collateral Agent to satisfy the requirements of the U.S.A. PATRIOT Act.</w:t>
      </w:r>
    </w:p>
    <w:p>
      <w:pPr>
        <w:spacing w:after="0" w:line="17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12.18</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 xml:space="preserve">ARTICLE 13 </w:t>
      </w:r>
      <w:r>
        <w:rPr>
          <w:rFonts w:ascii="Times New Roman" w:cs="Times New Roman" w:eastAsia="Times New Roman" w:hAnsi="Times New Roman"/>
          <w:sz w:val="17"/>
          <w:szCs w:val="17"/>
          <w:color w:val="auto"/>
        </w:rPr>
        <w:t>COLLATERAL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13.01 </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760"/>
          </w:cols>
          <w:pgMar w:left="580" w:top="1440" w:right="559" w:bottom="1440" w:gutter="0" w:footer="0" w:header="0"/>
        </w:sectPr>
      </w:pPr>
    </w:p>
    <w:bookmarkStart w:id="203" w:name="page204"/>
    <w:bookmarkEnd w:id="203"/>
    <w:p>
      <w:pPr>
        <w:spacing w:after="0" w:line="172" w:lineRule="exact"/>
        <w:rPr>
          <w:sz w:val="20"/>
          <w:szCs w:val="20"/>
          <w:color w:val="auto"/>
        </w:rPr>
      </w:pPr>
    </w:p>
    <w:p>
      <w:pPr>
        <w:jc w:val="both"/>
        <w:ind w:firstLine="649"/>
        <w:spacing w:after="0" w:line="230" w:lineRule="auto"/>
        <w:rPr>
          <w:sz w:val="20"/>
          <w:szCs w:val="20"/>
          <w:color w:val="auto"/>
        </w:rPr>
      </w:pPr>
      <w:r>
        <w:rPr>
          <w:rFonts w:ascii="Times New Roman" w:cs="Times New Roman" w:eastAsia="Times New Roman" w:hAnsi="Times New Roman"/>
          <w:sz w:val="19"/>
          <w:szCs w:val="19"/>
          <w:color w:val="auto"/>
        </w:rPr>
        <w:t>The due and punctual payment of the principal of, premium, if any, and interest on the Notes and Note Guarantees when and as the same shall be due and payable, whether on an Interest Payment Date, at maturity, by acceleration, repurchase, redemption or otherwise, and interest on the overdue principal of and interest on the Notes and Note Guarantees and performance of all other Obligations of the Issuer, Holdings and the Guarantors to the Noteholder Secured Parties under this Indenture, the Notes, the Note Guarantees and the Collateral Documents, according to the terms hereunder or thereunder, shall be secured as provided in the Collateral Documents, which define the terms of the Liens that secure the Obligations, subject to the terms of the Pari Passu Intercreditor Agreement and any other Intercreditor Agreement. The Trustee, the Issuer, Holdings and the Guarantors hereby acknowledge and agree that the Notes Collateral Agent holds the Collateral in trust for the benefit of the Noteholder Secured Parties pursuant to the terms of the Collateral Documents. Each Holder, by accepting a Note, consents and agrees to the terms of the Collateral Documents (including the provisions providing for the possession, use, release and foreclosure of Collateral), as each may be in effect or may be amended from time to time in accordance with their terms and this Indenture and the Pari Passu Intercreditor Agreement (or such other Intercreditor Agreement), and authorizes and directs the Notes Collateral Agent to enter into the Collateral Documents and authorizes and directs the Trustee to enter into the Pari Passu Intercreditor Agreement and any other Intercreditor Agreement and authorizes and directs each of the Notes Collateral Agent and the Trustee to perform its respective obligations and exercise its respective rights under and in accordance with the Collateral Documents, in each case to which it is a party. The Issuer shall deliver to the Notes Collateral Agent copies of all documents required to be filed pursuant to the Collateral Documents, and will do or cause to be done all such acts and things as required by the next sentence of this Section 13.01, to assure and confirm to the Notes Collateral Agent the first-priority security interest in the Collateral contemplated hereby, by the Collateral Documents or any part thereof, as from time to time constituted, so as to render the same available for the security and benefit of this Indenture and of the Notes secured hereby, according to the intent and purposes herein expressed. Subject to Section 4.17(d), Holdings and the Issuer shall, and the Issuer shall cause its Subsidiaries to, take any and all actions and make all filings, registrations and recordations (including the filing of UCC financing statements, continuation statements and amendments thereto) required to cause the Collateral Documents to create, perfect and maintain, as security for the Obligations of the Issuer, Holdings and the Guarantors to the Noteholder Secured Parties under this Indenture, the Notes, the Note Guarantees and the Collateral Documents, a valid and enforceable perfected Lien and security interest in and on all of the Collateral (subject to the terms of the Collateral Documents), in favor of the Notes Collateral Agent for the benefit of the Noteholder Secured Parties subject to no Liens other than Permitted Liens. For the avoidance of doubt, the Trustee and Notes Collateral Agent shall not have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Lien on the Excluded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13.02 </w:t>
      </w:r>
      <w:r>
        <w:rPr>
          <w:rFonts w:ascii="Times New Roman" w:cs="Times New Roman" w:eastAsia="Times New Roman" w:hAnsi="Times New Roman"/>
          <w:sz w:val="19"/>
          <w:szCs w:val="19"/>
          <w:u w:val="single" w:color="auto"/>
          <w:color w:val="auto"/>
        </w:rPr>
        <w:t>Non-Impairment of Liens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Any release of Collateral permitted by Section 13.03 hereof will be deemed not to impair the Liens under this Indenture and the Collateral Documents in contravention thereof.</w:t>
      </w:r>
    </w:p>
    <w:p>
      <w:pPr>
        <w:spacing w:after="0" w:line="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13.03</w:t>
      </w:r>
      <w:r>
        <w:rPr>
          <w:sz w:val="20"/>
          <w:szCs w:val="20"/>
          <w:color w:val="auto"/>
        </w:rPr>
        <w:tab/>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650"/>
        <w:spacing w:after="0" w:line="280" w:lineRule="auto"/>
        <w:tabs>
          <w:tab w:leader="none" w:pos="1034"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13.03(b), notwithstanding anything to the contrary in any Notes Document, the Liens securing the Notes will be automatically released in the following circumstances:</w:t>
      </w:r>
    </w:p>
    <w:p>
      <w:pPr>
        <w:spacing w:after="0" w:line="124"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1"/>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whole upon:</w:t>
      </w:r>
    </w:p>
    <w:p>
      <w:pPr>
        <w:spacing w:after="0" w:line="200" w:lineRule="exact"/>
        <w:rPr>
          <w:rFonts w:ascii="Times New Roman" w:cs="Times New Roman" w:eastAsia="Times New Roman" w:hAnsi="Times New Roman"/>
          <w:sz w:val="19"/>
          <w:szCs w:val="19"/>
          <w:color w:val="auto"/>
        </w:rPr>
      </w:pPr>
    </w:p>
    <w:p>
      <w:pPr>
        <w:jc w:val="both"/>
        <w:ind w:left="660" w:firstLine="726"/>
        <w:spacing w:after="0" w:line="241" w:lineRule="auto"/>
        <w:tabs>
          <w:tab w:leader="none" w:pos="1695" w:val="left"/>
        </w:tabs>
        <w:numPr>
          <w:ilvl w:val="2"/>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in full of the principal of, together with accrued and unpaid interest on, the Notes and all other obligations (other than contingent indemnity obligations for which no demand has been made) under this Indenture, the Note Guarantees under this Indenture and the Collateral Documents that are due and payable at or prior to the time such principal, together with accrued and unpaid interest, is paid;</w:t>
      </w:r>
    </w:p>
    <w:p>
      <w:pPr>
        <w:spacing w:after="0" w:line="175" w:lineRule="exact"/>
        <w:rPr>
          <w:rFonts w:ascii="Times New Roman" w:cs="Times New Roman" w:eastAsia="Times New Roman" w:hAnsi="Times New Roman"/>
          <w:sz w:val="19"/>
          <w:szCs w:val="19"/>
          <w:color w:val="auto"/>
        </w:rPr>
      </w:pPr>
    </w:p>
    <w:p>
      <w:pPr>
        <w:ind w:left="1680" w:hanging="352"/>
        <w:spacing w:after="0"/>
        <w:tabs>
          <w:tab w:leader="none" w:pos="1680" w:val="left"/>
        </w:tabs>
        <w:numPr>
          <w:ilvl w:val="2"/>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then outstanding Notes being cancelled in full by the Trustee pursuant to the terms of this Indenture;</w:t>
      </w:r>
    </w:p>
    <w:p>
      <w:pPr>
        <w:spacing w:after="0" w:line="227" w:lineRule="exact"/>
        <w:rPr>
          <w:rFonts w:ascii="Times New Roman" w:cs="Times New Roman" w:eastAsia="Times New Roman" w:hAnsi="Times New Roman"/>
          <w:sz w:val="19"/>
          <w:szCs w:val="19"/>
          <w:color w:val="auto"/>
        </w:rPr>
      </w:pPr>
    </w:p>
    <w:p>
      <w:pPr>
        <w:ind w:left="1940" w:hanging="656"/>
        <w:spacing w:after="0"/>
        <w:tabs>
          <w:tab w:leader="none" w:pos="1940" w:val="left"/>
        </w:tabs>
        <w:numPr>
          <w:ilvl w:val="2"/>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satisfaction and discharge of this Indenture as set forth under Article 11;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760"/>
          </w:cols>
          <w:pgMar w:left="580" w:top="1440" w:right="559" w:bottom="1440" w:gutter="0" w:footer="0" w:header="0"/>
        </w:sectPr>
      </w:pPr>
    </w:p>
    <w:bookmarkStart w:id="204" w:name="page205"/>
    <w:bookmarkEnd w:id="204"/>
    <w:p>
      <w:pPr>
        <w:spacing w:after="0" w:line="186" w:lineRule="exact"/>
        <w:rPr>
          <w:sz w:val="20"/>
          <w:szCs w:val="20"/>
          <w:color w:val="auto"/>
        </w:rPr>
      </w:pPr>
    </w:p>
    <w:p>
      <w:pPr>
        <w:ind w:left="1940" w:hanging="641"/>
        <w:spacing w:after="0"/>
        <w:tabs>
          <w:tab w:leader="none" w:pos="1940"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Legal Defeasance or Covenant Defeasance of this Indenture as set forth under Article 8;</w:t>
      </w:r>
    </w:p>
    <w:p>
      <w:pPr>
        <w:spacing w:after="0" w:line="200"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whole or in part, with the consent of Holders of the Notes in accordance with Article 9 of this Indenture; or</w:t>
      </w:r>
    </w:p>
    <w:p>
      <w:pPr>
        <w:spacing w:after="0" w:line="200"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part, as to any asset constituting Collateral:</w:t>
      </w:r>
    </w:p>
    <w:p>
      <w:pPr>
        <w:spacing w:after="0" w:line="186" w:lineRule="exact"/>
        <w:rPr>
          <w:rFonts w:ascii="Times New Roman" w:cs="Times New Roman" w:eastAsia="Times New Roman" w:hAnsi="Times New Roman"/>
          <w:sz w:val="19"/>
          <w:szCs w:val="19"/>
          <w:color w:val="auto"/>
        </w:rPr>
      </w:pPr>
    </w:p>
    <w:p>
      <w:pPr>
        <w:jc w:val="both"/>
        <w:ind w:left="660" w:right="20" w:firstLine="726"/>
        <w:spacing w:after="0" w:line="251" w:lineRule="auto"/>
        <w:tabs>
          <w:tab w:leader="none" w:pos="1695"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that is sold or otherwise disposed of by the Issuer, Holdings or any Guarantor (including Capital Stock) to any Person that is not the Issuer, Holdings or a Guarantor in a transaction not prohibited by this Indenture at the time of such transfer or disposition, including, without limitation, as a result of a transaction of the type permitted under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hereof;</w:t>
      </w:r>
    </w:p>
    <w:p>
      <w:pPr>
        <w:spacing w:after="0" w:line="165" w:lineRule="exact"/>
        <w:rPr>
          <w:rFonts w:ascii="Times New Roman" w:cs="Times New Roman" w:eastAsia="Times New Roman" w:hAnsi="Times New Roman"/>
          <w:sz w:val="19"/>
          <w:szCs w:val="19"/>
          <w:color w:val="auto"/>
        </w:rPr>
      </w:pPr>
    </w:p>
    <w:p>
      <w:pPr>
        <w:ind w:left="660" w:right="40" w:firstLine="683"/>
        <w:spacing w:after="0" w:line="265" w:lineRule="auto"/>
        <w:tabs>
          <w:tab w:leader="none" w:pos="1691"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that is owned or at any time acquired by Holdings or a Guarantor that has been released from its Note Guarantee, concurrently with the release of such Note Guarantee, in accordance with </w:t>
      </w:r>
      <w:r>
        <w:rPr>
          <w:rFonts w:ascii="Times New Roman" w:cs="Times New Roman" w:eastAsia="Times New Roman" w:hAnsi="Times New Roman"/>
          <w:sz w:val="19"/>
          <w:szCs w:val="19"/>
          <w:u w:val="single" w:color="auto"/>
          <w:color w:val="auto"/>
        </w:rPr>
        <w:t>Section 10.06</w:t>
      </w:r>
      <w:r>
        <w:rPr>
          <w:rFonts w:ascii="Times New Roman" w:cs="Times New Roman" w:eastAsia="Times New Roman" w:hAnsi="Times New Roman"/>
          <w:sz w:val="19"/>
          <w:szCs w:val="19"/>
          <w:color w:val="auto"/>
        </w:rPr>
        <w:t xml:space="preserve"> hereof;</w:t>
      </w:r>
    </w:p>
    <w:p>
      <w:pPr>
        <w:spacing w:after="0" w:line="138" w:lineRule="exact"/>
        <w:rPr>
          <w:rFonts w:ascii="Times New Roman" w:cs="Times New Roman" w:eastAsia="Times New Roman" w:hAnsi="Times New Roman"/>
          <w:sz w:val="19"/>
          <w:szCs w:val="19"/>
          <w:color w:val="auto"/>
        </w:rPr>
      </w:pPr>
    </w:p>
    <w:p>
      <w:pPr>
        <w:ind w:left="660" w:right="560" w:firstLine="624"/>
        <w:spacing w:after="0" w:line="280" w:lineRule="auto"/>
        <w:tabs>
          <w:tab w:leader="none" w:pos="1698"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Collateral comprised of property leased to the Issuer, Holdings or a Guarantor, upon termination or expiration of such lease;</w:t>
      </w:r>
    </w:p>
    <w:p>
      <w:pPr>
        <w:spacing w:after="0" w:line="138" w:lineRule="exact"/>
        <w:rPr>
          <w:rFonts w:ascii="Times New Roman" w:cs="Times New Roman" w:eastAsia="Times New Roman" w:hAnsi="Times New Roman"/>
          <w:sz w:val="19"/>
          <w:szCs w:val="19"/>
          <w:color w:val="auto"/>
        </w:rPr>
      </w:pPr>
    </w:p>
    <w:p>
      <w:pPr>
        <w:ind w:left="660" w:right="120" w:firstLine="639"/>
        <w:spacing w:after="0" w:line="280" w:lineRule="auto"/>
        <w:tabs>
          <w:tab w:leader="none" w:pos="1690"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Collateral that is Capital Stock, upon the dissolution or liquidation of the issuer of that Capital Stock that is not prohibited by this Indenture;</w:t>
      </w:r>
    </w:p>
    <w:p>
      <w:pPr>
        <w:spacing w:after="0" w:line="165" w:lineRule="exact"/>
        <w:rPr>
          <w:rFonts w:ascii="Times New Roman" w:cs="Times New Roman" w:eastAsia="Times New Roman" w:hAnsi="Times New Roman"/>
          <w:sz w:val="19"/>
          <w:szCs w:val="19"/>
          <w:color w:val="auto"/>
        </w:rPr>
      </w:pPr>
    </w:p>
    <w:p>
      <w:pPr>
        <w:ind w:left="1940" w:hanging="597"/>
        <w:spacing w:after="0"/>
        <w:tabs>
          <w:tab w:leader="none" w:pos="1940"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becomes an “Excluded Asset” or that becomes subject to certain Permitted Liens;</w:t>
      </w:r>
    </w:p>
    <w:p>
      <w:pPr>
        <w:spacing w:after="0" w:line="200"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described under Article 9 and Section 4.15 hereof;</w:t>
      </w:r>
    </w:p>
    <w:p>
      <w:pPr>
        <w:spacing w:after="0" w:line="200" w:lineRule="exact"/>
        <w:rPr>
          <w:rFonts w:ascii="Times New Roman" w:cs="Times New Roman" w:eastAsia="Times New Roman" w:hAnsi="Times New Roman"/>
          <w:sz w:val="19"/>
          <w:szCs w:val="19"/>
          <w:color w:val="auto"/>
        </w:rPr>
      </w:pPr>
    </w:p>
    <w:p>
      <w:pPr>
        <w:jc w:val="both"/>
        <w:ind w:left="660" w:firstLine="581"/>
        <w:spacing w:after="0"/>
        <w:tabs>
          <w:tab w:leader="none" w:pos="1697"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(i) any Collateral, upon the release of the Lien on such Collateral securing the Credit Agreement in accordance with its terms (including in cases where a Guarantor becomes an “Unrestricted Subsidiary” or other “Excluded Subsidiary” (other than solely as a result of becoming a non- Wholly Owned Subsidiary), as each such term is defined in the Credit Agreement) and (ii) any ABL Priority Collateral, upon the release of the Lien on such ABL Priority Collateral securing an ABL Facility in accordance with its terms; or</w:t>
      </w:r>
    </w:p>
    <w:p>
      <w:pPr>
        <w:spacing w:after="0" w:line="176" w:lineRule="exact"/>
        <w:rPr>
          <w:rFonts w:ascii="Times New Roman" w:cs="Times New Roman" w:eastAsia="Times New Roman" w:hAnsi="Times New Roman"/>
          <w:sz w:val="19"/>
          <w:szCs w:val="19"/>
          <w:color w:val="auto"/>
        </w:rPr>
      </w:pPr>
    </w:p>
    <w:p>
      <w:pPr>
        <w:jc w:val="both"/>
        <w:ind w:left="660" w:right="20" w:firstLine="538"/>
        <w:spacing w:after="0" w:line="244" w:lineRule="auto"/>
        <w:tabs>
          <w:tab w:leader="none" w:pos="1693"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otherwise released in accordance with the applicable provisions of the Collateral Documents, but subject to any restrictions thereon set forth in this Indenture or the Pari Passu Intercreditor Agreement or other Intercreditor Agreement, as applicable;</w:t>
      </w:r>
    </w:p>
    <w:p>
      <w:pPr>
        <w:spacing w:after="0" w:line="171" w:lineRule="exact"/>
        <w:rPr>
          <w:sz w:val="20"/>
          <w:szCs w:val="20"/>
          <w:color w:val="auto"/>
        </w:rPr>
      </w:pPr>
    </w:p>
    <w:p>
      <w:pPr>
        <w:jc w:val="both"/>
        <w:ind w:right="20" w:firstLine="650"/>
        <w:spacing w:after="0" w:line="234" w:lineRule="auto"/>
        <w:tabs>
          <w:tab w:leader="none" w:pos="1031"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release of Collateral, upon receipt of an Officer’s Certificate and an Opinion of Counsel each stating that all conditions precedent under this Indenture, the Notes and the Collateral Documents, as applicable, to such release have been met and that it is proper for the Trustee or Notes Collateral Agent to execute and deliver the documents requested by the Issuer in connection with such release, and any instruments of termination, satisfaction, discharge or release prepared by the Issuer, the Notes Collateral Agent shall execute, deliver or acknowledge (at the Issuer’s expense and without recourse, representations or warranties) such instruments or releases to evidence the release and discharge of any Collateral permitted to be released pursuant to this In denture or the Collateral Documents, as applicable. Neither the Trustee nor the Notes Collateral Agent shall be liable for any such release undertaken in reliance upon any such Officer’s Certificate or Opinion of Counsel, and notwithstanding any term hereof or in any Collateral Document to the contrary, the Notes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spacing w:after="0" w:line="16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13.04</w:t>
      </w:r>
      <w:r>
        <w:rPr>
          <w:sz w:val="20"/>
          <w:szCs w:val="20"/>
          <w:color w:val="auto"/>
        </w:rPr>
        <w:tab/>
      </w:r>
      <w:r>
        <w:rPr>
          <w:rFonts w:ascii="Times New Roman" w:cs="Times New Roman" w:eastAsia="Times New Roman" w:hAnsi="Times New Roman"/>
          <w:sz w:val="18"/>
          <w:szCs w:val="18"/>
          <w:u w:val="single" w:color="auto"/>
          <w:color w:val="auto"/>
        </w:rPr>
        <w:t>Suits to Protect the Collateral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780"/>
          </w:cols>
          <w:pgMar w:left="580" w:top="1440" w:right="539" w:bottom="1440" w:gutter="0" w:footer="0" w:header="0"/>
        </w:sectPr>
      </w:pPr>
    </w:p>
    <w:bookmarkStart w:id="205" w:name="page206"/>
    <w:bookmarkEnd w:id="205"/>
    <w:p>
      <w:pPr>
        <w:spacing w:after="0" w:line="186" w:lineRule="exact"/>
        <w:rPr>
          <w:sz w:val="20"/>
          <w:szCs w:val="20"/>
          <w:color w:val="auto"/>
        </w:rPr>
      </w:pPr>
    </w:p>
    <w:p>
      <w:pPr>
        <w:ind w:firstLine="649"/>
        <w:spacing w:after="0" w:line="265" w:lineRule="auto"/>
        <w:rPr>
          <w:sz w:val="20"/>
          <w:szCs w:val="20"/>
          <w:color w:val="auto"/>
        </w:rPr>
      </w:pPr>
      <w:r>
        <w:rPr>
          <w:rFonts w:ascii="Times New Roman" w:cs="Times New Roman" w:eastAsia="Times New Roman" w:hAnsi="Times New Roman"/>
          <w:sz w:val="19"/>
          <w:szCs w:val="19"/>
          <w:color w:val="auto"/>
        </w:rPr>
        <w:t>Subject to the provisions of the Collateral Documents and the Intercreditor Agreements, if applicable, the Notes Collateral Agent, without the consent of the Holders, on behalf of the Holders, may take all actions it determines in order to:</w:t>
      </w:r>
    </w:p>
    <w:p>
      <w:pPr>
        <w:spacing w:after="0" w:line="179" w:lineRule="exact"/>
        <w:rPr>
          <w:sz w:val="20"/>
          <w:szCs w:val="20"/>
          <w:color w:val="auto"/>
        </w:rPr>
      </w:pPr>
    </w:p>
    <w:p>
      <w:pPr>
        <w:ind w:left="1300" w:hanging="649"/>
        <w:spacing w:after="0"/>
        <w:tabs>
          <w:tab w:leader="none" w:pos="1300"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enforce any of the terms of the Collateral Documents; and</w:t>
      </w:r>
    </w:p>
    <w:p>
      <w:pPr>
        <w:spacing w:after="0" w:line="213" w:lineRule="exact"/>
        <w:rPr>
          <w:rFonts w:ascii="Times New Roman" w:cs="Times New Roman" w:eastAsia="Times New Roman" w:hAnsi="Times New Roman"/>
          <w:sz w:val="19"/>
          <w:szCs w:val="19"/>
          <w:color w:val="auto"/>
        </w:rPr>
      </w:pPr>
    </w:p>
    <w:p>
      <w:pPr>
        <w:ind w:left="1280" w:hanging="629"/>
        <w:spacing w:after="0"/>
        <w:tabs>
          <w:tab w:leader="none" w:pos="1280"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collect and receive any and all amounts payable in respect of the Obligations hereunder.</w:t>
      </w:r>
    </w:p>
    <w:p>
      <w:pPr>
        <w:spacing w:after="0" w:line="214"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Subject to the provisions of the Collateral Documents and the Intercreditor Agreements, if applicable, the Notes Collateral Agent shall have power to institute and to maintain such suits and proceedings as the Notes Collateral Agent may determine to prevent any impairment of the Collateral by any acts which may be unlawful or in violation of any of the Collateral Documents or this Indenture, and such suits and proceedings as the Notes Collateral Agent may determine to preserve or protect its interests and the interests of the Holders in the Collateral. Nothing in this Section 13.04 shall be considered to impose any such duty or obligation to act on the part of the Trustee or the Notes Collateral Agent.</w:t>
      </w:r>
    </w:p>
    <w:p>
      <w:pPr>
        <w:spacing w:after="0" w:line="17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13.05</w:t>
      </w:r>
      <w:r>
        <w:rPr>
          <w:sz w:val="20"/>
          <w:szCs w:val="20"/>
          <w:color w:val="auto"/>
        </w:rPr>
        <w:tab/>
      </w:r>
      <w:r>
        <w:rPr>
          <w:rFonts w:ascii="Times New Roman" w:cs="Times New Roman" w:eastAsia="Times New Roman" w:hAnsi="Times New Roman"/>
          <w:sz w:val="18"/>
          <w:szCs w:val="18"/>
          <w:u w:val="single" w:color="auto"/>
          <w:color w:val="auto"/>
        </w:rPr>
        <w:t>Authorization of Receipt of Funds by the Trustee Under the Collateral Documents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right="20" w:firstLine="649"/>
        <w:spacing w:after="0" w:line="244" w:lineRule="auto"/>
        <w:rPr>
          <w:sz w:val="20"/>
          <w:szCs w:val="20"/>
          <w:color w:val="auto"/>
        </w:rPr>
      </w:pPr>
      <w:r>
        <w:rPr>
          <w:rFonts w:ascii="Times New Roman" w:cs="Times New Roman" w:eastAsia="Times New Roman" w:hAnsi="Times New Roman"/>
          <w:sz w:val="19"/>
          <w:szCs w:val="19"/>
          <w:color w:val="auto"/>
        </w:rPr>
        <w:t>Subject to the provisions of the Intercreditor Agreements, the Trustee is authorized to receive any funds for the benefit of the Holders distributed under the Collateral Documents, and to make further distributions of such funds to the Holders according to the provisions of this Indenture.</w:t>
      </w:r>
    </w:p>
    <w:p>
      <w:pPr>
        <w:spacing w:after="0" w:line="19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13.06</w:t>
      </w:r>
      <w:r>
        <w:rPr>
          <w:sz w:val="20"/>
          <w:szCs w:val="20"/>
          <w:color w:val="auto"/>
        </w:rPr>
        <w:tab/>
      </w:r>
      <w:r>
        <w:rPr>
          <w:rFonts w:ascii="Times New Roman" w:cs="Times New Roman" w:eastAsia="Times New Roman" w:hAnsi="Times New Roman"/>
          <w:sz w:val="18"/>
          <w:szCs w:val="18"/>
          <w:u w:val="single" w:color="auto"/>
          <w:color w:val="auto"/>
        </w:rPr>
        <w:t>Purchaser Protected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9"/>
        <w:spacing w:after="0"/>
        <w:rPr>
          <w:sz w:val="20"/>
          <w:szCs w:val="20"/>
          <w:color w:val="auto"/>
        </w:rPr>
      </w:pPr>
      <w:r>
        <w:rPr>
          <w:rFonts w:ascii="Times New Roman" w:cs="Times New Roman" w:eastAsia="Times New Roman" w:hAnsi="Times New Roman"/>
          <w:sz w:val="19"/>
          <w:szCs w:val="19"/>
          <w:color w:val="auto"/>
        </w:rPr>
        <w:t xml:space="preserve">In no event shall any purchaser in good faith of any property purported to be released hereunder be bound to ascertain the authority of the Notes Collateral Agent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w:t>
      </w:r>
      <w:r>
        <w:rPr>
          <w:rFonts w:ascii="Times New Roman" w:cs="Times New Roman" w:eastAsia="Times New Roman" w:hAnsi="Times New Roman"/>
          <w:sz w:val="19"/>
          <w:szCs w:val="19"/>
          <w:u w:val="single" w:color="auto"/>
          <w:color w:val="auto"/>
        </w:rPr>
        <w:t>Article 13</w:t>
      </w:r>
      <w:r>
        <w:rPr>
          <w:rFonts w:ascii="Times New Roman" w:cs="Times New Roman" w:eastAsia="Times New Roman" w:hAnsi="Times New Roman"/>
          <w:sz w:val="19"/>
          <w:szCs w:val="19"/>
          <w:color w:val="auto"/>
        </w:rPr>
        <w:t xml:space="preserve"> to be sold be under any obligation to ascertain or inquire into the authority of the Issuer, Holdings or the applicable Guarantor to make any such sale or other transfer.</w:t>
      </w:r>
    </w:p>
    <w:p>
      <w:pPr>
        <w:spacing w:after="0" w:line="16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13.07</w:t>
      </w:r>
      <w:r>
        <w:rPr>
          <w:sz w:val="20"/>
          <w:szCs w:val="20"/>
          <w:color w:val="auto"/>
        </w:rPr>
        <w:tab/>
      </w:r>
      <w:r>
        <w:rPr>
          <w:rFonts w:ascii="Times New Roman" w:cs="Times New Roman" w:eastAsia="Times New Roman" w:hAnsi="Times New Roman"/>
          <w:sz w:val="18"/>
          <w:szCs w:val="18"/>
          <w:u w:val="single" w:color="auto"/>
          <w:color w:val="auto"/>
        </w:rPr>
        <w:t>Powers Exercisable by Receiver or Trustee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9"/>
        <w:spacing w:after="0" w:line="235" w:lineRule="auto"/>
        <w:rPr>
          <w:sz w:val="20"/>
          <w:szCs w:val="20"/>
          <w:color w:val="auto"/>
        </w:rPr>
      </w:pPr>
      <w:r>
        <w:rPr>
          <w:rFonts w:ascii="Times New Roman" w:cs="Times New Roman" w:eastAsia="Times New Roman" w:hAnsi="Times New Roman"/>
          <w:sz w:val="19"/>
          <w:szCs w:val="19"/>
          <w:color w:val="auto"/>
        </w:rPr>
        <w:t>In case the Collateral shall be in the possession of a receiver or trustee, lawfully appointed, the powers conferred in this Article 13 upon the Issuer, Holdings or a Guarantor with respect to the release, sale or other disposition of such property may be exercised by such receiver or trustee, and an instrument signed by such receiver or trustee shall be deemed the equivalent of any similar instrument of the Issuer, Holdings or a Guarantor or of any Officer or Officers thereof required by the provisions of this Article 13; and if the Notes Collateral Agent shall be in the possession of the Collateral under any provision of any Notes Document, then such powers may be exercised by the Notes Collateral Agent.</w:t>
      </w:r>
    </w:p>
    <w:p>
      <w:pPr>
        <w:spacing w:after="0" w:line="3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13.08</w:t>
      </w:r>
      <w:r>
        <w:rPr>
          <w:sz w:val="20"/>
          <w:szCs w:val="20"/>
          <w:color w:val="auto"/>
        </w:rPr>
        <w:tab/>
      </w:r>
      <w:r>
        <w:rPr>
          <w:rFonts w:ascii="Times New Roman" w:cs="Times New Roman" w:eastAsia="Times New Roman" w:hAnsi="Times New Roman"/>
          <w:sz w:val="18"/>
          <w:szCs w:val="18"/>
          <w:u w:val="single" w:color="auto"/>
          <w:color w:val="auto"/>
        </w:rPr>
        <w:t>Release Upon Termination of the Issuer’s Obligations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9"/>
        <w:spacing w:after="0" w:line="237" w:lineRule="auto"/>
        <w:rPr>
          <w:sz w:val="20"/>
          <w:szCs w:val="20"/>
          <w:color w:val="auto"/>
        </w:rPr>
      </w:pPr>
      <w:r>
        <w:rPr>
          <w:rFonts w:ascii="Times New Roman" w:cs="Times New Roman" w:eastAsia="Times New Roman" w:hAnsi="Times New Roman"/>
          <w:sz w:val="19"/>
          <w:szCs w:val="19"/>
          <w:color w:val="auto"/>
        </w:rPr>
        <w:t>In connection with the release of the Collateral in connection with termination of the Issuer’s obligations as described in Section 13.03(a)(1), in the event that the Officer’s Certificate and Opinion of Counsel delivered to the Trustee pursuant to Section 13.03(b) states that all conditions precedent to the execution and delivery of such notice by the Trustee have been satisfied, the Trustee shall, subject to and in accordance with Section 13.03(b) deliver to the Issuer and the Notes Collateral Agent a notice stating that the Trustee, on behalf of the Holders, disclaims and gives up any and all rights it has in or to the Collateral (other than with respect to funds held by the Trustee pursuant to Article 8), and any rights it has under the Collateral Documents, and upon receipt by the Notes Collateral Agent of such notice, the Notes Collateral Agent shall be deemed not to hold a Lien in the Collateral on behalf of the Noteholder Secured Parties and shall do or cause to be done all acts reasonably requested by the Issuer to release and discharge such Lien as soon as is reasonably practicable subject to and in accordance with Section 13.03(b).</w:t>
      </w:r>
    </w:p>
    <w:p>
      <w:pPr>
        <w:spacing w:after="0" w:line="16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color w:val="auto"/>
        </w:rPr>
        <w:t>Section 13.09</w:t>
      </w:r>
      <w:r>
        <w:rPr>
          <w:sz w:val="20"/>
          <w:szCs w:val="20"/>
          <w:color w:val="auto"/>
        </w:rPr>
        <w:tab/>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760"/>
          </w:cols>
          <w:pgMar w:left="580" w:top="1440" w:right="559" w:bottom="1440" w:gutter="0" w:footer="0" w:header="0"/>
        </w:sectPr>
      </w:pPr>
    </w:p>
    <w:bookmarkStart w:id="206" w:name="page207"/>
    <w:bookmarkEnd w:id="206"/>
    <w:p>
      <w:pPr>
        <w:spacing w:after="0" w:line="172" w:lineRule="exact"/>
        <w:rPr>
          <w:sz w:val="20"/>
          <w:szCs w:val="20"/>
          <w:color w:val="auto"/>
        </w:rPr>
      </w:pPr>
    </w:p>
    <w:p>
      <w:pPr>
        <w:jc w:val="both"/>
        <w:ind w:right="20" w:firstLine="650"/>
        <w:spacing w:after="0" w:line="229" w:lineRule="auto"/>
        <w:tabs>
          <w:tab w:leader="none" w:pos="1034"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their acceptance of the Notes, the Holders hereby designate and appoint Wilmington Trust, National Association to serve as Notes Collateral Agent and as their agent under this Indenture and the Collateral Documents, as applicable, and each of the Holders, by acceptance of the Notes, hereby irrevocably (i) authorizes the execution and delivery by the Notes Collateral Agent of each Collateral Document, and/or any amendment to the Collateral Documents described in Article 9 and Article 13, (ii) authorizes the Notes Collateral Agent to take such action on their behalf under the provisions of this Indenture and the Collateral Documents, as applicable, and to exercise such powers and perform such duties as are expressly delegated to the Notes Collateral Agent by the terms of this Indenture and the Collateral Documents, as applicable, and (iii) consents and agrees to the terms of each Collateral Document, as the same may be in effect or may be amended, restated, supplemented or otherwise modified from time to time in accordance with Article 9. Wilmington Trust, National Association hereby agrees to serve as Notes Collateral Agent under the Collateral Documents, the Pari Passu Intercreditor Agreement, and, subject to Article 9, any other Intercreditor Agreement, as applicable, and acknowledges that the Notes Collateral Agent agrees to act as such on the express conditions contained in this Section 13.09. The provisions of this Section 13.09 are solely for the benefit of the Notes Collateral Agent and, to the extent expressly stated, the Trustee and none of the Holders, any of the Grantors nor any other Person shall have any rights as a third party beneficiary of any of the provisions contained herein other than as expressly provided in Section 13.04 hereof. Each Holder agrees that any action taken by the Notes Collateral Agent in accordance with the provision of this Indenture and the Collateral Documents, and the exercise by the Notes Collateral Agent of any rights or remedies set forth herein and therein shall be authorized and binding upon all Holders. Notwithstanding any provision to the contrary contained elsewhere in this Indenture or the Collateral Documents, the duties of the Notes Collateral Agent shall be ministerial and administrative in nature, and the Notes Collateral Agent shall not have any duties or responsibilities, except those expressly set forth herein and in the other Notes Documents to which the Notes Collateral Agent is a party, nor shall the Notes Collateral Agent have or be deemed to have any trust or other fiduciary relationship with the Trustee, any Holder, any Grantor or any other Person, and no implied covenants, functions, responsibilities, duties, obligations or liabilities shall be read into this Indenture, the Collateral Documents, as applicable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w:t>
      </w:r>
    </w:p>
    <w:p>
      <w:pPr>
        <w:spacing w:after="0" w:line="2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create or reflect only an administrative relationship between independent contracting parties.</w:t>
      </w:r>
    </w:p>
    <w:p>
      <w:pPr>
        <w:spacing w:after="0" w:line="198" w:lineRule="exact"/>
        <w:rPr>
          <w:rFonts w:ascii="Times New Roman" w:cs="Times New Roman" w:eastAsia="Times New Roman" w:hAnsi="Times New Roman"/>
          <w:sz w:val="19"/>
          <w:szCs w:val="19"/>
          <w:color w:val="auto"/>
        </w:rPr>
      </w:pPr>
    </w:p>
    <w:p>
      <w:pPr>
        <w:jc w:val="both"/>
        <w:ind w:firstLine="650"/>
        <w:spacing w:after="0"/>
        <w:tabs>
          <w:tab w:leader="none" w:pos="1031"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may perform any of its duties under this Indenture, or the Collateral Documents by or through receivers, agents, employees, attorneys-in-fact or through its Affiliates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willful misconduct of any receiver, agent, employee, attorney-in- fact or Affiliate that it selects as long as such selection was made in good faith.</w:t>
      </w:r>
    </w:p>
    <w:p>
      <w:pPr>
        <w:spacing w:after="0" w:line="163" w:lineRule="exact"/>
        <w:rPr>
          <w:rFonts w:ascii="Times New Roman" w:cs="Times New Roman" w:eastAsia="Times New Roman" w:hAnsi="Times New Roman"/>
          <w:sz w:val="19"/>
          <w:szCs w:val="19"/>
          <w:color w:val="auto"/>
        </w:rPr>
      </w:pPr>
    </w:p>
    <w:p>
      <w:pPr>
        <w:jc w:val="both"/>
        <w:ind w:right="20" w:firstLine="650"/>
        <w:spacing w:after="0" w:line="246" w:lineRule="auto"/>
        <w:tabs>
          <w:tab w:leader="none" w:pos="103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Notes Collateral Agent or any of its Affiliates shall (i) be liable for any action taken or omitted to be taken by any of them under or in connection with this Indenture or the transactions contemplated hereby (except to the extent that the foregoing are found by a final, non-appealable judgment of a court of competent jurisdiction to have resulted from its own gross negligence or willful misconduct) or under or in connection with any Collateral Document, or the Intercreditor Agreements, as applicable or the transactions contemplated thereby (except to the extent that the foregoing are found by a final, non-appealable judgment of a court of competent jurisdiction to have resulted from its own gross negligence or willful misconduct), or (ii) be responsible in any manner to any of the Trustee or any Holder for any recital, statement, representation, warranty, covenant or agreement made by the Issuer, Holdings or any Grantor or Affiliate of any Grantor, or any Officer or Affiliates thereof, contained in this Indenture, or any other Notes Documents, or in any certificate, report, statement or other document referred to or provided for in, or received by the Notes Collateral Agent under or in connection with, this Indenture, the Collateral Documents, or the Intercreditor Agreements, as applicable, or the validity, effectiveness, genuineness, enforceability or sufficiency of this Indenture, the Collateral Documents, the Intercreditor Agreements, as applicable, or for any failure of any Grantor or any other party to this Indenture, the Collateral Documents, or the Intercreditor Agreements, as applicable to perform its obligations hereunder or thereunder. None of the Notes Collateral Agent or any of its respective Affiliates shall be under any obligation to the Trustee or any Holder to monitor, ascertain or inquire as to the observance or performance of any of the agreements contained in, or conditions of, this Indenture,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780"/>
          </w:cols>
          <w:pgMar w:left="580" w:top="1440" w:right="539" w:bottom="1440" w:gutter="0" w:footer="0" w:header="0"/>
        </w:sectPr>
      </w:pPr>
    </w:p>
    <w:bookmarkStart w:id="207" w:name="page208"/>
    <w:bookmarkEnd w:id="207"/>
    <w:p>
      <w:pPr>
        <w:spacing w:after="0" w:line="17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Collateral Documents, or the Intercreditor Agreements, as applicable or to inspect the properties, books, or records of any Grantor or any Grantor’s Affiliates.</w:t>
      </w:r>
    </w:p>
    <w:p>
      <w:pPr>
        <w:spacing w:after="0" w:line="193" w:lineRule="exact"/>
        <w:rPr>
          <w:sz w:val="20"/>
          <w:szCs w:val="20"/>
          <w:color w:val="auto"/>
        </w:rPr>
      </w:pPr>
    </w:p>
    <w:p>
      <w:pPr>
        <w:jc w:val="both"/>
        <w:ind w:right="20" w:firstLine="650"/>
        <w:spacing w:after="0" w:line="245" w:lineRule="auto"/>
        <w:tabs>
          <w:tab w:leader="none" w:pos="103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Grantor), independent accountants and other experts and advisors selected by the Notes Collateral Agent. The Notes Collateral Agent shall not be bound to make any investigation into the facts or matters stated in any resolution, certificate, statement, instrument, opinion, report, notice, request, direction, consent, judgment, order, bond, debenture, or other paper or document. The Notes Collateral Agent shall be fully justified in failing or refusing to take any action under this Indenture, the Collateral Documents or the Intercreditor Agreements unless it shall first receive such request, direction, instruction or consent of the Issuer in the case of Section 9.01 or any other provision that specifically provides for actions which may be taken without the consent of any Holder, or the Holders of a majority in aggregate principal amount of the Notes, in each case, as it determines and, if it so requests, it shall first be indemnified to its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the Collateral Documents or the Intercreditor Agreements in accordance with a request, direction, instruction or consent of the Holders of a majority in aggregate principal amount of the then outstanding Notes and such request and any action taken or failure to act pursuant thereto shall be binding upon all of the Holders.</w:t>
      </w:r>
    </w:p>
    <w:p>
      <w:pPr>
        <w:spacing w:after="0" w:line="178" w:lineRule="exact"/>
        <w:rPr>
          <w:rFonts w:ascii="Times New Roman" w:cs="Times New Roman" w:eastAsia="Times New Roman" w:hAnsi="Times New Roman"/>
          <w:sz w:val="18"/>
          <w:szCs w:val="18"/>
          <w:color w:val="auto"/>
        </w:rPr>
      </w:pPr>
    </w:p>
    <w:p>
      <w:pPr>
        <w:ind w:right="20" w:firstLine="650"/>
        <w:spacing w:after="0" w:line="235" w:lineRule="auto"/>
        <w:tabs>
          <w:tab w:leader="none" w:pos="1034"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shall not be deemed to have knowledge or notice of the occurrence of any Default or Event of Default, unless a Responsible Officer of the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Article 6 or the Holders of a majority in aggregate principal amount of the outstanding Notes (subject to this Section 13.09 and the terms of the Intercreditor Agreements).</w:t>
      </w:r>
    </w:p>
    <w:p>
      <w:pPr>
        <w:spacing w:after="0" w:line="52" w:lineRule="exact"/>
        <w:rPr>
          <w:rFonts w:ascii="Times New Roman" w:cs="Times New Roman" w:eastAsia="Times New Roman" w:hAnsi="Times New Roman"/>
          <w:sz w:val="19"/>
          <w:szCs w:val="19"/>
          <w:color w:val="auto"/>
        </w:rPr>
      </w:pPr>
    </w:p>
    <w:p>
      <w:pPr>
        <w:jc w:val="both"/>
        <w:ind w:right="20" w:firstLine="650"/>
        <w:spacing w:after="0"/>
        <w:tabs>
          <w:tab w:leader="none" w:pos="1040"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may resign at any time by notice to the Trustee (if the Trustee is not also acting as the Notes Collateral Agent hereunder) and the Issuer, such resignation to be effective upon the acceptance of a successor agent to its appointment as Notes Collateral Agent. If the Notes Collateral Agent resigns, the Issuer shall appoint a successor notes collateral agent. If no successor notes collateral agent is appointed prior to the intended effective date of the resignation of the Notes Collateral Agent (as stated in the notice of resignation), the Holders of a majority of the aggregate principal amount of the Notes then outstanding, may appoint a successor notes collateral agent, subject to the consent of the Issuer (which consent shall not be unreasonably withheld and which shall not be required during a continuing Event of Default). If no successor notes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notes collateral agent hereunder, such successor notes collateral agent shall succeed to all the rights, powers and duties of the retiring Notes Collateral Agent, and the term “Notes Collateral Agent” or “Collateral Agent” (as applicable) in the Notes Documents shall mean such successor notes collateral agent, and the retiring Notes Collateral Agent’s appointment, powers and duties as the Notes Collateral Agent shall be terminated. After the retiring Notes Collateral Agent’s resignation hereunder, the provisions of this Section 13.09 (and Section 7.07) 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spacing w:after="0" w:line="354" w:lineRule="exact"/>
        <w:rPr>
          <w:rFonts w:ascii="Times New Roman" w:cs="Times New Roman" w:eastAsia="Times New Roman" w:hAnsi="Times New Roman"/>
          <w:sz w:val="19"/>
          <w:szCs w:val="19"/>
          <w:color w:val="auto"/>
        </w:rPr>
      </w:pPr>
    </w:p>
    <w:p>
      <w:pPr>
        <w:jc w:val="both"/>
        <w:ind w:firstLine="650"/>
        <w:spacing w:after="0" w:line="244" w:lineRule="auto"/>
        <w:tabs>
          <w:tab w:leader="none" w:pos="1031"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Wilmington Trust, National Association shall initially act as Notes Collateral Agent and shall be authorized to appoint co-Notes Collateral Agents as necessary in its sole discretion. Neither the Notes Collateral Agent nor any of its respective officers, directors, employees or agents or other Affiliates shall be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780"/>
          </w:cols>
          <w:pgMar w:left="580" w:top="1440" w:right="539" w:bottom="1440" w:gutter="0" w:footer="0" w:header="0"/>
        </w:sectPr>
      </w:pPr>
    </w:p>
    <w:bookmarkStart w:id="208" w:name="page209"/>
    <w:bookmarkEnd w:id="208"/>
    <w:p>
      <w:pPr>
        <w:spacing w:after="0" w:line="1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liable to any Grantor or any Noteholder Secured Party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attorneys, representatives or agents shall be responsible for any act or failure to act hereunder, except to the extent such act is found by a final, non- appealable judgment of a court of competent jurisdiction to have resulted from its own gross negligence or willful misconduct.</w:t>
      </w:r>
    </w:p>
    <w:p>
      <w:pPr>
        <w:spacing w:after="0" w:line="204" w:lineRule="exact"/>
        <w:rPr>
          <w:sz w:val="20"/>
          <w:szCs w:val="20"/>
          <w:color w:val="auto"/>
        </w:rPr>
      </w:pPr>
    </w:p>
    <w:p>
      <w:pPr>
        <w:jc w:val="both"/>
        <w:ind w:right="20" w:firstLine="650"/>
        <w:spacing w:after="0" w:line="234" w:lineRule="auto"/>
        <w:tabs>
          <w:tab w:leader="none" w:pos="1031"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their acceptance of the Notes hereunder, each Holder or a Note is deemed to have authorized and directed each of the Notes Collateral Agent (and the Trustee, as applicable) to (i) enter into the Collateral Documents to which it is party, whether executed on or after the Issue Date, (ii) enter into any Intercreditor Agreement in accordance with Article 9 (including by joinder thereto), (iii) bind the Holders on the terms as set forth in the Collateral Documents and any Intercreditor Agreement, (iv) make the representations of the Holders set forth in the Collateral Documents and any Intercreditor Agreement, (v) perform and observe its obligations under the Collateral</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Documents and the Intercreditor Agreements and (vi) release any Collateral in accordance with the terms hereof.</w:t>
      </w:r>
    </w:p>
    <w:p>
      <w:pPr>
        <w:spacing w:after="0" w:line="185" w:lineRule="exact"/>
        <w:rPr>
          <w:rFonts w:ascii="Times New Roman" w:cs="Times New Roman" w:eastAsia="Times New Roman" w:hAnsi="Times New Roman"/>
          <w:sz w:val="19"/>
          <w:szCs w:val="19"/>
          <w:color w:val="auto"/>
        </w:rPr>
      </w:pPr>
    </w:p>
    <w:p>
      <w:pPr>
        <w:jc w:val="both"/>
        <w:ind w:right="20" w:firstLine="650"/>
        <w:spacing w:after="0" w:line="235" w:lineRule="auto"/>
        <w:tabs>
          <w:tab w:leader="none" w:pos="1043"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or times the Trustee shall receive (i) by payment, foreclosure, set-off or otherwise, any proceeds of Collateral or any payments with respect to the Obligations arising under, or relating to, this Indenture which such funds that a Responsible Officer of the Trustee is notified to be in contravention of the terms of the Intercreditor Agreements, except for any such proceeds or payments received by the Trustee from the Notes Collateral Agent pursuant to the terms of this Indenture, or (ii) payments from the Notes Collateral Agent in excess of the amount required to be paid to the Trustee pursuant to Article 7 (or otherwise applied by the Trustee in accordance with Section 6.13 following an Event of Default), the Trustee shall promptly turn the same over to the Notes Collateral Agent, in kind, and with such endorsements as may be required to negotiate the same to the Notes Collateral Agent such proceeds to be applied pursuant to the terms of the Intercreditor Agreements, as applicable.</w:t>
      </w:r>
    </w:p>
    <w:p>
      <w:pPr>
        <w:spacing w:after="0" w:line="178" w:lineRule="exact"/>
        <w:rPr>
          <w:rFonts w:ascii="Times New Roman" w:cs="Times New Roman" w:eastAsia="Times New Roman" w:hAnsi="Times New Roman"/>
          <w:sz w:val="19"/>
          <w:szCs w:val="19"/>
          <w:color w:val="auto"/>
        </w:rPr>
      </w:pPr>
    </w:p>
    <w:p>
      <w:pPr>
        <w:jc w:val="both"/>
        <w:ind w:right="20" w:firstLine="650"/>
        <w:spacing w:after="0" w:line="237" w:lineRule="auto"/>
        <w:tabs>
          <w:tab w:leader="none" w:pos="1043"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is each Noteholder Secured Party’s agent for the purpose of perfecting the Noteholder Secured Parties’ security interest in assets which, in accordance with Article 9 of the Uniform Commercial Code can be perfected only by possession. Should the Trustee obtain possession of any such Collateral, upon request from the Issuer, the Trustee shall notify the Notes Collateral Agent thereof and promptly shall deliver such Collateral to the Notes Collateral Agent or otherwise deal with such Collateral in accordance with the Notes Collateral Agent’s instructions.</w:t>
      </w:r>
    </w:p>
    <w:p>
      <w:pPr>
        <w:spacing w:after="0" w:line="176" w:lineRule="exact"/>
        <w:rPr>
          <w:rFonts w:ascii="Times New Roman" w:cs="Times New Roman" w:eastAsia="Times New Roman" w:hAnsi="Times New Roman"/>
          <w:sz w:val="19"/>
          <w:szCs w:val="19"/>
          <w:color w:val="auto"/>
        </w:rPr>
      </w:pPr>
    </w:p>
    <w:p>
      <w:pPr>
        <w:jc w:val="both"/>
        <w:ind w:right="20" w:firstLine="650"/>
        <w:spacing w:after="0" w:line="233" w:lineRule="auto"/>
        <w:tabs>
          <w:tab w:leader="none" w:pos="1031"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(and the Trustee) shall have no obligation whatsoever to the Trustee, any of the Holders, any of the Noteholder Secured Parties or any other Person to assure that the Collateral exists or is owned by any Grantor or is cared for, protected, or insured or has been encumbered, or that the Notes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Collateral Document, and the Intercreditor Agreements.</w:t>
      </w:r>
    </w:p>
    <w:p>
      <w:pPr>
        <w:spacing w:after="0" w:line="44" w:lineRule="exact"/>
        <w:rPr>
          <w:rFonts w:ascii="Times New Roman" w:cs="Times New Roman" w:eastAsia="Times New Roman" w:hAnsi="Times New Roman"/>
          <w:sz w:val="19"/>
          <w:szCs w:val="19"/>
          <w:color w:val="auto"/>
        </w:rPr>
      </w:pPr>
    </w:p>
    <w:p>
      <w:pPr>
        <w:jc w:val="both"/>
        <w:ind w:right="20" w:firstLine="650"/>
        <w:spacing w:after="0" w:line="233" w:lineRule="auto"/>
        <w:tabs>
          <w:tab w:leader="none" w:pos="1043"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Holdings or any Guarantor (i) incurs any obligations in respect of ABL Obligations at any time when no ABL Intercreditor Agreement is in effect or at any time when Indebtedness constituting ABL Obligations entitled to the benefit of an existing ABL Intercreditor Agreement is concurrently retired, and (ii) delivers to the Notes Collateral Agent an Officer’s Certificate so stating and requesting the Notes Collateral Agent to enter into an ABL Intercreditor Agreement in favor of a designated agent or representative for the holders of the ABL Obligations so incurred, the Notes Collateral Agent shall (and is hereby authorized and directed to), subject to the terms of (and receipt of the Officer’s Certificate and Opinion of Counsel described in) Section 9.06 enter into such ABL Intercreditor Agreement (at the sole expense and cost of the Issuer, including reasonable legal fees and expenses of the Notes Collateral Agent), bind the Holders on the terms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780"/>
          </w:cols>
          <w:pgMar w:left="580" w:top="1440" w:right="539" w:bottom="1440" w:gutter="0" w:footer="0" w:header="0"/>
        </w:sectPr>
      </w:pPr>
    </w:p>
    <w:bookmarkStart w:id="209" w:name="page210"/>
    <w:bookmarkEnd w:id="209"/>
    <w:p>
      <w:pPr>
        <w:spacing w:after="0" w:line="5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forth therein and perform and observe its obligations thereunder. To the extent an ABL Intercreditor Agreement is already then in existence, if the Issuer, Holdings or any Guarantor (i) incurs any additional Obligations in respect of Indebtedness secured by the Collateral and (ii) delivers to the Notes Collateral Agent an Officer’s Certificate so stating and requesting the Notes Collateral Agent to enter into a joinder to the ABL Intercreditor Agreement in favor of a designated agent or representative for the holders of such Obligations in respect of Indebtedness secured by the Collateral, the Notes Collateral Agent shall (and is hereby authorized and directed to), subject to the terms of (and receipt of the Officer’s Certificate and Opinion of Counsel described in) Section 9.06, enter into such joinder (at the sole expense and cost of the Issuer, including reasonable legal fees and expenses of the Notes Collateral Agent). By its acceptance of the Notes, each Holder shall be deemed to have authorized and directed the Notes Collateral Agent to enter into and perform its obligations under the ABL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Intercreditor Agreement.</w:t>
      </w:r>
    </w:p>
    <w:p>
      <w:pPr>
        <w:spacing w:after="0" w:line="185" w:lineRule="exact"/>
        <w:rPr>
          <w:sz w:val="20"/>
          <w:szCs w:val="20"/>
          <w:color w:val="auto"/>
        </w:rPr>
      </w:pPr>
    </w:p>
    <w:p>
      <w:pPr>
        <w:jc w:val="both"/>
        <w:ind w:firstLine="650"/>
        <w:spacing w:after="0" w:line="232" w:lineRule="auto"/>
        <w:tabs>
          <w:tab w:leader="none" w:pos="1043" w:val="left"/>
        </w:tabs>
        <w:numPr>
          <w:ilvl w:val="1"/>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Holdings or any Guarantor (i) incurs any Obligations in respect of Indebtedness secured by the Collateral with Junior Lien Priority relative to the Notes and the Note Guarantees at any time when no Second Lien Intercreditor Agreement is in effect or at any time when Indebtedness constituting Indebtedness secured by the Collateral with Junior Lien Priority relative to the Notes and the Note Guarantees entitled to the benefit of an existing Second Lien Intercreditor Agreement is concurrently retired, and (ii) delivers to the Notes Collateral Agent an Officer’s Certificate so stating and requesting the Notes Collateral Agent to enter into a Second Lien Intercreditor Agreement in favor of a designated agent or representative for the holders of the Obligations in respect of Indebtedness secured by the Collateral with Junior Lien Priority relative to the Notes and the Note Guarantees so incurred, the Notes Collateral Agent shall (and is hereby authorized and directed to), subject to the terms of (and receipt of the Officer’s Certificate and Opinion of Counsel described in) Section 9.06 enter into such Second Lien Intercreditor Agreement (at the sole expense and cost of the Issuer, including reasonable legal fees and expenses of the Notes Collateral Agent), bind the Holders on the terms set forth therein and perform and observe its obligations thereunder. To the extent a Second Lien Intercreditor Agreement is already then in existence, if the Issuer, Holdings or any Guarantor (i) incurs any additional Obligations in respect of Indebtedness secured by the Collateral with Junior Lien Priority relative to the Notes and the Note Guarantees and</w:t>
      </w:r>
    </w:p>
    <w:p>
      <w:pPr>
        <w:spacing w:after="0" w:line="10" w:lineRule="exact"/>
        <w:rPr>
          <w:rFonts w:ascii="Times New Roman" w:cs="Times New Roman" w:eastAsia="Times New Roman" w:hAnsi="Times New Roman"/>
          <w:sz w:val="19"/>
          <w:szCs w:val="19"/>
          <w:color w:val="auto"/>
        </w:rPr>
      </w:pPr>
    </w:p>
    <w:p>
      <w:pPr>
        <w:jc w:val="both"/>
        <w:ind w:firstLine="1"/>
        <w:spacing w:after="0" w:line="232" w:lineRule="auto"/>
        <w:tabs>
          <w:tab w:leader="none" w:pos="285"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delivers to the Notes Collateral Agent an Officer’s Certificate so stating and requesting the Notes Collateral Agent to enter into a joinder to the Second Lien Intercreditor Agreement in favor of a designated agent or representative for the holders of such Obligations in respect of Indebtedness secured by the Collateral with Junior Lien Priority relative to the Notes and the Note Guarantees, the Notes Collateral Agent shall (and is hereby authorized and directed to), subject to the terms of (and receipt of the Officer’s Certificate and Opinion of Counsel described in) Section 9.06, enter into such joinder (at the sole expense and cost of the Issuer, including reasonable legal fees and expenses of the Notes Collateral Agent). By its acceptance of the Notes, each Holder shall be deemed to have authorized and directed the Notes Collateral Agent to enter into and perform its obligations under the Second Lien Intercreditor Agreement.</w:t>
      </w:r>
    </w:p>
    <w:p>
      <w:pPr>
        <w:spacing w:after="0" w:line="40" w:lineRule="exact"/>
        <w:rPr>
          <w:rFonts w:ascii="Times New Roman" w:cs="Times New Roman" w:eastAsia="Times New Roman" w:hAnsi="Times New Roman"/>
          <w:sz w:val="19"/>
          <w:szCs w:val="19"/>
          <w:color w:val="auto"/>
        </w:rPr>
      </w:pPr>
    </w:p>
    <w:p>
      <w:pPr>
        <w:jc w:val="both"/>
        <w:ind w:firstLine="650"/>
        <w:spacing w:after="0" w:line="258" w:lineRule="auto"/>
        <w:tabs>
          <w:tab w:leader="none" w:pos="103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the Intercreditor Agreements or any Collateral Document will require the Notes Collateral Agent to expend or risk its own funds or incur any liability. The Notes Collateral Agent will be under no obligation to exercise any of its rights or powers under this Indenture, the Intercreditor Agreements or any Collateral Document at the request or direction of any Holders, unless such Holder has offered, and if requested, provided to the Notes Collateral Agent indemnity or security satisfactory to it against any loss, liability or expense. Notwithstanding anything to the contrary contained in this Indenture, the Intercreditor Agreements or the Collateral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clause if it no longer deems any indemnity, security or undertaking from the Issuer or the Holders to be sufficient.</w:t>
      </w:r>
    </w:p>
    <w:p>
      <w:pPr>
        <w:spacing w:after="0" w:line="157" w:lineRule="exact"/>
        <w:rPr>
          <w:rFonts w:ascii="Times New Roman" w:cs="Times New Roman" w:eastAsia="Times New Roman" w:hAnsi="Times New Roman"/>
          <w:sz w:val="18"/>
          <w:szCs w:val="18"/>
          <w:color w:val="auto"/>
        </w:rPr>
      </w:pPr>
    </w:p>
    <w:p>
      <w:pPr>
        <w:ind w:firstLine="650"/>
        <w:spacing w:after="0" w:line="250" w:lineRule="auto"/>
        <w:tabs>
          <w:tab w:leader="none" w:pos="1031" w:val="left"/>
        </w:tabs>
        <w:numPr>
          <w:ilvl w:val="1"/>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shall not shall not be liable for interest on any money received by it except as the Notes Collateral Agent may agree in writing with the Company and may consult with counsel of</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760"/>
          </w:cols>
          <w:pgMar w:left="580" w:top="1440" w:right="559" w:bottom="1440" w:gutter="0" w:footer="0" w:header="0"/>
        </w:sectPr>
      </w:pPr>
    </w:p>
    <w:bookmarkStart w:id="210" w:name="page211"/>
    <w:bookmarkEnd w:id="210"/>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its selection and the advice or opinion of such counsel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138" w:lineRule="exact"/>
        <w:rPr>
          <w:sz w:val="20"/>
          <w:szCs w:val="20"/>
          <w:color w:val="auto"/>
        </w:rPr>
      </w:pPr>
    </w:p>
    <w:p>
      <w:pPr>
        <w:jc w:val="both"/>
        <w:ind w:firstLine="650"/>
        <w:spacing w:after="0" w:line="251" w:lineRule="auto"/>
        <w:tabs>
          <w:tab w:leader="none" w:pos="1031"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Notes Collateral Agent be responsible or liable for any special, indirect, punitive, incidental or consequential loss or damage or any kind whatsoever (including, but not limited to, lost profits) irrespective of whether the Notes Collateral Agent has been advised of the likelihood of such loss or damage and regardless of the form of action.</w:t>
      </w:r>
    </w:p>
    <w:p>
      <w:pPr>
        <w:spacing w:after="0" w:line="165" w:lineRule="exact"/>
        <w:rPr>
          <w:rFonts w:ascii="Times New Roman" w:cs="Times New Roman" w:eastAsia="Times New Roman" w:hAnsi="Times New Roman"/>
          <w:sz w:val="19"/>
          <w:szCs w:val="19"/>
          <w:color w:val="auto"/>
        </w:rPr>
      </w:pPr>
    </w:p>
    <w:p>
      <w:pPr>
        <w:jc w:val="both"/>
        <w:ind w:firstLine="650"/>
        <w:spacing w:after="0" w:line="230" w:lineRule="auto"/>
        <w:tabs>
          <w:tab w:leader="none" w:pos="1031"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does not assume any responsibility for any failure or delay in performance or any breach by the Company or any Guarantor or any other Perso n under this Indenture, the Intercreditor Agreements and the Collateral Documents. The Notes Collateral Agent shall not be responsible to the Holders or any other Person for any recitals, statements, information, representations or warranties contained in this Indenture, the Collateral Documents, the Intercreditor Agreements or in any certificate, report, statement, or other document referred to or provided for in, or received by the Notes Collateral Agent under or in connection with, this Indenture, the Intercreditor Agreements or any Collateral Document; the execution, validity, genuineness, effectiveness or enforceability of the Intercreditor Agreements and any Collateral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Intercreditor Agreements and the Collateral Documents. The Notes Collateral Agent shall have no obligation to any Holder or any other Person to ascertain or inquire into the existence of any Default or Event of Default, the observance or performance by any obligor of any terms of this Indenture, the Intercreditor Agreements and the Collateral Documents, or the satisfaction of any conditions precedent contained in this Indenture, the Intercreditor Agreements and any Collateral Documents. The Notes Collateral Agent shall not be required to initiate or conduct any litigation or collection or other proceeding under this Indenture, the Intercreditor Agreements and the Collateral Documents. The Notes Collateral Agent shall have the right at any time to seek instructions from the Holders</w:t>
      </w:r>
    </w:p>
    <w:p>
      <w:pPr>
        <w:spacing w:after="0" w:line="1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administration of this Indenture, the Collateral Documents and the Intercreditor Agreements.</w:t>
      </w:r>
    </w:p>
    <w:p>
      <w:pPr>
        <w:spacing w:after="0" w:line="63" w:lineRule="exact"/>
        <w:rPr>
          <w:rFonts w:ascii="Times New Roman" w:cs="Times New Roman" w:eastAsia="Times New Roman" w:hAnsi="Times New Roman"/>
          <w:sz w:val="19"/>
          <w:szCs w:val="19"/>
          <w:color w:val="auto"/>
        </w:rPr>
      </w:pPr>
    </w:p>
    <w:p>
      <w:pPr>
        <w:jc w:val="both"/>
        <w:ind w:firstLine="650"/>
        <w:spacing w:after="0" w:line="233" w:lineRule="auto"/>
        <w:tabs>
          <w:tab w:leader="none" w:pos="1040"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and the Holders hereby agree and acknowledge that the Notes Collateral Agent shall not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Intercreditor Agreements, if applicable, and the Collateral Documents or any actions taken pursuant hereto or thereto. Further, the parties hereto and the Holders hereby agree and acknowledge that in the exercise of its rights under this Indenture, the Intercreditor Agreements, if applicable, and the Collateral Documents, the Notes Collateral Agent may hold or obtain indicia of ownership primarily to protect the security interest of the Notes Collateral Agent in the Collateral, including without limitation the properties constituting real property that constitute Collateral, and that any such actions taken by the Notes Collateral Agent shall not be construed as or otherwise constitute any participation in the management of such Collateral, including without limitation the real properties that constitute Collateral, as those terms are defined in Section 101(20)(E) of the Comprehensive Environmental Response, Compensation, and Liability Act, 42 U.S.C. §§ 9601 et seq., as amended. In the event that the Notes Collateral Agent or the Trustee is required to acquire title to an asset for any reason, or take any managerial action of any kind in regard thereto which in the Notes Collateral Agent’s or the Trustee’s, as applicable, sole discretion may cause the Notes Collateral Agent or the Trustee to be considered an “owner or operator” under the provisions of Comprehensive Environmental Response, Compensation, and Liability Act, 42 U.S.C. §§ 9601 et seq., as amended, or otherwise cause the Notes Collateral Agent or the Trustee to incur liability under the Comprehensive Environmental Response, Compensation, and Liability Act, 42 U.S.C. §§ 9601 et seq., as amended or any other federal, state or local law, each of the Notes Collateral Agent and the Trustee, as applicable, reserves the right, instead of taking such action, to either resign as the Notes Collateral Agent or the Trustee or arrange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760"/>
          </w:cols>
          <w:pgMar w:left="580" w:top="1440" w:right="559" w:bottom="1440" w:gutter="0" w:footer="0" w:header="0"/>
        </w:sectPr>
      </w:pPr>
    </w:p>
    <w:bookmarkStart w:id="211" w:name="page212"/>
    <w:bookmarkEnd w:id="211"/>
    <w:p>
      <w:pPr>
        <w:spacing w:after="0" w:line="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the transfer of the title or control of the asset to a court-appointed receiver. Neither the Notes Collateral Agent nor the Trustee shall be liable to the Issuer, Holdings, the Guarantors or any other Person for any environmental claims or contribution actions under any federal, state or local law, rule or regulation by reason of the Notes Collateral Agent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the Issuer, Holdings or the Guarantors, the Holders of a majority in aggregate principal amount of outstanding Notes shall direct the Notes Collateral Agent or the Trustee to appoint an appropriately qualified Person (excluding the Notes Collateral Agent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Trustee) who they shall designate to possess, own, operate or manage, as the case may be, the property</w:t>
      </w:r>
    </w:p>
    <w:p>
      <w:pPr>
        <w:spacing w:after="0" w:line="181" w:lineRule="exact"/>
        <w:rPr>
          <w:sz w:val="20"/>
          <w:szCs w:val="20"/>
          <w:color w:val="auto"/>
        </w:rPr>
      </w:pPr>
    </w:p>
    <w:p>
      <w:pPr>
        <w:jc w:val="both"/>
        <w:ind w:firstLine="650"/>
        <w:spacing w:after="0" w:line="234" w:lineRule="auto"/>
        <w:tabs>
          <w:tab w:leader="none" w:pos="1037"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receipt by the Notes Collateral Agent of a written request of the Issuer signed by one of its Officers (a “</w:t>
      </w:r>
      <w:r>
        <w:rPr>
          <w:rFonts w:ascii="Times New Roman" w:cs="Times New Roman" w:eastAsia="Times New Roman" w:hAnsi="Times New Roman"/>
          <w:sz w:val="19"/>
          <w:szCs w:val="19"/>
          <w:u w:val="single" w:color="auto"/>
          <w:color w:val="auto"/>
        </w:rPr>
        <w:t>Security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Document Order</w:t>
      </w:r>
      <w:r>
        <w:rPr>
          <w:rFonts w:ascii="Times New Roman" w:cs="Times New Roman" w:eastAsia="Times New Roman" w:hAnsi="Times New Roman"/>
          <w:sz w:val="19"/>
          <w:szCs w:val="19"/>
          <w:color w:val="auto"/>
        </w:rPr>
        <w:t>”), the Notes Collateral Agent is hereby authorized to execute and enter into, and if satisfactory in form and substance to the Notes Collateral Agent, execute and enter into, without the further consent of any Holder or the Trustee, any Collateral Document to be executed after the Issue Date. Such Security Document Order shall (i) state that it is being delivered to the Notes Collateral Agent pursuant to, and is a Security Document Order referred to in, this Section 13.09(s), and (ii) instruct the Notes Collateral Agent to execute and enter into such Collateral Document. Any such execution of a Collateral Document shall be at the direction and expense of the Issuer, upon delivery to the Notes Collateral Agent of an Officer’s Certificate and Opinion of Counsel stating that all conditions precedent to the execution and delivery of the Collateral Document have been satisfied. The Holders, by their acceptance of the Notes, hereby authorize and direct the Notes Collateral Agent to execute such Collateral Documents.</w:t>
      </w:r>
    </w:p>
    <w:p>
      <w:pPr>
        <w:spacing w:after="0" w:line="161" w:lineRule="exact"/>
        <w:rPr>
          <w:rFonts w:ascii="Times New Roman" w:cs="Times New Roman" w:eastAsia="Times New Roman" w:hAnsi="Times New Roman"/>
          <w:sz w:val="19"/>
          <w:szCs w:val="19"/>
          <w:color w:val="auto"/>
        </w:rPr>
      </w:pPr>
    </w:p>
    <w:p>
      <w:pPr>
        <w:jc w:val="both"/>
        <w:ind w:firstLine="650"/>
        <w:spacing w:after="0" w:line="235" w:lineRule="auto"/>
        <w:tabs>
          <w:tab w:leader="none" w:pos="1043"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provisions of the applicable Collateral Documents and the Intercreditor Agreements, each Holder, by acceptance of the Notes, agrees that the Notes Collateral Agent shall execute and deliver the Intercreditor Agreements and the Collateral Documents to which it is a party and all agreements, documents and instruments incidental thereto, and act in accordance with the terms thereof. For the avoidance of doubt, the Notes Collateral Agent shall have no discretion under this Indenture, the Intercreditor Agreements or the Collateral Documents and shall not be required to make or give any determination, consent, approval, request or direction without the written direction of (i) the Holders of a majority in aggregate principal amount of the then outstanding Notes, (ii) the Trustee (acting pursuant to the written direction of the Holders of a majority in aggregate principal amount of the then outstanding Notes), or (iii) as expressly set forth herein, the Company, as applicable, subject, in each case, to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the rights, protections, privileges, indemnities and immunities afforded the Notes Collateral Agent and the Trustee hereunder and under the Collateral Documents.</w:t>
      </w:r>
    </w:p>
    <w:p>
      <w:pPr>
        <w:spacing w:after="0" w:line="167" w:lineRule="exact"/>
        <w:rPr>
          <w:rFonts w:ascii="Times New Roman" w:cs="Times New Roman" w:eastAsia="Times New Roman" w:hAnsi="Times New Roman"/>
          <w:sz w:val="19"/>
          <w:szCs w:val="19"/>
          <w:color w:val="auto"/>
        </w:rPr>
      </w:pPr>
    </w:p>
    <w:p>
      <w:pPr>
        <w:jc w:val="both"/>
        <w:ind w:firstLine="650"/>
        <w:spacing w:after="0" w:line="244" w:lineRule="auto"/>
        <w:tabs>
          <w:tab w:leader="none" w:pos="1031"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occurrence and continuance of an Event of Default, the Trustee, acting at the direction of the Holders of a majority of the aggregate principal amount of the Notes then outstanding, may direct the Notes Collateral Agent in connection with any action required or permitted by this Indenture, the Collateral Documents or the Intercreditor Agreements.</w:t>
      </w:r>
    </w:p>
    <w:p>
      <w:pPr>
        <w:spacing w:after="0" w:line="170" w:lineRule="exact"/>
        <w:rPr>
          <w:rFonts w:ascii="Times New Roman" w:cs="Times New Roman" w:eastAsia="Times New Roman" w:hAnsi="Times New Roman"/>
          <w:sz w:val="19"/>
          <w:szCs w:val="19"/>
          <w:color w:val="auto"/>
        </w:rPr>
      </w:pPr>
    </w:p>
    <w:p>
      <w:pPr>
        <w:jc w:val="both"/>
        <w:ind w:firstLine="650"/>
        <w:spacing w:after="0" w:line="241" w:lineRule="auto"/>
        <w:tabs>
          <w:tab w:leader="none" w:pos="1031"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Collateral Agent is authorized to receive any funds for the benefit of itself, the Trustee and the Holders distributed under the Collateral Documents or the Intercreditor Agreements and to the extent not prohibited under the Intercreditor Agreements, for turnover to the Trustee to make further distributions of such funds to the Trustee for further distribution in accordance with the provisions of Section 6.13 and the other provisions of this Indenture.</w:t>
      </w:r>
    </w:p>
    <w:p>
      <w:pPr>
        <w:spacing w:after="0" w:line="40" w:lineRule="exact"/>
        <w:rPr>
          <w:rFonts w:ascii="Times New Roman" w:cs="Times New Roman" w:eastAsia="Times New Roman" w:hAnsi="Times New Roman"/>
          <w:sz w:val="19"/>
          <w:szCs w:val="19"/>
          <w:color w:val="auto"/>
        </w:rPr>
      </w:pPr>
    </w:p>
    <w:p>
      <w:pPr>
        <w:jc w:val="both"/>
        <w:ind w:firstLine="650"/>
        <w:spacing w:after="0" w:line="245" w:lineRule="auto"/>
        <w:tabs>
          <w:tab w:leader="none" w:pos="1032"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each case that Notes Collateral Agent may or is required hereunder or under any Collateral Document to take any action (an “</w:t>
      </w:r>
      <w:r>
        <w:rPr>
          <w:rFonts w:ascii="Times New Roman" w:cs="Times New Roman" w:eastAsia="Times New Roman" w:hAnsi="Times New Roman"/>
          <w:sz w:val="19"/>
          <w:szCs w:val="19"/>
          <w:u w:val="single" w:color="auto"/>
          <w:color w:val="auto"/>
        </w:rPr>
        <w:t>Action</w:t>
      </w:r>
      <w:r>
        <w:rPr>
          <w:rFonts w:ascii="Times New Roman" w:cs="Times New Roman" w:eastAsia="Times New Roman" w:hAnsi="Times New Roman"/>
          <w:sz w:val="19"/>
          <w:szCs w:val="19"/>
          <w:color w:val="auto"/>
        </w:rPr>
        <w:t>”), including without limitation to make any determination, to give consents, to exercise rights, powers or remedies, to release or sell Collateral or otherwise to act hereunder or under any Collateral Document,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If the Notes Collateral Agent shall request direction from the Holders of a majority in aggregate principal amount of the then outstanding Notes with respect to any Action, the Notes Collateral Agent shall be entitled to refrain from</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760"/>
          </w:cols>
          <w:pgMar w:left="580" w:top="1440" w:right="559" w:bottom="1440" w:gutter="0" w:footer="0" w:header="0"/>
        </w:sectPr>
      </w:pPr>
    </w:p>
    <w:bookmarkStart w:id="212" w:name="page213"/>
    <w:bookmarkEnd w:id="212"/>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such Action unless and until the Notes Collateral Agent shall have received direction from the Holders of a majority in aggregate principal amount of the then outstanding Notes, and the Notes Collateral Agent shall not incur liability to any Person by reason of so refraining.</w:t>
      </w:r>
    </w:p>
    <w:p>
      <w:pPr>
        <w:spacing w:after="0" w:line="150" w:lineRule="exact"/>
        <w:rPr>
          <w:sz w:val="20"/>
          <w:szCs w:val="20"/>
          <w:color w:val="auto"/>
        </w:rPr>
      </w:pPr>
    </w:p>
    <w:p>
      <w:pPr>
        <w:jc w:val="both"/>
        <w:ind w:firstLine="650"/>
        <w:spacing w:after="0" w:line="233" w:lineRule="auto"/>
        <w:tabs>
          <w:tab w:leader="none" w:pos="1031"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Indenture or any other Note Document, in no event shall the Notes Collateral Agent be responsible for, or have any duty or obligation with respect to, the recording, filing, registering, perfection, protection or maintenance of the security interests or Liens intended to be created by this Indenture or the other Notes Documents(including without limitation the filing or continuation of any UCC financing or continuation statements or similar documents or instruments), nor shall the Notes Collateral Agent be responsible for, and the Notes Collateral Agent makes no representation regarding, the validity, effectiveness or priority of any of the Collateral Documents or the security interests or Liens intended to be created thereby. The Notes Collateral Agent makes no representation regarding the validity, effectiveness or enforceability of any Intercreditor Agreement, if applicable or any subsequent intercreditor agreement.</w:t>
      </w:r>
    </w:p>
    <w:p>
      <w:pPr>
        <w:spacing w:after="0" w:line="166" w:lineRule="exact"/>
        <w:rPr>
          <w:rFonts w:ascii="Times New Roman" w:cs="Times New Roman" w:eastAsia="Times New Roman" w:hAnsi="Times New Roman"/>
          <w:sz w:val="19"/>
          <w:szCs w:val="19"/>
          <w:color w:val="auto"/>
        </w:rPr>
      </w:pPr>
    </w:p>
    <w:p>
      <w:pPr>
        <w:jc w:val="both"/>
        <w:ind w:right="20" w:firstLine="650"/>
        <w:spacing w:after="0" w:line="246" w:lineRule="auto"/>
        <w:tabs>
          <w:tab w:leader="none" w:pos="1031"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Before the Notes Collateral Agent acts or refrains from acting in each case at the request or direction of the Issuer, Holdings or the Guarantors, or in connection with any Collateral Document or any Intercreditor Agreement, if applicable, it may require an Officer’s Certificate and an Opinion of Counsel, which shall conform to the provisions of </w:t>
      </w:r>
      <w:r>
        <w:rPr>
          <w:rFonts w:ascii="Times New Roman" w:cs="Times New Roman" w:eastAsia="Times New Roman" w:hAnsi="Times New Roman"/>
          <w:sz w:val="19"/>
          <w:szCs w:val="19"/>
          <w:u w:val="single" w:color="auto"/>
          <w:color w:val="auto"/>
        </w:rPr>
        <w:t>Section 12.05</w:t>
      </w:r>
      <w:r>
        <w:rPr>
          <w:rFonts w:ascii="Times New Roman" w:cs="Times New Roman" w:eastAsia="Times New Roman" w:hAnsi="Times New Roman"/>
          <w:sz w:val="19"/>
          <w:szCs w:val="19"/>
          <w:color w:val="auto"/>
        </w:rPr>
        <w:t xml:space="preserve"> hereof. The Notes Collateral Agent shall not be liable for any action it takes or omits to take in good faith in reliance on such certificate or opinion.</w:t>
      </w:r>
    </w:p>
    <w:p>
      <w:pPr>
        <w:spacing w:after="0" w:line="157" w:lineRule="exact"/>
        <w:rPr>
          <w:rFonts w:ascii="Times New Roman" w:cs="Times New Roman" w:eastAsia="Times New Roman" w:hAnsi="Times New Roman"/>
          <w:sz w:val="19"/>
          <w:szCs w:val="19"/>
          <w:color w:val="auto"/>
        </w:rPr>
      </w:pPr>
    </w:p>
    <w:p>
      <w:pPr>
        <w:jc w:val="both"/>
        <w:ind w:right="20" w:firstLine="650"/>
        <w:spacing w:after="0" w:line="266" w:lineRule="auto"/>
        <w:tabs>
          <w:tab w:leader="none" w:pos="1034"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but subject to the terms of any Intercreditor Agreement, the Notes Collateral Agent shall act pursuant to the instructions of the Noteholder Secured Parties as provided in this Indenture solely with respect to the Collateral Documents.</w:t>
      </w:r>
    </w:p>
    <w:p>
      <w:pPr>
        <w:spacing w:after="0" w:line="151" w:lineRule="exact"/>
        <w:rPr>
          <w:sz w:val="20"/>
          <w:szCs w:val="20"/>
          <w:color w:val="auto"/>
        </w:rPr>
      </w:pPr>
    </w:p>
    <w:p>
      <w:pPr>
        <w:jc w:val="both"/>
        <w:ind w:firstLine="650"/>
        <w:spacing w:after="0" w:line="232" w:lineRule="auto"/>
        <w:tabs>
          <w:tab w:leader="none" w:pos="990"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Issuer, Holdings and the Guarantors, jointly and severally, shall indemnify the Notes Collateral Agent for, and hold the Notes Collateral Agent harmless for, from and against, any and all loss, damage, claim, liability or expense (including attorneys’ fees) incurred by it in connection with the acceptance or the performance of its duties hereunder and under the other Notes Documents (including the costs and expenses of enforcing any Note Document against the Issuer, Holdings or any of the Guarantors (including this Article 13) or defending itself against any claim whether asserted by any Holder, the Issuer or any Guarantor, any holder of Other Pari Passu Lien Obligations or liability in connection with the acceptance, exercise or performance of any of its powers or duties hereunder). The Notes Collateral Agent shall notify the Issuer promptly of any claim for which it may seek indemnity. Failure by the Notes Collateral Agent to so notify the Issuer shall not relieve the Issuer, Holdings or any Guarantor of their obligations hereunder. The Issuer, Holdings and the Guarantors shall defend the claim and the Notes Collateral Agent may have separate counsel and the Issuer, Holdings and the Guarantors shall pay the reasonable fees and expenses of such counsel. The Issuer, Holdings and the Guarantors need not reimburse any expense or indemnify against any loss, liability or expense incurred by the Notes Collateral Agent through the result of the Notes Collateral Agent’s own willful misconduct or gross negligence, as determined by a final, non-appealable judgment of a court of competent jurisdiction. The obligations of the Issuer, Holdings and the Guarantors under this Section 13.09(aa) shall survive the satisfaction and discharge of this Indenture or the earlier resignation or removal of the Notes Collateral Agent. To secure the payment obligations of the Issuer, Holdings and the Guarantors in this Section 13.09(aa), the Notes Collateral Agent shall have a Lien prior to the Notes and rights of the Holders on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money or property held or collected by the Trustee or Notes Collateral Agent, except that held in trust to pay principal, premium, if any, and interest on particular Notes. Such Lien shall survive the satisfaction and discharge of this Indenture. For the avoidance of doubt, the Issuer shall pay compensation to, reimburse expenses of and indemnify the Notes Collateral Agent in accordance with Section 7.07 hereof.</w:t>
      </w:r>
    </w:p>
    <w:p>
      <w:pPr>
        <w:spacing w:after="0" w:line="167" w:lineRule="exact"/>
        <w:rPr>
          <w:rFonts w:ascii="Times New Roman" w:cs="Times New Roman" w:eastAsia="Times New Roman" w:hAnsi="Times New Roman"/>
          <w:sz w:val="19"/>
          <w:szCs w:val="19"/>
          <w:color w:val="auto"/>
        </w:rPr>
      </w:pPr>
    </w:p>
    <w:p>
      <w:pPr>
        <w:jc w:val="both"/>
        <w:ind w:firstLine="650"/>
        <w:spacing w:after="0" w:line="235" w:lineRule="auto"/>
        <w:tabs>
          <w:tab w:leader="none" w:pos="1011"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Indenture or in any Collateral Document or any Intercreditor Agreement, in no event shall the Notes Collateral Agent or the Trustee be responsible for, or have any duty or obligation with respect to, the recording, filing, registering, perfection, protection or maintenance of the security interests or Liens intended to be created by this Indenture, the Collateral Documents or the Intercreditor Agreements (including without limitation the filing or continuation of any UCC financing or continuation statements or similar documents or instruments), nor shall the Notes Collateral Agent or the Trustee be responsible for, and neither the Notes Collateral Agent nor the Trustee makes any representation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760"/>
          </w:cols>
          <w:pgMar w:left="580" w:top="1440" w:right="559" w:bottom="1440" w:gutter="0" w:footer="0" w:header="0"/>
        </w:sectPr>
      </w:pPr>
    </w:p>
    <w:bookmarkStart w:id="213" w:name="page214"/>
    <w:bookmarkEnd w:id="213"/>
    <w:p>
      <w:pPr>
        <w:spacing w:after="0" w:line="18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regarding, the validity, effectiveness, perfection or priority of any of the Collateral Documents or the security interests or Liens intended to be created thereby.</w:t>
      </w:r>
    </w:p>
    <w:p>
      <w:pPr>
        <w:spacing w:after="0" w:line="152" w:lineRule="exact"/>
        <w:rPr>
          <w:sz w:val="20"/>
          <w:szCs w:val="20"/>
          <w:color w:val="auto"/>
        </w:rPr>
      </w:pPr>
    </w:p>
    <w:p>
      <w:pPr>
        <w:jc w:val="both"/>
        <w:ind w:firstLine="650"/>
        <w:spacing w:after="0" w:line="237" w:lineRule="auto"/>
        <w:tabs>
          <w:tab w:leader="none" w:pos="992"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Beyond the exercise of reasonable care in the custody thereof, the Notes Collateral Agent shall have no duty as to any Collateral in its possession or control or in the possession or control of any agent or bailee or any income thereon or as to preservation of rights against prior parties or any other rights pertaining thereto and the Notes Collateral Agent shall not be responsible for filing any financing or continuation statements or recording any documents or instruments in any public office at any time or times or otherwise perfecting or maintaining the perfection of any security interest in the Collateral. The Notes Collateral Agent shall not be liable or responsible for any loss or diminution in the value of any of the Collateral, by reason of the act or omission of any carrier, forwarding agency or other agent or bailee selected by the Notes Collateral Agent in good faith.</w:t>
      </w: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760"/>
          </w:cols>
          <w:pgMar w:left="580" w:top="1440" w:right="559" w:bottom="1440" w:gutter="0" w:footer="0" w:header="0"/>
        </w:sectPr>
      </w:pPr>
    </w:p>
    <w:bookmarkStart w:id="214" w:name="page215"/>
    <w:bookmarkEnd w:id="214"/>
    <w:p>
      <w:pPr>
        <w:spacing w:after="0" w:line="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00" w:lineRule="exact"/>
        <w:rPr>
          <w:sz w:val="20"/>
          <w:szCs w:val="20"/>
          <w:color w:val="auto"/>
        </w:rPr>
      </w:pPr>
    </w:p>
    <w:p>
      <w:pPr>
        <w:spacing w:after="0" w:line="228" w:lineRule="exact"/>
        <w:rPr>
          <w:sz w:val="20"/>
          <w:szCs w:val="20"/>
          <w:color w:val="auto"/>
        </w:rPr>
      </w:pPr>
    </w:p>
    <w:tbl>
      <w:tblPr>
        <w:tblLayout w:type="fixed"/>
        <w:tblInd w:w="304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Jonathan M. Lyons</w:t>
            </w:r>
          </w:p>
        </w:tc>
        <w:tc>
          <w:tcPr>
            <w:tcW w:w="120" w:type="dxa"/>
            <w:vAlign w:val="bottom"/>
            <w:tcBorders>
              <w:bottom w:val="single" w:sz="8" w:color="auto"/>
            </w:tcBorders>
          </w:tcPr>
          <w:p>
            <w:pPr>
              <w:spacing w:after="0"/>
              <w:rPr>
                <w:sz w:val="18"/>
                <w:szCs w:val="18"/>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Jonathan M. Lyons</w:t>
            </w:r>
          </w:p>
        </w:tc>
      </w:tr>
      <w:tr>
        <w:trPr>
          <w:trHeight w:val="252"/>
        </w:trPr>
        <w:tc>
          <w:tcPr>
            <w:tcW w:w="460" w:type="dxa"/>
            <w:vAlign w:val="bottom"/>
          </w:tcPr>
          <w:p>
            <w:pPr>
              <w:spacing w:after="0"/>
              <w:rPr>
                <w:sz w:val="21"/>
                <w:szCs w:val="21"/>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w w:val="98"/>
              </w:rPr>
              <w:t>Title: Senior Vice President and Chief Financial Officer</w:t>
            </w:r>
          </w:p>
        </w:tc>
      </w:tr>
      <w:tr>
        <w:trPr>
          <w:trHeight w:val="418"/>
        </w:trPr>
        <w:tc>
          <w:tcPr>
            <w:tcW w:w="47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SOTERA HEALTH HOLDINGS, LLC</w:t>
            </w:r>
          </w:p>
        </w:tc>
      </w:tr>
      <w:tr>
        <w:trPr>
          <w:trHeight w:val="606"/>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Jason C. Peterson</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Name: Jason C. Peterson</w:t>
            </w:r>
          </w:p>
        </w:tc>
      </w:tr>
      <w:tr>
        <w:trPr>
          <w:trHeight w:val="252"/>
        </w:trPr>
        <w:tc>
          <w:tcPr>
            <w:tcW w:w="460" w:type="dxa"/>
            <w:vAlign w:val="bottom"/>
          </w:tcPr>
          <w:p>
            <w:pPr>
              <w:spacing w:after="0"/>
              <w:rPr>
                <w:sz w:val="21"/>
                <w:szCs w:val="21"/>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rPr>
              <w:t>Title: Vice President and Treasurer</w:t>
            </w:r>
          </w:p>
        </w:tc>
      </w:tr>
      <w:tr>
        <w:trPr>
          <w:trHeight w:val="675"/>
        </w:trPr>
        <w:tc>
          <w:tcPr>
            <w:tcW w:w="2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SOTERA HEALTH LLC</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619"/>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Jonathan M. Lyons</w:t>
            </w:r>
          </w:p>
        </w:tc>
        <w:tc>
          <w:tcPr>
            <w:tcW w:w="120" w:type="dxa"/>
            <w:vAlign w:val="bottom"/>
            <w:tcBorders>
              <w:bottom w:val="single" w:sz="8" w:color="auto"/>
            </w:tcBorders>
          </w:tcPr>
          <w:p>
            <w:pPr>
              <w:spacing w:after="0"/>
              <w:rPr>
                <w:sz w:val="24"/>
                <w:szCs w:val="24"/>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Jonathan M. Lyons</w:t>
            </w:r>
          </w:p>
        </w:tc>
      </w:tr>
      <w:tr>
        <w:trPr>
          <w:trHeight w:val="238"/>
        </w:trPr>
        <w:tc>
          <w:tcPr>
            <w:tcW w:w="460" w:type="dxa"/>
            <w:vAlign w:val="bottom"/>
          </w:tcPr>
          <w:p>
            <w:pPr>
              <w:spacing w:after="0"/>
              <w:rPr>
                <w:sz w:val="20"/>
                <w:szCs w:val="20"/>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rPr>
              <w:t>Title: Senior Vice President, Chief Financial Officer</w:t>
            </w:r>
          </w:p>
        </w:tc>
      </w:tr>
      <w:tr>
        <w:trPr>
          <w:trHeight w:val="446"/>
        </w:trPr>
        <w:tc>
          <w:tcPr>
            <w:tcW w:w="2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STERIGENICS U.S., LLC</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619"/>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Jason C. Peterson</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Name: Jason C. Peterson</w:t>
            </w:r>
          </w:p>
        </w:tc>
      </w:tr>
      <w:tr>
        <w:trPr>
          <w:trHeight w:val="252"/>
        </w:trPr>
        <w:tc>
          <w:tcPr>
            <w:tcW w:w="460" w:type="dxa"/>
            <w:vAlign w:val="bottom"/>
          </w:tcPr>
          <w:p>
            <w:pPr>
              <w:spacing w:after="0"/>
              <w:rPr>
                <w:sz w:val="21"/>
                <w:szCs w:val="21"/>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rPr>
              <w:t>Title: Vice President and Treasurer</w:t>
            </w:r>
          </w:p>
        </w:tc>
      </w:tr>
      <w:tr>
        <w:trPr>
          <w:trHeight w:val="648"/>
        </w:trPr>
        <w:tc>
          <w:tcPr>
            <w:tcW w:w="47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NELSON LABORATORIES, LLC</w:t>
            </w:r>
          </w:p>
        </w:tc>
      </w:tr>
      <w:tr>
        <w:trPr>
          <w:trHeight w:val="646"/>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Joseph A. Shrawder</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Name: Joseph A. Shrawder</w:t>
            </w:r>
          </w:p>
        </w:tc>
      </w:tr>
      <w:tr>
        <w:trPr>
          <w:trHeight w:val="238"/>
        </w:trPr>
        <w:tc>
          <w:tcPr>
            <w:tcW w:w="460" w:type="dxa"/>
            <w:vAlign w:val="bottom"/>
          </w:tcPr>
          <w:p>
            <w:pPr>
              <w:spacing w:after="0"/>
              <w:rPr>
                <w:sz w:val="20"/>
                <w:szCs w:val="20"/>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Title: President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06"/>
        </w:trPr>
        <w:tc>
          <w:tcPr>
            <w:tcW w:w="47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SOTERA HEALTH SERVICES, LLC</w:t>
            </w:r>
          </w:p>
        </w:tc>
      </w:tr>
      <w:tr>
        <w:trPr>
          <w:trHeight w:val="646"/>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Jason C. Peterson</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Name: Jason C. Peterson</w:t>
            </w:r>
          </w:p>
        </w:tc>
      </w:tr>
      <w:tr>
        <w:trPr>
          <w:trHeight w:val="238"/>
        </w:trPr>
        <w:tc>
          <w:tcPr>
            <w:tcW w:w="460" w:type="dxa"/>
            <w:vAlign w:val="bottom"/>
          </w:tcPr>
          <w:p>
            <w:pPr>
              <w:spacing w:after="0"/>
              <w:rPr>
                <w:sz w:val="20"/>
                <w:szCs w:val="20"/>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Title: Vice President</w:t>
            </w:r>
          </w:p>
        </w:tc>
        <w:tc>
          <w:tcPr>
            <w:tcW w:w="25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[Signature Page to Indenture]</w:t>
      </w:r>
    </w:p>
    <w:p>
      <w:pPr>
        <w:sectPr>
          <w:pgSz w:w="11900" w:h="16838" w:orient="portrait"/>
          <w:cols w:equalWidth="0" w:num="1">
            <w:col w:w="9019"/>
          </w:cols>
          <w:pgMar w:left="1440" w:top="1440" w:right="1440" w:bottom="1440" w:gutter="0" w:footer="0" w:header="0"/>
        </w:sectPr>
      </w:pPr>
    </w:p>
    <w:bookmarkStart w:id="215" w:name="page216"/>
    <w:bookmarkEnd w:id="215"/>
    <w:p>
      <w:pPr>
        <w:spacing w:after="0" w:line="4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STERIGENICS RADIATION TECHNOLOGIES HOLDINGS, LLC</w:t>
      </w:r>
    </w:p>
    <w:p>
      <w:pPr>
        <w:spacing w:after="0" w:line="200" w:lineRule="exact"/>
        <w:rPr>
          <w:sz w:val="20"/>
          <w:szCs w:val="20"/>
          <w:color w:val="auto"/>
        </w:rPr>
      </w:pPr>
    </w:p>
    <w:p>
      <w:pPr>
        <w:spacing w:after="0" w:line="255" w:lineRule="exact"/>
        <w:rPr>
          <w:sz w:val="20"/>
          <w:szCs w:val="20"/>
          <w:color w:val="auto"/>
        </w:rPr>
      </w:pPr>
    </w:p>
    <w:tbl>
      <w:tblPr>
        <w:tblLayout w:type="fixed"/>
        <w:tblInd w:w="304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Alan Crompton</w:t>
            </w:r>
          </w:p>
        </w:tc>
        <w:tc>
          <w:tcPr>
            <w:tcW w:w="2440" w:type="dxa"/>
            <w:vAlign w:val="bottom"/>
            <w:gridSpan w:val="2"/>
          </w:tcPr>
          <w:p>
            <w:pPr>
              <w:jc w:val="right"/>
              <w:ind w:right="660"/>
              <w:spacing w:after="0"/>
              <w:rPr>
                <w:sz w:val="20"/>
                <w:szCs w:val="20"/>
                <w:color w:val="auto"/>
              </w:rPr>
            </w:pPr>
            <w:r>
              <w:rPr>
                <w:rFonts w:ascii="Times New Roman" w:cs="Times New Roman" w:eastAsia="Times New Roman" w:hAnsi="Times New Roman"/>
                <w:sz w:val="19"/>
                <w:szCs w:val="19"/>
                <w:color w:val="auto"/>
              </w:rPr>
              <w:t>Name: Alan Crompton</w:t>
            </w:r>
          </w:p>
        </w:tc>
      </w:tr>
      <w:tr>
        <w:trPr>
          <w:trHeight w:val="238"/>
        </w:trPr>
        <w:tc>
          <w:tcPr>
            <w:tcW w:w="460" w:type="dxa"/>
            <w:vAlign w:val="bottom"/>
          </w:tcPr>
          <w:p>
            <w:pPr>
              <w:spacing w:after="0"/>
              <w:rPr>
                <w:sz w:val="20"/>
                <w:szCs w:val="20"/>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1"/>
              </w:rPr>
              <w:t>Title: Vice President,</w:t>
            </w:r>
          </w:p>
        </w:tc>
        <w:tc>
          <w:tcPr>
            <w:tcW w:w="2440" w:type="dxa"/>
            <w:vAlign w:val="bottom"/>
            <w:gridSpan w:val="2"/>
          </w:tcPr>
          <w:p>
            <w:pPr>
              <w:jc w:val="right"/>
              <w:ind w:right="500"/>
              <w:spacing w:after="0"/>
              <w:rPr>
                <w:sz w:val="20"/>
                <w:szCs w:val="20"/>
                <w:color w:val="auto"/>
              </w:rPr>
            </w:pPr>
            <w:r>
              <w:rPr>
                <w:rFonts w:ascii="Times New Roman" w:cs="Times New Roman" w:eastAsia="Times New Roman" w:hAnsi="Times New Roman"/>
                <w:sz w:val="19"/>
                <w:szCs w:val="19"/>
                <w:color w:val="auto"/>
              </w:rPr>
              <w:t>Treasurer and Secretary</w:t>
            </w:r>
          </w:p>
        </w:tc>
      </w:tr>
      <w:tr>
        <w:trPr>
          <w:trHeight w:val="406"/>
        </w:trPr>
        <w:tc>
          <w:tcPr>
            <w:tcW w:w="45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w w:val="98"/>
              </w:rPr>
              <w:t>STERIGENICS RADIATION TECHNOLOGIES, LLC</w:t>
            </w:r>
          </w:p>
        </w:tc>
      </w:tr>
      <w:tr>
        <w:trPr>
          <w:trHeight w:val="619"/>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Alan Crompton</w:t>
            </w:r>
          </w:p>
        </w:tc>
        <w:tc>
          <w:tcPr>
            <w:tcW w:w="2440" w:type="dxa"/>
            <w:vAlign w:val="bottom"/>
            <w:gridSpan w:val="2"/>
          </w:tcPr>
          <w:p>
            <w:pPr>
              <w:jc w:val="right"/>
              <w:ind w:right="520"/>
              <w:spacing w:after="0"/>
              <w:rPr>
                <w:sz w:val="20"/>
                <w:szCs w:val="20"/>
                <w:color w:val="auto"/>
              </w:rPr>
            </w:pPr>
            <w:r>
              <w:rPr>
                <w:rFonts w:ascii="Times New Roman" w:cs="Times New Roman" w:eastAsia="Times New Roman" w:hAnsi="Times New Roman"/>
                <w:sz w:val="19"/>
                <w:szCs w:val="19"/>
                <w:color w:val="auto"/>
                <w:w w:val="99"/>
              </w:rPr>
              <w:t>Name: Jason C. Peterson</w:t>
            </w:r>
          </w:p>
        </w:tc>
      </w:tr>
      <w:tr>
        <w:trPr>
          <w:trHeight w:val="252"/>
        </w:trPr>
        <w:tc>
          <w:tcPr>
            <w:tcW w:w="460" w:type="dxa"/>
            <w:vAlign w:val="bottom"/>
          </w:tcPr>
          <w:p>
            <w:pPr>
              <w:spacing w:after="0"/>
              <w:rPr>
                <w:sz w:val="21"/>
                <w:szCs w:val="21"/>
                <w:color w:val="auto"/>
              </w:rPr>
            </w:pPr>
          </w:p>
        </w:tc>
        <w:tc>
          <w:tcPr>
            <w:tcW w:w="4040" w:type="dxa"/>
            <w:vAlign w:val="bottom"/>
            <w:gridSpan w:val="3"/>
          </w:tcPr>
          <w:p>
            <w:pPr>
              <w:jc w:val="right"/>
              <w:ind w:right="500"/>
              <w:spacing w:after="0"/>
              <w:rPr>
                <w:sz w:val="20"/>
                <w:szCs w:val="20"/>
                <w:color w:val="auto"/>
              </w:rPr>
            </w:pPr>
            <w:r>
              <w:rPr>
                <w:rFonts w:ascii="Times New Roman" w:cs="Times New Roman" w:eastAsia="Times New Roman" w:hAnsi="Times New Roman"/>
                <w:sz w:val="19"/>
                <w:szCs w:val="19"/>
                <w:color w:val="auto"/>
              </w:rPr>
              <w:t>Title: Vice President, Treasurer and Secretary</w:t>
            </w:r>
          </w:p>
        </w:tc>
      </w:tr>
      <w:tr>
        <w:trPr>
          <w:trHeight w:val="662"/>
        </w:trPr>
        <w:tc>
          <w:tcPr>
            <w:tcW w:w="45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NELSON LABORATORIES HOLDINGS, LLC</w:t>
            </w:r>
          </w:p>
        </w:tc>
      </w:tr>
      <w:tr>
        <w:trPr>
          <w:trHeight w:val="633"/>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0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 Joseph A. Shrawder   Name: Joseph A. Shrawder</w:t>
            </w:r>
          </w:p>
        </w:tc>
      </w:tr>
      <w:tr>
        <w:trPr>
          <w:trHeight w:val="238"/>
        </w:trPr>
        <w:tc>
          <w:tcPr>
            <w:tcW w:w="460" w:type="dxa"/>
            <w:vAlign w:val="bottom"/>
          </w:tcPr>
          <w:p>
            <w:pPr>
              <w:spacing w:after="0"/>
              <w:rPr>
                <w:sz w:val="20"/>
                <w:szCs w:val="20"/>
                <w:color w:val="auto"/>
              </w:rPr>
            </w:pPr>
          </w:p>
        </w:tc>
        <w:tc>
          <w:tcPr>
            <w:tcW w:w="16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Title: President</w:t>
            </w:r>
          </w:p>
        </w:tc>
        <w:tc>
          <w:tcPr>
            <w:tcW w:w="32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r>
    </w:tbl>
    <w:p>
      <w:pPr>
        <w:spacing w:after="0" w:line="17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b w:val="1"/>
          <w:bCs w:val="1"/>
          <w:color w:val="auto"/>
        </w:rPr>
        <w:t>NELSON LABORATORIES FAIRFIELD HOLDINGS, LLC</w:t>
      </w:r>
    </w:p>
    <w:p>
      <w:pPr>
        <w:spacing w:after="0" w:line="200" w:lineRule="exact"/>
        <w:rPr>
          <w:sz w:val="20"/>
          <w:szCs w:val="20"/>
          <w:color w:val="auto"/>
        </w:rPr>
      </w:pPr>
    </w:p>
    <w:p>
      <w:pPr>
        <w:spacing w:after="0" w:line="220" w:lineRule="exact"/>
        <w:rPr>
          <w:sz w:val="20"/>
          <w:szCs w:val="20"/>
          <w:color w:val="auto"/>
        </w:rPr>
      </w:pPr>
    </w:p>
    <w:p>
      <w:pPr>
        <w:ind w:left="3040"/>
        <w:spacing w:after="0"/>
        <w:tabs>
          <w:tab w:leader="none" w:pos="3480" w:val="left"/>
          <w:tab w:leader="none" w:pos="5460" w:val="left"/>
        </w:tabs>
        <w:rPr>
          <w:sz w:val="20"/>
          <w:szCs w:val="20"/>
          <w:color w:val="auto"/>
        </w:rPr>
      </w:pPr>
      <w:r>
        <w:rPr>
          <w:rFonts w:ascii="Times New Roman" w:cs="Times New Roman" w:eastAsia="Times New Roman" w:hAnsi="Times New Roman"/>
          <w:sz w:val="19"/>
          <w:szCs w:val="19"/>
          <w:color w:val="auto"/>
        </w:rPr>
        <w:t>By:</w:t>
        <w:tab/>
        <w:t>/s/ Joseph A. Shrawder</w:t>
      </w:r>
      <w:r>
        <w:rPr>
          <w:sz w:val="20"/>
          <w:szCs w:val="20"/>
          <w:color w:val="auto"/>
        </w:rPr>
        <w:tab/>
      </w:r>
      <w:r>
        <w:rPr>
          <w:rFonts w:ascii="Times New Roman" w:cs="Times New Roman" w:eastAsia="Times New Roman" w:hAnsi="Times New Roman"/>
          <w:sz w:val="18"/>
          <w:szCs w:val="18"/>
          <w:color w:val="auto"/>
        </w:rPr>
        <w:t>Name: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-10160</wp:posOffset>
            </wp:positionV>
            <wp:extent cx="12268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3600"/>
        <w:spacing w:after="0"/>
        <w:rPr>
          <w:sz w:val="20"/>
          <w:szCs w:val="20"/>
          <w:color w:val="auto"/>
        </w:rPr>
      </w:pPr>
      <w:r>
        <w:rPr>
          <w:rFonts w:ascii="Times New Roman" w:cs="Times New Roman" w:eastAsia="Times New Roman" w:hAnsi="Times New Roman"/>
          <w:sz w:val="19"/>
          <w:szCs w:val="19"/>
          <w:color w:val="auto"/>
        </w:rPr>
        <w:t>Title: President</w:t>
      </w:r>
    </w:p>
    <w:p>
      <w:pPr>
        <w:spacing w:after="0" w:line="200" w:lineRule="exact"/>
        <w:rPr>
          <w:sz w:val="20"/>
          <w:szCs w:val="20"/>
          <w:color w:val="auto"/>
        </w:rPr>
      </w:pPr>
    </w:p>
    <w:p>
      <w:pPr>
        <w:spacing w:after="0" w:line="2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b w:val="1"/>
          <w:bCs w:val="1"/>
          <w:color w:val="auto"/>
        </w:rPr>
        <w:t>STERIGENICS RADIATION TECHNOLOGIES IN, INC.</w:t>
      </w:r>
    </w:p>
    <w:p>
      <w:pPr>
        <w:spacing w:after="0" w:line="200" w:lineRule="exact"/>
        <w:rPr>
          <w:sz w:val="20"/>
          <w:szCs w:val="20"/>
          <w:color w:val="auto"/>
        </w:rPr>
      </w:pPr>
    </w:p>
    <w:p>
      <w:pPr>
        <w:spacing w:after="0" w:line="217" w:lineRule="exact"/>
        <w:rPr>
          <w:sz w:val="20"/>
          <w:szCs w:val="20"/>
          <w:color w:val="auto"/>
        </w:rPr>
      </w:pPr>
    </w:p>
    <w:tbl>
      <w:tblPr>
        <w:tblLayout w:type="fixed"/>
        <w:tblInd w:w="304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0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 Alan Crompton   Name: Alan Crompton</w:t>
            </w:r>
          </w:p>
        </w:tc>
      </w:tr>
      <w:tr>
        <w:trPr>
          <w:trHeight w:val="238"/>
        </w:trPr>
        <w:tc>
          <w:tcPr>
            <w:tcW w:w="460" w:type="dxa"/>
            <w:vAlign w:val="bottom"/>
          </w:tcPr>
          <w:p>
            <w:pPr>
              <w:spacing w:after="0"/>
              <w:rPr>
                <w:sz w:val="20"/>
                <w:szCs w:val="20"/>
                <w:color w:val="auto"/>
              </w:rPr>
            </w:pPr>
          </w:p>
        </w:tc>
        <w:tc>
          <w:tcPr>
            <w:tcW w:w="16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w w:val="91"/>
              </w:rPr>
              <w:t>Title: Vice President,</w:t>
            </w:r>
          </w:p>
        </w:tc>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Treasurer and Secretary</w:t>
            </w:r>
          </w:p>
        </w:tc>
      </w:tr>
      <w:tr>
        <w:trPr>
          <w:trHeight w:val="433"/>
        </w:trPr>
        <w:tc>
          <w:tcPr>
            <w:tcW w:w="45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NELSON LABORATORIES BOZEMAN, LLC</w:t>
            </w:r>
          </w:p>
        </w:tc>
      </w:tr>
      <w:tr>
        <w:trPr>
          <w:trHeight w:val="619"/>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0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 Joseph A. Shrawder   Name: Joseph A. Shrawder</w:t>
            </w:r>
          </w:p>
        </w:tc>
      </w:tr>
      <w:tr>
        <w:trPr>
          <w:trHeight w:val="252"/>
        </w:trPr>
        <w:tc>
          <w:tcPr>
            <w:tcW w:w="460" w:type="dxa"/>
            <w:vAlign w:val="bottom"/>
          </w:tcPr>
          <w:p>
            <w:pPr>
              <w:spacing w:after="0"/>
              <w:rPr>
                <w:sz w:val="21"/>
                <w:szCs w:val="21"/>
                <w:color w:val="auto"/>
              </w:rPr>
            </w:pPr>
          </w:p>
        </w:tc>
        <w:tc>
          <w:tcPr>
            <w:tcW w:w="1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9"/>
                <w:szCs w:val="19"/>
                <w:color w:val="auto"/>
              </w:rPr>
              <w:t>Title: President</w:t>
            </w:r>
          </w:p>
        </w:tc>
        <w:tc>
          <w:tcPr>
            <w:tcW w:w="2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[Signature Page to Indenture]</w:t>
      </w:r>
    </w:p>
    <w:p>
      <w:pPr>
        <w:sectPr>
          <w:pgSz w:w="11900" w:h="16838" w:orient="portrait"/>
          <w:cols w:equalWidth="0" w:num="1">
            <w:col w:w="9019"/>
          </w:cols>
          <w:pgMar w:left="1440" w:top="1440" w:right="1440"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b w:val="1"/>
          <w:bCs w:val="1"/>
          <w:color w:val="auto"/>
        </w:rPr>
        <w:t>NELSON LABORATORIES FAIRFIELD, INC.</w:t>
      </w:r>
    </w:p>
    <w:p>
      <w:pPr>
        <w:spacing w:after="0" w:line="200" w:lineRule="exact"/>
        <w:rPr>
          <w:sz w:val="20"/>
          <w:szCs w:val="20"/>
          <w:color w:val="auto"/>
        </w:rPr>
      </w:pPr>
    </w:p>
    <w:p>
      <w:pPr>
        <w:spacing w:after="0" w:line="244" w:lineRule="exact"/>
        <w:rPr>
          <w:sz w:val="20"/>
          <w:szCs w:val="20"/>
          <w:color w:val="auto"/>
        </w:rPr>
      </w:pPr>
    </w:p>
    <w:tbl>
      <w:tblPr>
        <w:tblLayout w:type="fixed"/>
        <w:tblInd w:w="304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Joseph A. Shrawder</w:t>
            </w:r>
          </w:p>
        </w:tc>
        <w:tc>
          <w:tcPr>
            <w:tcW w:w="21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98"/>
              </w:rPr>
              <w:t>Name: Joseph A. Shrawder</w:t>
            </w:r>
          </w:p>
        </w:tc>
      </w:tr>
      <w:tr>
        <w:trPr>
          <w:trHeight w:val="238"/>
        </w:trPr>
        <w:tc>
          <w:tcPr>
            <w:tcW w:w="460" w:type="dxa"/>
            <w:vAlign w:val="bottom"/>
          </w:tcPr>
          <w:p>
            <w:pPr>
              <w:spacing w:after="0"/>
              <w:rPr>
                <w:sz w:val="20"/>
                <w:szCs w:val="20"/>
                <w:color w:val="auto"/>
              </w:rPr>
            </w:pP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Title: President and Chief Executive Officer</w:t>
            </w:r>
          </w:p>
        </w:tc>
      </w:tr>
      <w:tr>
        <w:trPr>
          <w:trHeight w:val="406"/>
        </w:trPr>
        <w:tc>
          <w:tcPr>
            <w:tcW w:w="4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REGULATORY COMPLIANCE ASSOCIATES INC.</w:t>
            </w:r>
          </w:p>
        </w:tc>
      </w:tr>
      <w:tr>
        <w:trPr>
          <w:trHeight w:val="619"/>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Joseph A. Shrawder</w:t>
            </w:r>
          </w:p>
        </w:tc>
        <w:tc>
          <w:tcPr>
            <w:tcW w:w="21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98"/>
              </w:rPr>
              <w:t>Name: Joseph A. Shrawder</w:t>
            </w:r>
          </w:p>
        </w:tc>
      </w:tr>
      <w:tr>
        <w:trPr>
          <w:trHeight w:val="252"/>
        </w:trPr>
        <w:tc>
          <w:tcPr>
            <w:tcW w:w="460" w:type="dxa"/>
            <w:vAlign w:val="bottom"/>
          </w:tcPr>
          <w:p>
            <w:pPr>
              <w:spacing w:after="0"/>
              <w:rPr>
                <w:sz w:val="21"/>
                <w:szCs w:val="21"/>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Title: President</w:t>
            </w:r>
          </w:p>
        </w:tc>
        <w:tc>
          <w:tcPr>
            <w:tcW w:w="2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[Signature Page to Indenture]</w:t>
      </w:r>
    </w:p>
    <w:p>
      <w:pPr>
        <w:sectPr>
          <w:pgSz w:w="11900" w:h="16838" w:orient="portrait"/>
          <w:cols w:equalWidth="0" w:num="1">
            <w:col w:w="9019"/>
          </w:cols>
          <w:pgMar w:left="1440" w:top="1440" w:right="1440" w:bottom="1440" w:gutter="0" w:footer="0" w:header="0"/>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1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as Trustee, as Paying Agent, as Registrar, as Transfer Agent and as Notes Collateral Agent</w:t>
      </w:r>
    </w:p>
    <w:p>
      <w:pPr>
        <w:spacing w:after="0" w:line="200" w:lineRule="exact"/>
        <w:rPr>
          <w:sz w:val="20"/>
          <w:szCs w:val="20"/>
          <w:color w:val="auto"/>
        </w:rPr>
      </w:pPr>
    </w:p>
    <w:p>
      <w:pPr>
        <w:spacing w:after="0" w:line="221" w:lineRule="exact"/>
        <w:rPr>
          <w:sz w:val="20"/>
          <w:szCs w:val="20"/>
          <w:color w:val="auto"/>
        </w:rPr>
      </w:pPr>
    </w:p>
    <w:p>
      <w:pPr>
        <w:ind w:left="3040"/>
        <w:spacing w:after="0"/>
        <w:tabs>
          <w:tab w:leader="none" w:pos="3480" w:val="left"/>
          <w:tab w:leader="none" w:pos="4780" w:val="left"/>
        </w:tabs>
        <w:rPr>
          <w:sz w:val="20"/>
          <w:szCs w:val="20"/>
          <w:color w:val="auto"/>
        </w:rPr>
      </w:pPr>
      <w:r>
        <w:rPr>
          <w:rFonts w:ascii="Times New Roman" w:cs="Times New Roman" w:eastAsia="Times New Roman" w:hAnsi="Times New Roman"/>
          <w:sz w:val="19"/>
          <w:szCs w:val="19"/>
          <w:color w:val="auto"/>
        </w:rPr>
        <w:t>By:</w:t>
        <w:tab/>
        <w:t>/s/ Iris Munoz</w:t>
      </w:r>
      <w:r>
        <w:rPr>
          <w:sz w:val="20"/>
          <w:szCs w:val="20"/>
          <w:color w:val="auto"/>
        </w:rPr>
        <w:tab/>
      </w:r>
      <w:r>
        <w:rPr>
          <w:rFonts w:ascii="Times New Roman" w:cs="Times New Roman" w:eastAsia="Times New Roman" w:hAnsi="Times New Roman"/>
          <w:sz w:val="18"/>
          <w:szCs w:val="18"/>
          <w:color w:val="auto"/>
        </w:rPr>
        <w:t>Name: Iris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-10160</wp:posOffset>
            </wp:positionV>
            <wp:extent cx="793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3600"/>
        <w:spacing w:after="0"/>
        <w:rPr>
          <w:sz w:val="20"/>
          <w:szCs w:val="20"/>
          <w:color w:val="auto"/>
        </w:rPr>
      </w:pPr>
      <w:r>
        <w:rPr>
          <w:rFonts w:ascii="Times New Roman" w:cs="Times New Roman" w:eastAsia="Times New Roman" w:hAnsi="Times New Roman"/>
          <w:sz w:val="19"/>
          <w:szCs w:val="19"/>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[Signature Page to Indenture]</w:t>
      </w:r>
    </w:p>
    <w:p>
      <w:pPr>
        <w:sectPr>
          <w:pgSz w:w="11900" w:h="16838" w:orient="portrait"/>
          <w:cols w:equalWidth="0" w:num="1">
            <w:col w:w="9880"/>
          </w:cols>
          <w:pgMar w:left="1440" w:top="1440" w:right="579" w:bottom="1440" w:gutter="0" w:footer="0" w:header="0"/>
        </w:sectPr>
      </w:pPr>
    </w:p>
    <w:bookmarkStart w:id="218" w:name="page219"/>
    <w:bookmarkEnd w:id="218"/>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A</w:t>
      </w:r>
    </w:p>
    <w:p>
      <w:pPr>
        <w:spacing w:after="0" w:line="200" w:lineRule="exact"/>
        <w:rPr>
          <w:sz w:val="20"/>
          <w:szCs w:val="20"/>
          <w:color w:val="auto"/>
        </w:rPr>
      </w:pPr>
    </w:p>
    <w:p>
      <w:pPr>
        <w:spacing w:after="0" w:line="24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[Face of Note]</w:t>
      </w:r>
    </w:p>
    <w:p>
      <w:pPr>
        <w:spacing w:after="0" w:line="200" w:lineRule="exact"/>
        <w:rPr>
          <w:sz w:val="20"/>
          <w:szCs w:val="20"/>
          <w:color w:val="auto"/>
        </w:rPr>
      </w:pPr>
    </w:p>
    <w:p>
      <w:pPr>
        <w:spacing w:after="0" w:line="378" w:lineRule="exact"/>
        <w:rPr>
          <w:sz w:val="20"/>
          <w:szCs w:val="20"/>
          <w:color w:val="auto"/>
        </w:rPr>
      </w:pPr>
    </w:p>
    <w:p>
      <w:pPr>
        <w:jc w:val="both"/>
        <w:ind w:right="500"/>
        <w:spacing w:after="0" w:line="473" w:lineRule="auto"/>
        <w:rPr>
          <w:sz w:val="20"/>
          <w:szCs w:val="20"/>
          <w:color w:val="auto"/>
        </w:rPr>
      </w:pPr>
      <w:r>
        <w:rPr>
          <w:rFonts w:ascii="Times New Roman" w:cs="Times New Roman" w:eastAsia="Times New Roman" w:hAnsi="Times New Roman"/>
          <w:sz w:val="19"/>
          <w:szCs w:val="19"/>
          <w:color w:val="auto"/>
        </w:rPr>
        <w:t>[Insert the Global Note Legend, if applicable pursuant to the provisions of the Indenture] [Insert the Private Placement Legend, if applicable pursuant to the provisions of the Indenture] [Insert the ERISA Legend, if applicable pursuant to the provisions of the Indenture]</w:t>
      </w:r>
    </w:p>
    <w:p>
      <w:pPr>
        <w:sectPr>
          <w:pgSz w:w="11900" w:h="16838" w:orient="portrait"/>
          <w:cols w:equalWidth="0" w:num="1">
            <w:col w:w="10100"/>
          </w:cols>
          <w:pgMar w:left="1240" w:top="1440" w:right="559" w:bottom="1440" w:gutter="0" w:footer="0" w:header="0"/>
        </w:sectPr>
      </w:pPr>
    </w:p>
    <w:bookmarkStart w:id="219" w:name="page220"/>
    <w:bookmarkEnd w:id="219"/>
    <w:p>
      <w:pPr>
        <w:spacing w:after="0" w:line="51" w:lineRule="exact"/>
        <w:rPr>
          <w:sz w:val="20"/>
          <w:szCs w:val="20"/>
          <w:color w:val="auto"/>
        </w:rPr>
      </w:pPr>
    </w:p>
    <w:tbl>
      <w:tblPr>
        <w:tblLayout w:type="fixed"/>
        <w:tblInd w:w="3300" w:type="dxa"/>
        <w:tblCellMar>
          <w:top w:w="0" w:type="dxa"/>
          <w:left w:w="0" w:type="dxa"/>
          <w:bottom w:w="0" w:type="dxa"/>
          <w:right w:w="0" w:type="dxa"/>
        </w:tblCellMar>
      </w:tblPr>
      <w:tr>
        <w:trPr>
          <w:trHeight w:val="244"/>
        </w:trPr>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CUSIP[ ] ISIN[ ]</w:t>
            </w:r>
          </w:p>
        </w:tc>
      </w:tr>
      <w:tr>
        <w:trPr>
          <w:trHeight w:val="418"/>
        </w:trPr>
        <w:tc>
          <w:tcPr>
            <w:tcW w:w="7460" w:type="dxa"/>
            <w:vAlign w:val="bottom"/>
            <w:gridSpan w:val="5"/>
          </w:tcPr>
          <w:p>
            <w:pPr>
              <w:jc w:val="right"/>
              <w:ind w:right="3346"/>
              <w:spacing w:after="0"/>
              <w:rPr>
                <w:sz w:val="20"/>
                <w:szCs w:val="20"/>
                <w:color w:val="auto"/>
              </w:rPr>
            </w:pPr>
            <w:r>
              <w:rPr>
                <w:rFonts w:ascii="Times New Roman" w:cs="Times New Roman" w:eastAsia="Times New Roman" w:hAnsi="Times New Roman"/>
                <w:sz w:val="19"/>
                <w:szCs w:val="19"/>
                <w:color w:val="auto"/>
              </w:rPr>
              <w:t>[RULE 144A][REGULATION S] GLOBAL NOTE</w:t>
            </w:r>
          </w:p>
        </w:tc>
      </w:tr>
      <w:tr>
        <w:trPr>
          <w:trHeight w:val="432"/>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60" w:type="dxa"/>
            <w:vAlign w:val="bottom"/>
            <w:gridSpan w:val="3"/>
          </w:tcPr>
          <w:p>
            <w:pPr>
              <w:jc w:val="right"/>
              <w:ind w:right="3786"/>
              <w:spacing w:after="0"/>
              <w:rPr>
                <w:sz w:val="20"/>
                <w:szCs w:val="20"/>
                <w:color w:val="auto"/>
              </w:rPr>
            </w:pPr>
            <w:r>
              <w:rPr>
                <w:rFonts w:ascii="Times New Roman" w:cs="Times New Roman" w:eastAsia="Times New Roman" w:hAnsi="Times New Roman"/>
                <w:sz w:val="19"/>
                <w:szCs w:val="19"/>
                <w:color w:val="auto"/>
              </w:rPr>
              <w:t>7.375% Senior Secured Notes due 2031</w:t>
            </w:r>
          </w:p>
        </w:tc>
      </w:tr>
      <w:tr>
        <w:trPr>
          <w:trHeight w:val="403"/>
        </w:trPr>
        <w:tc>
          <w:tcPr>
            <w:tcW w:w="320" w:type="dxa"/>
            <w:vAlign w:val="bottom"/>
          </w:tcPr>
          <w:p>
            <w:pPr>
              <w:spacing w:after="0"/>
              <w:rPr>
                <w:sz w:val="20"/>
                <w:szCs w:val="20"/>
                <w:color w:val="auto"/>
              </w:rPr>
            </w:pPr>
            <w:r>
              <w:rPr>
                <w:rFonts w:ascii="Times New Roman" w:cs="Times New Roman" w:eastAsia="Times New Roman" w:hAnsi="Times New Roman"/>
                <w:sz w:val="19"/>
                <w:szCs w:val="19"/>
                <w:color w:val="auto"/>
              </w:rPr>
              <w:t>No.</w:t>
            </w:r>
          </w:p>
        </w:tc>
        <w:tc>
          <w:tcPr>
            <w:tcW w:w="180" w:type="dxa"/>
            <w:vAlign w:val="bottom"/>
          </w:tcPr>
          <w:p>
            <w:pPr>
              <w:spacing w:after="0"/>
              <w:rPr>
                <w:sz w:val="24"/>
                <w:szCs w:val="24"/>
                <w:color w:val="auto"/>
              </w:rPr>
            </w:pPr>
          </w:p>
        </w:tc>
        <w:tc>
          <w:tcPr>
            <w:tcW w:w="69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Principal Amount $[  ] [as revised by the Schedule of Increases and Decreases in Global</w:t>
            </w:r>
          </w:p>
        </w:tc>
      </w:tr>
      <w:tr>
        <w:trPr>
          <w:trHeight w:val="225"/>
        </w:trPr>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Note attached hereto]</w:t>
            </w:r>
          </w:p>
        </w:tc>
      </w:tr>
    </w:tbl>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SOTERA HEALTH HOLDINGS, LLC</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promises to pay to CEDE &amp; CO. or registered assigns, the principal sum [set forth on the Schedule of Increases and Decreases in the Global Note attached hereto] [of United States Dollars] on June 1,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-40640</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 Payment Dates: June 1 and December 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Record Dates: May 15 and November 15 (whether or not a Business Day)</w:t>
      </w:r>
    </w:p>
    <w:p>
      <w:pPr>
        <w:sectPr>
          <w:pgSz w:w="11900" w:h="16838" w:orient="portrait"/>
          <w:cols w:equalWidth="0" w:num="1">
            <w:col w:w="10760"/>
          </w:cols>
          <w:pgMar w:left="580" w:top="1440" w:right="559" w:bottom="1440" w:gutter="0" w:footer="0" w:header="0"/>
        </w:sectPr>
      </w:pPr>
    </w:p>
    <w:bookmarkStart w:id="220" w:name="page221"/>
    <w:bookmarkEnd w:id="220"/>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the Issuer has caused this instrument to be duly executed.</w:t>
      </w:r>
    </w:p>
    <w:p>
      <w:pPr>
        <w:sectPr>
          <w:pgSz w:w="11900" w:h="16838" w:orient="portrait"/>
          <w:cols w:equalWidth="0" w:num="1">
            <w:col w:w="9219"/>
          </w:cols>
          <w:pgMar w:left="1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00" w:lineRule="exact"/>
        <w:rPr>
          <w:sz w:val="20"/>
          <w:szCs w:val="20"/>
          <w:color w:val="auto"/>
        </w:rPr>
      </w:pPr>
    </w:p>
    <w:p>
      <w:pPr>
        <w:spacing w:after="0" w:line="255" w:lineRule="exact"/>
        <w:rPr>
          <w:sz w:val="20"/>
          <w:szCs w:val="20"/>
          <w:color w:val="auto"/>
        </w:rPr>
      </w:pPr>
    </w:p>
    <w:p>
      <w:pPr>
        <w:ind w:left="3240"/>
        <w:spacing w:after="0"/>
        <w:tabs>
          <w:tab w:leader="none" w:pos="39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-10160</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3800"/>
        <w:spacing w:after="0"/>
        <w:rPr>
          <w:sz w:val="20"/>
          <w:szCs w:val="20"/>
          <w:color w:val="auto"/>
        </w:rPr>
      </w:pPr>
      <w:r>
        <w:rPr>
          <w:rFonts w:ascii="Times New Roman" w:cs="Times New Roman" w:eastAsia="Times New Roman" w:hAnsi="Times New Roman"/>
          <w:sz w:val="19"/>
          <w:szCs w:val="19"/>
          <w:color w:val="auto"/>
        </w:rPr>
        <w:t>Title:</w:t>
      </w:r>
    </w:p>
    <w:p>
      <w:pPr>
        <w:sectPr>
          <w:pgSz w:w="11900" w:h="16838" w:orient="portrait"/>
          <w:cols w:equalWidth="0" w:num="1">
            <w:col w:w="9219"/>
          </w:cols>
          <w:pgMar w:left="1240" w:top="1440" w:right="1440" w:bottom="1440" w:gutter="0" w:footer="0" w:header="0"/>
          <w:type w:val="continuous"/>
        </w:sectPr>
      </w:pPr>
    </w:p>
    <w:bookmarkStart w:id="221" w:name="page222"/>
    <w:bookmarkEnd w:id="221"/>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is one of the Notes referred to in the within-mentioned Indenture:</w:t>
      </w:r>
    </w:p>
    <w:p>
      <w:pPr>
        <w:spacing w:after="0" w:line="1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as Trustee</w:t>
      </w:r>
    </w:p>
    <w:p>
      <w:pPr>
        <w:spacing w:after="0" w:line="200" w:lineRule="exact"/>
        <w:rPr>
          <w:sz w:val="20"/>
          <w:szCs w:val="20"/>
          <w:color w:val="auto"/>
        </w:rPr>
      </w:pPr>
    </w:p>
    <w:p>
      <w:pPr>
        <w:spacing w:after="0" w:line="242" w:lineRule="exact"/>
        <w:rPr>
          <w:sz w:val="20"/>
          <w:szCs w:val="20"/>
          <w:color w:val="auto"/>
        </w:rPr>
      </w:pPr>
    </w:p>
    <w:p>
      <w:pPr>
        <w:ind w:left="3900"/>
        <w:spacing w:after="0"/>
        <w:tabs>
          <w:tab w:leader="none" w:pos="47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-10160</wp:posOffset>
            </wp:positionV>
            <wp:extent cx="240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w:t>
      </w:r>
    </w:p>
    <w:p>
      <w:pPr>
        <w:sectPr>
          <w:pgSz w:w="11900" w:h="16838" w:orient="portrait"/>
          <w:cols w:equalWidth="0" w:num="1">
            <w:col w:w="9879"/>
          </w:cols>
          <w:pgMar w:left="580" w:top="1440" w:right="1440" w:bottom="1440" w:gutter="0" w:footer="0" w:header="0"/>
        </w:sectPr>
      </w:pPr>
    </w:p>
    <w:bookmarkStart w:id="222" w:name="page223"/>
    <w:bookmarkEnd w:id="222"/>
    <w:p>
      <w:pPr>
        <w:spacing w:after="0" w:line="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[Back of Note]</w:t>
      </w:r>
    </w:p>
    <w:p>
      <w:pPr>
        <w:spacing w:after="0" w:line="2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color w:val="auto"/>
        </w:rPr>
        <w:t>7.375% Senior Secured Notes due 2031</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ind w:left="1040" w:hanging="390"/>
        <w:spacing w:after="0"/>
        <w:tabs>
          <w:tab w:leader="none" w:pos="1040"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INTEREST. Sotera Health Holdings LLC, a Delaware limited liability company (the “ </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 promises to pay interest on the</w:t>
      </w:r>
    </w:p>
    <w:p>
      <w:pPr>
        <w:spacing w:after="0" w:line="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9"/>
          <w:szCs w:val="19"/>
          <w:color w:val="auto"/>
        </w:rPr>
        <w:t xml:space="preserve">principal amount of this Note at 7.375% per annum from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until maturity. The Issuer will pay interest semi-annually in arrears on June 1 and December 1 of each year (each, an “</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xml:space="preserve">”). Notwithstanding the foregoing, if any Interest Payment Date is not a Business Day, the date for payment of interest shall extend to the immediately succeeding Business Day and such extension of time shall not be reflected in computing interest due in respect of such Interest Payment Date. Interest on the Notes will accrue from the most recent date to which interest has been paid or, if no interest has been paid, from the date of issuance;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first Interest Payment Date shall be</w:t>
      </w:r>
    </w:p>
    <w:p>
      <w:pPr>
        <w:spacing w:after="0" w:line="3" w:lineRule="exact"/>
        <w:rPr>
          <w:sz w:val="20"/>
          <w:szCs w:val="20"/>
          <w:color w:val="auto"/>
        </w:rPr>
      </w:pPr>
    </w:p>
    <w:p>
      <w:pPr>
        <w:jc w:val="both"/>
        <w:ind w:firstLine="216"/>
        <w:spacing w:after="0" w:line="22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The Issuer will pay interest on overdue principal and premium, if any, from time to time on demand at the interest rate on the Notes; it shall pay interest on overdue installments of interest from time to time on demand at the interest rate on the Notes. Interest will be computed on the basis of a 360-day year comprised of twelve 30-day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-299085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3" w:lineRule="exact"/>
        <w:rPr>
          <w:sz w:val="20"/>
          <w:szCs w:val="20"/>
          <w:color w:val="auto"/>
        </w:rPr>
      </w:pPr>
    </w:p>
    <w:p>
      <w:pPr>
        <w:jc w:val="both"/>
        <w:ind w:firstLine="650"/>
        <w:spacing w:after="0" w:line="233" w:lineRule="auto"/>
        <w:tabs>
          <w:tab w:leader="none" w:pos="1033"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METHOD OF PAYMENT. The Issuer will pay interest on the Notes to the Persons who are registered Holders of Notes at the close of business on the May 15 and November 15 (whether or not a Business Day), as the case may be, next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payment by wire transfer of immediately available funds will be required with respect to principal of and interest and premium, if any,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spacing w:after="0" w:line="179" w:lineRule="exact"/>
        <w:rPr>
          <w:rFonts w:ascii="Times New Roman" w:cs="Times New Roman" w:eastAsia="Times New Roman" w:hAnsi="Times New Roman"/>
          <w:sz w:val="19"/>
          <w:szCs w:val="19"/>
          <w:color w:val="auto"/>
        </w:rPr>
      </w:pPr>
    </w:p>
    <w:p>
      <w:pPr>
        <w:jc w:val="both"/>
        <w:ind w:right="20" w:firstLine="650"/>
        <w:spacing w:after="0" w:line="244" w:lineRule="auto"/>
        <w:tabs>
          <w:tab w:leader="none" w:pos="1033"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PAYING AGENT AND REGISTRAR. Initially, Wilmington Trust, National Association, the Trustee under the Indenture, will act as Paying Agent and Registrar. The Issuer may change any Paying Agent or Registrar without notice to the Holders. The Issuer or any of its Subsidiaries may act in any such capacity.</w:t>
      </w:r>
    </w:p>
    <w:p>
      <w:pPr>
        <w:spacing w:after="0" w:line="170" w:lineRule="exact"/>
        <w:rPr>
          <w:rFonts w:ascii="Times New Roman" w:cs="Times New Roman" w:eastAsia="Times New Roman" w:hAnsi="Times New Roman"/>
          <w:sz w:val="19"/>
          <w:szCs w:val="19"/>
          <w:color w:val="auto"/>
        </w:rPr>
      </w:pPr>
    </w:p>
    <w:p>
      <w:pPr>
        <w:jc w:val="both"/>
        <w:ind w:firstLine="650"/>
        <w:spacing w:after="0" w:line="237" w:lineRule="auto"/>
        <w:tabs>
          <w:tab w:leader="none" w:pos="1033"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INDENTURE. The Issuer issued the Notes under an Indenture, dated as of May 30, 2024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among the Issuer, Holdings the Guarantors named therein, the Trustee and the Notes Collateral Agent. This Note is one of a duly authorized issue of notes of the Issuer designated as its 7.375% Senior Secured Notes due 2031. The Issuer shall be entitled to issue Additional Notes pursuant to Section 2.01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163" w:lineRule="exact"/>
        <w:rPr>
          <w:rFonts w:ascii="Times New Roman" w:cs="Times New Roman" w:eastAsia="Times New Roman" w:hAnsi="Times New Roman"/>
          <w:sz w:val="19"/>
          <w:szCs w:val="19"/>
          <w:color w:val="auto"/>
        </w:rPr>
      </w:pPr>
    </w:p>
    <w:p>
      <w:pPr>
        <w:jc w:val="both"/>
        <w:ind w:firstLine="650"/>
        <w:spacing w:after="0" w:line="258" w:lineRule="auto"/>
        <w:tabs>
          <w:tab w:leader="none" w:pos="1033"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REDEMPTION AND REPURCHASE. The Notes are subject to optional redemption, and may be the subject of a Change of Control Offer and an Asset Sale Offer, as further described in the Indenture. The Issuer shall not be required to make any mandatory redemption or sinking fund payments with respect to the Notes.</w:t>
      </w:r>
    </w:p>
    <w:p>
      <w:pPr>
        <w:spacing w:after="0" w:line="159" w:lineRule="exact"/>
        <w:rPr>
          <w:rFonts w:ascii="Times New Roman" w:cs="Times New Roman" w:eastAsia="Times New Roman" w:hAnsi="Times New Roman"/>
          <w:sz w:val="19"/>
          <w:szCs w:val="19"/>
          <w:color w:val="auto"/>
        </w:rPr>
      </w:pPr>
    </w:p>
    <w:p>
      <w:pPr>
        <w:jc w:val="both"/>
        <w:ind w:right="20" w:firstLine="650"/>
        <w:spacing w:after="0" w:line="244" w:lineRule="auto"/>
        <w:tabs>
          <w:tab w:leader="none" w:pos="1033"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DENOMINATIONS, TRANSFER, EXCHANGE. The Notes are in registered form without coupons in minimum denominations of $2,000 and integral multiples of $1,000 in excess thereof. The transfer of Notes may be registered and Notes may be exchanged as provided in the Indenture. The Registrar and the Trustee</w:t>
      </w:r>
    </w:p>
    <w:p>
      <w:pPr>
        <w:spacing w:after="0" w:line="236" w:lineRule="exact"/>
        <w:rPr>
          <w:sz w:val="20"/>
          <w:szCs w:val="20"/>
          <w:color w:val="auto"/>
        </w:rPr>
      </w:pPr>
    </w:p>
    <w:p>
      <w:pPr>
        <w:ind w:left="100" w:hanging="99"/>
        <w:spacing w:after="0"/>
        <w:tabs>
          <w:tab w:leader="none" w:pos="100" w:val="left"/>
        </w:tabs>
        <w:numPr>
          <w:ilvl w:val="0"/>
          <w:numId w:val="29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May 30, 2024, in the case of the Initial Notes.</w:t>
      </w:r>
    </w:p>
    <w:p>
      <w:pPr>
        <w:sectPr>
          <w:pgSz w:w="11900" w:h="16838" w:orient="portrait"/>
          <w:cols w:equalWidth="0" w:num="1">
            <w:col w:w="10760"/>
          </w:cols>
          <w:pgMar w:left="580" w:top="1440" w:right="559" w:bottom="1440" w:gutter="0" w:footer="0" w:header="0"/>
        </w:sectPr>
      </w:pPr>
    </w:p>
    <w:bookmarkStart w:id="223" w:name="page224"/>
    <w:bookmarkEnd w:id="223"/>
    <w:p>
      <w:pPr>
        <w:ind w:left="100" w:hanging="99"/>
        <w:spacing w:after="0"/>
        <w:tabs>
          <w:tab w:leader="none" w:pos="100" w:val="left"/>
        </w:tabs>
        <w:numPr>
          <w:ilvl w:val="0"/>
          <w:numId w:val="29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December 1, 2024, in the case of the Initial Notes</w:t>
      </w:r>
    </w:p>
    <w:p>
      <w:pPr>
        <w:spacing w:after="0" w:line="188"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9"/>
          <w:szCs w:val="19"/>
          <w:color w:val="auto"/>
        </w:rPr>
        <w:t>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or tendered (and not withdrawn) for repurchase in connection with a Change of Control Offer, an Asset Sale Offer, an Alternate Offer or other tender offer, in whole or in part, except for the unredeemed portion of any Note being redeemed in part. Also, the Issuer need not exchange or register the transfer of any Notes for a period of 15 days before a selection of Notes to be redeemed.</w:t>
      </w:r>
    </w:p>
    <w:p>
      <w:pPr>
        <w:spacing w:after="0" w:line="164" w:lineRule="exact"/>
        <w:rPr>
          <w:sz w:val="20"/>
          <w:szCs w:val="20"/>
          <w:color w:val="auto"/>
        </w:rPr>
      </w:pPr>
    </w:p>
    <w:p>
      <w:pPr>
        <w:ind w:left="1040" w:hanging="390"/>
        <w:spacing w:after="0"/>
        <w:tabs>
          <w:tab w:leader="none" w:pos="1040"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PERSONS DEEMED OWNERS. The registered Holder of a Note may be treated as its owner for all purposes.</w:t>
      </w:r>
    </w:p>
    <w:p>
      <w:pPr>
        <w:spacing w:after="0" w:line="186" w:lineRule="exact"/>
        <w:rPr>
          <w:rFonts w:ascii="Times New Roman" w:cs="Times New Roman" w:eastAsia="Times New Roman" w:hAnsi="Times New Roman"/>
          <w:sz w:val="19"/>
          <w:szCs w:val="19"/>
          <w:color w:val="auto"/>
        </w:rPr>
      </w:pPr>
    </w:p>
    <w:p>
      <w:pPr>
        <w:ind w:left="1300" w:hanging="649"/>
        <w:spacing w:after="0"/>
        <w:tabs>
          <w:tab w:leader="none" w:pos="1300"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3" w:lineRule="exact"/>
        <w:rPr>
          <w:rFonts w:ascii="Times New Roman" w:cs="Times New Roman" w:eastAsia="Times New Roman" w:hAnsi="Times New Roman"/>
          <w:sz w:val="19"/>
          <w:szCs w:val="19"/>
          <w:color w:val="auto"/>
        </w:rPr>
      </w:pPr>
    </w:p>
    <w:p>
      <w:pPr>
        <w:ind w:left="1040" w:hanging="390"/>
        <w:spacing w:after="0"/>
        <w:tabs>
          <w:tab w:leader="none" w:pos="1040"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SUPPLEMENT AND WAIVER. The Notes may be amended or supplemented as provided in the Indenture.</w:t>
      </w:r>
    </w:p>
    <w:p>
      <w:pPr>
        <w:spacing w:after="0" w:line="200" w:lineRule="exact"/>
        <w:rPr>
          <w:rFonts w:ascii="Times New Roman" w:cs="Times New Roman" w:eastAsia="Times New Roman" w:hAnsi="Times New Roman"/>
          <w:sz w:val="19"/>
          <w:szCs w:val="19"/>
          <w:color w:val="auto"/>
        </w:rPr>
      </w:pPr>
    </w:p>
    <w:p>
      <w:pPr>
        <w:jc w:val="both"/>
        <w:ind w:right="220" w:firstLine="650"/>
        <w:spacing w:after="0" w:line="244" w:lineRule="auto"/>
        <w:tabs>
          <w:tab w:leader="none" w:pos="1033"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DEFAULTS AND REMEDIES. The Events of Default relating to the Notes are defined in Section 6.01 of the Indenture. Upon the occurrence of an Event of Default, the rights and obligations of the Issuer, Holdings, the Guarantors, the Trustee, the Notes Collateral Agent and the Holders shall be set forth in the applicable provisions of the Indenture.</w:t>
      </w:r>
    </w:p>
    <w:p>
      <w:pPr>
        <w:spacing w:after="0" w:line="170" w:lineRule="exact"/>
        <w:rPr>
          <w:rFonts w:ascii="Times New Roman" w:cs="Times New Roman" w:eastAsia="Times New Roman" w:hAnsi="Times New Roman"/>
          <w:sz w:val="19"/>
          <w:szCs w:val="19"/>
          <w:color w:val="auto"/>
        </w:rPr>
      </w:pPr>
    </w:p>
    <w:p>
      <w:pPr>
        <w:ind w:right="240" w:firstLine="650"/>
        <w:spacing w:after="0" w:line="280" w:lineRule="auto"/>
        <w:tabs>
          <w:tab w:leader="none" w:pos="1026"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AUTHENTICATION. This Note shall not be entitled to any benefit under the Indenture or be valid or obligatory for any purpose until authenticated by the manual signature of the Trustee.</w:t>
      </w:r>
    </w:p>
    <w:p>
      <w:pPr>
        <w:spacing w:after="0" w:line="138" w:lineRule="exact"/>
        <w:rPr>
          <w:rFonts w:ascii="Times New Roman" w:cs="Times New Roman" w:eastAsia="Times New Roman" w:hAnsi="Times New Roman"/>
          <w:sz w:val="19"/>
          <w:szCs w:val="19"/>
          <w:color w:val="auto"/>
        </w:rPr>
      </w:pPr>
    </w:p>
    <w:p>
      <w:pPr>
        <w:ind w:right="240" w:firstLine="650"/>
        <w:spacing w:after="0" w:line="280" w:lineRule="auto"/>
        <w:tabs>
          <w:tab w:leader="none" w:pos="1033"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GOVERNING LAW. THE LAWS OF THE STATE OF NEW YORK SHALL GOVERN AND BE USED TO CONSTRUE THE INDENTURE, THE NOTES AND THE NOTE GUARANTEES.</w:t>
      </w:r>
    </w:p>
    <w:p>
      <w:pPr>
        <w:spacing w:after="0" w:line="138" w:lineRule="exact"/>
        <w:rPr>
          <w:rFonts w:ascii="Times New Roman" w:cs="Times New Roman" w:eastAsia="Times New Roman" w:hAnsi="Times New Roman"/>
          <w:sz w:val="19"/>
          <w:szCs w:val="19"/>
          <w:color w:val="auto"/>
        </w:rPr>
      </w:pPr>
    </w:p>
    <w:p>
      <w:pPr>
        <w:jc w:val="both"/>
        <w:ind w:right="220" w:firstLine="650"/>
        <w:spacing w:after="0" w:line="244" w:lineRule="auto"/>
        <w:tabs>
          <w:tab w:leader="none" w:pos="1033"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ISIN AND CUSIP NUMBERS. Pursuant to a recommendation promulgated by the Committee on Uniform Security Identification Procedures, the Issuer has caused ISIN and CUSIP numbers to be printed on the Notes and the Trustee may use ISIN and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ectPr>
          <w:pgSz w:w="11900" w:h="16838" w:orient="portrait"/>
          <w:cols w:equalWidth="0" w:num="1">
            <w:col w:w="10980"/>
          </w:cols>
          <w:pgMar w:left="580" w:top="1366" w:right="339" w:bottom="1440" w:gutter="0" w:footer="0" w:header="0"/>
        </w:sectPr>
      </w:pPr>
    </w:p>
    <w:bookmarkStart w:id="224" w:name="page225"/>
    <w:bookmarkEnd w:id="224"/>
    <w:p>
      <w:pPr>
        <w:spacing w:after="0" w:line="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ASSIGNMENT FORM</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To assign this Note, fill in the form below:</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-10160</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5580"/>
        <w:spacing w:after="0"/>
        <w:rPr>
          <w:sz w:val="20"/>
          <w:szCs w:val="20"/>
          <w:color w:val="auto"/>
        </w:rPr>
      </w:pPr>
      <w:r>
        <w:rPr>
          <w:rFonts w:ascii="Times New Roman" w:cs="Times New Roman" w:eastAsia="Times New Roman" w:hAnsi="Times New Roman"/>
          <w:sz w:val="19"/>
          <w:szCs w:val="19"/>
          <w:color w:val="auto"/>
        </w:rPr>
        <w:t>(Insert assignee’s legal name)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w:t>
      </w:r>
    </w:p>
    <w:p>
      <w:pPr>
        <w:spacing w:after="0" w:line="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(Insert assignee’s soc. sec. or tax I.D. no.)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_____________________________________________________________________________________________</w:t>
      </w: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(Print or type assignee’s name, address and zip code)</w:t>
      </w:r>
    </w:p>
    <w:p>
      <w:pPr>
        <w:spacing w:after="0" w:line="200" w:lineRule="exact"/>
        <w:rPr>
          <w:sz w:val="20"/>
          <w:szCs w:val="20"/>
          <w:color w:val="auto"/>
        </w:rPr>
      </w:pPr>
    </w:p>
    <w:p>
      <w:pPr>
        <w:ind w:left="260"/>
        <w:spacing w:after="0"/>
        <w:tabs>
          <w:tab w:leader="none" w:pos="2280" w:val="left"/>
        </w:tabs>
        <w:rPr>
          <w:sz w:val="20"/>
          <w:szCs w:val="20"/>
          <w:color w:val="auto"/>
        </w:rPr>
      </w:pPr>
      <w:r>
        <w:rPr>
          <w:rFonts w:ascii="Times New Roman" w:cs="Times New Roman" w:eastAsia="Times New Roman" w:hAnsi="Times New Roman"/>
          <w:sz w:val="19"/>
          <w:szCs w:val="19"/>
          <w:color w:val="auto"/>
        </w:rPr>
        <w:t>and irrevocably appoint</w:t>
      </w:r>
      <w:r>
        <w:rPr>
          <w:sz w:val="20"/>
          <w:szCs w:val="20"/>
          <w:color w:val="auto"/>
        </w:rPr>
        <w:tab/>
      </w:r>
      <w:r>
        <w:rPr>
          <w:rFonts w:ascii="Times New Roman" w:cs="Times New Roman" w:eastAsia="Times New Roman" w:hAnsi="Times New Roman"/>
          <w:sz w:val="18"/>
          <w:szCs w:val="18"/>
          <w:color w:val="auto"/>
        </w:rPr>
        <w:t>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-10160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-10160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-10160</wp:posOffset>
            </wp:positionV>
            <wp:extent cx="240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9"/>
          <w:szCs w:val="19"/>
          <w:color w:val="auto"/>
        </w:rPr>
        <w:t>(Sign exactly as your name appears on the face of this Note)</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-10160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4" w:lineRule="exact"/>
        <w:rPr>
          <w:sz w:val="20"/>
          <w:szCs w:val="20"/>
          <w:color w:val="auto"/>
        </w:rPr>
      </w:pPr>
    </w:p>
    <w:p>
      <w:pPr>
        <w:ind w:left="600" w:right="2280" w:hanging="339"/>
        <w:spacing w:after="0" w:line="250" w:lineRule="auto"/>
        <w:tabs>
          <w:tab w:leader="none" w:pos="551"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ectPr>
          <w:pgSz w:w="11900" w:h="16838" w:orient="portrait"/>
          <w:cols w:equalWidth="0" w:num="1">
            <w:col w:w="11020"/>
          </w:cols>
          <w:pgMar w:left="320" w:top="1440" w:right="559" w:bottom="1440" w:gutter="0" w:footer="0" w:header="0"/>
        </w:sectPr>
      </w:pPr>
    </w:p>
    <w:bookmarkStart w:id="225" w:name="page226"/>
    <w:bookmarkEnd w:id="225"/>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OPTION OF HOLDER TO ELECT PURCHASE</w:t>
      </w:r>
    </w:p>
    <w:p>
      <w:pPr>
        <w:spacing w:after="0" w:line="200" w:lineRule="exact"/>
        <w:rPr>
          <w:sz w:val="20"/>
          <w:szCs w:val="20"/>
          <w:color w:val="auto"/>
        </w:rPr>
      </w:pPr>
    </w:p>
    <w:p>
      <w:pPr>
        <w:ind w:right="20" w:firstLine="649"/>
        <w:spacing w:after="0" w:line="280" w:lineRule="auto"/>
        <w:rPr>
          <w:sz w:val="20"/>
          <w:szCs w:val="20"/>
          <w:color w:val="auto"/>
        </w:rPr>
      </w:pPr>
      <w:r>
        <w:rPr>
          <w:rFonts w:ascii="Times New Roman" w:cs="Times New Roman" w:eastAsia="Times New Roman" w:hAnsi="Times New Roman"/>
          <w:sz w:val="19"/>
          <w:szCs w:val="19"/>
          <w:color w:val="auto"/>
        </w:rPr>
        <w:t>If you want to elect to have this Note purchased by the Issuer pursuant to Section 4.10 or 4.14 of the Indenture, check the appropriate box below:</w:t>
      </w:r>
    </w:p>
    <w:p>
      <w:pPr>
        <w:spacing w:after="0" w:line="125" w:lineRule="exact"/>
        <w:rPr>
          <w:sz w:val="20"/>
          <w:szCs w:val="20"/>
          <w:color w:val="auto"/>
        </w:rPr>
      </w:pPr>
    </w:p>
    <w:p>
      <w:pPr>
        <w:jc w:val="center"/>
        <w:ind w:right="40"/>
        <w:spacing w:after="0"/>
        <w:tabs>
          <w:tab w:leader="none" w:pos="180" w:val="left"/>
        </w:tabs>
        <w:rPr>
          <w:sz w:val="20"/>
          <w:szCs w:val="20"/>
          <w:color w:val="auto"/>
        </w:rPr>
      </w:pPr>
      <w:r>
        <w:rPr>
          <w:rFonts w:ascii="Times New Roman" w:cs="Times New Roman" w:eastAsia="Times New Roman" w:hAnsi="Times New Roman"/>
          <w:sz w:val="19"/>
          <w:szCs w:val="19"/>
          <w:color w:val="auto"/>
        </w:rPr>
        <w:t>[ ] Section 4.10</w:t>
      </w:r>
      <w:r>
        <w:rPr>
          <w:sz w:val="20"/>
          <w:szCs w:val="20"/>
          <w:color w:val="auto"/>
        </w:rPr>
        <w:tab/>
      </w:r>
      <w:r>
        <w:rPr>
          <w:rFonts w:ascii="Times New Roman" w:cs="Times New Roman" w:eastAsia="Times New Roman" w:hAnsi="Times New Roman"/>
          <w:sz w:val="18"/>
          <w:szCs w:val="18"/>
          <w:color w:val="auto"/>
        </w:rPr>
        <w:t>[ ] Section 4.14</w:t>
      </w:r>
    </w:p>
    <w:p>
      <w:pPr>
        <w:spacing w:after="0" w:line="200"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If you want to elect to have only part of this Note purchased by the Issuer pursuant to Section 4.10 or Section 4.14 of the Indenture, state the amount you elect to have purchased (in denominations of $2,000 or integral multiples of $1,000 in excess thereof):</w:t>
      </w:r>
    </w:p>
    <w:p>
      <w:pPr>
        <w:spacing w:after="0" w:line="1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-10160</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-10160</wp:posOffset>
            </wp:positionV>
            <wp:extent cx="120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9"/>
          <w:szCs w:val="19"/>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-10160</wp:posOffset>
            </wp:positionV>
            <wp:extent cx="509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19"/>
          <w:szCs w:val="19"/>
          <w:color w:val="auto"/>
        </w:rPr>
        <w:t>(Sign exactly as your name appears on the face of this Note)</w:t>
      </w:r>
    </w:p>
    <w:p>
      <w:pPr>
        <w:spacing w:after="0" w:line="16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9"/>
          <w:szCs w:val="19"/>
          <w:color w:val="auto"/>
        </w:rPr>
        <w:t>Tax Identification No.: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1106805</wp:posOffset>
            </wp:positionH>
            <wp:positionV relativeFrom="paragraph">
              <wp:posOffset>-10160</wp:posOffset>
            </wp:positionV>
            <wp:extent cx="120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0" w:lineRule="exact"/>
        <w:rPr>
          <w:sz w:val="20"/>
          <w:szCs w:val="20"/>
          <w:color w:val="auto"/>
        </w:rPr>
      </w:pPr>
    </w:p>
    <w:p>
      <w:pPr>
        <w:ind w:left="340" w:right="2280" w:hanging="339"/>
        <w:spacing w:after="0" w:line="250" w:lineRule="auto"/>
        <w:tabs>
          <w:tab w:leader="none" w:pos="291"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ectPr>
          <w:pgSz w:w="11900" w:h="16838" w:orient="portrait"/>
          <w:cols w:equalWidth="0" w:num="1">
            <w:col w:w="10760"/>
          </w:cols>
          <w:pgMar w:left="580" w:top="1440" w:right="559" w:bottom="1440" w:gutter="0" w:footer="0" w:header="0"/>
        </w:sectPr>
      </w:pPr>
    </w:p>
    <w:bookmarkStart w:id="226" w:name="page227"/>
    <w:bookmarkEnd w:id="226"/>
    <w:p>
      <w:pPr>
        <w:spacing w:after="0" w:line="7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auto"/>
        </w:rPr>
        <w:t>SCHEDULE OF INCREASES AND DECREASES IN THE GLOBAL NOTE*</w:t>
      </w:r>
    </w:p>
    <w:p>
      <w:pPr>
        <w:spacing w:after="0" w:line="200" w:lineRule="exact"/>
        <w:rPr>
          <w:sz w:val="20"/>
          <w:szCs w:val="20"/>
          <w:color w:val="auto"/>
        </w:rPr>
      </w:pPr>
    </w:p>
    <w:p>
      <w:pPr>
        <w:ind w:left="640"/>
        <w:spacing w:after="0"/>
        <w:tabs>
          <w:tab w:leader="none" w:pos="5680" w:val="left"/>
        </w:tabs>
        <w:rPr>
          <w:sz w:val="20"/>
          <w:szCs w:val="20"/>
          <w:color w:val="auto"/>
        </w:rPr>
      </w:pPr>
      <w:r>
        <w:rPr>
          <w:rFonts w:ascii="Times New Roman" w:cs="Times New Roman" w:eastAsia="Times New Roman" w:hAnsi="Times New Roman"/>
          <w:sz w:val="19"/>
          <w:szCs w:val="19"/>
          <w:color w:val="auto"/>
        </w:rPr>
        <w:t>The initial outstanding principal amount of this Global Note is $</w:t>
      </w:r>
      <w:r>
        <w:rPr>
          <w:sz w:val="20"/>
          <w:szCs w:val="20"/>
          <w:color w:val="auto"/>
        </w:rPr>
        <w:tab/>
      </w:r>
      <w:r>
        <w:rPr>
          <w:rFonts w:ascii="Times New Roman" w:cs="Times New Roman" w:eastAsia="Times New Roman" w:hAnsi="Times New Roman"/>
          <w:sz w:val="18"/>
          <w:szCs w:val="18"/>
          <w:color w:val="auto"/>
        </w:rPr>
        <w:t>. The following increases and decreases in the aggregate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3498850</wp:posOffset>
            </wp:positionH>
            <wp:positionV relativeFrom="paragraph">
              <wp:posOffset>-10160</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amount of this Global Note have been ma de:</w:t>
            </w:r>
          </w:p>
        </w:tc>
        <w:tc>
          <w:tcPr>
            <w:tcW w:w="21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3"/>
        </w:trPr>
        <w:tc>
          <w:tcPr>
            <w:tcW w:w="1940" w:type="dxa"/>
            <w:vAlign w:val="bottom"/>
          </w:tcPr>
          <w:p>
            <w:pPr>
              <w:jc w:val="center"/>
              <w:ind w:left="166"/>
              <w:spacing w:after="0"/>
              <w:rPr>
                <w:sz w:val="20"/>
                <w:szCs w:val="20"/>
                <w:color w:val="auto"/>
              </w:rPr>
            </w:pPr>
            <w:r>
              <w:rPr>
                <w:rFonts w:ascii="Times New Roman" w:cs="Times New Roman" w:eastAsia="Times New Roman" w:hAnsi="Times New Roman"/>
                <w:sz w:val="19"/>
                <w:szCs w:val="19"/>
                <w:color w:val="auto"/>
                <w:w w:val="99"/>
              </w:rPr>
              <w:t>Date of Increase</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Amount of decrease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Amount of increase in</w:t>
            </w:r>
          </w:p>
        </w:tc>
        <w:tc>
          <w:tcPr>
            <w:tcW w:w="2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Principal Amount of</w:t>
            </w:r>
          </w:p>
        </w:tc>
        <w:tc>
          <w:tcPr>
            <w:tcW w:w="1780" w:type="dxa"/>
            <w:vAlign w:val="bottom"/>
            <w:vMerge w:val="restart"/>
          </w:tcPr>
          <w:p>
            <w:pPr>
              <w:jc w:val="center"/>
              <w:ind w:left="126"/>
              <w:spacing w:after="0"/>
              <w:rPr>
                <w:sz w:val="20"/>
                <w:szCs w:val="20"/>
                <w:color w:val="auto"/>
              </w:rPr>
            </w:pPr>
            <w:r>
              <w:rPr>
                <w:rFonts w:ascii="Times New Roman" w:cs="Times New Roman" w:eastAsia="Times New Roman" w:hAnsi="Times New Roman"/>
                <w:sz w:val="19"/>
                <w:szCs w:val="19"/>
                <w:color w:val="auto"/>
                <w:w w:val="98"/>
              </w:rPr>
              <w:t>Signature of</w:t>
            </w:r>
          </w:p>
        </w:tc>
        <w:tc>
          <w:tcPr>
            <w:tcW w:w="0" w:type="dxa"/>
            <w:vAlign w:val="bottom"/>
          </w:tcPr>
          <w:p>
            <w:pPr>
              <w:spacing w:after="0"/>
              <w:rPr>
                <w:sz w:val="1"/>
                <w:szCs w:val="1"/>
                <w:color w:val="auto"/>
              </w:rPr>
            </w:pPr>
          </w:p>
        </w:tc>
      </w:tr>
      <w:tr>
        <w:trPr>
          <w:trHeight w:val="189"/>
        </w:trPr>
        <w:tc>
          <w:tcPr>
            <w:tcW w:w="1940" w:type="dxa"/>
            <w:vAlign w:val="bottom"/>
          </w:tcPr>
          <w:p>
            <w:pPr>
              <w:jc w:val="center"/>
              <w:ind w:left="166"/>
              <w:spacing w:after="0" w:line="189" w:lineRule="exact"/>
              <w:rPr>
                <w:sz w:val="20"/>
                <w:szCs w:val="20"/>
                <w:color w:val="auto"/>
              </w:rPr>
            </w:pPr>
            <w:r>
              <w:rPr>
                <w:rFonts w:ascii="Times New Roman" w:cs="Times New Roman" w:eastAsia="Times New Roman" w:hAnsi="Times New Roman"/>
                <w:sz w:val="19"/>
                <w:szCs w:val="19"/>
                <w:color w:val="auto"/>
                <w:w w:val="97"/>
              </w:rPr>
              <w:t>or Decrease</w:t>
            </w:r>
          </w:p>
        </w:tc>
        <w:tc>
          <w:tcPr>
            <w:tcW w:w="1980" w:type="dxa"/>
            <w:vAlign w:val="bottom"/>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2040" w:type="dxa"/>
            <w:vAlign w:val="bottom"/>
          </w:tcPr>
          <w:p>
            <w:pPr>
              <w:jc w:val="center"/>
              <w:spacing w:after="0" w:line="189" w:lineRule="exact"/>
              <w:rPr>
                <w:sz w:val="20"/>
                <w:szCs w:val="20"/>
                <w:color w:val="auto"/>
              </w:rPr>
            </w:pPr>
            <w:r>
              <w:rPr>
                <w:rFonts w:ascii="Times New Roman" w:cs="Times New Roman" w:eastAsia="Times New Roman" w:hAnsi="Times New Roman"/>
                <w:sz w:val="19"/>
                <w:szCs w:val="19"/>
                <w:color w:val="auto"/>
              </w:rPr>
              <w:t>this Global Note</w:t>
            </w: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98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in Principal</w:t>
            </w:r>
          </w:p>
        </w:tc>
        <w:tc>
          <w:tcPr>
            <w:tcW w:w="216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Principal</w:t>
            </w:r>
          </w:p>
        </w:tc>
        <w:tc>
          <w:tcPr>
            <w:tcW w:w="204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rPr>
              <w:t>following such</w:t>
            </w:r>
          </w:p>
        </w:tc>
        <w:tc>
          <w:tcPr>
            <w:tcW w:w="1780" w:type="dxa"/>
            <w:vAlign w:val="bottom"/>
          </w:tcPr>
          <w:p>
            <w:pPr>
              <w:jc w:val="center"/>
              <w:ind w:left="146"/>
              <w:spacing w:after="0" w:line="216" w:lineRule="exact"/>
              <w:rPr>
                <w:sz w:val="20"/>
                <w:szCs w:val="20"/>
                <w:color w:val="auto"/>
              </w:rPr>
            </w:pPr>
            <w:r>
              <w:rPr>
                <w:rFonts w:ascii="Times New Roman" w:cs="Times New Roman" w:eastAsia="Times New Roman" w:hAnsi="Times New Roman"/>
                <w:sz w:val="19"/>
                <w:szCs w:val="19"/>
                <w:color w:val="auto"/>
                <w:w w:val="98"/>
              </w:rPr>
              <w:t>authorized officer of</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98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Amount</w:t>
            </w:r>
          </w:p>
        </w:tc>
        <w:tc>
          <w:tcPr>
            <w:tcW w:w="216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rPr>
              <w:t>Amount of this</w:t>
            </w:r>
          </w:p>
        </w:tc>
        <w:tc>
          <w:tcPr>
            <w:tcW w:w="204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decrease or increase</w:t>
            </w:r>
          </w:p>
        </w:tc>
        <w:tc>
          <w:tcPr>
            <w:tcW w:w="1780" w:type="dxa"/>
            <w:vAlign w:val="bottom"/>
          </w:tcPr>
          <w:p>
            <w:pPr>
              <w:jc w:val="center"/>
              <w:ind w:left="106"/>
              <w:spacing w:after="0" w:line="216" w:lineRule="exact"/>
              <w:rPr>
                <w:sz w:val="20"/>
                <w:szCs w:val="20"/>
                <w:color w:val="auto"/>
              </w:rPr>
            </w:pPr>
            <w:r>
              <w:rPr>
                <w:rFonts w:ascii="Times New Roman" w:cs="Times New Roman" w:eastAsia="Times New Roman" w:hAnsi="Times New Roman"/>
                <w:sz w:val="19"/>
                <w:szCs w:val="19"/>
                <w:color w:val="auto"/>
                <w:w w:val="98"/>
              </w:rPr>
              <w:t>Trustee or Note</w:t>
            </w: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Global Note</w:t>
            </w:r>
          </w:p>
        </w:tc>
        <w:tc>
          <w:tcPr>
            <w:tcW w:w="2040" w:type="dxa"/>
            <w:vAlign w:val="bottom"/>
          </w:tcPr>
          <w:p>
            <w:pPr>
              <w:spacing w:after="0"/>
              <w:rPr>
                <w:sz w:val="22"/>
                <w:szCs w:val="22"/>
                <w:color w:val="auto"/>
              </w:rPr>
            </w:pPr>
          </w:p>
        </w:tc>
        <w:tc>
          <w:tcPr>
            <w:tcW w:w="1780" w:type="dxa"/>
            <w:vAlign w:val="bottom"/>
          </w:tcPr>
          <w:p>
            <w:pPr>
              <w:jc w:val="center"/>
              <w:ind w:left="126"/>
              <w:spacing w:after="0"/>
              <w:rPr>
                <w:sz w:val="20"/>
                <w:szCs w:val="20"/>
                <w:color w:val="auto"/>
              </w:rPr>
            </w:pPr>
            <w:r>
              <w:rPr>
                <w:rFonts w:ascii="Times New Roman" w:cs="Times New Roman" w:eastAsia="Times New Roman" w:hAnsi="Times New Roman"/>
                <w:sz w:val="19"/>
                <w:szCs w:val="19"/>
                <w:color w:val="auto"/>
                <w:w w:val="98"/>
              </w:rPr>
              <w:t>Custodian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This schedule should be included only if the Note is issued in global form.</w:t>
      </w:r>
    </w:p>
    <w:p>
      <w:pPr>
        <w:sectPr>
          <w:pgSz w:w="11900" w:h="16838" w:orient="portrait"/>
          <w:cols w:equalWidth="0" w:num="1">
            <w:col w:w="10680"/>
          </w:cols>
          <w:pgMar w:left="580" w:top="1440" w:right="639" w:bottom="1440" w:gutter="0" w:footer="0" w:header="0"/>
        </w:sectPr>
      </w:pPr>
    </w:p>
    <w:bookmarkStart w:id="227" w:name="page228"/>
    <w:bookmarkEnd w:id="227"/>
    <w:p>
      <w:pPr>
        <w:spacing w:after="0" w:line="51"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9"/>
          <w:szCs w:val="19"/>
          <w:color w:val="auto"/>
        </w:rPr>
        <w:t>EXHIBIT B</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FORM OF CERTIFICATE OF TRANSFER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Sotera Health Holdings, LLC 9100 South Hills Blvd, Suite 300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Broadview Heights, OH 44147</w:t>
      </w:r>
    </w:p>
    <w:p>
      <w:pPr>
        <w:spacing w:after="0"/>
        <w:rPr>
          <w:sz w:val="20"/>
          <w:szCs w:val="20"/>
          <w:color w:val="auto"/>
        </w:rPr>
      </w:pPr>
      <w:r>
        <w:rPr>
          <w:rFonts w:ascii="Times New Roman" w:cs="Times New Roman" w:eastAsia="Times New Roman" w:hAnsi="Times New Roman"/>
          <w:sz w:val="19"/>
          <w:szCs w:val="19"/>
          <w:color w:val="auto"/>
        </w:rPr>
        <w:t>Attn: Jonathan Lyons, Chief Financial Officer, Sotera Health Company E-Mail: [***]</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Wilmington Trust, National Association, as Trustee 277 Park Avenue,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w:t>
      </w:r>
    </w:p>
    <w:p>
      <w:pPr>
        <w:spacing w:after="0" w:line="222" w:lineRule="auto"/>
        <w:rPr>
          <w:sz w:val="20"/>
          <w:szCs w:val="20"/>
          <w:color w:val="auto"/>
        </w:rPr>
      </w:pPr>
      <w:r>
        <w:rPr>
          <w:rFonts w:ascii="Times New Roman" w:cs="Times New Roman" w:eastAsia="Times New Roman" w:hAnsi="Times New Roman"/>
          <w:sz w:val="19"/>
          <w:szCs w:val="19"/>
          <w:color w:val="auto"/>
        </w:rPr>
        <w:t>New York, NY 10172 Fax: 203-453-1183</w:t>
      </w:r>
    </w:p>
    <w:p>
      <w:pPr>
        <w:spacing w:after="0"/>
        <w:rPr>
          <w:sz w:val="20"/>
          <w:szCs w:val="20"/>
          <w:color w:val="auto"/>
        </w:rPr>
      </w:pPr>
      <w:r>
        <w:rPr>
          <w:rFonts w:ascii="Times New Roman" w:cs="Times New Roman" w:eastAsia="Times New Roman" w:hAnsi="Times New Roman"/>
          <w:sz w:val="19"/>
          <w:szCs w:val="19"/>
          <w:color w:val="auto"/>
        </w:rPr>
        <w:t>Attention: Sotera Health Holdings, LLC Notes Administrator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 xml:space="preserve">Re: </w:t>
      </w:r>
      <w:r>
        <w:rPr>
          <w:rFonts w:ascii="Times New Roman" w:cs="Times New Roman" w:eastAsia="Times New Roman" w:hAnsi="Times New Roman"/>
          <w:sz w:val="19"/>
          <w:szCs w:val="19"/>
          <w:u w:val="single" w:color="auto"/>
          <w:color w:val="auto"/>
        </w:rPr>
        <w:t>Sotera Health Holdings LLC’s 7.375% Senior Secured Notes due 2031</w:t>
      </w:r>
    </w:p>
    <w:p>
      <w:pPr>
        <w:spacing w:after="0" w:line="200" w:lineRule="exact"/>
        <w:rPr>
          <w:sz w:val="20"/>
          <w:szCs w:val="20"/>
          <w:color w:val="auto"/>
        </w:rPr>
      </w:pPr>
    </w:p>
    <w:p>
      <w:pPr>
        <w:jc w:val="both"/>
        <w:ind w:right="20" w:firstLine="649"/>
        <w:spacing w:after="0" w:line="244" w:lineRule="auto"/>
        <w:rPr>
          <w:sz w:val="20"/>
          <w:szCs w:val="20"/>
          <w:color w:val="auto"/>
        </w:rPr>
      </w:pPr>
      <w:r>
        <w:rPr>
          <w:rFonts w:ascii="Times New Roman" w:cs="Times New Roman" w:eastAsia="Times New Roman" w:hAnsi="Times New Roman"/>
          <w:sz w:val="19"/>
          <w:szCs w:val="19"/>
          <w:color w:val="auto"/>
        </w:rPr>
        <w:t>Reference is hereby made to the Indenture, dated as of May [30], 2024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among Sotera Health Holdings, LLC (the “</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 Sotera Health Company, the guarantors named therein, and Wilmington Trust, National Association, as Trustee and Notes Collateral Agent. Capitalized terms used but not defined herein shall have the meanings given to them in the Indenture.</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Transferor</w:t>
      </w:r>
      <w:r>
        <w:rPr>
          <w:rFonts w:ascii="Times New Roman" w:cs="Times New Roman" w:eastAsia="Times New Roman" w:hAnsi="Times New Roman"/>
          <w:sz w:val="19"/>
          <w:szCs w:val="19"/>
          <w:color w:val="auto"/>
        </w:rPr>
        <w:t>”) owns and proposes to transfer the Note[s] or interest in such Note[s] specified in Annex A hereto,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wp:posOffset>
            </wp:positionV>
            <wp:extent cx="316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16865" cy="8890"/>
                    </a:xfrm>
                    <a:prstGeom prst="rect">
                      <a:avLst/>
                    </a:prstGeom>
                    <a:noFill/>
                  </pic:spPr>
                </pic:pic>
              </a:graphicData>
            </a:graphic>
          </wp:anchor>
        </w:drawing>
      </w:r>
    </w:p>
    <w:p>
      <w:pPr>
        <w:spacing w:after="0"/>
        <w:tabs>
          <w:tab w:leader="none" w:pos="1940" w:val="left"/>
          <w:tab w:leader="none" w:pos="5940" w:val="left"/>
        </w:tabs>
        <w:rPr>
          <w:sz w:val="20"/>
          <w:szCs w:val="20"/>
          <w:color w:val="auto"/>
        </w:rPr>
      </w:pPr>
      <w:r>
        <w:rPr>
          <w:rFonts w:ascii="Times New Roman" w:cs="Times New Roman" w:eastAsia="Times New Roman" w:hAnsi="Times New Roman"/>
          <w:sz w:val="19"/>
          <w:szCs w:val="19"/>
          <w:color w:val="auto"/>
        </w:rPr>
        <w:t>principal amount of $</w:t>
        <w:tab/>
        <w:t>in such Note[s] or interests (the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to</w:t>
      </w:r>
      <w:r>
        <w:rPr>
          <w:sz w:val="20"/>
          <w:szCs w:val="20"/>
          <w:color w:val="auto"/>
        </w:rPr>
        <w:tab/>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Transferee</w:t>
      </w:r>
      <w:r>
        <w:rPr>
          <w:rFonts w:ascii="Times New Roman" w:cs="Times New Roman" w:eastAsia="Times New Roman" w:hAnsi="Times New Roman"/>
          <w:sz w:val="19"/>
          <w:szCs w:val="19"/>
          <w:color w:val="auto"/>
        </w:rPr>
        <w:t>”), as further specified in Annex A hereto.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-20955</wp:posOffset>
            </wp:positionV>
            <wp:extent cx="1714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-20955</wp:posOffset>
            </wp:positionV>
            <wp:extent cx="1714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connection with the Transfer, the Transferor hereby certifies that:</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[CHECK ALL THAT APPLY]</w:t>
      </w:r>
    </w:p>
    <w:p>
      <w:pPr>
        <w:spacing w:after="0" w:line="214" w:lineRule="exact"/>
        <w:rPr>
          <w:sz w:val="20"/>
          <w:szCs w:val="20"/>
          <w:color w:val="auto"/>
        </w:rPr>
      </w:pPr>
    </w:p>
    <w:p>
      <w:pPr>
        <w:ind w:left="1300" w:hanging="649"/>
        <w:spacing w:after="0"/>
        <w:tabs>
          <w:tab w:leader="none" w:pos="130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TRANSFEREE WILL TAKE DELIVERY OF A BENEFICIAL INTEREST IN A</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144A GLOBAL NOTE OR A DEFINITIVE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spacing w:after="0" w:line="163" w:lineRule="exact"/>
        <w:rPr>
          <w:sz w:val="20"/>
          <w:szCs w:val="20"/>
          <w:color w:val="auto"/>
        </w:rPr>
      </w:pPr>
    </w:p>
    <w:p>
      <w:pPr>
        <w:ind w:firstLine="650"/>
        <w:spacing w:after="0"/>
        <w:tabs>
          <w:tab w:leader="none" w:pos="1033"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TRANSFEREE WILL TAKE DELIVERY OF A BENEFICIAL INTEREST IN A REGULATION S GLOBAL NOTE OR A DEFINITIVE NOTE PURSUANT TO REGULATION S. The Transfer</w:t>
      </w:r>
    </w:p>
    <w:p>
      <w:pPr>
        <w:spacing w:after="0" w:line="1" w:lineRule="exact"/>
        <w:rPr>
          <w:rFonts w:ascii="Times New Roman" w:cs="Times New Roman" w:eastAsia="Times New Roman" w:hAnsi="Times New Roman"/>
          <w:sz w:val="19"/>
          <w:szCs w:val="19"/>
          <w:color w:val="auto"/>
        </w:rPr>
      </w:pPr>
    </w:p>
    <w:p>
      <w:pPr>
        <w:jc w:val="both"/>
        <w:spacing w:after="0" w:line="23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w:t>
      </w:r>
    </w:p>
    <w:p>
      <w:pPr>
        <w:sectPr>
          <w:pgSz w:w="11900" w:h="16838" w:orient="portrait"/>
          <w:cols w:equalWidth="0" w:num="1">
            <w:col w:w="10760"/>
          </w:cols>
          <w:pgMar w:left="580" w:top="1440" w:right="559" w:bottom="1440" w:gutter="0" w:footer="0" w:header="0"/>
        </w:sectPr>
      </w:pPr>
    </w:p>
    <w:bookmarkStart w:id="228" w:name="page229"/>
    <w:bookmarkEnd w:id="228"/>
    <w:p>
      <w:pPr>
        <w:jc w:val="both"/>
        <w:spacing w:after="0" w:line="235" w:lineRule="auto"/>
        <w:rPr>
          <w:sz w:val="20"/>
          <w:szCs w:val="20"/>
          <w:color w:val="auto"/>
        </w:rPr>
      </w:pPr>
      <w:r>
        <w:rPr>
          <w:rFonts w:ascii="Times New Roman" w:cs="Times New Roman" w:eastAsia="Times New Roman" w:hAnsi="Times New Roman"/>
          <w:sz w:val="19"/>
          <w:szCs w:val="19"/>
          <w:color w:val="auto"/>
        </w:rPr>
        <w:t>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147" w:lineRule="exact"/>
        <w:rPr>
          <w:sz w:val="20"/>
          <w:szCs w:val="20"/>
          <w:color w:val="auto"/>
        </w:rPr>
      </w:pPr>
    </w:p>
    <w:p>
      <w:pPr>
        <w:ind w:firstLine="650"/>
        <w:spacing w:after="0" w:line="260" w:lineRule="auto"/>
        <w:tabs>
          <w:tab w:leader="none" w:pos="1033" w:val="left"/>
        </w:tabs>
        <w:numPr>
          <w:ilvl w:val="0"/>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AND COMPLETE IF TRANSFEREE WILLTAKE DELIVERY OF A BENEFICIAL INTEREST IN A DEFINITIVE NOTE PURSUANT TO ANY PROVISION OF THE SECURITIES ACT OTHER</w:t>
      </w:r>
    </w:p>
    <w:p>
      <w:pPr>
        <w:jc w:val="both"/>
        <w:ind w:right="20"/>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48" w:lineRule="exact"/>
        <w:rPr>
          <w:rFonts w:ascii="Times New Roman" w:cs="Times New Roman" w:eastAsia="Times New Roman" w:hAnsi="Times New Roman"/>
          <w:sz w:val="19"/>
          <w:szCs w:val="19"/>
          <w:color w:val="auto"/>
        </w:rPr>
      </w:pPr>
    </w:p>
    <w:p>
      <w:pPr>
        <w:ind w:left="1680" w:hanging="381"/>
        <w:spacing w:after="0"/>
        <w:tabs>
          <w:tab w:leader="none" w:pos="1680"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such Transfer is being effected pursuant to and in accordance with Rule 144 under the Securities Act;</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or</w:t>
      </w:r>
    </w:p>
    <w:p>
      <w:pPr>
        <w:spacing w:after="0" w:line="227" w:lineRule="exact"/>
        <w:rPr>
          <w:sz w:val="20"/>
          <w:szCs w:val="20"/>
          <w:color w:val="auto"/>
        </w:rPr>
      </w:pPr>
    </w:p>
    <w:p>
      <w:pPr>
        <w:ind w:left="5280" w:right="3520" w:hanging="3981"/>
        <w:spacing w:after="0" w:line="459" w:lineRule="auto"/>
        <w:tabs>
          <w:tab w:leader="none" w:pos="1932" w:val="left"/>
        </w:tabs>
        <w:numPr>
          <w:ilvl w:val="1"/>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such Transfer is being effected to the Issuer or a subsidiary thereof; or</w:t>
      </w:r>
    </w:p>
    <w:p>
      <w:pPr>
        <w:spacing w:after="0" w:line="1" w:lineRule="exact"/>
        <w:rPr>
          <w:rFonts w:ascii="Times New Roman" w:cs="Times New Roman" w:eastAsia="Times New Roman" w:hAnsi="Times New Roman"/>
          <w:sz w:val="19"/>
          <w:szCs w:val="19"/>
          <w:color w:val="auto"/>
        </w:rPr>
      </w:pPr>
    </w:p>
    <w:p>
      <w:pPr>
        <w:ind w:left="660" w:right="20" w:firstLine="639"/>
        <w:spacing w:after="0" w:line="280" w:lineRule="auto"/>
        <w:tabs>
          <w:tab w:leader="none" w:pos="1694" w:val="left"/>
        </w:tabs>
        <w:numPr>
          <w:ilvl w:val="1"/>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such Transfer is being effected pursuant to an effective registration statement under the Securities Act and, if applicable, in compliance with the prospectus delivery requirements of the Securities Act.</w:t>
      </w:r>
    </w:p>
    <w:p>
      <w:pPr>
        <w:spacing w:after="0" w:line="151" w:lineRule="exact"/>
        <w:rPr>
          <w:rFonts w:ascii="Times New Roman" w:cs="Times New Roman" w:eastAsia="Times New Roman" w:hAnsi="Times New Roman"/>
          <w:sz w:val="19"/>
          <w:szCs w:val="19"/>
          <w:color w:val="auto"/>
        </w:rPr>
      </w:pPr>
    </w:p>
    <w:p>
      <w:pPr>
        <w:ind w:firstLine="650"/>
        <w:spacing w:after="0" w:line="280" w:lineRule="auto"/>
        <w:tabs>
          <w:tab w:leader="none" w:pos="1033"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TRANSFEREE WILL TAKE DELIVERY OF A BENEFICIAL INTEREST IN AN UNRESTRICTED GLOBAL NOTE OR OF AN UNRESTRICTED DEFINITIVE NOTE.</w:t>
      </w:r>
    </w:p>
    <w:p>
      <w:pPr>
        <w:spacing w:after="0" w:line="125" w:lineRule="exact"/>
        <w:rPr>
          <w:sz w:val="20"/>
          <w:szCs w:val="20"/>
          <w:color w:val="auto"/>
        </w:rPr>
      </w:pPr>
    </w:p>
    <w:p>
      <w:pPr>
        <w:jc w:val="both"/>
        <w:ind w:firstLine="650"/>
        <w:spacing w:after="0" w:line="255" w:lineRule="auto"/>
        <w:tabs>
          <w:tab w:leader="none" w:pos="103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38" w:lineRule="exact"/>
        <w:rPr>
          <w:rFonts w:ascii="Times New Roman" w:cs="Times New Roman" w:eastAsia="Times New Roman" w:hAnsi="Times New Roman"/>
          <w:sz w:val="18"/>
          <w:szCs w:val="18"/>
          <w:color w:val="auto"/>
        </w:rPr>
      </w:pPr>
    </w:p>
    <w:p>
      <w:pPr>
        <w:ind w:left="1280" w:hanging="629"/>
        <w:spacing w:after="0"/>
        <w:tabs>
          <w:tab w:leader="none" w:pos="1280"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TRANSFER IS PURSUANT TO REGULATION S. (i) The Transfer is being</w:t>
      </w:r>
    </w:p>
    <w:p>
      <w:pPr>
        <w:spacing w:after="0" w:line="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62" w:lineRule="exact"/>
        <w:rPr>
          <w:sz w:val="20"/>
          <w:szCs w:val="20"/>
          <w:color w:val="auto"/>
        </w:rPr>
      </w:pPr>
    </w:p>
    <w:p>
      <w:pPr>
        <w:jc w:val="both"/>
        <w:ind w:firstLine="650"/>
        <w:spacing w:after="0" w:line="241" w:lineRule="auto"/>
        <w:tabs>
          <w:tab w:leader="none" w:pos="1034" w:val="left"/>
        </w:tabs>
        <w:numPr>
          <w:ilvl w:val="0"/>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w:t>
      </w:r>
    </w:p>
    <w:p>
      <w:pPr>
        <w:sectPr>
          <w:pgSz w:w="11900" w:h="16838" w:orient="portrait"/>
          <w:cols w:equalWidth="0" w:num="1">
            <w:col w:w="10760"/>
          </w:cols>
          <w:pgMar w:left="580" w:top="1436" w:right="559" w:bottom="1440" w:gutter="0" w:footer="0" w:header="0"/>
        </w:sectPr>
      </w:pPr>
    </w:p>
    <w:bookmarkStart w:id="229" w:name="page230"/>
    <w:bookmarkEnd w:id="229"/>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ectPr>
          <w:pgSz w:w="11900" w:h="16838" w:orient="portrait"/>
          <w:cols w:equalWidth="0" w:num="1">
            <w:col w:w="10760"/>
          </w:cols>
          <w:pgMar w:left="580" w:top="1440" w:right="559" w:bottom="1440" w:gutter="0" w:footer="0" w:header="0"/>
        </w:sectPr>
      </w:pPr>
    </w:p>
    <w:bookmarkStart w:id="230" w:name="page231"/>
    <w:bookmarkEnd w:id="230"/>
    <w:p>
      <w:pPr>
        <w:spacing w:after="0" w:line="200" w:lineRule="exact"/>
        <w:rPr>
          <w:sz w:val="20"/>
          <w:szCs w:val="20"/>
          <w:color w:val="auto"/>
        </w:rPr>
      </w:pPr>
    </w:p>
    <w:p>
      <w:pPr>
        <w:spacing w:after="0" w:line="283" w:lineRule="exact"/>
        <w:rPr>
          <w:sz w:val="20"/>
          <w:szCs w:val="20"/>
          <w:color w:val="auto"/>
        </w:rPr>
      </w:pPr>
    </w:p>
    <w:p>
      <w:pPr>
        <w:ind w:left="3900" w:right="1179" w:hanging="3243"/>
        <w:spacing w:after="0" w:line="503" w:lineRule="auto"/>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Issuer. [Insert Name of Transferor]</w:t>
      </w:r>
    </w:p>
    <w:p>
      <w:pPr>
        <w:spacing w:after="0" w:line="218" w:lineRule="exact"/>
        <w:rPr>
          <w:sz w:val="20"/>
          <w:szCs w:val="20"/>
          <w:color w:val="auto"/>
        </w:rPr>
      </w:pPr>
    </w:p>
    <w:p>
      <w:pPr>
        <w:ind w:left="3300"/>
        <w:spacing w:after="0"/>
        <w:tabs>
          <w:tab w:leader="none" w:pos="41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-10160</wp:posOffset>
            </wp:positionV>
            <wp:extent cx="2400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-10160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231" w:name="page232"/>
    <w:bookmarkEnd w:id="231"/>
    <w:p>
      <w:pPr>
        <w:spacing w:after="0" w:line="78"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9"/>
          <w:szCs w:val="19"/>
          <w:color w:val="auto"/>
        </w:rPr>
        <w:t>ANNEX A TO CERTIFICATE OF TRANSFER</w:t>
      </w:r>
    </w:p>
    <w:p>
      <w:pPr>
        <w:spacing w:after="0" w:line="200" w:lineRule="exact"/>
        <w:rPr>
          <w:sz w:val="20"/>
          <w:szCs w:val="20"/>
          <w:color w:val="auto"/>
        </w:rPr>
      </w:pPr>
    </w:p>
    <w:p>
      <w:pPr>
        <w:spacing w:after="0" w:line="243" w:lineRule="exact"/>
        <w:rPr>
          <w:sz w:val="20"/>
          <w:szCs w:val="20"/>
          <w:color w:val="auto"/>
        </w:rPr>
      </w:pPr>
    </w:p>
    <w:p>
      <w:pPr>
        <w:ind w:left="649" w:hanging="649"/>
        <w:spacing w:after="0"/>
        <w:tabs>
          <w:tab w:leader="none" w:pos="649"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Transferor owns and proposes to transfer the following:</w:t>
      </w:r>
    </w:p>
    <w:p>
      <w:pPr>
        <w:spacing w:after="0" w:line="227" w:lineRule="exact"/>
        <w:rPr>
          <w:sz w:val="20"/>
          <w:szCs w:val="20"/>
          <w:color w:val="auto"/>
        </w:rPr>
      </w:pPr>
    </w:p>
    <w:p>
      <w:pPr>
        <w:jc w:val="center"/>
        <w:ind w:right="-189"/>
        <w:spacing w:after="0"/>
        <w:rPr>
          <w:sz w:val="20"/>
          <w:szCs w:val="20"/>
          <w:color w:val="auto"/>
        </w:rPr>
      </w:pPr>
      <w:r>
        <w:rPr>
          <w:rFonts w:ascii="Times New Roman" w:cs="Times New Roman" w:eastAsia="Times New Roman" w:hAnsi="Times New Roman"/>
          <w:sz w:val="19"/>
          <w:szCs w:val="19"/>
          <w:color w:val="auto"/>
        </w:rPr>
        <w:t>[CHECK ONE OF (a) OR (b)]</w:t>
      </w:r>
    </w:p>
    <w:p>
      <w:pPr>
        <w:spacing w:after="0" w:line="200" w:lineRule="exact"/>
        <w:rPr>
          <w:sz w:val="20"/>
          <w:szCs w:val="20"/>
          <w:color w:val="auto"/>
        </w:rPr>
      </w:pPr>
    </w:p>
    <w:p>
      <w:pPr>
        <w:ind w:left="649" w:hanging="649"/>
        <w:spacing w:after="0"/>
        <w:tabs>
          <w:tab w:leader="none" w:pos="649"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a beneficial interest in the:</w:t>
      </w:r>
    </w:p>
    <w:p>
      <w:pPr>
        <w:spacing w:after="0" w:line="213" w:lineRule="exact"/>
        <w:rPr>
          <w:rFonts w:ascii="Times New Roman" w:cs="Times New Roman" w:eastAsia="Times New Roman" w:hAnsi="Times New Roman"/>
          <w:sz w:val="19"/>
          <w:szCs w:val="19"/>
          <w:color w:val="auto"/>
        </w:rPr>
      </w:pPr>
    </w:p>
    <w:p>
      <w:pPr>
        <w:ind w:left="1289" w:hanging="641"/>
        <w:spacing w:after="0"/>
        <w:tabs>
          <w:tab w:leader="none" w:pos="1289" w:val="left"/>
        </w:tabs>
        <w:numPr>
          <w:ilvl w:val="1"/>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144A Global Note (CUSIP [ ]), or</w:t>
      </w:r>
    </w:p>
    <w:p>
      <w:pPr>
        <w:spacing w:after="0" w:line="227" w:lineRule="exact"/>
        <w:rPr>
          <w:rFonts w:ascii="Times New Roman" w:cs="Times New Roman" w:eastAsia="Times New Roman" w:hAnsi="Times New Roman"/>
          <w:sz w:val="19"/>
          <w:szCs w:val="19"/>
          <w:color w:val="auto"/>
        </w:rPr>
      </w:pPr>
    </w:p>
    <w:p>
      <w:pPr>
        <w:ind w:left="1289" w:hanging="641"/>
        <w:spacing w:after="0"/>
        <w:tabs>
          <w:tab w:leader="none" w:pos="1289" w:val="left"/>
        </w:tabs>
        <w:numPr>
          <w:ilvl w:val="1"/>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Regulation S Global Note (CUSIP [ ]), or</w:t>
      </w:r>
    </w:p>
    <w:p>
      <w:pPr>
        <w:spacing w:after="0" w:line="200" w:lineRule="exact"/>
        <w:rPr>
          <w:rFonts w:ascii="Times New Roman" w:cs="Times New Roman" w:eastAsia="Times New Roman" w:hAnsi="Times New Roman"/>
          <w:sz w:val="19"/>
          <w:szCs w:val="19"/>
          <w:color w:val="auto"/>
        </w:rPr>
      </w:pPr>
    </w:p>
    <w:p>
      <w:pPr>
        <w:ind w:left="629" w:hanging="629"/>
        <w:spacing w:after="0"/>
        <w:tabs>
          <w:tab w:leader="none" w:pos="629"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a Restricted Definitive Note.</w:t>
      </w:r>
    </w:p>
    <w:p>
      <w:pPr>
        <w:spacing w:after="0" w:line="214" w:lineRule="exact"/>
        <w:rPr>
          <w:sz w:val="20"/>
          <w:szCs w:val="20"/>
          <w:color w:val="auto"/>
        </w:rPr>
      </w:pPr>
    </w:p>
    <w:p>
      <w:pPr>
        <w:ind w:left="649" w:hanging="649"/>
        <w:spacing w:after="0"/>
        <w:tabs>
          <w:tab w:leader="none" w:pos="649"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Transfer the Transferee will hold:</w:t>
      </w:r>
    </w:p>
    <w:p>
      <w:pPr>
        <w:spacing w:after="0" w:line="227" w:lineRule="exact"/>
        <w:rPr>
          <w:sz w:val="20"/>
          <w:szCs w:val="20"/>
          <w:color w:val="auto"/>
        </w:rPr>
      </w:pPr>
    </w:p>
    <w:p>
      <w:pPr>
        <w:jc w:val="center"/>
        <w:ind w:right="-189"/>
        <w:spacing w:after="0"/>
        <w:rPr>
          <w:sz w:val="20"/>
          <w:szCs w:val="20"/>
          <w:color w:val="auto"/>
        </w:rPr>
      </w:pPr>
      <w:r>
        <w:rPr>
          <w:rFonts w:ascii="Times New Roman" w:cs="Times New Roman" w:eastAsia="Times New Roman" w:hAnsi="Times New Roman"/>
          <w:sz w:val="19"/>
          <w:szCs w:val="19"/>
          <w:color w:val="auto"/>
        </w:rPr>
        <w:t>[CHECK ONE]</w:t>
      </w:r>
    </w:p>
    <w:p>
      <w:pPr>
        <w:spacing w:after="0" w:line="200" w:lineRule="exact"/>
        <w:rPr>
          <w:sz w:val="20"/>
          <w:szCs w:val="20"/>
          <w:color w:val="auto"/>
        </w:rPr>
      </w:pPr>
    </w:p>
    <w:p>
      <w:pPr>
        <w:ind w:left="649" w:hanging="649"/>
        <w:spacing w:after="0"/>
        <w:tabs>
          <w:tab w:leader="none" w:pos="649"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a beneficial interest in the:</w:t>
      </w:r>
    </w:p>
    <w:p>
      <w:pPr>
        <w:spacing w:after="0" w:line="227" w:lineRule="exact"/>
        <w:rPr>
          <w:rFonts w:ascii="Times New Roman" w:cs="Times New Roman" w:eastAsia="Times New Roman" w:hAnsi="Times New Roman"/>
          <w:sz w:val="19"/>
          <w:szCs w:val="19"/>
          <w:color w:val="auto"/>
        </w:rPr>
      </w:pPr>
    </w:p>
    <w:p>
      <w:pPr>
        <w:ind w:left="1289" w:hanging="641"/>
        <w:spacing w:after="0"/>
        <w:tabs>
          <w:tab w:leader="none" w:pos="1289" w:val="left"/>
        </w:tabs>
        <w:numPr>
          <w:ilvl w:val="1"/>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144A Global Note (CUSIP [ ]), or</w:t>
      </w:r>
    </w:p>
    <w:p>
      <w:pPr>
        <w:spacing w:after="0" w:line="213" w:lineRule="exact"/>
        <w:rPr>
          <w:rFonts w:ascii="Times New Roman" w:cs="Times New Roman" w:eastAsia="Times New Roman" w:hAnsi="Times New Roman"/>
          <w:sz w:val="19"/>
          <w:szCs w:val="19"/>
          <w:color w:val="auto"/>
        </w:rPr>
      </w:pPr>
    </w:p>
    <w:p>
      <w:pPr>
        <w:ind w:left="1289" w:hanging="641"/>
        <w:spacing w:after="0"/>
        <w:tabs>
          <w:tab w:leader="none" w:pos="1289" w:val="left"/>
        </w:tabs>
        <w:numPr>
          <w:ilvl w:val="1"/>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Regulation S Global Note (CUSIP [ ]), or</w:t>
      </w:r>
    </w:p>
    <w:p>
      <w:pPr>
        <w:spacing w:after="0" w:line="213" w:lineRule="exact"/>
        <w:rPr>
          <w:rFonts w:ascii="Times New Roman" w:cs="Times New Roman" w:eastAsia="Times New Roman" w:hAnsi="Times New Roman"/>
          <w:sz w:val="19"/>
          <w:szCs w:val="19"/>
          <w:color w:val="auto"/>
        </w:rPr>
      </w:pPr>
    </w:p>
    <w:p>
      <w:pPr>
        <w:ind w:left="1289" w:hanging="641"/>
        <w:spacing w:after="0"/>
        <w:tabs>
          <w:tab w:leader="none" w:pos="1289" w:val="left"/>
        </w:tabs>
        <w:numPr>
          <w:ilvl w:val="1"/>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Unrestricted Global Note (CUSIP [ ]); or</w:t>
      </w:r>
    </w:p>
    <w:p>
      <w:pPr>
        <w:spacing w:after="0" w:line="213" w:lineRule="exact"/>
        <w:rPr>
          <w:rFonts w:ascii="Times New Roman" w:cs="Times New Roman" w:eastAsia="Times New Roman" w:hAnsi="Times New Roman"/>
          <w:sz w:val="19"/>
          <w:szCs w:val="19"/>
          <w:color w:val="auto"/>
        </w:rPr>
      </w:pPr>
    </w:p>
    <w:p>
      <w:pPr>
        <w:ind w:left="629" w:hanging="629"/>
        <w:spacing w:after="0"/>
        <w:tabs>
          <w:tab w:leader="none" w:pos="629"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a Restricted Definitive Note; or</w:t>
      </w:r>
    </w:p>
    <w:p>
      <w:pPr>
        <w:spacing w:after="0" w:line="213" w:lineRule="exact"/>
        <w:rPr>
          <w:rFonts w:ascii="Times New Roman" w:cs="Times New Roman" w:eastAsia="Times New Roman" w:hAnsi="Times New Roman"/>
          <w:sz w:val="19"/>
          <w:szCs w:val="19"/>
          <w:color w:val="auto"/>
        </w:rPr>
      </w:pPr>
    </w:p>
    <w:p>
      <w:pPr>
        <w:ind w:left="649" w:hanging="649"/>
        <w:spacing w:after="0"/>
        <w:tabs>
          <w:tab w:leader="none" w:pos="649"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an Unrestricted Definitive Note, in accordance with the terms of the Indenture.</w:t>
      </w:r>
    </w:p>
    <w:p>
      <w:pPr>
        <w:sectPr>
          <w:pgSz w:w="11900" w:h="16838" w:orient="portrait"/>
          <w:cols w:equalWidth="0" w:num="1">
            <w:col w:w="9229"/>
          </w:cols>
          <w:pgMar w:left="1231" w:top="1440" w:right="1440" w:bottom="1440" w:gutter="0" w:footer="0" w:header="0"/>
        </w:sectPr>
      </w:pPr>
    </w:p>
    <w:bookmarkStart w:id="232" w:name="page233"/>
    <w:bookmarkEnd w:id="232"/>
    <w:p>
      <w:pPr>
        <w:spacing w:after="0" w:line="78"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9"/>
          <w:szCs w:val="19"/>
          <w:color w:val="auto"/>
        </w:rPr>
        <w:t>EXHIBIT C</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FORM OF CERTIFICATE OF EXCHANGE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Sotera Health Holdings, LLC 9100 South Hills Blvd, Suite 300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Broadview Heights, OH 44147</w:t>
      </w:r>
    </w:p>
    <w:p>
      <w:pPr>
        <w:spacing w:after="0"/>
        <w:rPr>
          <w:sz w:val="20"/>
          <w:szCs w:val="20"/>
          <w:color w:val="auto"/>
        </w:rPr>
      </w:pPr>
      <w:r>
        <w:rPr>
          <w:rFonts w:ascii="Times New Roman" w:cs="Times New Roman" w:eastAsia="Times New Roman" w:hAnsi="Times New Roman"/>
          <w:sz w:val="19"/>
          <w:szCs w:val="19"/>
          <w:color w:val="auto"/>
        </w:rPr>
        <w:t>Attn: Jonathan Lyons, Chief Financial Officer, Sotera Health Company E-Mail: [***]</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Wilmington Trust, National Association, as Trustee 277 Park Avenue,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w:t>
      </w:r>
    </w:p>
    <w:p>
      <w:pPr>
        <w:spacing w:after="0" w:line="222" w:lineRule="auto"/>
        <w:rPr>
          <w:sz w:val="20"/>
          <w:szCs w:val="20"/>
          <w:color w:val="auto"/>
        </w:rPr>
      </w:pPr>
      <w:r>
        <w:rPr>
          <w:rFonts w:ascii="Times New Roman" w:cs="Times New Roman" w:eastAsia="Times New Roman" w:hAnsi="Times New Roman"/>
          <w:sz w:val="19"/>
          <w:szCs w:val="19"/>
          <w:color w:val="auto"/>
        </w:rPr>
        <w:t>New York, NY 10172 Fax: 203-453-1183</w:t>
      </w:r>
    </w:p>
    <w:p>
      <w:pPr>
        <w:spacing w:after="0"/>
        <w:rPr>
          <w:sz w:val="20"/>
          <w:szCs w:val="20"/>
          <w:color w:val="auto"/>
        </w:rPr>
      </w:pPr>
      <w:r>
        <w:rPr>
          <w:rFonts w:ascii="Times New Roman" w:cs="Times New Roman" w:eastAsia="Times New Roman" w:hAnsi="Times New Roman"/>
          <w:sz w:val="19"/>
          <w:szCs w:val="19"/>
          <w:color w:val="auto"/>
        </w:rPr>
        <w:t>Attention: Sotera Health Holdings, LLC Notes Administrator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 xml:space="preserve">Re: </w:t>
      </w:r>
      <w:r>
        <w:rPr>
          <w:rFonts w:ascii="Times New Roman" w:cs="Times New Roman" w:eastAsia="Times New Roman" w:hAnsi="Times New Roman"/>
          <w:sz w:val="19"/>
          <w:szCs w:val="19"/>
          <w:u w:val="single" w:color="auto"/>
          <w:color w:val="auto"/>
        </w:rPr>
        <w:t>Sotera Health Holdings LLC’s 7.375% Senior Secured Notes due 2031</w:t>
      </w:r>
    </w:p>
    <w:p>
      <w:pPr>
        <w:spacing w:after="0" w:line="214"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19"/>
          <w:szCs w:val="19"/>
          <w:color w:val="auto"/>
        </w:rPr>
        <w:t>Reference is hereby made to the Indenture, dated as of May 30, 2024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among Sotera Health Holdings, LLC (the “</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 Sotera Health Company, the guarantors named therein, and Wilmington Trust, National Association, as Trustee and Notes Collateral Agent. Capitalized terms used but not defined herein shall have the meanings given to them in the Indenture.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Owner</w:t>
      </w:r>
      <w:r>
        <w:rPr>
          <w:rFonts w:ascii="Times New Roman" w:cs="Times New Roman" w:eastAsia="Times New Roman" w:hAnsi="Times New Roman"/>
          <w:sz w:val="19"/>
          <w:szCs w:val="19"/>
          <w:color w:val="auto"/>
        </w:rPr>
        <w:t>”) owns and proposes to exchange the Note[s] or interest in such Note[s] specified herein, in the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 w:lineRule="exact"/>
        <w:rPr>
          <w:sz w:val="20"/>
          <w:szCs w:val="20"/>
          <w:color w:val="auto"/>
        </w:rPr>
      </w:pPr>
    </w:p>
    <w:p>
      <w:pPr>
        <w:ind w:left="280" w:hanging="279"/>
        <w:spacing w:after="0"/>
        <w:tabs>
          <w:tab w:leader="none" w:pos="280"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such Note[s] or interests (the “ </w:t>
      </w:r>
      <w:r>
        <w:rPr>
          <w:rFonts w:ascii="Times New Roman" w:cs="Times New Roman" w:eastAsia="Times New Roman" w:hAnsi="Times New Roman"/>
          <w:sz w:val="19"/>
          <w:szCs w:val="19"/>
          <w:u w:val="single" w:color="auto"/>
          <w:color w:val="auto"/>
        </w:rPr>
        <w:t>Exchange</w:t>
      </w:r>
      <w:r>
        <w:rPr>
          <w:rFonts w:ascii="Times New Roman" w:cs="Times New Roman" w:eastAsia="Times New Roman" w:hAnsi="Times New Roman"/>
          <w:sz w:val="19"/>
          <w:szCs w:val="19"/>
          <w:color w:val="auto"/>
        </w:rPr>
        <w:t>”). In connection with the Exchange, the Owner hereby certifies that:</w:t>
      </w:r>
    </w:p>
    <w:p>
      <w:pPr>
        <w:spacing w:after="0" w:line="171" w:lineRule="exact"/>
        <w:rPr>
          <w:rFonts w:ascii="Times New Roman" w:cs="Times New Roman" w:eastAsia="Times New Roman" w:hAnsi="Times New Roman"/>
          <w:sz w:val="19"/>
          <w:szCs w:val="19"/>
          <w:color w:val="auto"/>
        </w:rPr>
      </w:pPr>
    </w:p>
    <w:p>
      <w:pPr>
        <w:ind w:right="20" w:firstLine="650"/>
        <w:spacing w:after="0" w:line="280" w:lineRule="auto"/>
        <w:tabs>
          <w:tab w:leader="none" w:pos="1036" w:val="left"/>
        </w:tabs>
        <w:numPr>
          <w:ilvl w:val="1"/>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EXCHANGE OF RESTRICTED DEFINITIVE NOTES OR BENEFICIAL INTERESTS IN A RESTRICTED GLOBAL NOTE FOR UNRESTRICTED DEFINITIVE NOTES OR BENEFICIAL INTERESTS IN AN UNRESTRICTED GLOBAL NOTE</w:t>
      </w:r>
    </w:p>
    <w:p>
      <w:pPr>
        <w:spacing w:after="0" w:line="151" w:lineRule="exact"/>
        <w:rPr>
          <w:rFonts w:ascii="Times New Roman" w:cs="Times New Roman" w:eastAsia="Times New Roman" w:hAnsi="Times New Roman"/>
          <w:sz w:val="19"/>
          <w:szCs w:val="19"/>
          <w:color w:val="auto"/>
        </w:rPr>
      </w:pPr>
    </w:p>
    <w:p>
      <w:pPr>
        <w:jc w:val="both"/>
        <w:ind w:left="660" w:firstLine="639"/>
        <w:spacing w:after="0" w:line="229" w:lineRule="auto"/>
        <w:tabs>
          <w:tab w:leader="none" w:pos="1699" w:val="left"/>
        </w:tabs>
        <w:numPr>
          <w:ilvl w:val="2"/>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35" w:lineRule="exact"/>
        <w:rPr>
          <w:rFonts w:ascii="Times New Roman" w:cs="Times New Roman" w:eastAsia="Times New Roman" w:hAnsi="Times New Roman"/>
          <w:sz w:val="19"/>
          <w:szCs w:val="19"/>
          <w:color w:val="auto"/>
        </w:rPr>
      </w:pPr>
    </w:p>
    <w:p>
      <w:pPr>
        <w:ind w:left="1940" w:hanging="641"/>
        <w:spacing w:after="0"/>
        <w:tabs>
          <w:tab w:leader="none" w:pos="1940" w:val="left"/>
        </w:tabs>
        <w:numPr>
          <w:ilvl w:val="2"/>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EXCHANGE IS FROM BENEFICIAL INTEREST IN A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-1964690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19"/>
          <w:szCs w:val="19"/>
          <w:color w:val="auto"/>
        </w:rPr>
        <w:t>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ectPr>
          <w:pgSz w:w="11900" w:h="16838" w:orient="portrait"/>
          <w:cols w:equalWidth="0" w:num="1">
            <w:col w:w="10760"/>
          </w:cols>
          <w:pgMar w:left="580" w:top="1440" w:right="559" w:bottom="1440" w:gutter="0" w:footer="0" w:header="0"/>
        </w:sectPr>
      </w:pPr>
    </w:p>
    <w:bookmarkStart w:id="233" w:name="page234"/>
    <w:bookmarkEnd w:id="233"/>
    <w:p>
      <w:pPr>
        <w:spacing w:after="0" w:line="78" w:lineRule="exact"/>
        <w:rPr>
          <w:sz w:val="20"/>
          <w:szCs w:val="20"/>
          <w:color w:val="auto"/>
        </w:rPr>
      </w:pPr>
    </w:p>
    <w:p>
      <w:pPr>
        <w:ind w:left="1940" w:hanging="641"/>
        <w:spacing w:after="0"/>
        <w:tabs>
          <w:tab w:leader="none" w:pos="1940"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EXCHANGE IS FROM RESTRICTED DEFINITIVE NOTE TO</w:t>
      </w:r>
    </w:p>
    <w:p>
      <w:pPr>
        <w:spacing w:after="0" w:line="4"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19"/>
          <w:szCs w:val="19"/>
          <w:color w:val="auto"/>
        </w:rPr>
        <w:t>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9" w:lineRule="exact"/>
        <w:rPr>
          <w:sz w:val="20"/>
          <w:szCs w:val="20"/>
          <w:color w:val="auto"/>
        </w:rPr>
      </w:pPr>
    </w:p>
    <w:p>
      <w:pPr>
        <w:ind w:left="1940" w:hanging="641"/>
        <w:spacing w:after="0"/>
        <w:tabs>
          <w:tab w:leader="none" w:pos="1940"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EXCHANGE IS FROM RESTRICTED DEFINITIVE NOTE TO</w:t>
      </w:r>
    </w:p>
    <w:p>
      <w:pPr>
        <w:spacing w:after="0" w:line="2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18"/>
          <w:szCs w:val="18"/>
          <w:color w:val="auto"/>
        </w:rPr>
        <w:t>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70" w:lineRule="exact"/>
        <w:rPr>
          <w:sz w:val="20"/>
          <w:szCs w:val="20"/>
          <w:color w:val="auto"/>
        </w:rPr>
      </w:pPr>
    </w:p>
    <w:p>
      <w:pPr>
        <w:ind w:right="20" w:firstLine="650"/>
        <w:spacing w:after="0" w:line="265" w:lineRule="auto"/>
        <w:tabs>
          <w:tab w:leader="none" w:pos="1036" w:val="left"/>
        </w:tabs>
        <w:numPr>
          <w:ilvl w:val="0"/>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EXCHANGE OF RESTRICTED DEFINITIVE NOTES OR BENEFICIAL INTERESTS IN RESTRICTED GLOBAL NOTES FOR RESTRICTED DEFINITIVE NOTES OR BENEFICIAL INTERESTS IN RESTRICTED GLOBAL NOTES</w:t>
      </w:r>
    </w:p>
    <w:p>
      <w:pPr>
        <w:spacing w:after="0" w:line="139" w:lineRule="exact"/>
        <w:rPr>
          <w:sz w:val="20"/>
          <w:szCs w:val="20"/>
          <w:color w:val="auto"/>
        </w:rPr>
      </w:pPr>
    </w:p>
    <w:p>
      <w:pPr>
        <w:ind w:left="1940" w:hanging="641"/>
        <w:spacing w:after="0"/>
        <w:tabs>
          <w:tab w:leader="none" w:pos="1940"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EXCHANGE IS FROM BENEFICIAL INTEREST IN A RESTRICTED</w:t>
      </w:r>
    </w:p>
    <w:p>
      <w:pPr>
        <w:spacing w:after="0" w:line="18"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9"/>
          <w:szCs w:val="19"/>
          <w:color w:val="auto"/>
        </w:rPr>
        <w:t>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6" w:lineRule="exact"/>
        <w:rPr>
          <w:sz w:val="20"/>
          <w:szCs w:val="20"/>
          <w:color w:val="auto"/>
        </w:rPr>
      </w:pPr>
    </w:p>
    <w:p>
      <w:pPr>
        <w:ind w:left="1940" w:hanging="641"/>
        <w:spacing w:after="0"/>
        <w:tabs>
          <w:tab w:leader="none" w:pos="1940"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CHECK IF EXCHANGE IS FROM RESTRICTED DEFINITIVE NOTE TO</w:t>
      </w:r>
    </w:p>
    <w:p>
      <w:pPr>
        <w:spacing w:after="0" w:line="18"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9"/>
          <w:szCs w:val="19"/>
          <w:color w:val="auto"/>
        </w:rPr>
        <w:t>BENEFICIAL INTEREST IN A RESTRICTED GLOBAL NOTE. In connection with the Exchange of the Owner’s Restricted Definitive Note for a beneficial interest in the [CHECK ONE] [ ] 144A Global Note [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Issuer.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[Insert Name of Transferor]</w:t>
      </w:r>
    </w:p>
    <w:p>
      <w:pPr>
        <w:spacing w:after="0" w:line="26" w:lineRule="exact"/>
        <w:rPr>
          <w:sz w:val="20"/>
          <w:szCs w:val="20"/>
          <w:color w:val="auto"/>
        </w:rPr>
      </w:pPr>
    </w:p>
    <w:p>
      <w:pPr>
        <w:ind w:left="3900"/>
        <w:spacing w:after="0"/>
        <w:tabs>
          <w:tab w:leader="none" w:pos="45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-19050</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-10160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0760"/>
          </w:cols>
          <w:pgMar w:left="580" w:top="1440" w:right="559" w:bottom="1440" w:gutter="0" w:footer="0" w:header="0"/>
        </w:sectPr>
      </w:pPr>
    </w:p>
    <w:bookmarkStart w:id="234" w:name="page235"/>
    <w:bookmarkEnd w:id="234"/>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D</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[FORM OF SUPPLEMENTAL INDENTURE</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TO BE DELIVERED BY SUBSEQUENT GUARANTORS]</w:t>
      </w:r>
    </w:p>
    <w:p>
      <w:pPr>
        <w:spacing w:after="0" w:line="199" w:lineRule="exact"/>
        <w:rPr>
          <w:sz w:val="20"/>
          <w:szCs w:val="20"/>
          <w:color w:val="auto"/>
        </w:rPr>
      </w:pPr>
    </w:p>
    <w:p>
      <w:pPr>
        <w:ind w:left="640"/>
        <w:spacing w:after="0"/>
        <w:tabs>
          <w:tab w:leader="none" w:pos="900" w:val="left"/>
          <w:tab w:leader="none" w:pos="6560" w:val="left"/>
        </w:tabs>
        <w:rPr>
          <w:sz w:val="20"/>
          <w:szCs w:val="20"/>
          <w:color w:val="auto"/>
        </w:rPr>
      </w:pPr>
      <w:r>
        <w:rPr>
          <w:rFonts w:ascii="Times New Roman" w:cs="Times New Roman" w:eastAsia="Times New Roman" w:hAnsi="Times New Roman"/>
          <w:sz w:val="19"/>
          <w:szCs w:val="19"/>
          <w:color w:val="auto"/>
        </w:rPr>
        <w:t>[</w:t>
        <w:tab/>
        <w:t>] Supplemental Indenture (this “</w:t>
      </w:r>
      <w:r>
        <w:rPr>
          <w:rFonts w:ascii="Times New Roman" w:cs="Times New Roman" w:eastAsia="Times New Roman" w:hAnsi="Times New Roman"/>
          <w:sz w:val="19"/>
          <w:szCs w:val="19"/>
          <w:u w:val="single" w:color="auto"/>
          <w:color w:val="auto"/>
        </w:rPr>
        <w:t>Supplemental Indenture</w:t>
      </w:r>
      <w:r>
        <w:rPr>
          <w:rFonts w:ascii="Times New Roman" w:cs="Times New Roman" w:eastAsia="Times New Roman" w:hAnsi="Times New Roman"/>
          <w:sz w:val="19"/>
          <w:szCs w:val="19"/>
          <w:color w:val="auto"/>
        </w:rPr>
        <w:t>”), dated as of</w:t>
        <w:tab/>
        <w:t>, [between][among] _____________the “</w:t>
      </w:r>
      <w:r>
        <w:rPr>
          <w:rFonts w:ascii="Times New Roman" w:cs="Times New Roman" w:eastAsia="Times New Roman" w:hAnsi="Times New Roman"/>
          <w:sz w:val="19"/>
          <w:szCs w:val="19"/>
          <w:u w:val="single" w:color="auto"/>
          <w:color w:val="auto"/>
        </w:rPr>
        <w:t>Guaranteeing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-10160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-10160</wp:posOffset>
            </wp:positionV>
            <wp:extent cx="146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a subsidiary of Sotera Health Holdings LLC, a Delaware limited liability company (the “</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 and Wilmington Trust, National Association, as trustee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and as collateral agent (the “</w:t>
      </w:r>
      <w:r>
        <w:rPr>
          <w:rFonts w:ascii="Times New Roman" w:cs="Times New Roman" w:eastAsia="Times New Roman" w:hAnsi="Times New Roman"/>
          <w:sz w:val="19"/>
          <w:szCs w:val="19"/>
          <w:u w:val="single" w:color="auto"/>
          <w:color w:val="auto"/>
        </w:rPr>
        <w:t>Notes Collateral Agent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W I T N E S S E T H</w:t>
      </w:r>
    </w:p>
    <w:p>
      <w:pPr>
        <w:spacing w:after="0" w:line="214" w:lineRule="exact"/>
        <w:rPr>
          <w:sz w:val="20"/>
          <w:szCs w:val="20"/>
          <w:color w:val="auto"/>
        </w:rPr>
      </w:pPr>
    </w:p>
    <w:p>
      <w:pPr>
        <w:jc w:val="both"/>
        <w:ind w:firstLine="649"/>
        <w:spacing w:after="0" w:line="251" w:lineRule="auto"/>
        <w:rPr>
          <w:sz w:val="20"/>
          <w:szCs w:val="20"/>
          <w:color w:val="auto"/>
        </w:rPr>
      </w:pPr>
      <w:r>
        <w:rPr>
          <w:rFonts w:ascii="Times New Roman" w:cs="Times New Roman" w:eastAsia="Times New Roman" w:hAnsi="Times New Roman"/>
          <w:sz w:val="19"/>
          <w:szCs w:val="19"/>
          <w:color w:val="auto"/>
        </w:rPr>
        <w:t>WHEREAS, each of the Issuer, Sotera Health Company and the guarantors named therein has heretofore executed and delivered to the Trustee an indenture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xml:space="preserve">”), dated as of May [30], 2024, providing for the issuance of an unlimited aggregate principal amount of 7.375% Senior Secured Notes due 2031 (the “ </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firstLine="649"/>
        <w:spacing w:after="0" w:line="241" w:lineRule="auto"/>
        <w:rPr>
          <w:sz w:val="20"/>
          <w:szCs w:val="20"/>
          <w:color w:val="auto"/>
        </w:rPr>
      </w:pPr>
      <w:r>
        <w:rPr>
          <w:rFonts w:ascii="Times New Roman" w:cs="Times New Roman" w:eastAsia="Times New Roman" w:hAnsi="Times New Roman"/>
          <w:sz w:val="19"/>
          <w:szCs w:val="19"/>
          <w:color w:val="auto"/>
        </w:rPr>
        <w:t xml:space="preserve">WHEREAS, Section 9.01(a)(6) of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 </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and</w:t>
      </w:r>
    </w:p>
    <w:p>
      <w:pPr>
        <w:spacing w:after="0" w:line="175" w:lineRule="exact"/>
        <w:rPr>
          <w:sz w:val="20"/>
          <w:szCs w:val="20"/>
          <w:color w:val="auto"/>
        </w:rPr>
      </w:pPr>
    </w:p>
    <w:p>
      <w:pPr>
        <w:jc w:val="both"/>
        <w:ind w:right="20" w:firstLine="649"/>
        <w:spacing w:after="0" w:line="280" w:lineRule="auto"/>
        <w:rPr>
          <w:sz w:val="20"/>
          <w:szCs w:val="20"/>
          <w:color w:val="auto"/>
        </w:rPr>
      </w:pPr>
      <w:r>
        <w:rPr>
          <w:rFonts w:ascii="Times New Roman" w:cs="Times New Roman" w:eastAsia="Times New Roman" w:hAnsi="Times New Roman"/>
          <w:sz w:val="19"/>
          <w:szCs w:val="19"/>
          <w:color w:val="auto"/>
        </w:rPr>
        <w:t>WHEREAS, pursuant to Section 9.01 of the Indenture, the Trustee is authorized to execute and deliver this Supplemental Indenture without the consent of Holders.</w:t>
      </w:r>
    </w:p>
    <w:p>
      <w:pPr>
        <w:spacing w:after="0" w:line="111"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19"/>
          <w:szCs w:val="19"/>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52" w:lineRule="exact"/>
        <w:rPr>
          <w:sz w:val="20"/>
          <w:szCs w:val="20"/>
          <w:color w:val="auto"/>
        </w:rPr>
      </w:pPr>
    </w:p>
    <w:p>
      <w:pPr>
        <w:ind w:left="1680" w:hanging="381"/>
        <w:spacing w:after="0"/>
        <w:tabs>
          <w:tab w:leader="none" w:pos="1680"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Capitalized Terms</w:t>
      </w:r>
      <w:r>
        <w:rPr>
          <w:rFonts w:ascii="Times New Roman" w:cs="Times New Roman" w:eastAsia="Times New Roman" w:hAnsi="Times New Roman"/>
          <w:sz w:val="19"/>
          <w:szCs w:val="19"/>
          <w:color w:val="auto"/>
        </w:rPr>
        <w:t>. Capitalized terms used herein without definition shall have the meanings assigned to them in the</w:t>
      </w:r>
    </w:p>
    <w:p>
      <w:pPr>
        <w:spacing w:after="0" w:line="25"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Indenture.</w:t>
      </w:r>
    </w:p>
    <w:p>
      <w:pPr>
        <w:spacing w:after="0" w:line="158" w:lineRule="exact"/>
        <w:rPr>
          <w:rFonts w:ascii="Times New Roman" w:cs="Times New Roman" w:eastAsia="Times New Roman" w:hAnsi="Times New Roman"/>
          <w:sz w:val="19"/>
          <w:szCs w:val="19"/>
          <w:color w:val="auto"/>
        </w:rPr>
      </w:pPr>
    </w:p>
    <w:p>
      <w:pPr>
        <w:ind w:left="660" w:right="20" w:firstLine="639"/>
        <w:spacing w:after="0" w:line="265" w:lineRule="auto"/>
        <w:tabs>
          <w:tab w:leader="none" w:pos="1691"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Guarantee</w:t>
      </w:r>
      <w:r>
        <w:rPr>
          <w:rFonts w:ascii="Times New Roman" w:cs="Times New Roman" w:eastAsia="Times New Roman" w:hAnsi="Times New Roman"/>
          <w:sz w:val="19"/>
          <w:szCs w:val="19"/>
          <w:color w:val="auto"/>
        </w:rPr>
        <w:t>. The Guaranteeing Subsidiary hereby agrees to be a Guarantor under the Indenture and to be bound by the terms of the Indenture applicable to a Guarantor, including Article 10 thereof.</w:t>
      </w:r>
    </w:p>
    <w:p>
      <w:pPr>
        <w:spacing w:after="0" w:line="138" w:lineRule="exact"/>
        <w:rPr>
          <w:rFonts w:ascii="Times New Roman" w:cs="Times New Roman" w:eastAsia="Times New Roman" w:hAnsi="Times New Roman"/>
          <w:sz w:val="19"/>
          <w:szCs w:val="19"/>
          <w:color w:val="auto"/>
        </w:rPr>
      </w:pPr>
    </w:p>
    <w:p>
      <w:pPr>
        <w:ind w:left="660" w:firstLine="639"/>
        <w:spacing w:after="0" w:line="280" w:lineRule="auto"/>
        <w:tabs>
          <w:tab w:leader="none" w:pos="1691"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Execution and Delivery</w:t>
      </w:r>
      <w:r>
        <w:rPr>
          <w:rFonts w:ascii="Times New Roman" w:cs="Times New Roman" w:eastAsia="Times New Roman" w:hAnsi="Times New Roman"/>
          <w:sz w:val="19"/>
          <w:szCs w:val="19"/>
          <w:color w:val="auto"/>
        </w:rPr>
        <w:t>. The Guaranteeing Subsidiary agrees that its Note Guarantee shall remain in full force and effect notwithstanding the absence of the endorsement of any notation of such Note Guarantee on the Notes.</w:t>
      </w:r>
    </w:p>
    <w:p>
      <w:pPr>
        <w:spacing w:after="0" w:line="138" w:lineRule="exact"/>
        <w:rPr>
          <w:rFonts w:ascii="Times New Roman" w:cs="Times New Roman" w:eastAsia="Times New Roman" w:hAnsi="Times New Roman"/>
          <w:sz w:val="19"/>
          <w:szCs w:val="19"/>
          <w:color w:val="auto"/>
        </w:rPr>
      </w:pPr>
    </w:p>
    <w:p>
      <w:pPr>
        <w:ind w:left="660" w:firstLine="639"/>
        <w:spacing w:after="0" w:line="289" w:lineRule="auto"/>
        <w:tabs>
          <w:tab w:leader="none" w:pos="1691"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SUPPLEMENTAL INDENTURE WILL BE GOVERNED BY AND CONSTRUED IN ACCORDANCE WITH THE LAWS OF THE STATE OF NEW YORK.</w:t>
      </w:r>
    </w:p>
    <w:p>
      <w:pPr>
        <w:jc w:val="both"/>
        <w:ind w:left="660" w:firstLine="639"/>
        <w:spacing w:after="0" w:line="237" w:lineRule="auto"/>
        <w:tabs>
          <w:tab w:leader="none" w:pos="1691"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xml:space="preserve">. The parties may sign any number of copies of this Supplemental Indenture. Each signed copy shall be an original, but all of them together represent one and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and signature pages for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purposes. Any signature (including, without limitation, (x) any electronic symbol or process attached to, or associated with, a contract or other record and adopted by a person with the intent to sign, authenticate or accept such contract or record and (y) any facsimile, E-pencil or.pdf signature) hereto or to any other certificate, agreement or document related to this Supplemental Indenture, and any contract formation or record-keeping, in each case, through electronic means, shall have the same legal validity and enforceability as a manually executed</w:t>
      </w:r>
    </w:p>
    <w:p>
      <w:pPr>
        <w:sectPr>
          <w:pgSz w:w="11900" w:h="16838" w:orient="portrait"/>
          <w:cols w:equalWidth="0" w:num="1">
            <w:col w:w="10760"/>
          </w:cols>
          <w:pgMar w:left="580" w:top="1440" w:right="559" w:bottom="1440" w:gutter="0" w:footer="0" w:header="0"/>
        </w:sectPr>
      </w:pPr>
    </w:p>
    <w:bookmarkStart w:id="235" w:name="page236"/>
    <w:bookmarkEnd w:id="235"/>
    <w:p>
      <w:pPr>
        <w:spacing w:after="0" w:line="51" w:lineRule="exact"/>
        <w:rPr>
          <w:sz w:val="20"/>
          <w:szCs w:val="20"/>
          <w:color w:val="auto"/>
        </w:rPr>
      </w:pPr>
    </w:p>
    <w:p>
      <w:pPr>
        <w:jc w:val="both"/>
        <w:ind w:left="9"/>
        <w:spacing w:after="0" w:line="258" w:lineRule="auto"/>
        <w:rPr>
          <w:sz w:val="20"/>
          <w:szCs w:val="20"/>
          <w:color w:val="auto"/>
        </w:rPr>
      </w:pPr>
      <w:r>
        <w:rPr>
          <w:rFonts w:ascii="Times New Roman" w:cs="Times New Roman" w:eastAsia="Times New Roman" w:hAnsi="Times New Roman"/>
          <w:sz w:val="19"/>
          <w:szCs w:val="19"/>
          <w:color w:val="auto"/>
        </w:rPr>
        <w:t>signature or use of a paper-based record-keeping system to the fullest extent permitted by applicable law. For the avoidance of doubt, the foregoing also applies to any amendment, extension or renewal of this Supplemental Indenture. Each of the parties to this</w:t>
      </w:r>
    </w:p>
    <w:p>
      <w:pPr>
        <w:spacing w:after="0" w:line="1" w:lineRule="exact"/>
        <w:rPr>
          <w:sz w:val="20"/>
          <w:szCs w:val="20"/>
          <w:color w:val="auto"/>
        </w:rPr>
      </w:pPr>
    </w:p>
    <w:p>
      <w:pPr>
        <w:jc w:val="both"/>
        <w:ind w:left="9"/>
        <w:spacing w:after="0" w:line="232" w:lineRule="auto"/>
        <w:rPr>
          <w:sz w:val="20"/>
          <w:szCs w:val="20"/>
          <w:color w:val="auto"/>
        </w:rPr>
      </w:pPr>
      <w:r>
        <w:rPr>
          <w:rFonts w:ascii="Times New Roman" w:cs="Times New Roman" w:eastAsia="Times New Roman" w:hAnsi="Times New Roman"/>
          <w:sz w:val="20"/>
          <w:szCs w:val="20"/>
          <w:color w:val="auto"/>
        </w:rPr>
        <w:t>Supplemental Indenture represents and warrants to the other parties that it has the corporate capacity and authority to execute this Supplemental Indenture through electronic means and there are no restrictions for doing so in that party’s constitutive documents.</w:t>
      </w:r>
    </w:p>
    <w:p>
      <w:pPr>
        <w:spacing w:after="0" w:line="172" w:lineRule="exact"/>
        <w:rPr>
          <w:sz w:val="20"/>
          <w:szCs w:val="20"/>
          <w:color w:val="auto"/>
        </w:rPr>
      </w:pPr>
    </w:p>
    <w:p>
      <w:pPr>
        <w:ind w:left="1029" w:hanging="381"/>
        <w:spacing w:after="0"/>
        <w:tabs>
          <w:tab w:leader="none" w:pos="1029" w:val="left"/>
        </w:tabs>
        <w:numPr>
          <w:ilvl w:val="1"/>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Headings</w:t>
      </w:r>
      <w:r>
        <w:rPr>
          <w:rFonts w:ascii="Times New Roman" w:cs="Times New Roman" w:eastAsia="Times New Roman" w:hAnsi="Times New Roman"/>
          <w:sz w:val="19"/>
          <w:szCs w:val="19"/>
          <w:color w:val="auto"/>
        </w:rPr>
        <w:t>. The Section headings herein are for convenience only and shall not affect the construction hereof.</w:t>
      </w:r>
    </w:p>
    <w:p>
      <w:pPr>
        <w:spacing w:after="0" w:line="173" w:lineRule="exact"/>
        <w:rPr>
          <w:rFonts w:ascii="Times New Roman" w:cs="Times New Roman" w:eastAsia="Times New Roman" w:hAnsi="Times New Roman"/>
          <w:sz w:val="19"/>
          <w:szCs w:val="19"/>
          <w:color w:val="auto"/>
        </w:rPr>
      </w:pPr>
    </w:p>
    <w:p>
      <w:pPr>
        <w:jc w:val="both"/>
        <w:ind w:left="9" w:firstLine="639"/>
        <w:spacing w:after="0" w:line="248" w:lineRule="auto"/>
        <w:tabs>
          <w:tab w:leader="none" w:pos="1040" w:val="left"/>
        </w:tabs>
        <w:numPr>
          <w:ilvl w:val="1"/>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Trustee and the Notes Collateral Agent</w:t>
      </w:r>
      <w:r>
        <w:rPr>
          <w:rFonts w:ascii="Times New Roman" w:cs="Times New Roman" w:eastAsia="Times New Roman" w:hAnsi="Times New Roman"/>
          <w:sz w:val="19"/>
          <w:szCs w:val="19"/>
          <w:color w:val="auto"/>
        </w:rPr>
        <w:t>. Neither the Trustee nor the Notes Collateral Agent shall be responsible in any manner whatsoever for or in respect of, and the Trustee and the Notes Collateral Agent make no representations with respect to,</w:t>
      </w:r>
    </w:p>
    <w:p>
      <w:pPr>
        <w:jc w:val="both"/>
        <w:ind w:left="9" w:hanging="9"/>
        <w:spacing w:after="0" w:line="232" w:lineRule="auto"/>
        <w:tabs>
          <w:tab w:leader="none" w:pos="251"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validity or sufficiency of this Supplemental Indenture or the Note Guarantee of the Guaranteeing Subsidiary, (ii) the proper authorization hereof by the other parties hereto by corporate action or otherwise, (iii) the due execution hereof by any other party hereto, (iv) the consequences (direct or indirect and whether deliberate or inadvertent) of the amendments provided for herein, (v) the form or substance of this Supplemental Indenture, or (vi) the recitals contained herein, a </w:t>
      </w: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9"/>
          <w:szCs w:val="19"/>
          <w:color w:val="auto"/>
        </w:rPr>
        <w:t xml:space="preserve"> of which recitals are made solely by the Guaranteeing Subsidiary. All of the provisions contained in the Indenture in respect of the rights, privileges, immunities, powers and duties of the Trustee and the Notes Collateral Agent shall be applicable in respect of this Supplemental Indenture as fully and with like effect as if set forth herein in full.</w:t>
      </w:r>
    </w:p>
    <w:p>
      <w:pPr>
        <w:spacing w:after="0" w:line="148" w:lineRule="exact"/>
        <w:rPr>
          <w:rFonts w:ascii="Times New Roman" w:cs="Times New Roman" w:eastAsia="Times New Roman" w:hAnsi="Times New Roman"/>
          <w:sz w:val="19"/>
          <w:szCs w:val="19"/>
          <w:color w:val="auto"/>
        </w:rPr>
      </w:pPr>
    </w:p>
    <w:p>
      <w:pPr>
        <w:jc w:val="both"/>
        <w:ind w:left="9" w:right="20" w:firstLine="639"/>
        <w:spacing w:after="0" w:line="244" w:lineRule="auto"/>
        <w:tabs>
          <w:tab w:leader="none" w:pos="1040"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 Acknowledged</w:t>
      </w:r>
      <w:r>
        <w:rPr>
          <w:rFonts w:ascii="Times New Roman" w:cs="Times New Roman" w:eastAsia="Times New Roman" w:hAnsi="Times New Roman"/>
          <w:sz w:val="19"/>
          <w:szCs w:val="19"/>
          <w:color w:val="auto"/>
        </w:rPr>
        <w:t>. The Guaranteeing Subsidiary acknowledges that it will receive direct and indirect benefits from the financing arrangements contemplated by the Indenture and this Supplemental Indenture and that the Note Guarantee and waivers made by it pursuant to this Supplemental Indenture are knowingly made in contemplation of such benefits.</w:t>
      </w:r>
    </w:p>
    <w:p>
      <w:pPr>
        <w:sectPr>
          <w:pgSz w:w="11900" w:h="16838" w:orient="portrait"/>
          <w:cols w:equalWidth="0" w:num="1">
            <w:col w:w="10109"/>
          </w:cols>
          <w:pgMar w:left="1231" w:top="1440" w:right="559" w:bottom="1440" w:gutter="0" w:footer="0" w:header="0"/>
        </w:sectPr>
      </w:pPr>
    </w:p>
    <w:bookmarkStart w:id="236" w:name="page237"/>
    <w:bookmarkEnd w:id="236"/>
    <w:p>
      <w:pPr>
        <w:spacing w:after="0" w:line="294" w:lineRule="exact"/>
        <w:rPr>
          <w:sz w:val="20"/>
          <w:szCs w:val="20"/>
          <w:color w:val="auto"/>
        </w:rPr>
      </w:pPr>
    </w:p>
    <w:p>
      <w:pPr>
        <w:ind w:firstLine="649"/>
        <w:spacing w:after="0" w:line="280" w:lineRule="auto"/>
        <w:rPr>
          <w:sz w:val="20"/>
          <w:szCs w:val="20"/>
          <w:color w:val="auto"/>
        </w:rPr>
      </w:pPr>
      <w:r>
        <w:rPr>
          <w:rFonts w:ascii="Times New Roman" w:cs="Times New Roman" w:eastAsia="Times New Roman" w:hAnsi="Times New Roman"/>
          <w:sz w:val="19"/>
          <w:szCs w:val="19"/>
          <w:color w:val="auto"/>
        </w:rPr>
        <w:t>IN WITNESS WHEREOF, the parties hereto have caused this Supplemental Indenture to be duly executed, all as of the date first above written.</w:t>
      </w:r>
    </w:p>
    <w:p>
      <w:pPr>
        <w:spacing w:after="0" w:line="1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[GUARANTEEING SUBSIDIARY]</w:t>
      </w:r>
    </w:p>
    <w:p>
      <w:pPr>
        <w:spacing w:after="0" w:line="200" w:lineRule="exact"/>
        <w:rPr>
          <w:sz w:val="20"/>
          <w:szCs w:val="20"/>
          <w:color w:val="auto"/>
        </w:rPr>
      </w:pPr>
    </w:p>
    <w:p>
      <w:pPr>
        <w:spacing w:after="0" w:line="257" w:lineRule="exact"/>
        <w:rPr>
          <w:sz w:val="20"/>
          <w:szCs w:val="20"/>
          <w:color w:val="auto"/>
        </w:rPr>
      </w:pPr>
    </w:p>
    <w:p>
      <w:pPr>
        <w:ind w:left="3900"/>
        <w:spacing w:after="0"/>
        <w:tabs>
          <w:tab w:leader="none" w:pos="45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-10160</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19"/>
          <w:szCs w:val="19"/>
          <w:color w:val="auto"/>
        </w:rPr>
        <w:t>Title:</w:t>
      </w:r>
    </w:p>
    <w:p>
      <w:pPr>
        <w:spacing w:after="0" w:line="3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as Trustee and as Notes Collateral Agent</w:t>
      </w:r>
    </w:p>
    <w:p>
      <w:pPr>
        <w:spacing w:after="0" w:line="200" w:lineRule="exact"/>
        <w:rPr>
          <w:sz w:val="20"/>
          <w:szCs w:val="20"/>
          <w:color w:val="auto"/>
        </w:rPr>
      </w:pPr>
    </w:p>
    <w:p>
      <w:pPr>
        <w:spacing w:after="0" w:line="210" w:lineRule="exact"/>
        <w:rPr>
          <w:sz w:val="20"/>
          <w:szCs w:val="20"/>
          <w:color w:val="auto"/>
        </w:rPr>
      </w:pPr>
    </w:p>
    <w:p>
      <w:pPr>
        <w:ind w:left="3900"/>
        <w:spacing w:after="0"/>
        <w:tabs>
          <w:tab w:leader="none" w:pos="45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-10160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19"/>
          <w:szCs w:val="19"/>
          <w:color w:val="auto"/>
        </w:rPr>
        <w:t>Title:</w:t>
      </w:r>
    </w:p>
    <w:p>
      <w:pPr>
        <w:sectPr>
          <w:pgSz w:w="11900" w:h="16838" w:orient="portrait"/>
          <w:cols w:equalWidth="0" w:num="1">
            <w:col w:w="10400"/>
          </w:cols>
          <w:pgMar w:left="580" w:top="1440" w:right="91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0"/>
          <w:szCs w:val="20"/>
          <w:color w:val="auto"/>
        </w:rPr>
        <w:t>EXHIBIT E</w:t>
      </w:r>
    </w:p>
    <w:p>
      <w:pPr>
        <w:spacing w:after="0" w:line="200" w:lineRule="exact"/>
        <w:rPr>
          <w:sz w:val="20"/>
          <w:szCs w:val="20"/>
          <w:color w:val="auto"/>
        </w:rPr>
      </w:pPr>
    </w:p>
    <w:p>
      <w:pPr>
        <w:spacing w:after="0" w:line="25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000"/>
          </w:cols>
          <w:pgMar w:left="1440" w:top="711" w:right="45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0" w:lineRule="exact"/>
        <w:rPr>
          <w:sz w:val="20"/>
          <w:szCs w:val="20"/>
          <w:color w:val="auto"/>
        </w:rPr>
      </w:pPr>
    </w:p>
    <w:p>
      <w:pPr>
        <w:spacing w:after="0" w:line="20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211E1F"/>
        </w:rPr>
        <w:t>FORM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211E1F"/>
        </w:rPr>
        <w:t>FIRST LIEN PARI PASSU INTERCREDITOR AGREEMENT</w:t>
      </w:r>
    </w:p>
    <w:p>
      <w:pPr>
        <w:spacing w:after="0" w:line="32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211E1F"/>
        </w:rPr>
        <w:t xml:space="preserve">dated as of </w:t>
      </w:r>
      <w:r>
        <w:rPr>
          <w:rFonts w:ascii="Times New Roman" w:cs="Times New Roman" w:eastAsia="Times New Roman" w:hAnsi="Times New Roman"/>
          <w:sz w:val="22"/>
          <w:szCs w:val="22"/>
          <w:color w:val="000000"/>
        </w:rPr>
        <w:t>May 30, 2024</w:t>
      </w:r>
      <w:r>
        <w:rPr>
          <w:rFonts w:ascii="Times New Roman" w:cs="Times New Roman" w:eastAsia="Times New Roman" w:hAnsi="Times New Roman"/>
          <w:sz w:val="22"/>
          <w:szCs w:val="22"/>
          <w:color w:val="211E1F"/>
        </w:rPr>
        <w:t xml:space="preserve"> among</w:t>
      </w:r>
    </w:p>
    <w:p>
      <w:pPr>
        <w:spacing w:after="0" w:line="11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211E1F"/>
        </w:rPr>
        <w:t>SOTERA HEALTH HOLDINGS, LLC</w:t>
      </w:r>
    </w:p>
    <w:p>
      <w:pPr>
        <w:spacing w:after="0" w:line="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211E1F"/>
        </w:rPr>
        <w:t>as the Company</w:t>
      </w:r>
    </w:p>
    <w:p>
      <w:pPr>
        <w:spacing w:after="0" w:line="20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auto"/>
        </w:rPr>
        <w:t>SOTERA HEALTH COMPANY (f/k/a SOTERA HEALTH TOPCO, INC.)</w:t>
      </w:r>
      <w:r>
        <w:rPr>
          <w:rFonts w:ascii="Times New Roman" w:cs="Times New Roman" w:eastAsia="Times New Roman" w:hAnsi="Times New Roman"/>
          <w:sz w:val="22"/>
          <w:szCs w:val="22"/>
          <w:color w:val="211E1F"/>
        </w:rPr>
        <w:t>,</w:t>
      </w:r>
    </w:p>
    <w:p>
      <w:pPr>
        <w:spacing w:after="0" w:line="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211E1F"/>
        </w:rPr>
        <w:t>as Holdings,</w:t>
      </w:r>
    </w:p>
    <w:p>
      <w:pPr>
        <w:spacing w:after="0" w:line="14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color w:val="211E1F"/>
        </w:rPr>
        <w:t xml:space="preserve">the other GRANTORS party hereto, </w:t>
      </w:r>
      <w:r>
        <w:rPr>
          <w:rFonts w:ascii="Times New Roman" w:cs="Times New Roman" w:eastAsia="Times New Roman" w:hAnsi="Times New Roman"/>
          <w:sz w:val="22"/>
          <w:szCs w:val="22"/>
          <w:color w:val="000000"/>
        </w:rPr>
        <w:t>JPMORGAN CHASE</w:t>
      </w:r>
    </w:p>
    <w:p>
      <w:pPr>
        <w:spacing w:after="0" w:line="24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auto"/>
        </w:rPr>
        <w:t>BANK, N.A.,</w:t>
      </w:r>
    </w:p>
    <w:p>
      <w:pPr>
        <w:spacing w:after="0" w:line="9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211E1F"/>
        </w:rPr>
        <w:t>as First Lien Credit Agreement Collateral Agent for the Credit Agreement Secured Parties,</w:t>
      </w:r>
    </w:p>
    <w:p>
      <w:pPr>
        <w:spacing w:after="0" w:line="19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211E1F"/>
        </w:rPr>
        <w:t>as Authorized Representative for the Credit Agreement Secured Parties,</w:t>
      </w:r>
    </w:p>
    <w:p>
      <w:pPr>
        <w:spacing w:after="0" w:line="19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color w:val="211E1F"/>
        </w:rPr>
        <w:t>as the Initial Additional First Lien Collateral Agent,</w:t>
      </w:r>
    </w:p>
    <w:p>
      <w:pPr>
        <w:spacing w:after="0" w:line="19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1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211E1F"/>
        </w:rPr>
        <w:t>as the Initial Additional Authorized Representative 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1E1F"/>
        </w:rPr>
        <w:t>each ADDITIONAL FIRST LIEN COLLATERAL AGENT AND ADDITIONAL SENIOR CLASS DEBT</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211E1F"/>
        </w:rPr>
        <w:t>REPRESENTATIVE</w:t>
      </w:r>
    </w:p>
    <w:p>
      <w:pPr>
        <w:spacing w:after="0" w:line="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211E1F"/>
        </w:rPr>
        <w:t>from time to time party hereto</w:t>
      </w:r>
    </w:p>
    <w:p>
      <w:pPr>
        <w:sectPr>
          <w:pgSz w:w="11900" w:h="16838" w:orient="portrait"/>
          <w:cols w:equalWidth="0" w:num="1">
            <w:col w:w="10100"/>
          </w:cols>
          <w:pgMar w:left="1280" w:top="1017" w:right="5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FIRST LIEN PARI PASSU INTERCREDITOR AGREEMENT, dated as of May 30, 2024</w:t>
      </w:r>
    </w:p>
    <w:p>
      <w:pPr>
        <w:spacing w:after="0" w:line="2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(as amended, restated, amended and restated, extended,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SOTERA HEALTH COMPANY,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SOTERA HEALTH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other Grantors (as defined below) from time to time party hereto, JPMORGAN CHASE BANK, N.A. (“</w:t>
      </w:r>
      <w:r>
        <w:rPr>
          <w:rFonts w:ascii="Times New Roman" w:cs="Times New Roman" w:eastAsia="Times New Roman" w:hAnsi="Times New Roman"/>
          <w:sz w:val="22"/>
          <w:szCs w:val="22"/>
          <w:u w:val="single" w:color="auto"/>
          <w:color w:val="auto"/>
        </w:rPr>
        <w:t>JPMorgan</w:t>
      </w:r>
      <w:r>
        <w:rPr>
          <w:rFonts w:ascii="Times New Roman" w:cs="Times New Roman" w:eastAsia="Times New Roman" w:hAnsi="Times New Roman"/>
          <w:sz w:val="22"/>
          <w:szCs w:val="22"/>
          <w:color w:val="auto"/>
        </w:rPr>
        <w:t>”), as collateral agent for the Credit Agreement Secured Parties (as defined below) (in such capacity and together with its successors in such capacity,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 Collateral Agent</w:t>
      </w:r>
      <w:r>
        <w:rPr>
          <w:rFonts w:ascii="Times New Roman" w:cs="Times New Roman" w:eastAsia="Times New Roman" w:hAnsi="Times New Roman"/>
          <w:sz w:val="22"/>
          <w:szCs w:val="22"/>
          <w:color w:val="auto"/>
        </w:rPr>
        <w:t>”), JPMorgan, as First Lien Administrative Agent and Authorized Representative for the Credit Agreement Secured Parties (as each such term is defined below), WILMINGTON TRUST, NATIONAL ASSOCIATION, in its capacity as Notes Collateral Agent (as defined under the Initial Additional First Lien Agreement)(as defined below), as collateral agent for the Initial Additional First Lien Secured Parties (as defined below) (in such capacity and together with its successors in such capacity, the “</w:t>
      </w:r>
      <w:r>
        <w:rPr>
          <w:rFonts w:ascii="Times New Roman" w:cs="Times New Roman" w:eastAsia="Times New Roman" w:hAnsi="Times New Roman"/>
          <w:sz w:val="22"/>
          <w:szCs w:val="22"/>
          <w:u w:val="single" w:color="auto"/>
          <w:color w:val="auto"/>
        </w:rPr>
        <w:t>Initial Additional First Lien Collateral Agent</w:t>
      </w:r>
      <w:r>
        <w:rPr>
          <w:rFonts w:ascii="Times New Roman" w:cs="Times New Roman" w:eastAsia="Times New Roman" w:hAnsi="Times New Roman"/>
          <w:sz w:val="22"/>
          <w:szCs w:val="22"/>
          <w:color w:val="auto"/>
        </w:rPr>
        <w:t>”) and as Authorized Representative (as defined below) for the Initial Additional First Lien Secured Parties (in such capacity and together with its successors in such capacity, the “</w:t>
      </w:r>
      <w:r>
        <w:rPr>
          <w:rFonts w:ascii="Times New Roman" w:cs="Times New Roman" w:eastAsia="Times New Roman" w:hAnsi="Times New Roman"/>
          <w:sz w:val="22"/>
          <w:szCs w:val="22"/>
          <w:u w:val="single" w:color="auto"/>
          <w:color w:val="auto"/>
        </w:rPr>
        <w:t>Initial Additional Authorized Representative</w:t>
      </w:r>
      <w:r>
        <w:rPr>
          <w:rFonts w:ascii="Times New Roman" w:cs="Times New Roman" w:eastAsia="Times New Roman" w:hAnsi="Times New Roman"/>
          <w:sz w:val="22"/>
          <w:szCs w:val="22"/>
          <w:color w:val="auto"/>
        </w:rPr>
        <w:t>”), and each Additional First Lien Collateral Agent (as defined below) and Authorized Representative from time to time party hereto for the other Additional First Lien Secured Parties of the Series (as defined below) with respect to which it is acting in such capacity.</w:t>
      </w:r>
    </w:p>
    <w:p>
      <w:pPr>
        <w:spacing w:after="0" w:line="195" w:lineRule="exact"/>
        <w:rPr>
          <w:sz w:val="20"/>
          <w:szCs w:val="20"/>
          <w:color w:val="auto"/>
        </w:rPr>
      </w:pPr>
    </w:p>
    <w:p>
      <w:pPr>
        <w:jc w:val="both"/>
        <w:ind w:left="20" w:right="20" w:firstLine="649"/>
        <w:spacing w:after="0" w:line="251" w:lineRule="auto"/>
        <w:rPr>
          <w:sz w:val="20"/>
          <w:szCs w:val="20"/>
          <w:color w:val="auto"/>
        </w:rPr>
      </w:pPr>
      <w:r>
        <w:rPr>
          <w:rFonts w:ascii="Times New Roman" w:cs="Times New Roman" w:eastAsia="Times New Roman" w:hAnsi="Times New Roman"/>
          <w:sz w:val="22"/>
          <w:szCs w:val="22"/>
          <w:color w:val="auto"/>
        </w:rPr>
        <w:t>In consideration of the mutual agreements herein contained and other good and valuable consideration, the receipt and sufficiency of which are hereby acknowledged, the Credit Agreement Collateral Agent, the First Lien Administrative Agent (for itself and on behalf of the Credit Agreement Secured Parties), the Initial Additional Authorized Representative (for itself and on behalf of the Initial Additional First Lien Secured Parties), the Initial Additional First Lien Collateral Agent and each additional Authorized Representative (for itself and on behalf of the Additional First Lien Secured Parties of the applicable Series) and Additional First Lien Collateral Agent agree as follows:</w:t>
      </w: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 xml:space="preserve">ARTICLE I </w:t>
      </w:r>
      <w:r>
        <w:rPr>
          <w:rFonts w:ascii="Times New Roman" w:cs="Times New Roman" w:eastAsia="Times New Roman" w:hAnsi="Times New Roman"/>
          <w:sz w:val="19"/>
          <w:szCs w:val="19"/>
          <w:color w:val="auto"/>
        </w:rPr>
        <w:t>DEFINITIONS</w:t>
      </w:r>
    </w:p>
    <w:p>
      <w:pPr>
        <w:spacing w:after="0" w:line="94" w:lineRule="exact"/>
        <w:rPr>
          <w:sz w:val="20"/>
          <w:szCs w:val="20"/>
          <w:color w:val="auto"/>
        </w:rPr>
      </w:pPr>
    </w:p>
    <w:p>
      <w:pPr>
        <w:jc w:val="both"/>
        <w:ind w:left="20" w:right="20" w:firstLine="649"/>
        <w:spacing w:after="0" w:line="259"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Certain Defined Terms</w:t>
      </w:r>
      <w:r>
        <w:rPr>
          <w:rFonts w:ascii="Times New Roman" w:cs="Times New Roman" w:eastAsia="Times New Roman" w:hAnsi="Times New Roman"/>
          <w:sz w:val="22"/>
          <w:szCs w:val="22"/>
          <w:color w:val="auto"/>
        </w:rPr>
        <w:t>. Capitalized terms used but not otherwise defined herein have the meanings set forth in the Credit Agreement or, if defined in the New York UCC, the meanings specified therein. As used in this Agreement, the following terms have the meanings specified below:</w:t>
      </w:r>
    </w:p>
    <w:p>
      <w:pPr>
        <w:spacing w:after="0" w:line="170" w:lineRule="exact"/>
        <w:rPr>
          <w:sz w:val="20"/>
          <w:szCs w:val="20"/>
          <w:color w:val="auto"/>
        </w:rPr>
      </w:pPr>
    </w:p>
    <w:p>
      <w:pPr>
        <w:jc w:val="both"/>
        <w:ind w:left="20" w:right="20" w:firstLine="649"/>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First Lien Collateral Agent</w:t>
      </w:r>
      <w:r>
        <w:rPr>
          <w:rFonts w:ascii="Times New Roman" w:cs="Times New Roman" w:eastAsia="Times New Roman" w:hAnsi="Times New Roman"/>
          <w:sz w:val="22"/>
          <w:szCs w:val="22"/>
          <w:color w:val="auto"/>
        </w:rPr>
        <w:t>” means, with respect to the Shared Collateral (x) for so long as the Initial Additional First Lien Obligations are the only Series of Additional First Lien Obligations outstanding, the Initial Additional First Lien Collateral Agent and (y) thereafter, the Collateral Agent for the Series of Additional First Lien Obligations that constitutes the largest outstanding aggregate principal amount of any then outstanding Series of First Lien Obligations with respect to such Shared Collateral.</w:t>
      </w:r>
    </w:p>
    <w:p>
      <w:pPr>
        <w:spacing w:after="0" w:line="152" w:lineRule="exact"/>
        <w:rPr>
          <w:sz w:val="20"/>
          <w:szCs w:val="20"/>
          <w:color w:val="auto"/>
        </w:rPr>
      </w:pPr>
    </w:p>
    <w:p>
      <w:pPr>
        <w:jc w:val="both"/>
        <w:ind w:right="20" w:firstLine="64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First Lien Documents</w:t>
      </w:r>
      <w:r>
        <w:rPr>
          <w:rFonts w:ascii="Times New Roman" w:cs="Times New Roman" w:eastAsia="Times New Roman" w:hAnsi="Times New Roman"/>
          <w:sz w:val="22"/>
          <w:szCs w:val="22"/>
          <w:color w:val="auto"/>
        </w:rPr>
        <w:t>” means, with respect to the Initial Additional First Lien Obligations or any Series of Additional Senior Class Debt, the notes, credit agreement, indentures, security documents and other operative agreements evidencing or governing such</w:t>
      </w:r>
    </w:p>
    <w:p>
      <w:pPr>
        <w:sectPr>
          <w:pgSz w:w="11900" w:h="16838" w:orient="portrait"/>
          <w:cols w:equalWidth="0" w:num="1">
            <w:col w:w="10800"/>
          </w:cols>
          <w:pgMar w:left="580" w:top="774" w:right="519" w:bottom="1440" w:gutter="0" w:footer="0" w:header="0"/>
        </w:sectPr>
      </w:pPr>
    </w:p>
    <w:bookmarkStart w:id="240" w:name="page241"/>
    <w:bookmarkEnd w:id="240"/>
    <w:p>
      <w:pPr>
        <w:jc w:val="both"/>
        <w:spacing w:after="0" w:line="247" w:lineRule="auto"/>
        <w:rPr>
          <w:sz w:val="20"/>
          <w:szCs w:val="20"/>
          <w:color w:val="auto"/>
        </w:rPr>
      </w:pPr>
      <w:r>
        <w:rPr>
          <w:rFonts w:ascii="Times New Roman" w:cs="Times New Roman" w:eastAsia="Times New Roman" w:hAnsi="Times New Roman"/>
          <w:sz w:val="22"/>
          <w:szCs w:val="22"/>
          <w:color w:val="auto"/>
        </w:rPr>
        <w:t>indebtedness and liens securing such indebtedness, including the Initial Additional First Lien Documents and the Additional First Lien Security Documents and each other agreement entered into for the purpose of securing the Initial Additional First Lien Obligations or any Series of Additional Senior Class Debt; provided that, in each case, the Indebtedness thereunder (other than the Initial Additional First Lien Obligations) has been designated as Additional First Lien Obligations pursuant to Section 5.13 hereto.</w:t>
      </w:r>
    </w:p>
    <w:p>
      <w:pPr>
        <w:spacing w:after="0" w:line="197" w:lineRule="exact"/>
        <w:rPr>
          <w:sz w:val="20"/>
          <w:szCs w:val="20"/>
          <w:color w:val="auto"/>
        </w:rPr>
      </w:pPr>
    </w:p>
    <w:p>
      <w:pPr>
        <w:jc w:val="both"/>
        <w:ind w:left="20" w:firstLine="649"/>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First Lien Obligations</w:t>
      </w:r>
      <w:r>
        <w:rPr>
          <w:rFonts w:ascii="Times New Roman" w:cs="Times New Roman" w:eastAsia="Times New Roman" w:hAnsi="Times New Roman"/>
          <w:sz w:val="22"/>
          <w:szCs w:val="22"/>
          <w:color w:val="auto"/>
        </w:rPr>
        <w:t>” means all amounts owing to any Additional First Lien Secured Party (including the Initial Additional First Lien Secured Parties) pursuant to the terms of any Additional First Lien Document (including the Initial Additional First Lien Documents), including, without limitation, all amounts in respect of any principal, premium, interest, fees, expenses (including any interest, fees, and expenses accruing subsequent to the commencement of an Insolvency or Liquidation Proceeding at the rate provided for in the respective Additional First Lien Document, whether or not such interest, fees, and expenses are an allowed claim under any such proceeding or under applicable state, federal or foreign law), penalties, indemnifications, reimbursements, damages and other liabilities, and guarantees of the foregoing amounts.</w:t>
      </w:r>
    </w:p>
    <w:p>
      <w:pPr>
        <w:spacing w:after="0" w:line="182" w:lineRule="exact"/>
        <w:rPr>
          <w:sz w:val="20"/>
          <w:szCs w:val="20"/>
          <w:color w:val="auto"/>
        </w:rPr>
      </w:pPr>
    </w:p>
    <w:p>
      <w:pPr>
        <w:jc w:val="both"/>
        <w:ind w:left="20"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First Lien Secured Party</w:t>
      </w:r>
      <w:r>
        <w:rPr>
          <w:rFonts w:ascii="Times New Roman" w:cs="Times New Roman" w:eastAsia="Times New Roman" w:hAnsi="Times New Roman"/>
          <w:sz w:val="22"/>
          <w:szCs w:val="22"/>
          <w:color w:val="auto"/>
        </w:rPr>
        <w:t>” means the holders of any Additional First Lien Obligations and any Authorized Representative and the Collateral Agent with respect thereto, and shall include the Initial Additional First Lien Secured Parties and the Additional Senior Class Debt Secured Parties.</w:t>
      </w:r>
    </w:p>
    <w:p>
      <w:pPr>
        <w:spacing w:after="0" w:line="181" w:lineRule="exact"/>
        <w:rPr>
          <w:sz w:val="20"/>
          <w:szCs w:val="20"/>
          <w:color w:val="auto"/>
        </w:rPr>
      </w:pPr>
    </w:p>
    <w:p>
      <w:pPr>
        <w:jc w:val="both"/>
        <w:ind w:left="20" w:right="20" w:firstLine="64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First Lien Security Documents</w:t>
      </w:r>
      <w:r>
        <w:rPr>
          <w:rFonts w:ascii="Times New Roman" w:cs="Times New Roman" w:eastAsia="Times New Roman" w:hAnsi="Times New Roman"/>
          <w:sz w:val="22"/>
          <w:szCs w:val="22"/>
          <w:color w:val="auto"/>
        </w:rPr>
        <w:t>” means any collateral agreement (including the Initial Additional First Lien Collateral Agreement), security agreement or any other document now existing or entered into after the date hereof that create Liens on any assets or properties of any Grantor to secure the Additional First Lien Obligations.</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Class Debt</w:t>
      </w:r>
      <w:r>
        <w:rPr>
          <w:rFonts w:ascii="Times New Roman" w:cs="Times New Roman" w:eastAsia="Times New Roman" w:hAnsi="Times New Roman"/>
          <w:sz w:val="22"/>
          <w:szCs w:val="22"/>
          <w:color w:val="auto"/>
        </w:rPr>
        <w:t>” has the meaning assigned to such term in Section 5.13.</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Class Debt Collateral Agent</w:t>
      </w:r>
      <w:r>
        <w:rPr>
          <w:rFonts w:ascii="Times New Roman" w:cs="Times New Roman" w:eastAsia="Times New Roman" w:hAnsi="Times New Roman"/>
          <w:sz w:val="22"/>
          <w:szCs w:val="22"/>
          <w:color w:val="auto"/>
        </w:rPr>
        <w:t>” has the meaning assigned to such term in Section 5.13.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Class Debt Representative</w:t>
      </w:r>
      <w:r>
        <w:rPr>
          <w:rFonts w:ascii="Times New Roman" w:cs="Times New Roman" w:eastAsia="Times New Roman" w:hAnsi="Times New Roman"/>
          <w:sz w:val="22"/>
          <w:szCs w:val="22"/>
          <w:color w:val="auto"/>
        </w:rPr>
        <w:t>” has the meaning assigned to such term in Section 5.13.</w:t>
      </w:r>
    </w:p>
    <w:p>
      <w:pPr>
        <w:spacing w:after="0" w:line="206" w:lineRule="exact"/>
        <w:rPr>
          <w:sz w:val="20"/>
          <w:szCs w:val="20"/>
          <w:color w:val="auto"/>
        </w:rPr>
      </w:pPr>
    </w:p>
    <w:p>
      <w:pPr>
        <w:jc w:val="both"/>
        <w:ind w:left="20" w:right="20" w:firstLine="6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Class Debt Secured Parties</w:t>
      </w:r>
      <w:r>
        <w:rPr>
          <w:rFonts w:ascii="Times New Roman" w:cs="Times New Roman" w:eastAsia="Times New Roman" w:hAnsi="Times New Roman"/>
          <w:sz w:val="22"/>
          <w:szCs w:val="22"/>
          <w:color w:val="auto"/>
        </w:rPr>
        <w:t>” means the holders of any Additional Senior Class Debt, and any Additional Senior Class Debt Representative and Additional Senior Class Debt Collateral Agent with respect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220" w:lineRule="exact"/>
        <w:rPr>
          <w:sz w:val="20"/>
          <w:szCs w:val="20"/>
          <w:color w:val="auto"/>
        </w:rPr>
      </w:pPr>
    </w:p>
    <w:p>
      <w:pPr>
        <w:jc w:val="both"/>
        <w:ind w:left="20" w:firstLine="64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Authorized Representative</w:t>
      </w:r>
      <w:r>
        <w:rPr>
          <w:rFonts w:ascii="Times New Roman" w:cs="Times New Roman" w:eastAsia="Times New Roman" w:hAnsi="Times New Roman"/>
          <w:sz w:val="21"/>
          <w:szCs w:val="21"/>
          <w:color w:val="auto"/>
        </w:rPr>
        <w:t>” means, with respect to any Shared Collateral, (i) until the earlier of (x) the Discharge of Credit Agreement Obligations and (y) the Non-Controlling Authorized Representative Enforcement Date, the First Lien Administrative Agent and (ii) from and after the earlier of (x) the Discharge of Credit Agreement Obligations and</w:t>
      </w:r>
    </w:p>
    <w:p>
      <w:pPr>
        <w:spacing w:after="0" w:line="3" w:lineRule="exact"/>
        <w:rPr>
          <w:sz w:val="20"/>
          <w:szCs w:val="20"/>
          <w:color w:val="auto"/>
        </w:rPr>
      </w:pPr>
    </w:p>
    <w:p>
      <w:pPr>
        <w:ind w:left="20" w:hanging="4"/>
        <w:spacing w:after="0" w:line="261" w:lineRule="auto"/>
        <w:tabs>
          <w:tab w:leader="none" w:pos="433"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 Controlling Authorized Representative Enforcement Date, the Major Non-Controlling Authorized Representative.</w:t>
      </w:r>
    </w:p>
    <w:p>
      <w:pPr>
        <w:sectPr>
          <w:pgSz w:w="11900" w:h="16838" w:orient="portrait"/>
          <w:cols w:equalWidth="0" w:num="1">
            <w:col w:w="10780"/>
          </w:cols>
          <w:pgMar w:left="580" w:top="922" w:right="539" w:bottom="1440" w:gutter="0" w:footer="0" w:header="0"/>
        </w:sectPr>
      </w:pPr>
    </w:p>
    <w:bookmarkStart w:id="241" w:name="page242"/>
    <w:bookmarkEnd w:id="24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Collateral Agent</w:t>
      </w:r>
      <w:r>
        <w:rPr>
          <w:rFonts w:ascii="Times New Roman" w:cs="Times New Roman" w:eastAsia="Times New Roman" w:hAnsi="Times New Roman"/>
          <w:sz w:val="22"/>
          <w:szCs w:val="22"/>
          <w:color w:val="auto"/>
        </w:rPr>
        <w:t>” means (i) until the earlier of (x) the Discharge of Credit Agreement Obligations and</w:t>
      </w:r>
    </w:p>
    <w:p>
      <w:pPr>
        <w:spacing w:after="0" w:line="29" w:lineRule="exact"/>
        <w:rPr>
          <w:sz w:val="20"/>
          <w:szCs w:val="20"/>
          <w:color w:val="auto"/>
        </w:rPr>
      </w:pPr>
    </w:p>
    <w:p>
      <w:pPr>
        <w:jc w:val="both"/>
        <w:ind w:left="20" w:right="20" w:hanging="4"/>
        <w:spacing w:after="0" w:line="251" w:lineRule="auto"/>
        <w:tabs>
          <w:tab w:leader="none" w:pos="33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Non-Controlling Authorized Representative Enforcement Date, the Credit Agreement Collateral Agent and (ii) from and after the earlier of (x) the Discharge of Credit Agreement Obligations and (y) the Non-Controlling Authorized Representative Enforcement Date, the Additional First Lien Collateral Agent.</w:t>
      </w:r>
    </w:p>
    <w:p>
      <w:pPr>
        <w:spacing w:after="0" w:line="179" w:lineRule="exact"/>
        <w:rPr>
          <w:sz w:val="20"/>
          <w:szCs w:val="20"/>
          <w:color w:val="auto"/>
        </w:rPr>
      </w:pPr>
    </w:p>
    <w:p>
      <w:pPr>
        <w:jc w:val="both"/>
        <w:ind w:left="20" w:firstLine="649"/>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Representative</w:t>
      </w:r>
      <w:r>
        <w:rPr>
          <w:rFonts w:ascii="Times New Roman" w:cs="Times New Roman" w:eastAsia="Times New Roman" w:hAnsi="Times New Roman"/>
          <w:sz w:val="22"/>
          <w:szCs w:val="22"/>
          <w:color w:val="auto"/>
        </w:rPr>
        <w:t>” means, at any time, (i) in the case of any Credit Agreement Obligations or the Credit Agreement Secured Parties, the First Lien Administrative Agent, (ii) in the case of the Initial Additional First Lien Obligations or the Initial Additional First Lien Secured Parties, the Initial Additional Authorized Representative or the Initial Additional First Lien Collateral Agent, as the context requires, and (iii) in the case of any other Series of Additional First Lien Obligations or Additional First Lien Secured Parties that become subject to this Agreement after the date hereof, the Additional Senior Class Debt Representative named for such Series in the applicable Joinder Agreement.</w:t>
      </w: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Case</w:t>
      </w:r>
      <w:r>
        <w:rPr>
          <w:rFonts w:ascii="Times New Roman" w:cs="Times New Roman" w:eastAsia="Times New Roman" w:hAnsi="Times New Roman"/>
          <w:sz w:val="22"/>
          <w:szCs w:val="22"/>
          <w:color w:val="auto"/>
        </w:rPr>
        <w:t>” has the meaning assigned to such term in Section 2.05(b). “</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means Title 11 of the United States Code, as amended.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Law</w:t>
      </w:r>
      <w:r>
        <w:rPr>
          <w:rFonts w:ascii="Times New Roman" w:cs="Times New Roman" w:eastAsia="Times New Roman" w:hAnsi="Times New Roman"/>
          <w:sz w:val="21"/>
          <w:szCs w:val="21"/>
          <w:color w:val="auto"/>
        </w:rPr>
        <w:t>” means the Bankruptcy Code and any similar federal, state or foreign law for the relief of debtors.</w:t>
      </w:r>
    </w:p>
    <w:p>
      <w:pPr>
        <w:spacing w:after="0" w:line="231" w:lineRule="exact"/>
        <w:rPr>
          <w:sz w:val="20"/>
          <w:szCs w:val="20"/>
          <w:color w:val="auto"/>
        </w:rPr>
      </w:pPr>
    </w:p>
    <w:p>
      <w:pPr>
        <w:jc w:val="both"/>
        <w:ind w:left="20" w:right="20" w:firstLine="6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assets and properties subject to Liens created pursuant to any First Lien Security Document to secure one or more Series of First Lien Obligations.</w:t>
      </w:r>
    </w:p>
    <w:p>
      <w:pPr>
        <w:spacing w:after="0" w:line="185" w:lineRule="exact"/>
        <w:rPr>
          <w:sz w:val="20"/>
          <w:szCs w:val="20"/>
          <w:color w:val="auto"/>
        </w:rPr>
      </w:pPr>
    </w:p>
    <w:p>
      <w:pPr>
        <w:jc w:val="both"/>
        <w:ind w:firstLine="649"/>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Agent</w:t>
      </w:r>
      <w:r>
        <w:rPr>
          <w:rFonts w:ascii="Times New Roman" w:cs="Times New Roman" w:eastAsia="Times New Roman" w:hAnsi="Times New Roman"/>
          <w:sz w:val="21"/>
          <w:szCs w:val="21"/>
          <w:color w:val="auto"/>
        </w:rPr>
        <w:t>” means (i) in the case of any Credit Agreement Obligations, the Credit Agreement Collateral Agent, (ii) in the case of the Initial Additional First Lien Obligations, the Initial Additional First Lien Collateral Agent and</w:t>
      </w:r>
    </w:p>
    <w:p>
      <w:pPr>
        <w:spacing w:after="0" w:line="1" w:lineRule="exact"/>
        <w:rPr>
          <w:sz w:val="20"/>
          <w:szCs w:val="20"/>
          <w:color w:val="auto"/>
        </w:rPr>
      </w:pPr>
    </w:p>
    <w:p>
      <w:pPr>
        <w:ind w:firstLine="1"/>
        <w:spacing w:after="0" w:line="271" w:lineRule="auto"/>
        <w:tabs>
          <w:tab w:leader="none" w:pos="382"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other Series of Additional First Lien Obligations that become subject to this Agreement after the date hereof, the Additional Senior Class Debt Collateral Agent for such Series named in the applicable Joinder Agreement.</w:t>
      </w:r>
    </w:p>
    <w:p>
      <w:pPr>
        <w:spacing w:after="0" w:line="146" w:lineRule="exact"/>
        <w:rPr>
          <w:sz w:val="20"/>
          <w:szCs w:val="20"/>
          <w:color w:val="auto"/>
        </w:rPr>
      </w:pPr>
    </w:p>
    <w:p>
      <w:pPr>
        <w:jc w:val="both"/>
        <w:ind w:left="20" w:right="20"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Agreement</w:t>
      </w:r>
      <w:r>
        <w:rPr>
          <w:rFonts w:ascii="Times New Roman" w:cs="Times New Roman" w:eastAsia="Times New Roman" w:hAnsi="Times New Roman"/>
          <w:sz w:val="22"/>
          <w:szCs w:val="22"/>
          <w:color w:val="auto"/>
        </w:rPr>
        <w:t>” means that certain First Lien Collateral Agreement, dated as of December 13, 2019, among Holdings, the Company, the other Grantors party thereto and the Credit Agreement Collateral Agent, as amended, restated, amended and restated, extended,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206" w:lineRule="exact"/>
        <w:rPr>
          <w:sz w:val="20"/>
          <w:szCs w:val="20"/>
          <w:color w:val="auto"/>
        </w:rPr>
      </w:pPr>
    </w:p>
    <w:p>
      <w:pPr>
        <w:jc w:val="both"/>
        <w:ind w:firstLine="649"/>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Controlling Secured Parties</w:t>
      </w:r>
      <w:r>
        <w:rPr>
          <w:rFonts w:ascii="Times New Roman" w:cs="Times New Roman" w:eastAsia="Times New Roman" w:hAnsi="Times New Roman"/>
          <w:sz w:val="22"/>
          <w:szCs w:val="22"/>
          <w:color w:val="auto"/>
        </w:rPr>
        <w:t>” means, with respect to any Shared Collateral, (i) at any time when the Credit Agreement Collateral Agent is the Applicable Collateral Agent, the Credit Agreement Secured Parties and (ii) at any other time, the Series of First Lien Secured Parties whose Authorized Representative is the Applicable Authorized Representative for such Shared Collateral.</w:t>
      </w:r>
    </w:p>
    <w:p>
      <w:pPr>
        <w:spacing w:after="0" w:line="169" w:lineRule="exact"/>
        <w:rPr>
          <w:sz w:val="20"/>
          <w:szCs w:val="20"/>
          <w:color w:val="auto"/>
        </w:rPr>
      </w:pPr>
    </w:p>
    <w:p>
      <w:pPr>
        <w:jc w:val="both"/>
        <w:ind w:left="20" w:right="20" w:firstLine="64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means that certain First Lien Credit Agreement, dated as of December 13, 2019, among Holdings, the Company, the lenders from time to time party thereto, JPMorgan, as administrative agent (in such capacity and together with its successors in such capacity, the</w:t>
      </w:r>
    </w:p>
    <w:p>
      <w:pPr>
        <w:sectPr>
          <w:pgSz w:w="11900" w:h="16838" w:orient="portrait"/>
          <w:cols w:equalWidth="0" w:num="1">
            <w:col w:w="10780"/>
          </w:cols>
          <w:pgMar w:left="580" w:top="1111" w:right="539" w:bottom="1440" w:gutter="0" w:footer="0" w:header="0"/>
        </w:sectPr>
      </w:pPr>
    </w:p>
    <w:bookmarkStart w:id="242" w:name="page243"/>
    <w:bookmarkEnd w:id="242"/>
    <w:p>
      <w:pPr>
        <w:ind w:left="20" w:right="3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Administrative Agent</w:t>
      </w:r>
      <w:r>
        <w:rPr>
          <w:rFonts w:ascii="Times New Roman" w:cs="Times New Roman" w:eastAsia="Times New Roman" w:hAnsi="Times New Roman"/>
          <w:sz w:val="22"/>
          <w:szCs w:val="22"/>
          <w:color w:val="auto"/>
        </w:rPr>
        <w:t>”), and the other parties thereto, as amended, restated, amended and restated, extended, supplemented or otherwise modified from time to time.</w:t>
      </w:r>
    </w:p>
    <w:p>
      <w:pPr>
        <w:spacing w:after="0" w:line="172" w:lineRule="exact"/>
        <w:rPr>
          <w:sz w:val="20"/>
          <w:szCs w:val="20"/>
          <w:color w:val="auto"/>
        </w:rPr>
      </w:pPr>
    </w:p>
    <w:p>
      <w:pPr>
        <w:jc w:val="both"/>
        <w:ind w:left="20" w:firstLine="649"/>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 Collateral Agent</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117" w:lineRule="exact"/>
        <w:rPr>
          <w:sz w:val="20"/>
          <w:szCs w:val="20"/>
          <w:color w:val="auto"/>
        </w:rPr>
      </w:pPr>
    </w:p>
    <w:p>
      <w:pPr>
        <w:jc w:val="both"/>
        <w:ind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 Collateral Documents</w:t>
      </w:r>
      <w:r>
        <w:rPr>
          <w:rFonts w:ascii="Times New Roman" w:cs="Times New Roman" w:eastAsia="Times New Roman" w:hAnsi="Times New Roman"/>
          <w:sz w:val="22"/>
          <w:szCs w:val="22"/>
          <w:color w:val="auto"/>
        </w:rPr>
        <w:t>” means the Collateral Agreement, the other Security Documents (as defined in the Credit Agreement) and each other agreement entered into in favor of the Credit Agreement Collateral Agent for the purpose of securing any Credit Agreement Obligations.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 Obligations</w:t>
      </w:r>
      <w:r>
        <w:rPr>
          <w:rFonts w:ascii="Times New Roman" w:cs="Times New Roman" w:eastAsia="Times New Roman" w:hAnsi="Times New Roman"/>
          <w:sz w:val="22"/>
          <w:szCs w:val="22"/>
          <w:color w:val="auto"/>
        </w:rPr>
        <w:t>” means all “</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as defined in the Credit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 Secured Parties</w:t>
      </w:r>
      <w:r>
        <w:rPr>
          <w:rFonts w:ascii="Times New Roman" w:cs="Times New Roman" w:eastAsia="Times New Roman" w:hAnsi="Times New Roman"/>
          <w:sz w:val="22"/>
          <w:szCs w:val="22"/>
          <w:color w:val="auto"/>
        </w:rPr>
        <w:t>” means the “</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as defined in the Collateral Agreement.</w:t>
      </w:r>
    </w:p>
    <w:p>
      <w:pPr>
        <w:spacing w:after="0" w:line="3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DIP Financing</w:t>
      </w:r>
      <w:r>
        <w:rPr>
          <w:rFonts w:ascii="Times New Roman" w:cs="Times New Roman" w:eastAsia="Times New Roman" w:hAnsi="Times New Roman"/>
          <w:sz w:val="22"/>
          <w:szCs w:val="22"/>
          <w:color w:val="auto"/>
        </w:rPr>
        <w:t>” has the meaning assigned to such term in Section 2.05(b). “</w:t>
      </w:r>
      <w:r>
        <w:rPr>
          <w:rFonts w:ascii="Times New Roman" w:cs="Times New Roman" w:eastAsia="Times New Roman" w:hAnsi="Times New Roman"/>
          <w:sz w:val="22"/>
          <w:szCs w:val="22"/>
          <w:u w:val="single" w:color="auto"/>
          <w:color w:val="auto"/>
        </w:rPr>
        <w:t>DIP Financing Liens</w:t>
      </w:r>
      <w:r>
        <w:rPr>
          <w:rFonts w:ascii="Times New Roman" w:cs="Times New Roman" w:eastAsia="Times New Roman" w:hAnsi="Times New Roman"/>
          <w:sz w:val="22"/>
          <w:szCs w:val="22"/>
          <w:color w:val="auto"/>
        </w:rPr>
        <w:t>” has the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meaning assigned to such term in Section2.05(b). “</w:t>
      </w:r>
      <w:r>
        <w:rPr>
          <w:rFonts w:ascii="Times New Roman" w:cs="Times New Roman" w:eastAsia="Times New Roman" w:hAnsi="Times New Roman"/>
          <w:sz w:val="22"/>
          <w:szCs w:val="22"/>
          <w:u w:val="single" w:color="auto"/>
          <w:color w:val="auto"/>
        </w:rPr>
        <w:t>DIP Lenders</w:t>
      </w:r>
      <w:r>
        <w:rPr>
          <w:rFonts w:ascii="Times New Roman" w:cs="Times New Roman" w:eastAsia="Times New Roman" w:hAnsi="Times New Roman"/>
          <w:sz w:val="22"/>
          <w:szCs w:val="22"/>
          <w:color w:val="auto"/>
        </w:rPr>
        <w:t>” has the meaning assigned to such term in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2.05(b).</w:t>
      </w:r>
    </w:p>
    <w:p>
      <w:pPr>
        <w:spacing w:after="0" w:line="125" w:lineRule="exact"/>
        <w:rPr>
          <w:sz w:val="20"/>
          <w:szCs w:val="20"/>
          <w:color w:val="auto"/>
        </w:rPr>
      </w:pPr>
    </w:p>
    <w:p>
      <w:pPr>
        <w:jc w:val="both"/>
        <w:ind w:firstLine="6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w:t>
      </w:r>
      <w:r>
        <w:rPr>
          <w:rFonts w:ascii="Times New Roman" w:cs="Times New Roman" w:eastAsia="Times New Roman" w:hAnsi="Times New Roman"/>
          <w:sz w:val="22"/>
          <w:szCs w:val="22"/>
          <w:color w:val="auto"/>
        </w:rPr>
        <w:t>” means, with respect to any Shared Collateral and any Series of First Lien Obligations, the date on which such Series of First Lien Obligations is no longer secured by such Shared Collateral pursuant to the terms of the documentation governing such Series of First Lien Obligations. The term “</w:t>
      </w:r>
      <w:r>
        <w:rPr>
          <w:rFonts w:ascii="Times New Roman" w:cs="Times New Roman" w:eastAsia="Times New Roman" w:hAnsi="Times New Roman"/>
          <w:sz w:val="22"/>
          <w:szCs w:val="22"/>
          <w:u w:val="single" w:color="auto"/>
          <w:color w:val="auto"/>
        </w:rPr>
        <w:t>Discharged</w:t>
      </w:r>
      <w:r>
        <w:rPr>
          <w:rFonts w:ascii="Times New Roman" w:cs="Times New Roman" w:eastAsia="Times New Roman" w:hAnsi="Times New Roman"/>
          <w:sz w:val="22"/>
          <w:szCs w:val="22"/>
          <w:color w:val="auto"/>
        </w:rPr>
        <w:t>” shall have a corresponding meaning.</w:t>
      </w:r>
    </w:p>
    <w:p>
      <w:pPr>
        <w:spacing w:after="0" w:line="186" w:lineRule="exact"/>
        <w:rPr>
          <w:sz w:val="20"/>
          <w:szCs w:val="20"/>
          <w:color w:val="auto"/>
        </w:rPr>
      </w:pPr>
    </w:p>
    <w:p>
      <w:pPr>
        <w:jc w:val="both"/>
        <w:ind w:left="20" w:firstLine="6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 of Credit Agreement Obligations</w:t>
      </w:r>
      <w:r>
        <w:rPr>
          <w:rFonts w:ascii="Times New Roman" w:cs="Times New Roman" w:eastAsia="Times New Roman" w:hAnsi="Times New Roman"/>
          <w:sz w:val="22"/>
          <w:szCs w:val="22"/>
          <w:color w:val="auto"/>
        </w:rPr>
        <w:t xml:space="preserve">” means, with respect to any Shared Collateral, the Discharge of the Credit Agreement Obligations with respect to such Shared Collateral;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Discharge of Credit Agreement Obligations shall not be deemed to have occurred in connection with a Refinancing of such Credit Agreement Obligations with Additional First Lien Obligations secured by such Shared Collateral under an Additional First Lien Document which has been designated in writing by the First Lien Administrative Agent (under the Credit Agreement so Refinanced) to the Additional First Lien Collateral Agent and each other Authorized Representative as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for purposes of this Agreement.</w:t>
      </w:r>
    </w:p>
    <w:p>
      <w:pPr>
        <w:spacing w:after="0" w:line="208" w:lineRule="exact"/>
        <w:rPr>
          <w:sz w:val="20"/>
          <w:szCs w:val="20"/>
          <w:color w:val="auto"/>
        </w:rPr>
      </w:pPr>
    </w:p>
    <w:p>
      <w:pPr>
        <w:ind w:left="20" w:right="660" w:firstLine="6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means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(or similarly defined term) as defined in any First Lien Debt Document.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Administrative Agent</w:t>
      </w:r>
      <w:r>
        <w:rPr>
          <w:rFonts w:ascii="Times New Roman" w:cs="Times New Roman" w:eastAsia="Times New Roman" w:hAnsi="Times New Roman"/>
          <w:sz w:val="22"/>
          <w:szCs w:val="22"/>
          <w:color w:val="auto"/>
        </w:rPr>
        <w:t>” has the meaning assigned to such term in the definition of “Credit Agreement”</w:t>
      </w:r>
    </w:p>
    <w:p>
      <w:pPr>
        <w:spacing w:after="0" w:line="206" w:lineRule="exact"/>
        <w:rPr>
          <w:sz w:val="20"/>
          <w:szCs w:val="20"/>
          <w:color w:val="auto"/>
        </w:rPr>
      </w:pPr>
    </w:p>
    <w:p>
      <w:pPr>
        <w:jc w:val="both"/>
        <w:ind w:firstLine="64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Debt Document</w:t>
      </w:r>
      <w:r>
        <w:rPr>
          <w:rFonts w:ascii="Times New Roman" w:cs="Times New Roman" w:eastAsia="Times New Roman" w:hAnsi="Times New Roman"/>
          <w:sz w:val="22"/>
          <w:szCs w:val="22"/>
          <w:color w:val="auto"/>
        </w:rPr>
        <w:t>” means (i) the Credit Agreement and each First Lien Loan Document (as such term is defined in the Credit Agreement), (ii) each Initial Additional First Lien Document and (iii) each Additional First Lien Document.</w:t>
      </w:r>
    </w:p>
    <w:p>
      <w:pPr>
        <w:spacing w:after="0" w:line="348" w:lineRule="exact"/>
        <w:rPr>
          <w:sz w:val="20"/>
          <w:szCs w:val="20"/>
          <w:color w:val="auto"/>
        </w:rPr>
      </w:pPr>
    </w:p>
    <w:p>
      <w:pPr>
        <w:jc w:val="both"/>
        <w:ind w:left="20" w:firstLine="6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Obligations</w:t>
      </w:r>
      <w:r>
        <w:rPr>
          <w:rFonts w:ascii="Times New Roman" w:cs="Times New Roman" w:eastAsia="Times New Roman" w:hAnsi="Times New Roman"/>
          <w:sz w:val="22"/>
          <w:szCs w:val="22"/>
          <w:color w:val="auto"/>
        </w:rPr>
        <w:t>” means, collectively, (i) the Credit Agreement Obligations and (ii) each Series of Additional First Lien Obligations.</w:t>
      </w:r>
    </w:p>
    <w:p>
      <w:pPr>
        <w:sectPr>
          <w:pgSz w:w="11900" w:h="16838" w:orient="portrait"/>
          <w:cols w:equalWidth="0" w:num="1">
            <w:col w:w="10760"/>
          </w:cols>
          <w:pgMar w:left="580" w:top="1111" w:right="559" w:bottom="1440" w:gutter="0" w:footer="0" w:header="0"/>
        </w:sectPr>
      </w:pPr>
    </w:p>
    <w:bookmarkStart w:id="243" w:name="page244"/>
    <w:bookmarkEnd w:id="243"/>
    <w:p>
      <w:pPr>
        <w:jc w:val="both"/>
        <w:ind w:left="20" w:right="40" w:firstLine="6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Secured Parties</w:t>
      </w:r>
      <w:r>
        <w:rPr>
          <w:rFonts w:ascii="Times New Roman" w:cs="Times New Roman" w:eastAsia="Times New Roman" w:hAnsi="Times New Roman"/>
          <w:sz w:val="22"/>
          <w:szCs w:val="22"/>
          <w:color w:val="auto"/>
        </w:rPr>
        <w:t>” means (i) the Credit Agreement Secured Parties and (ii) the Additional First Lien Secured Parties with respect to each Series of Additional First Lien Obligations.</w:t>
      </w:r>
    </w:p>
    <w:p>
      <w:pPr>
        <w:spacing w:after="0" w:line="144" w:lineRule="exact"/>
        <w:rPr>
          <w:sz w:val="20"/>
          <w:szCs w:val="20"/>
          <w:color w:val="auto"/>
        </w:rPr>
      </w:pPr>
    </w:p>
    <w:p>
      <w:pPr>
        <w:jc w:val="both"/>
        <w:ind w:left="20" w:right="20" w:firstLine="6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Security Documents</w:t>
      </w:r>
      <w:r>
        <w:rPr>
          <w:rFonts w:ascii="Times New Roman" w:cs="Times New Roman" w:eastAsia="Times New Roman" w:hAnsi="Times New Roman"/>
          <w:sz w:val="22"/>
          <w:szCs w:val="22"/>
          <w:color w:val="auto"/>
        </w:rPr>
        <w:t>” means collectively, (i) the Credit Agreement Collateral Documents and (ii) the Additional First Lien Security Documents.</w:t>
      </w:r>
    </w:p>
    <w:p>
      <w:pPr>
        <w:spacing w:after="0" w:line="199" w:lineRule="exact"/>
        <w:rPr>
          <w:sz w:val="20"/>
          <w:szCs w:val="20"/>
          <w:color w:val="auto"/>
        </w:rPr>
      </w:pPr>
    </w:p>
    <w:p>
      <w:pPr>
        <w:jc w:val="both"/>
        <w:ind w:left="20" w:right="20" w:firstLine="649"/>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Grantors</w:t>
      </w:r>
      <w:r>
        <w:rPr>
          <w:rFonts w:ascii="Times New Roman" w:cs="Times New Roman" w:eastAsia="Times New Roman" w:hAnsi="Times New Roman"/>
          <w:sz w:val="21"/>
          <w:szCs w:val="21"/>
          <w:color w:val="auto"/>
        </w:rPr>
        <w:t>” means the Company and each of the Guarantors (as defined in the Credit Agreement), each Intermediate Parent and each other Subsidiary of the Company which has granted a security interest pursuant to any First Lien Security Document to secure any Series of First Lien Obligations (including any Subsidiary which becomes a party to this Agreement as contemplated by Section 5.16). The Grantors existing on the date hereof are set forth in Schedule I hereto.</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Impairment</w:t>
      </w:r>
      <w:r>
        <w:rPr>
          <w:rFonts w:ascii="Times New Roman" w:cs="Times New Roman" w:eastAsia="Times New Roman" w:hAnsi="Times New Roman"/>
          <w:sz w:val="22"/>
          <w:szCs w:val="22"/>
          <w:color w:val="auto"/>
        </w:rPr>
        <w:t>” has the meaning assigned to such term in Section 1.03.</w:t>
      </w:r>
    </w:p>
    <w:p>
      <w:pPr>
        <w:spacing w:after="0" w:line="206" w:lineRule="exact"/>
        <w:rPr>
          <w:sz w:val="20"/>
          <w:szCs w:val="20"/>
          <w:color w:val="auto"/>
        </w:rPr>
      </w:pPr>
    </w:p>
    <w:p>
      <w:pPr>
        <w:jc w:val="both"/>
        <w:ind w:left="20" w:right="20" w:firstLine="6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Additional Authorized Representative</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158" w:lineRule="exact"/>
        <w:rPr>
          <w:sz w:val="20"/>
          <w:szCs w:val="20"/>
          <w:color w:val="auto"/>
        </w:rPr>
      </w:pPr>
    </w:p>
    <w:p>
      <w:pPr>
        <w:jc w:val="both"/>
        <w:ind w:left="20" w:firstLine="649"/>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Additional First Lien Agreement</w:t>
      </w:r>
      <w:r>
        <w:rPr>
          <w:rFonts w:ascii="Times New Roman" w:cs="Times New Roman" w:eastAsia="Times New Roman" w:hAnsi="Times New Roman"/>
          <w:sz w:val="22"/>
          <w:szCs w:val="22"/>
          <w:color w:val="auto"/>
        </w:rPr>
        <w:t>” means that certain Indenture, dated as of May 30, 2024, among the Company, the guarantors party thereto from time to time, and Wilmington Trust, National Association, as trustee and Notes Collateral Agent, as amended, restated, amended and restated, extended, supplemented or otherwise modified from time to time.</w:t>
      </w:r>
    </w:p>
    <w:p>
      <w:pPr>
        <w:spacing w:after="0" w:line="196" w:lineRule="exact"/>
        <w:rPr>
          <w:sz w:val="20"/>
          <w:szCs w:val="20"/>
          <w:color w:val="auto"/>
        </w:rPr>
      </w:pPr>
    </w:p>
    <w:p>
      <w:pPr>
        <w:ind w:left="20" w:right="40" w:firstLine="6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Additional First Lien Collateral Agent</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158" w:lineRule="exact"/>
        <w:rPr>
          <w:sz w:val="20"/>
          <w:szCs w:val="20"/>
          <w:color w:val="auto"/>
        </w:rPr>
      </w:pPr>
    </w:p>
    <w:p>
      <w:pPr>
        <w:jc w:val="both"/>
        <w:ind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Additional First Lien Collateral Agreement</w:t>
      </w:r>
      <w:r>
        <w:rPr>
          <w:rFonts w:ascii="Times New Roman" w:cs="Times New Roman" w:eastAsia="Times New Roman" w:hAnsi="Times New Roman"/>
          <w:sz w:val="22"/>
          <w:szCs w:val="22"/>
          <w:color w:val="auto"/>
        </w:rPr>
        <w:t>” means the notes collateral agreement, dated as of the date hereof, among the Company, the Initial Additional First Lien Collateral Agent and the other parties thereto, as amended, restated, amended and restated, extended, supplemented or otherwise modified from time to time.</w:t>
      </w:r>
    </w:p>
    <w:p>
      <w:pPr>
        <w:spacing w:after="0" w:line="195" w:lineRule="exact"/>
        <w:rPr>
          <w:sz w:val="20"/>
          <w:szCs w:val="20"/>
          <w:color w:val="auto"/>
        </w:rPr>
      </w:pPr>
    </w:p>
    <w:p>
      <w:pPr>
        <w:jc w:val="both"/>
        <w:ind w:left="20"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Additional First Lien Documents</w:t>
      </w:r>
      <w:r>
        <w:rPr>
          <w:rFonts w:ascii="Times New Roman" w:cs="Times New Roman" w:eastAsia="Times New Roman" w:hAnsi="Times New Roman"/>
          <w:sz w:val="22"/>
          <w:szCs w:val="22"/>
          <w:color w:val="auto"/>
        </w:rPr>
        <w:t>” means the Initial Additional First Lien Agreement, the debt securities, if any, issued thereunder, the Initial Additional First Lien Collateral Agreement, each other Notes Document (as defined in the Initial Additional First Lien Agreement) and any security documents and other operative agreements evidencing or governing the Indebtedness thereunder, and the Liens securing such Indebtedness, including any agreement entered into for the purpose of securing the Initial Additional First Lien Obligations.</w:t>
      </w:r>
    </w:p>
    <w:p>
      <w:pPr>
        <w:spacing w:after="0" w:line="181" w:lineRule="exact"/>
        <w:rPr>
          <w:sz w:val="20"/>
          <w:szCs w:val="20"/>
          <w:color w:val="auto"/>
        </w:rPr>
      </w:pPr>
    </w:p>
    <w:p>
      <w:pPr>
        <w:jc w:val="both"/>
        <w:ind w:left="20" w:right="20" w:firstLine="6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Additional First Lien Obligations</w:t>
      </w:r>
      <w:r>
        <w:rPr>
          <w:rFonts w:ascii="Times New Roman" w:cs="Times New Roman" w:eastAsia="Times New Roman" w:hAnsi="Times New Roman"/>
          <w:sz w:val="22"/>
          <w:szCs w:val="22"/>
          <w:color w:val="auto"/>
        </w:rPr>
        <w:t>” means the “Notes Obligations” as such term is defined in the Initial Additional First Lien Agreement.</w:t>
      </w:r>
    </w:p>
    <w:p>
      <w:pPr>
        <w:spacing w:after="0" w:line="158" w:lineRule="exact"/>
        <w:rPr>
          <w:sz w:val="20"/>
          <w:szCs w:val="20"/>
          <w:color w:val="auto"/>
        </w:rPr>
      </w:pPr>
    </w:p>
    <w:p>
      <w:pPr>
        <w:ind w:left="20" w:right="560" w:firstLine="6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Additional First Lien Secured Parties</w:t>
      </w:r>
      <w:r>
        <w:rPr>
          <w:rFonts w:ascii="Times New Roman" w:cs="Times New Roman" w:eastAsia="Times New Roman" w:hAnsi="Times New Roman"/>
          <w:sz w:val="22"/>
          <w:szCs w:val="22"/>
          <w:color w:val="auto"/>
        </w:rPr>
        <w:t>” means the “Noteholder Secured Parties” as defined in the Initial Additional First Lien Agreement.</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or Liquidation Proceeding</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ind w:left="660" w:right="20" w:firstLine="654"/>
        <w:spacing w:after="0" w:line="271" w:lineRule="auto"/>
        <w:tabs>
          <w:tab w:leader="none" w:pos="1682"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case or proceeding commenced by or against the Company or any other Grantor under any Bankruptcy Law, any other case or proceeding for the reorganization,</w:t>
      </w:r>
    </w:p>
    <w:p>
      <w:pPr>
        <w:sectPr>
          <w:pgSz w:w="11900" w:h="16838" w:orient="portrait"/>
          <w:cols w:equalWidth="0" w:num="1">
            <w:col w:w="10780"/>
          </w:cols>
          <w:pgMar w:left="580" w:top="922" w:right="539" w:bottom="1440" w:gutter="0" w:footer="0" w:header="0"/>
        </w:sectPr>
      </w:pPr>
    </w:p>
    <w:bookmarkStart w:id="244" w:name="page245"/>
    <w:bookmarkEnd w:id="244"/>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w:t>
      </w:r>
    </w:p>
    <w:p>
      <w:pPr>
        <w:spacing w:after="0" w:line="149" w:lineRule="exact"/>
        <w:rPr>
          <w:sz w:val="20"/>
          <w:szCs w:val="20"/>
          <w:color w:val="auto"/>
        </w:rPr>
      </w:pPr>
    </w:p>
    <w:p>
      <w:pPr>
        <w:jc w:val="both"/>
        <w:ind w:left="660" w:firstLine="654"/>
        <w:spacing w:after="0" w:line="257" w:lineRule="auto"/>
        <w:tabs>
          <w:tab w:leader="none" w:pos="1682"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liquidation, dissolution, marshalling of assets or liabilities or other winding up of or relating to the Company or any other Grantor, in each case whether or not voluntary and whether or not involving bankruptcy or insolvency; or</w:t>
      </w:r>
    </w:p>
    <w:p>
      <w:pPr>
        <w:spacing w:after="0" w:line="159" w:lineRule="exact"/>
        <w:rPr>
          <w:rFonts w:ascii="Times New Roman" w:cs="Times New Roman" w:eastAsia="Times New Roman" w:hAnsi="Times New Roman"/>
          <w:sz w:val="22"/>
          <w:szCs w:val="22"/>
          <w:color w:val="auto"/>
        </w:rPr>
      </w:pPr>
    </w:p>
    <w:p>
      <w:pPr>
        <w:jc w:val="both"/>
        <w:ind w:left="660" w:firstLine="654"/>
        <w:spacing w:after="0" w:line="257" w:lineRule="auto"/>
        <w:tabs>
          <w:tab w:leader="none" w:pos="1682"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case or proceeding of any type or nature in which substantially all claims of creditors of the Company or any other Grantor are determined and any payment or distribution is or may be made on account of such claims.</w:t>
      </w:r>
    </w:p>
    <w:p>
      <w:pPr>
        <w:spacing w:after="0" w:line="92" w:lineRule="exact"/>
        <w:rPr>
          <w:sz w:val="20"/>
          <w:szCs w:val="20"/>
          <w:color w:val="auto"/>
        </w:rPr>
      </w:pPr>
    </w:p>
    <w:p>
      <w:pPr>
        <w:ind w:left="660" w:right="30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Intermediate Parent</w:t>
      </w:r>
      <w:r>
        <w:rPr>
          <w:rFonts w:ascii="Times New Roman" w:cs="Times New Roman" w:eastAsia="Times New Roman" w:hAnsi="Times New Roman"/>
          <w:sz w:val="22"/>
          <w:szCs w:val="22"/>
          <w:color w:val="auto"/>
        </w:rPr>
        <w:t>” has the meaning assigned to such term in the Credit Agreement. “</w:t>
      </w:r>
      <w:r>
        <w:rPr>
          <w:rFonts w:ascii="Times New Roman" w:cs="Times New Roman" w:eastAsia="Times New Roman" w:hAnsi="Times New Roman"/>
          <w:sz w:val="22"/>
          <w:szCs w:val="22"/>
          <w:u w:val="single" w:color="auto"/>
          <w:color w:val="auto"/>
        </w:rPr>
        <w:t>Intervening Creditor</w:t>
      </w:r>
      <w:r>
        <w:rPr>
          <w:rFonts w:ascii="Times New Roman" w:cs="Times New Roman" w:eastAsia="Times New Roman" w:hAnsi="Times New Roman"/>
          <w:sz w:val="22"/>
          <w:szCs w:val="22"/>
          <w:color w:val="auto"/>
        </w:rPr>
        <w:t>” has the meaning assigned to such term in Section 2.01(a).</w:t>
      </w:r>
    </w:p>
    <w:p>
      <w:pPr>
        <w:ind w:left="20" w:right="100" w:firstLine="6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means a joinder to this Agreement substantially in the form of Annex II hereto required to be delivered by an Additional Senior Class Debt Representative and the related Additional Senior Class Debt Collateral Agent pursuant to Section 5.13 hereof in order to establish an additional Series of Additional Senior Class Debt and add Additional First Lien Secured Parties hereunder.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JPMorgan</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220" w:lineRule="exact"/>
        <w:rPr>
          <w:sz w:val="20"/>
          <w:szCs w:val="20"/>
          <w:color w:val="auto"/>
        </w:rPr>
      </w:pPr>
    </w:p>
    <w:p>
      <w:pPr>
        <w:jc w:val="both"/>
        <w:ind w:right="20" w:firstLine="649"/>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63" w:lineRule="exact"/>
        <w:rPr>
          <w:sz w:val="20"/>
          <w:szCs w:val="20"/>
          <w:color w:val="auto"/>
        </w:rPr>
      </w:pPr>
    </w:p>
    <w:p>
      <w:pPr>
        <w:jc w:val="both"/>
        <w:ind w:left="20" w:right="20"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Non-Controlling Authorized Representative</w:t>
      </w:r>
      <w:r>
        <w:rPr>
          <w:rFonts w:ascii="Times New Roman" w:cs="Times New Roman" w:eastAsia="Times New Roman" w:hAnsi="Times New Roman"/>
          <w:sz w:val="22"/>
          <w:szCs w:val="22"/>
          <w:color w:val="auto"/>
        </w:rPr>
        <w:t>” means, with respect to any Shared Collateral, the Authorized Representative of the Series of Additional First Lien Obligations that constitutes the largest outstanding principal amount of any then outstanding Series of First Lien Obligations with respect to such Shared Collateral.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York UCC</w:t>
      </w:r>
      <w:r>
        <w:rPr>
          <w:rFonts w:ascii="Times New Roman" w:cs="Times New Roman" w:eastAsia="Times New Roman" w:hAnsi="Times New Roman"/>
          <w:sz w:val="22"/>
          <w:szCs w:val="22"/>
          <w:color w:val="auto"/>
        </w:rPr>
        <w:t>” means the Uniform Commercial Code as from time to time in effect in the State of New York.</w:t>
      </w:r>
    </w:p>
    <w:p>
      <w:pPr>
        <w:spacing w:after="0" w:line="220" w:lineRule="exact"/>
        <w:rPr>
          <w:sz w:val="20"/>
          <w:szCs w:val="20"/>
          <w:color w:val="auto"/>
        </w:rPr>
      </w:pPr>
    </w:p>
    <w:p>
      <w:pPr>
        <w:jc w:val="both"/>
        <w:ind w:left="20" w:right="20"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Non-Controlling Authorized Representative</w:t>
      </w:r>
      <w:r>
        <w:rPr>
          <w:rFonts w:ascii="Times New Roman" w:cs="Times New Roman" w:eastAsia="Times New Roman" w:hAnsi="Times New Roman"/>
          <w:sz w:val="22"/>
          <w:szCs w:val="22"/>
          <w:color w:val="auto"/>
        </w:rPr>
        <w:t>” means, at any time with respect to any Shared Collateral, any Authorized Representative that is not the Applicable Authorized Representative at such time with respect to such Shared Collateral.</w:t>
      </w:r>
    </w:p>
    <w:p>
      <w:pPr>
        <w:spacing w:after="0" w:line="195" w:lineRule="exact"/>
        <w:rPr>
          <w:sz w:val="20"/>
          <w:szCs w:val="20"/>
          <w:color w:val="auto"/>
        </w:rPr>
      </w:pPr>
    </w:p>
    <w:p>
      <w:pPr>
        <w:jc w:val="both"/>
        <w:ind w:left="20" w:firstLine="649"/>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Non-Controlling Authorized Representative Enforcement Date</w:t>
      </w:r>
      <w:r>
        <w:rPr>
          <w:rFonts w:ascii="Times New Roman" w:cs="Times New Roman" w:eastAsia="Times New Roman" w:hAnsi="Times New Roman"/>
          <w:sz w:val="22"/>
          <w:szCs w:val="22"/>
          <w:color w:val="auto"/>
        </w:rPr>
        <w:t xml:space="preserve">” means, with respect to any Non-Controlling Authorized Representative, the date which is 120 days (throughout which 120-day period such Non-Controlling Authorized Representative was the Major Non-Controlling Authorized Representative) after the occurrence of both (i) an Event of Default (under and as defined in the Additional First Lien Document under which such Non-Controlling Authorized Representative is the Authorized Representative)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(ii) receipt by each of the Applicable Collateral Agent, each other Collateral Agent, the Applicable Authorized Representative, and</w:t>
      </w:r>
    </w:p>
    <w:p>
      <w:pPr>
        <w:sectPr>
          <w:pgSz w:w="11900" w:h="16838" w:orient="portrait"/>
          <w:cols w:equalWidth="0" w:num="1">
            <w:col w:w="10780"/>
          </w:cols>
          <w:pgMar w:left="580" w:top="949" w:right="539" w:bottom="1440" w:gutter="0" w:footer="0" w:header="0"/>
        </w:sectPr>
      </w:pPr>
    </w:p>
    <w:bookmarkStart w:id="245" w:name="page246"/>
    <w:bookmarkEnd w:id="245"/>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each other Authorized Representative of written notice from such Non-Controlling Authorized Representative certifying that (x) such Non-Controlling Authorized Representative is the Major Non-Controlling Authorized Representative and that an Event of Default (under and as defined in the Additional First Lien Document under which such Non-Controlling Authorized Representative is the Authorized Representative) has occurred and is continuing and (y) the Additional First Lien Obligations of the Series with respect to which such Non-Controlling Authorized Representative is the Authorized Representative are currently due and payable in full (whether as a result of acceleration thereof or otherwise) in accordance with the terms of the applicable Additional First Lien Document;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Event of Default (under and as defined in the Additional First Lien Document under which such Non-Controlling Authorized Representative is the Authorized Representative) shall be continuing at the end of such 120 -day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Non-Controlling Authorized Representative Enforcement Date shall be stayed and shall not occur and shall be deemed not to have occurred with respect to any Shared Collateral (1) at any time the First Lien Administrative Agent or the Credit Agreement Collateral Agent has commenced and is diligently pursuing any enforcement action with respect to such Shared Collateral or (2) at any time the Grantor which has granted a security interest in such Shared Collateral is then a debtor under or with respect to (or otherwise subject to) any Insolvency or Liquidation Proceeding.</w:t>
      </w:r>
    </w:p>
    <w:p>
      <w:pPr>
        <w:spacing w:after="0" w:line="189" w:lineRule="exact"/>
        <w:rPr>
          <w:sz w:val="20"/>
          <w:szCs w:val="20"/>
          <w:color w:val="auto"/>
        </w:rPr>
      </w:pPr>
    </w:p>
    <w:p>
      <w:pPr>
        <w:jc w:val="both"/>
        <w:ind w:right="20" w:firstLine="6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Non-Controlling Secured Parties</w:t>
      </w:r>
      <w:r>
        <w:rPr>
          <w:rFonts w:ascii="Times New Roman" w:cs="Times New Roman" w:eastAsia="Times New Roman" w:hAnsi="Times New Roman"/>
          <w:sz w:val="22"/>
          <w:szCs w:val="22"/>
          <w:color w:val="auto"/>
        </w:rPr>
        <w:t>” means, at any time with respect to any Shared Collateral, the First Lien Secured Parties which are not Controlling Secured Parties at such time with respect to such Shared Collateral.</w:t>
      </w:r>
    </w:p>
    <w:p>
      <w:pPr>
        <w:spacing w:after="0" w:line="172" w:lineRule="exact"/>
        <w:rPr>
          <w:sz w:val="20"/>
          <w:szCs w:val="20"/>
          <w:color w:val="auto"/>
        </w:rPr>
      </w:pPr>
    </w:p>
    <w:p>
      <w:pPr>
        <w:jc w:val="both"/>
        <w:ind w:firstLine="6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Possessory Collateral</w:t>
      </w:r>
      <w:r>
        <w:rPr>
          <w:rFonts w:ascii="Times New Roman" w:cs="Times New Roman" w:eastAsia="Times New Roman" w:hAnsi="Times New Roman"/>
          <w:sz w:val="22"/>
          <w:szCs w:val="22"/>
          <w:color w:val="auto"/>
        </w:rPr>
        <w:t>” means any Shared Collateral in the possession of a Collateral Agent (or its agents or bailees), to the extent that possession thereof perfects a Lien thereon under the Uniform Commercial Code of any applicable jurisdiction. Possessory Collateral includes, without limitation, any Certificated Securities, Promissory Notes, Instruments and Chattel Paper, in each case, delivered to or in the possession of a Collateral Agent under the terms of the First Lien Security Documents.</w:t>
      </w:r>
    </w:p>
    <w:p>
      <w:pPr>
        <w:spacing w:after="0" w:line="191" w:lineRule="exact"/>
        <w:rPr>
          <w:sz w:val="20"/>
          <w:szCs w:val="20"/>
          <w:color w:val="auto"/>
        </w:rPr>
      </w:pPr>
    </w:p>
    <w:p>
      <w:pPr>
        <w:jc w:val="both"/>
        <w:ind w:right="20"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Post-Petition Interest</w:t>
      </w:r>
      <w:r>
        <w:rPr>
          <w:rFonts w:ascii="Times New Roman" w:cs="Times New Roman" w:eastAsia="Times New Roman" w:hAnsi="Times New Roman"/>
          <w:sz w:val="22"/>
          <w:szCs w:val="22"/>
          <w:color w:val="auto"/>
        </w:rPr>
        <w:t>” means any interest or entitlement to fees or expenses or other charges that accrue after the commencement of any Insolvency or Liquidation Proceeding, whether or not allowed or allowable as a claim in any such Insolvency or Liquidation Proceeding.</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Proceeds</w:t>
      </w:r>
      <w:r>
        <w:rPr>
          <w:rFonts w:ascii="Times New Roman" w:cs="Times New Roman" w:eastAsia="Times New Roman" w:hAnsi="Times New Roman"/>
          <w:sz w:val="22"/>
          <w:szCs w:val="22"/>
          <w:color w:val="auto"/>
        </w:rPr>
        <w:t>” has the meaning assigned to such term in Section 2.01(a).</w:t>
      </w:r>
    </w:p>
    <w:p>
      <w:pPr>
        <w:spacing w:after="0" w:line="233" w:lineRule="exact"/>
        <w:rPr>
          <w:sz w:val="20"/>
          <w:szCs w:val="20"/>
          <w:color w:val="auto"/>
        </w:rPr>
      </w:pPr>
    </w:p>
    <w:p>
      <w:pPr>
        <w:ind w:right="260" w:firstLine="64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Refinance</w:t>
      </w:r>
      <w:r>
        <w:rPr>
          <w:rFonts w:ascii="Times New Roman" w:cs="Times New Roman" w:eastAsia="Times New Roman" w:hAnsi="Times New Roman"/>
          <w:sz w:val="21"/>
          <w:szCs w:val="21"/>
          <w:color w:val="auto"/>
        </w:rPr>
        <w:t>” means, in respect of any Indebtedness, to refinance, extend, renew, defease, amend, increase, modify, supplement, restructure, refund, replace, repay, prepay, purchase, redeem or retire, or to issue other indebtedness or enter alternative financing arrangements, in each case in exchange or replacement for such indebtedness (in whole or in part), including by adding or replacing lenders, creditors, agents, borrowers or guarantors, and including in each case, but not limited to, after the original instrument giving rise to such indebtedness has been terminated and including, in each case, through any credit agreement, indenture or other agreement. “</w:t>
      </w:r>
      <w:r>
        <w:rPr>
          <w:rFonts w:ascii="Times New Roman" w:cs="Times New Roman" w:eastAsia="Times New Roman" w:hAnsi="Times New Roman"/>
          <w:sz w:val="21"/>
          <w:szCs w:val="21"/>
          <w:u w:val="single" w:color="auto"/>
          <w:color w:val="auto"/>
        </w:rPr>
        <w:t>Refinanced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Refinancing</w:t>
      </w:r>
      <w:r>
        <w:rPr>
          <w:rFonts w:ascii="Times New Roman" w:cs="Times New Roman" w:eastAsia="Times New Roman" w:hAnsi="Times New Roman"/>
          <w:sz w:val="21"/>
          <w:szCs w:val="21"/>
          <w:color w:val="auto"/>
        </w:rPr>
        <w:t>” have correlative meanings.</w:t>
      </w:r>
    </w:p>
    <w:p>
      <w:pPr>
        <w:spacing w:after="0" w:line="175" w:lineRule="exact"/>
        <w:rPr>
          <w:sz w:val="20"/>
          <w:szCs w:val="20"/>
          <w:color w:val="auto"/>
        </w:rPr>
      </w:pPr>
    </w:p>
    <w:p>
      <w:pPr>
        <w:jc w:val="both"/>
        <w:ind w:firstLine="649"/>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w:t>
      </w:r>
      <w:r>
        <w:rPr>
          <w:rFonts w:ascii="Times New Roman" w:cs="Times New Roman" w:eastAsia="Times New Roman" w:hAnsi="Times New Roman"/>
          <w:sz w:val="22"/>
          <w:szCs w:val="22"/>
          <w:color w:val="auto"/>
        </w:rPr>
        <w:t>” means (a) with respect to the First Lien Secured Parties, each of (i) the Credit Agreement Secured Parties (in their capacities as such), (ii) the Initial Additional First Lien Secured Parties (in their capacities as such), and (iii) the Additional First Lien Secured Parties that become subject to this Agreement after the date hereof that are represented by a common</w:t>
      </w:r>
    </w:p>
    <w:p>
      <w:pPr>
        <w:sectPr>
          <w:pgSz w:w="11900" w:h="16838" w:orient="portrait"/>
          <w:cols w:equalWidth="0" w:num="1">
            <w:col w:w="10760"/>
          </w:cols>
          <w:pgMar w:left="600" w:top="949" w:right="539" w:bottom="1440" w:gutter="0" w:footer="0" w:header="0"/>
        </w:sectPr>
      </w:pPr>
    </w:p>
    <w:bookmarkStart w:id="246" w:name="page247"/>
    <w:bookmarkEnd w:id="246"/>
    <w:p>
      <w:pPr>
        <w:ind w:left="20" w:right="20"/>
        <w:spacing w:after="0" w:line="254" w:lineRule="auto"/>
        <w:rPr>
          <w:sz w:val="20"/>
          <w:szCs w:val="20"/>
          <w:color w:val="auto"/>
        </w:rPr>
      </w:pPr>
      <w:r>
        <w:rPr>
          <w:rFonts w:ascii="Times New Roman" w:cs="Times New Roman" w:eastAsia="Times New Roman" w:hAnsi="Times New Roman"/>
          <w:sz w:val="22"/>
          <w:szCs w:val="22"/>
          <w:color w:val="auto"/>
        </w:rPr>
        <w:t>Authorized Representative (in its capacity as such for such Additional First Lien Secured Parties) and (b) with respect to any First Lien Obligations, each of (i) the Credit Agreement Obligations,</w:t>
      </w:r>
    </w:p>
    <w:p>
      <w:pPr>
        <w:spacing w:after="0" w:line="2" w:lineRule="exact"/>
        <w:rPr>
          <w:sz w:val="20"/>
          <w:szCs w:val="20"/>
          <w:color w:val="auto"/>
        </w:rPr>
      </w:pPr>
    </w:p>
    <w:p>
      <w:pPr>
        <w:jc w:val="both"/>
        <w:ind w:left="20" w:right="20" w:hanging="4"/>
        <w:spacing w:after="0" w:line="239" w:lineRule="auto"/>
        <w:tabs>
          <w:tab w:leader="none" w:pos="363"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Additional First Lien Obligations, and (iii) the Additional First Lien Obligations incurred pursuant to any Additional First Lien Document, which pursuant to any Joinder Agreement, are to be represented hereunder by a common Authorized Representative (in its capacity as such for such Additional First Lien Obligations).</w:t>
      </w:r>
    </w:p>
    <w:p>
      <w:pPr>
        <w:spacing w:after="0" w:line="192" w:lineRule="exact"/>
        <w:rPr>
          <w:sz w:val="20"/>
          <w:szCs w:val="20"/>
          <w:color w:val="auto"/>
        </w:rPr>
      </w:pPr>
    </w:p>
    <w:p>
      <w:pPr>
        <w:jc w:val="both"/>
        <w:ind w:left="20"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Collateral</w:t>
      </w:r>
      <w:r>
        <w:rPr>
          <w:rFonts w:ascii="Times New Roman" w:cs="Times New Roman" w:eastAsia="Times New Roman" w:hAnsi="Times New Roman"/>
          <w:sz w:val="22"/>
          <w:szCs w:val="22"/>
          <w:color w:val="auto"/>
        </w:rPr>
        <w:t>” means, at any time, Collateral in which the holders of two or more Series of First Lien Obligations (or their respective Collateral Agents) hold a valid and perfected security interest at such time. If more than two Series of First Lien Obligations are outstanding at any time and the holders of less than all Series of First Lien Obligations hold a valid and perfected security interest in any Collateral at such time, then such Collateral shall constitute Shared Collateral for those Series of First Lien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Undersecured Obligations</w:t>
      </w:r>
      <w:r>
        <w:rPr>
          <w:rFonts w:ascii="Times New Roman" w:cs="Times New Roman" w:eastAsia="Times New Roman" w:hAnsi="Times New Roman"/>
          <w:sz w:val="22"/>
          <w:szCs w:val="22"/>
          <w:color w:val="auto"/>
        </w:rPr>
        <w:t>” has the meaning assigned to such term in Section 2.11.</w:t>
      </w:r>
    </w:p>
    <w:p>
      <w:pPr>
        <w:spacing w:after="0" w:line="216" w:lineRule="exact"/>
        <w:rPr>
          <w:sz w:val="20"/>
          <w:szCs w:val="20"/>
          <w:color w:val="auto"/>
        </w:rPr>
      </w:pPr>
    </w:p>
    <w:p>
      <w:pPr>
        <w:jc w:val="both"/>
        <w:ind w:firstLine="649"/>
        <w:spacing w:after="0" w:line="248"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Terms Generally</w:t>
      </w:r>
      <w:r>
        <w:rPr>
          <w:rFonts w:ascii="Times New Roman" w:cs="Times New Roman" w:eastAsia="Times New Roman" w:hAnsi="Times New Roman"/>
          <w:sz w:val="22"/>
          <w:szCs w:val="22"/>
          <w:color w:val="auto"/>
        </w:rPr>
        <w:t xml:space="preserve">. The definitions of terms herein shall apply equally to the singular and plural forms of the terms defined. Whenever the context may require, any pronoun shall include the corresponding masculine, feminine and neuter forms. The words “ </w:t>
      </w:r>
      <w:r>
        <w:rPr>
          <w:rFonts w:ascii="Times New Roman" w:cs="Times New Roman" w:eastAsia="Times New Roman" w:hAnsi="Times New Roman"/>
          <w:sz w:val="22"/>
          <w:szCs w:val="22"/>
          <w:u w:val="single" w:color="auto"/>
          <w:color w:val="auto"/>
        </w:rPr>
        <w:t>include,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includes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shall be deemed to be followed by the phrase “</w:t>
      </w:r>
      <w:r>
        <w:rPr>
          <w:rFonts w:ascii="Times New Roman" w:cs="Times New Roman" w:eastAsia="Times New Roman" w:hAnsi="Times New Roman"/>
          <w:sz w:val="22"/>
          <w:szCs w:val="22"/>
          <w:u w:val="single" w:color="auto"/>
          <w:color w:val="auto"/>
        </w:rPr>
        <w:t>without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The word “</w:t>
      </w:r>
      <w:r>
        <w:rPr>
          <w:rFonts w:ascii="Times New Roman" w:cs="Times New Roman" w:eastAsia="Times New Roman" w:hAnsi="Times New Roman"/>
          <w:sz w:val="22"/>
          <w:szCs w:val="22"/>
          <w:u w:val="single" w:color="auto"/>
          <w:color w:val="auto"/>
        </w:rPr>
        <w:t>will</w:t>
      </w:r>
      <w:r>
        <w:rPr>
          <w:rFonts w:ascii="Times New Roman" w:cs="Times New Roman" w:eastAsia="Times New Roman" w:hAnsi="Times New Roman"/>
          <w:sz w:val="22"/>
          <w:szCs w:val="22"/>
          <w:color w:val="auto"/>
        </w:rPr>
        <w:t xml:space="preserve">” shall be construed to have the same meaning and effect as the word “ </w:t>
      </w:r>
      <w:r>
        <w:rPr>
          <w:rFonts w:ascii="Times New Roman" w:cs="Times New Roman" w:eastAsia="Times New Roman" w:hAnsi="Times New Roman"/>
          <w:sz w:val="22"/>
          <w:szCs w:val="22"/>
          <w:u w:val="single" w:color="auto"/>
          <w:color w:val="auto"/>
        </w:rPr>
        <w:t>shall.</w:t>
      </w:r>
      <w:r>
        <w:rPr>
          <w:rFonts w:ascii="Times New Roman" w:cs="Times New Roman" w:eastAsia="Times New Roman" w:hAnsi="Times New Roman"/>
          <w:sz w:val="22"/>
          <w:szCs w:val="22"/>
          <w:color w:val="auto"/>
        </w:rPr>
        <w:t xml:space="preserve">”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 </w:t>
      </w:r>
      <w:r>
        <w:rPr>
          <w:rFonts w:ascii="Times New Roman" w:cs="Times New Roman" w:eastAsia="Times New Roman" w:hAnsi="Times New Roman"/>
          <w:sz w:val="22"/>
          <w:szCs w:val="22"/>
          <w:u w:val="single" w:color="auto"/>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hereof</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hereunder,</w:t>
      </w:r>
      <w:r>
        <w:rPr>
          <w:rFonts w:ascii="Times New Roman" w:cs="Times New Roman" w:eastAsia="Times New Roman" w:hAnsi="Times New Roman"/>
          <w:sz w:val="22"/>
          <w:szCs w:val="22"/>
          <w:color w:val="auto"/>
        </w:rPr>
        <w:t>”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w:t>
      </w:r>
      <w:r>
        <w:rPr>
          <w:rFonts w:ascii="Times New Roman" w:cs="Times New Roman" w:eastAsia="Times New Roman" w:hAnsi="Times New Roman"/>
          <w:sz w:val="22"/>
          <w:szCs w:val="22"/>
          <w:u w:val="single" w:color="auto"/>
          <w:color w:val="auto"/>
        </w:rPr>
        <w:t>asset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xml:space="preserve">” shall be construed to have the same meaning and effect and to refer to any and all tangible and intangible assets and properties, including cash, securities, accounts and contract rights, and (vi) the term “ </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is not exclusive.</w:t>
      </w:r>
    </w:p>
    <w:p>
      <w:pPr>
        <w:spacing w:after="0" w:line="188" w:lineRule="exact"/>
        <w:rPr>
          <w:sz w:val="20"/>
          <w:szCs w:val="20"/>
          <w:color w:val="auto"/>
        </w:rPr>
      </w:pPr>
    </w:p>
    <w:p>
      <w:pPr>
        <w:jc w:val="both"/>
        <w:ind w:firstLine="649"/>
        <w:spacing w:after="0" w:line="261"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i w:val="1"/>
          <w:iCs w:val="1"/>
          <w:color w:val="auto"/>
        </w:rPr>
        <w:t>Impairments</w:t>
      </w:r>
      <w:r>
        <w:rPr>
          <w:rFonts w:ascii="Times New Roman" w:cs="Times New Roman" w:eastAsia="Times New Roman" w:hAnsi="Times New Roman"/>
          <w:sz w:val="21"/>
          <w:szCs w:val="21"/>
          <w:color w:val="auto"/>
        </w:rPr>
        <w:t>. It is the intention of the First Lien Secured Parties of each Series that the holders of First Lien Obligations of such Series (and not the First Lien Secured Parties of any other Series) bear the risk of (i) any determination by a court of competent jurisdiction that (x) any of the First Lien Obligations of such Series are unenforceable under applicable law or are subordinated to any other obligations (other than another Series of First Lien Obligations), (y) any of the First Lien Obligations of such Series do not have an enforceable security interest in any of the Collateral securing any other Series of First Lien Obligations and/or (z) any intervening security interest exists securing any other obligations (other than another Series of First Lien Obligations) on a basis ranking prior to the security interest of such Series of First Lien Obligations but junior to the security interest of any other Series of First Lien Obligations or (ii) the existence of any Collateral for any other Series of First Lien Obligations that is not Shared Collateral for such Series (any such condition referred to in the foregoing clauses (i) or (ii) with respect to any Series of First Lien Obligations, an “</w:t>
      </w:r>
      <w:r>
        <w:rPr>
          <w:rFonts w:ascii="Times New Roman" w:cs="Times New Roman" w:eastAsia="Times New Roman" w:hAnsi="Times New Roman"/>
          <w:sz w:val="21"/>
          <w:szCs w:val="21"/>
          <w:u w:val="single" w:color="auto"/>
          <w:color w:val="auto"/>
        </w:rPr>
        <w:t>Impairment</w:t>
      </w:r>
      <w:r>
        <w:rPr>
          <w:rFonts w:ascii="Times New Roman" w:cs="Times New Roman" w:eastAsia="Times New Roman" w:hAnsi="Times New Roman"/>
          <w:sz w:val="21"/>
          <w:szCs w:val="21"/>
          <w:color w:val="auto"/>
        </w:rPr>
        <w:t>” of such</w:t>
      </w:r>
    </w:p>
    <w:p>
      <w:pPr>
        <w:sectPr>
          <w:pgSz w:w="11900" w:h="16838" w:orient="portrait"/>
          <w:cols w:equalWidth="0" w:num="1">
            <w:col w:w="10780"/>
          </w:cols>
          <w:pgMar w:left="580" w:top="936" w:right="539" w:bottom="1440" w:gutter="0" w:footer="0" w:header="0"/>
        </w:sectPr>
      </w:pPr>
    </w:p>
    <w:bookmarkStart w:id="247" w:name="page248"/>
    <w:bookmarkEnd w:id="247"/>
    <w:p>
      <w:pPr>
        <w:jc w:val="both"/>
        <w:spacing w:after="0" w:line="268" w:lineRule="auto"/>
        <w:rPr>
          <w:sz w:val="20"/>
          <w:szCs w:val="20"/>
          <w:color w:val="auto"/>
        </w:rPr>
      </w:pPr>
      <w:r>
        <w:rPr>
          <w:rFonts w:ascii="Times New Roman" w:cs="Times New Roman" w:eastAsia="Times New Roman" w:hAnsi="Times New Roman"/>
          <w:sz w:val="21"/>
          <w:szCs w:val="21"/>
          <w:color w:val="auto"/>
        </w:rPr>
        <w:t>Series). In the event of any Impairment with respect to any Series of First Lien Obligations, the results of such Impairment shall be borne solely by the holders of such Series of First Lien Obligations, and the rights of the holders of such Series of First Lien Obligations (including, without limitation, the right to receive distributions in respect of such Series of First Lien Obligations pursuant to Section 2.01) set forth herein shall be modified to the extent necessary so that the effects of such Impairment are borne solely by the holders of the Series of such First Lien Obligations subject to such Impairment.</w:t>
      </w:r>
    </w:p>
    <w:p>
      <w:pPr>
        <w:spacing w:after="0" w:line="150" w:lineRule="exact"/>
        <w:rPr>
          <w:sz w:val="20"/>
          <w:szCs w:val="20"/>
          <w:color w:val="auto"/>
        </w:rPr>
      </w:pPr>
    </w:p>
    <w:p>
      <w:pPr>
        <w:jc w:val="both"/>
        <w:ind w:left="20" w:firstLine="649"/>
        <w:spacing w:after="0" w:line="252" w:lineRule="auto"/>
        <w:rPr>
          <w:sz w:val="20"/>
          <w:szCs w:val="20"/>
          <w:color w:val="auto"/>
        </w:rPr>
      </w:pPr>
      <w:r>
        <w:rPr>
          <w:rFonts w:ascii="Times New Roman" w:cs="Times New Roman" w:eastAsia="Times New Roman" w:hAnsi="Times New Roman"/>
          <w:sz w:val="22"/>
          <w:szCs w:val="22"/>
          <w:color w:val="auto"/>
        </w:rPr>
        <w:t>Additionally, in the event the First Lien Obligations of any Series are modified pursuant to applicable law (including, without limitation, pursuant to Section 1129 of the Bankruptcy Code), any reference to such First Lien Obligations or the First Lien Security Documents governing such First Lien Obligations shall refer to such obligations or such documents as so modified.</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ind w:left="660" w:right="1680" w:firstLine="954"/>
        <w:spacing w:after="0" w:line="416" w:lineRule="auto"/>
        <w:rPr>
          <w:sz w:val="20"/>
          <w:szCs w:val="20"/>
          <w:color w:val="auto"/>
        </w:rPr>
      </w:pPr>
      <w:r>
        <w:rPr>
          <w:rFonts w:ascii="Times New Roman" w:cs="Times New Roman" w:eastAsia="Times New Roman" w:hAnsi="Times New Roman"/>
          <w:sz w:val="22"/>
          <w:szCs w:val="22"/>
          <w:color w:val="auto"/>
        </w:rPr>
        <w:t xml:space="preserve">PRIORITIES AND AGREEMENTS WITH RESPECT TO SHARED COLLATERAL Section 2.01. </w:t>
      </w:r>
      <w:r>
        <w:rPr>
          <w:rFonts w:ascii="Times New Roman" w:cs="Times New Roman" w:eastAsia="Times New Roman" w:hAnsi="Times New Roman"/>
          <w:sz w:val="22"/>
          <w:szCs w:val="22"/>
          <w:i w:val="1"/>
          <w:iCs w:val="1"/>
          <w:color w:val="auto"/>
        </w:rPr>
        <w:t>Priority of Claims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20" w:firstLine="645"/>
        <w:spacing w:after="0" w:line="246" w:lineRule="auto"/>
        <w:tabs>
          <w:tab w:leader="none" w:pos="1043"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herein or in any of the First Lien Debt Documents to the contrary notwithstanding (but subject to Section 1.03 and the following sentence), if an Event of Default has occurred and is continuing, and the Applicable Collateral Agent or any First Lien Secured Party is taking action to enforce rights or remedies in respect of any Shared Collateral, or any distribution is made in respect of any Shared Collateral in any Insolvency or Liquidation Proceeding of the Company or any other Grantor (including any adequate protection payments) or any First Lien Secured Party receives any payment or distribution pursuant to any intercreditor agreement (other than this Agreement) with respect to any Shared Collateral, the proceeds of any sale, collection or other liquidation of any such Shared Collateral by any First Lien Secured Party on account of such enforcement rights or remedies or received by the Applicable Collateral Agent or any First Lien Secured Party pursuant to any such intercreditor agreement with respect to such Shared Collateral and any such distribution (subject, in the case of any such distribution, proceeds, or payments to the sentence immediately following) to which the First Lien Obligations are entitled under any intercreditor agreement (other than this Agreement) (all such payments, distributions, proceeds of any sale, collection or other liquidation of any Shared Collateral and all proceeds or payments of any such distribution being collectively referred to as “</w:t>
      </w:r>
      <w:r>
        <w:rPr>
          <w:rFonts w:ascii="Times New Roman" w:cs="Times New Roman" w:eastAsia="Times New Roman" w:hAnsi="Times New Roman"/>
          <w:sz w:val="22"/>
          <w:szCs w:val="22"/>
          <w:u w:val="single" w:color="auto"/>
          <w:color w:val="auto"/>
        </w:rPr>
        <w:t>Proceeds</w:t>
      </w:r>
      <w:r>
        <w:rPr>
          <w:rFonts w:ascii="Times New Roman" w:cs="Times New Roman" w:eastAsia="Times New Roman" w:hAnsi="Times New Roman"/>
          <w:sz w:val="22"/>
          <w:szCs w:val="22"/>
          <w:color w:val="auto"/>
        </w:rPr>
        <w:t xml:space="preserve">”) shall be applied (i) FIRST, to the payment of all amounts owing to each Collateral Agent (in its capacity as such) and each Authorized Representative (in its capacity as such) on a ratable basis pursuant to the terms of the applicable First Lien Debt Documents, (ii) SECOND, subject to Section 1.03, to the payment in full of the First Lien Obligations of each Series secured by a valid and perfected lien on such Shared Collateral on a ratable basis, with such Proceeds from Shared Collateral to be applied to the First Lien Obligations of a given Series in accordance with the terms of the applicable First Lien Debt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following the commencement of any Insolvency or Liquidation Proceeding with respect to the Company or any other Grantor, solely as among the First Lien Secured Parties and solely for purposes of this clause SECOND and not any First Lien Debt Documents, in the event the value of the Shared Collateral is not sufficient for the entire amount of Post-Petition Interest on the First Lien Obligations to be allowed under Section 506(a) and (b) of the Bankruptcy Code or any other applicable provision of the Bankruptcy Code or other Bankruptcy Law in such Insolvency or Liquidation Proceeding, the amount of First Lien Obligations of each Series shall include only</w:t>
      </w:r>
    </w:p>
    <w:p>
      <w:pPr>
        <w:sectPr>
          <w:pgSz w:w="11900" w:h="16838" w:orient="portrait"/>
          <w:cols w:equalWidth="0" w:num="1">
            <w:col w:w="10780"/>
          </w:cols>
          <w:pgMar w:left="580" w:top="936" w:right="539" w:bottom="1440" w:gutter="0" w:footer="0" w:header="0"/>
        </w:sectPr>
      </w:pPr>
    </w:p>
    <w:bookmarkStart w:id="248" w:name="page249"/>
    <w:bookmarkEnd w:id="248"/>
    <w:p>
      <w:pPr>
        <w:jc w:val="both"/>
        <w:spacing w:after="0" w:line="248" w:lineRule="auto"/>
        <w:rPr>
          <w:sz w:val="20"/>
          <w:szCs w:val="20"/>
          <w:color w:val="auto"/>
        </w:rPr>
      </w:pPr>
      <w:r>
        <w:rPr>
          <w:rFonts w:ascii="Times New Roman" w:cs="Times New Roman" w:eastAsia="Times New Roman" w:hAnsi="Times New Roman"/>
          <w:sz w:val="22"/>
          <w:szCs w:val="22"/>
          <w:color w:val="auto"/>
        </w:rPr>
        <w:t>the maximum amount of Post-Petition Interest on the First Lien Obligations allowable under Section 506(a) and (b) of the Bankruptcy Code or any other applicable provision of the Bankruptcy Code or other Bankruptcy Law in such Insolvency or Liquidation Proceeding; and (iii) THIRD, after the Discharge of all First Lien Obligations, to the Company and the other Grantors or their successors or assigns, as their interests may appear, or to whosoever may be lawfully entitled to receive the same, or as a court of competent jurisdiction may direct. If, despite the provisions of the Section 2.01(a), any First Lien Secured Party shall receive any payment or other recovery in excess of its portion of payments on account of the First Lien Obligations to which it is then entitled in accordance with this Section 2.01(a), such First Lien Secured Party shall hold such payment or recovery in trust for the benefit of all First Lien Secured Parties for distribution in accordance with this Section 2.01(a). Notwithstanding the foregoing, with respect to any Shared Collateral upon which a third party (other than a First Lien Secured Party) has a lien or security interest that is junior in priority to the security interest of any Series of First Lien Obligations but senior (as determined by appropriate legal proceedings in the case of any dispute) to the security interest of any other Series of First Lien Obligations (such third party, an “</w:t>
      </w:r>
      <w:r>
        <w:rPr>
          <w:rFonts w:ascii="Times New Roman" w:cs="Times New Roman" w:eastAsia="Times New Roman" w:hAnsi="Times New Roman"/>
          <w:sz w:val="22"/>
          <w:szCs w:val="22"/>
          <w:u w:val="single" w:color="auto"/>
          <w:color w:val="auto"/>
        </w:rPr>
        <w:t>Intervening Creditor</w:t>
      </w:r>
      <w:r>
        <w:rPr>
          <w:rFonts w:ascii="Times New Roman" w:cs="Times New Roman" w:eastAsia="Times New Roman" w:hAnsi="Times New Roman"/>
          <w:sz w:val="22"/>
          <w:szCs w:val="22"/>
          <w:color w:val="auto"/>
        </w:rPr>
        <w:t>”), the value of any Shared Collateral or Proceeds which are allocated to such Intervening Creditor shall be deducted on a ratable basis solely from the Shared Collateral or Proceeds to be distributed in respect of the Series of First Lien Obligations with respect to which such Impairment exists.</w:t>
      </w:r>
    </w:p>
    <w:p>
      <w:pPr>
        <w:spacing w:after="0" w:line="196" w:lineRule="exact"/>
        <w:rPr>
          <w:sz w:val="20"/>
          <w:szCs w:val="20"/>
          <w:color w:val="auto"/>
        </w:rPr>
      </w:pPr>
    </w:p>
    <w:p>
      <w:pPr>
        <w:jc w:val="both"/>
        <w:ind w:left="-20" w:firstLine="650"/>
        <w:spacing w:after="0" w:line="253" w:lineRule="auto"/>
        <w:tabs>
          <w:tab w:leader="none" w:pos="1016"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acknowledged that the First Lien Obligations of any Series may, subject to the limitations set forth in the then extant First Lien Debt Documents, be increased, extended, renewed, replaced, restated, supplemented, restructured, repaid, refunded, Refinanced or otherwise amended or modified from time to time, all without affecting the priorities set forth in Section 2.01(a) or the provisions of this Agreement defining the relative rights of the First Lien Secured Parties of any Series.</w:t>
      </w:r>
    </w:p>
    <w:p>
      <w:pPr>
        <w:spacing w:after="0" w:line="97" w:lineRule="exact"/>
        <w:rPr>
          <w:rFonts w:ascii="Times New Roman" w:cs="Times New Roman" w:eastAsia="Times New Roman" w:hAnsi="Times New Roman"/>
          <w:sz w:val="22"/>
          <w:szCs w:val="22"/>
          <w:color w:val="auto"/>
        </w:rPr>
      </w:pPr>
    </w:p>
    <w:p>
      <w:pPr>
        <w:jc w:val="both"/>
        <w:ind w:firstLine="645"/>
        <w:spacing w:after="0" w:line="245" w:lineRule="auto"/>
        <w:tabs>
          <w:tab w:leader="none" w:pos="1023"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date, time, method, manner or order of grant, attachment or perfection of any Liens securing any Series of First Lien Obligations granted on the Shared Collateral and notwithstanding any provision of the Uniform Commercial Code of any jurisdiction, or any other applicable law or the First Lien Debt Documents or any defect or deficiencies in the Liens securing the First Lien Obligations of any Series or any other circumstance whatsoever (but, in each case, subject to Section 1.03), each First Lien Secured Party hereby agrees that the Liens securing each Series of First Lien Obligations on any Shared Collateral shall be of equal priority and the benefits and proceeds of the Shared Collateral shall be shared among the First Lien Secured Parties as provided herein.</w:t>
      </w:r>
    </w:p>
    <w:p>
      <w:pPr>
        <w:spacing w:after="0" w:line="176" w:lineRule="exact"/>
        <w:rPr>
          <w:rFonts w:ascii="Times New Roman" w:cs="Times New Roman" w:eastAsia="Times New Roman" w:hAnsi="Times New Roman"/>
          <w:sz w:val="22"/>
          <w:szCs w:val="22"/>
          <w:color w:val="auto"/>
        </w:rPr>
      </w:pPr>
    </w:p>
    <w:p>
      <w:pPr>
        <w:jc w:val="both"/>
        <w:ind w:firstLine="645"/>
        <w:spacing w:after="0" w:line="246" w:lineRule="auto"/>
        <w:tabs>
          <w:tab w:leader="none" w:pos="1022"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any other First Lien Security Documents to the contrary, Collateral consisting of cash and cash equivalents pledged to secure Credit Agreement Obligations consisting of reimbursement obligations in respect of letters of credit or otherwise held by the First Lien Administrative Agent or the Credit Agreement Collateral Agent pursuant to Section 2.05(j), 2.11(b), 2.18(e) or 2.22 of the Credit Agreement (or any equivalent successor provision) shall be applied as specified in the Credit Agreement and will not constitute Shared Collateral.</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i w:val="1"/>
          <w:iCs w:val="1"/>
          <w:color w:val="auto"/>
        </w:rPr>
        <w:t>Actions with Respect to Shared Collateral; Prohibition on Contesting Liens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5"/>
        <w:spacing w:after="0" w:line="252" w:lineRule="auto"/>
        <w:tabs>
          <w:tab w:leader="none" w:pos="1023"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the Applicable Collateral Agent shall act or refrain from acting with respect to any Shared Collateral (including with respect to any intercreditor agreement with respect to any Shared Collateral). At any time when the Credit Agreement Collateral Agent is the Applicable Collateral Agent, no Additional First Lien Secured Party shall, or shall instruct any Collateral</w:t>
      </w:r>
    </w:p>
    <w:p>
      <w:pPr>
        <w:sectPr>
          <w:pgSz w:w="11900" w:h="16838" w:orient="portrait"/>
          <w:cols w:equalWidth="0" w:num="1">
            <w:col w:w="10760"/>
          </w:cols>
          <w:pgMar w:left="600" w:top="868" w:right="539" w:bottom="1440" w:gutter="0" w:footer="0" w:header="0"/>
        </w:sectPr>
      </w:pPr>
    </w:p>
    <w:bookmarkStart w:id="249" w:name="page250"/>
    <w:bookmarkEnd w:id="249"/>
    <w:p>
      <w:pPr>
        <w:jc w:val="both"/>
        <w:spacing w:after="0" w:line="248" w:lineRule="auto"/>
        <w:rPr>
          <w:sz w:val="20"/>
          <w:szCs w:val="20"/>
          <w:color w:val="auto"/>
        </w:rPr>
      </w:pPr>
      <w:r>
        <w:rPr>
          <w:rFonts w:ascii="Times New Roman" w:cs="Times New Roman" w:eastAsia="Times New Roman" w:hAnsi="Times New Roman"/>
          <w:sz w:val="22"/>
          <w:szCs w:val="22"/>
          <w:color w:val="auto"/>
        </w:rPr>
        <w:t>Agent to, and neither the Initial Additional First Lien Collateral Agent nor any other Collateral Agent that is not the Applicable Collateral Agent shall,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Additional First Lien Security Document, applicable law or otherwise, it being agreed that only the Credit Agreement Collateral Agent, acting in accordance with the Credit Agreement Collateral Documents (or any Person authorized by it), shall be entitled to take any such actions or exercise any such remedies with respect to Shared Collateral at such time.</w:t>
      </w:r>
    </w:p>
    <w:p>
      <w:pPr>
        <w:spacing w:after="0" w:line="118" w:lineRule="exact"/>
        <w:rPr>
          <w:sz w:val="20"/>
          <w:szCs w:val="20"/>
          <w:color w:val="auto"/>
        </w:rPr>
      </w:pPr>
    </w:p>
    <w:p>
      <w:pPr>
        <w:jc w:val="both"/>
        <w:ind w:right="40" w:firstLine="645"/>
        <w:spacing w:after="0" w:line="254" w:lineRule="auto"/>
        <w:tabs>
          <w:tab w:leader="none" w:pos="1022" w:val="left"/>
        </w:tabs>
        <w:numPr>
          <w:ilvl w:val="1"/>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Shared Collateral at any time when the Additional First Lien Collateral Agent is the Applicable Collateral Agent, (i) the Applicable Collateral Agent shall act only on the instructions of the Applicable Authorized Representative or Controlling Secured Parties, as applicable, (ii) the Applicable Collateral Agent shall not follow any instructions with respect to such Shared Collateral (including with respect to any intercreditor agreement with respect to any Shared Collateral) from any Non-Controlling Authorized Representative (or any other First Lien Secured Party other than the Applicable Authorized Representative) and (iii) no Non-Controlling Authorized Representative or other First Lien Secured Party (other than the Applicable Authorized Representative) shall, or shall instruct the Applicable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First Lien Security Document, applicable law or otherwise, it being agreed that only the Applicable Collateral Agent, acting on the instructions of the Applicable Authorized Representative or Controlling Secured Parties, as applicable and in accordance with the Additional First Lien Security Documents, shall be entitled to take any such actions or exercise any such remedies with respect to Shared Collateral.</w:t>
      </w:r>
    </w:p>
    <w:p>
      <w:pPr>
        <w:spacing w:after="0" w:line="175" w:lineRule="exact"/>
        <w:rPr>
          <w:rFonts w:ascii="Times New Roman" w:cs="Times New Roman" w:eastAsia="Times New Roman" w:hAnsi="Times New Roman"/>
          <w:sz w:val="21"/>
          <w:szCs w:val="21"/>
          <w:color w:val="auto"/>
        </w:rPr>
      </w:pPr>
    </w:p>
    <w:p>
      <w:pPr>
        <w:jc w:val="both"/>
        <w:ind w:left="-20" w:firstLine="650"/>
        <w:spacing w:after="0" w:line="248" w:lineRule="auto"/>
        <w:tabs>
          <w:tab w:leader="none" w:pos="1017"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equal priority of the Liens securing each Series of First Lien Obligations with respect to the Shared Collateral, but subject to Section 2.01, the Applicable Collateral Agent (in the case of the Additional First Lien Collateral Agent, acting on the instructions of the Applicable Authorized Representative or Controlling Secured Parties, as applicable) may deal with the Shared Collateral as if such Applicable Collateral Agent had a senior Lien on such Collateral. No Non-Controlling Authorized Representative or Non-Controlling Secured Party will contest, protest or object to any foreclosure proceeding or action brought by the Applicable Collateral Agent, the Applicable Authorized Representative or the Controlling Secured Party or any other exercise by the Applicable Collateral Agent, the Applicable Authorized Representative or the Controlling Secured Party of any rights and remedies relating to the Shared Collateral, or to cause the Applicable Collateral Agent to do so. The foregoing shall not be construed to limit the rights and priorities of any First Lien Secured Party, the Applicable Collateral Agent or any Authorized Representative with respect to any Collateral not constituting Shared Collateral.</w:t>
      </w:r>
    </w:p>
    <w:p>
      <w:pPr>
        <w:spacing w:after="0" w:line="175" w:lineRule="exact"/>
        <w:rPr>
          <w:rFonts w:ascii="Times New Roman" w:cs="Times New Roman" w:eastAsia="Times New Roman" w:hAnsi="Times New Roman"/>
          <w:sz w:val="22"/>
          <w:szCs w:val="22"/>
          <w:color w:val="auto"/>
        </w:rPr>
      </w:pPr>
    </w:p>
    <w:p>
      <w:pPr>
        <w:jc w:val="both"/>
        <w:ind w:left="-20" w:firstLine="650"/>
        <w:spacing w:after="0" w:line="250" w:lineRule="auto"/>
        <w:tabs>
          <w:tab w:leader="none" w:pos="1016"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First Lien Secured Parties agrees that it will not(and hereby waives any right to) question or contest or support any other Person in contesting, in any proceeding(including any Insolvency or Liquidation Proceeding), the creation, perfection,</w:t>
      </w:r>
    </w:p>
    <w:p>
      <w:pPr>
        <w:sectPr>
          <w:pgSz w:w="11900" w:h="16838" w:orient="portrait"/>
          <w:cols w:equalWidth="0" w:num="1">
            <w:col w:w="10760"/>
          </w:cols>
          <w:pgMar w:left="600" w:top="936" w:right="539" w:bottom="1440" w:gutter="0" w:footer="0" w:header="0"/>
        </w:sectPr>
      </w:pPr>
    </w:p>
    <w:bookmarkStart w:id="250" w:name="page251"/>
    <w:bookmarkEnd w:id="250"/>
    <w:p>
      <w:pPr>
        <w:jc w:val="both"/>
        <w:spacing w:after="0" w:line="268" w:lineRule="auto"/>
        <w:rPr>
          <w:sz w:val="20"/>
          <w:szCs w:val="20"/>
          <w:color w:val="auto"/>
        </w:rPr>
      </w:pPr>
      <w:r>
        <w:rPr>
          <w:rFonts w:ascii="Times New Roman" w:cs="Times New Roman" w:eastAsia="Times New Roman" w:hAnsi="Times New Roman"/>
          <w:sz w:val="21"/>
          <w:szCs w:val="21"/>
          <w:color w:val="auto"/>
        </w:rPr>
        <w:t>priority, validity, attachment or enforceability of a Lien held by or on behalf of any of the First Lien Secured Parties on all or any part of the Collateral, or the provisions of this Agreement; provided that nothing in this Agreement shall be construed to prevent or impair the rights of any Collateral Agent or any Authorized Representative to enforce this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i w:val="1"/>
          <w:iCs w:val="1"/>
          <w:color w:val="auto"/>
        </w:rPr>
        <w:t>No Interference; Payment Over</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20" w:firstLine="645"/>
        <w:spacing w:after="0" w:line="246" w:lineRule="auto"/>
        <w:tabs>
          <w:tab w:leader="none" w:pos="1043"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First Lien Secured Party agrees that (i) it will not challenge or question in any proceeding (including any Insolvency or Liquidation Proceeding) the validity, allowability or enforceability of any First Lien Obligations of any Series or any First Lien Security Document or the validity, attachment, perfection or priority of any Lien under any First Lien Security 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the Shared Collateral by the Applicable Collateral Agent, (iii) except as provided in Section 2.02, it shall have no right to (A) direct the Applicable Collateral Agent or any other First Lien Secured Party to exercise, and shall not exercise, any right, remedy or power with respect to any Shared Collateral (including pursuant to any intercreditor agreement) or (B) consent to the exercise by the Applicable Collateral Agent or any other First Lien Secured Party of any right, remedy or power with respect to any Shared Collateral, (iv) it will not institute any suit or assert in any suit, Insolvency or Liquidation Proceeding or other proceeding any claim against the Applicable Collateral Agent or any other First Lien Secured Party seeking damages from or other relief by way of specific performance, instructions or otherwise with respect to any Shared Collateral, and none of the Applicable Collateral Agent, any Applicable Authorized Representative or any other First Lien Secured Party shall be liable for any action taken or omitted to be taken by the Applicable Collateral Agent, such Applicable Authorized Representative or other First Lien Secured Party with respect to any Shared Collateral in accordance with the provisions of this Agreement, (v) it will not seek, and hereby waives any right, to have any Shared Collateral or any part thereof marshalled upon any foreclosure or other disposition of such Collateral and (vi) it will not attempt, directly or indirectly, whether by judicial proceedings or otherwise, to challenge the enforceability of any provision of this Agreement; provided that nothing in this Agreement shall be construed to prevent or impair the rights of the Applicable Collateral Agent or any other First Lien Secured Party to enforce this Agreement.</w:t>
      </w:r>
    </w:p>
    <w:p>
      <w:pPr>
        <w:spacing w:after="0" w:line="197" w:lineRule="exact"/>
        <w:rPr>
          <w:rFonts w:ascii="Times New Roman" w:cs="Times New Roman" w:eastAsia="Times New Roman" w:hAnsi="Times New Roman"/>
          <w:sz w:val="22"/>
          <w:szCs w:val="22"/>
          <w:color w:val="auto"/>
        </w:rPr>
      </w:pPr>
    </w:p>
    <w:p>
      <w:pPr>
        <w:jc w:val="both"/>
        <w:ind w:left="20" w:firstLine="645"/>
        <w:spacing w:after="0" w:line="250" w:lineRule="auto"/>
        <w:tabs>
          <w:tab w:leader="none" w:pos="104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First Lien Secured Party hereby agrees that if it shall obtain possession of any Shared Collateral or shall realize any proceeds or payment in respect of any such Shared Collateral, pursuant to any First Lien Security Document or by the exercise of any rights available to it under applicable law or in any Insolvency or Liquidation Proceeding or through any other exercise of remedies (including pursuant to any intercreditor agreement), at any time prior to the Discharge of each of the First Lien Obligations, then it shall hold such Shared Collateral, proceeds or payment in trust for the other First Lien Secured Parties and promptly transfer such Shared Collateral, proceeds or payment, as the case may be, to the Applicable Collateral Agent, to be distributed in accordance with the provisions of Section 2.01.</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i w:val="1"/>
          <w:iCs w:val="1"/>
          <w:color w:val="auto"/>
        </w:rPr>
        <w:t>Automatic Release of Liens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50"/>
        <w:spacing w:after="0" w:line="263" w:lineRule="auto"/>
        <w:tabs>
          <w:tab w:leader="none" w:pos="1037"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Applicable Collateral Agent forecloses upon or otherwise exercises remedies against any Shared Collateral resulting in a sale or disposition thereof, then (whether or not any Insolvency or Liquidation Proceeding is pending at the time) the Liens in favor of the</w:t>
      </w:r>
    </w:p>
    <w:p>
      <w:pPr>
        <w:sectPr>
          <w:pgSz w:w="11900" w:h="16838" w:orient="portrait"/>
          <w:cols w:equalWidth="0" w:num="1">
            <w:col w:w="10780"/>
          </w:cols>
          <w:pgMar w:left="580" w:top="922" w:right="539" w:bottom="1440" w:gutter="0" w:footer="0" w:header="0"/>
        </w:sectPr>
      </w:pPr>
    </w:p>
    <w:bookmarkStart w:id="251" w:name="page252"/>
    <w:bookmarkEnd w:id="251"/>
    <w:p>
      <w:pPr>
        <w:jc w:val="both"/>
        <w:spacing w:after="0" w:line="252" w:lineRule="auto"/>
        <w:rPr>
          <w:sz w:val="20"/>
          <w:szCs w:val="20"/>
          <w:color w:val="auto"/>
        </w:rPr>
      </w:pPr>
      <w:r>
        <w:rPr>
          <w:rFonts w:ascii="Times New Roman" w:cs="Times New Roman" w:eastAsia="Times New Roman" w:hAnsi="Times New Roman"/>
          <w:sz w:val="22"/>
          <w:szCs w:val="22"/>
          <w:color w:val="auto"/>
        </w:rPr>
        <w:t>other Collateral Agents for the benefit of each Series of First Lien Secured Parties upon such Shared Collateral will automatically be released and discharged as and when, but only to the extent, such Liens of the Applicable Collateral Agent on such Shared Collateral are released and discharged; provided that any proceeds of any Shared Collateral realized therefrom shall be applied pursuant to Section 2.01.</w:t>
      </w:r>
    </w:p>
    <w:p>
      <w:pPr>
        <w:spacing w:after="0" w:line="179" w:lineRule="exact"/>
        <w:rPr>
          <w:sz w:val="20"/>
          <w:szCs w:val="20"/>
          <w:color w:val="auto"/>
        </w:rPr>
      </w:pPr>
    </w:p>
    <w:p>
      <w:pPr>
        <w:jc w:val="both"/>
        <w:ind w:firstLine="650"/>
        <w:spacing w:after="0" w:line="250" w:lineRule="auto"/>
        <w:tabs>
          <w:tab w:leader="none" w:pos="1036"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Collateral Agent or Authorized Representative, as applicable, agrees to execute and deliver (at the sole cost and expense of the Grantors) all such authorizations and other instruments as shall reasonably be requested by the Applicable Collateral Agent to evidence and confirm any release of Shared Collateral provided for in this Section.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i w:val="1"/>
          <w:iCs w:val="1"/>
          <w:color w:val="auto"/>
        </w:rPr>
        <w:t>Certain Agreements with Respect to Bankruptcy or Insolvency or Liquidation Proceedings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 w:right="20" w:firstLine="645"/>
        <w:spacing w:after="0" w:line="243" w:lineRule="auto"/>
        <w:tabs>
          <w:tab w:leader="none" w:pos="1043"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continue in full force and effect notwithstanding the commencement and continuance of any Insolvency or Liquidation Proceeding by or against the Company or any of its Subsidiaries. The relative rights as to the Shared Collateral and proceeds thereof shall continue after the commencement of any Insolvency or Liquidation Proceeding on the same basis as prior to the date of the petition therefor. All references herein to any Grantor shall include such Grantor as a debtor-in-possession and any receiver or trustee for such Grantor.</w:t>
      </w: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jc w:val="both"/>
        <w:ind w:left="20" w:firstLine="645"/>
        <w:spacing w:after="0" w:line="247" w:lineRule="auto"/>
        <w:tabs>
          <w:tab w:leader="none" w:pos="1042"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and/or any other Grantor shall become subject to a case (a “</w:t>
      </w:r>
      <w:r>
        <w:rPr>
          <w:rFonts w:ascii="Times New Roman" w:cs="Times New Roman" w:eastAsia="Times New Roman" w:hAnsi="Times New Roman"/>
          <w:sz w:val="22"/>
          <w:szCs w:val="22"/>
          <w:u w:val="single" w:color="auto"/>
          <w:color w:val="auto"/>
        </w:rPr>
        <w:t>Bankruptcy Case</w:t>
      </w:r>
      <w:r>
        <w:rPr>
          <w:rFonts w:ascii="Times New Roman" w:cs="Times New Roman" w:eastAsia="Times New Roman" w:hAnsi="Times New Roman"/>
          <w:sz w:val="22"/>
          <w:szCs w:val="22"/>
          <w:color w:val="auto"/>
        </w:rPr>
        <w:t>”) under the Bankruptcy Code or other Bankruptcy Law and shall, as debtor(s)- in-possession, move for approval of financing (“</w:t>
      </w:r>
      <w:r>
        <w:rPr>
          <w:rFonts w:ascii="Times New Roman" w:cs="Times New Roman" w:eastAsia="Times New Roman" w:hAnsi="Times New Roman"/>
          <w:sz w:val="22"/>
          <w:szCs w:val="22"/>
          <w:u w:val="single" w:color="auto"/>
          <w:color w:val="auto"/>
        </w:rPr>
        <w:t>DIP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to be provided by one or more lenders (the “</w:t>
      </w:r>
      <w:r>
        <w:rPr>
          <w:rFonts w:ascii="Times New Roman" w:cs="Times New Roman" w:eastAsia="Times New Roman" w:hAnsi="Times New Roman"/>
          <w:sz w:val="22"/>
          <w:szCs w:val="22"/>
          <w:u w:val="single" w:color="auto"/>
          <w:color w:val="auto"/>
        </w:rPr>
        <w:t>DIP Lenders</w:t>
      </w:r>
      <w:r>
        <w:rPr>
          <w:rFonts w:ascii="Times New Roman" w:cs="Times New Roman" w:eastAsia="Times New Roman" w:hAnsi="Times New Roman"/>
          <w:sz w:val="22"/>
          <w:szCs w:val="22"/>
          <w:color w:val="auto"/>
        </w:rPr>
        <w:t>”) under Section 364 of the Bankruptcy Code or any equivalent provision of any other Bankruptcy Law and/or the use of cash collateral under Section 363 of the Bankruptcy Code or any equivalent provision of any other Bankruptcy Law, each First Lien Secured Party (other than any Controlling Secured Party or Authorized Representative of any Controlling Secured Party) agrees that it will not raise, join or support any objection to any such financing or to the Liens on the Shared Collateral securing the same (“</w:t>
      </w:r>
      <w:r>
        <w:rPr>
          <w:rFonts w:ascii="Times New Roman" w:cs="Times New Roman" w:eastAsia="Times New Roman" w:hAnsi="Times New Roman"/>
          <w:sz w:val="22"/>
          <w:szCs w:val="22"/>
          <w:u w:val="single" w:color="auto"/>
          <w:color w:val="auto"/>
        </w:rPr>
        <w:t>DIP Financing Liens</w:t>
      </w:r>
      <w:r>
        <w:rPr>
          <w:rFonts w:ascii="Times New Roman" w:cs="Times New Roman" w:eastAsia="Times New Roman" w:hAnsi="Times New Roman"/>
          <w:sz w:val="22"/>
          <w:szCs w:val="22"/>
          <w:color w:val="auto"/>
        </w:rPr>
        <w:t>”) and/or to any use of cash collateral that constitutes Shared Collateral, unless an Authorized Representative of any Controlling Secured Party shall then oppose or object (or join in any objection) to such DIP Financing or such DIP Financing Liens and/or use of cash collateral (and (i) to the extent that such DIP Financing Liens are senior to the Liens on any such Shared Collateral for the benefit of the Controlling Secured Parties, each Non-Controlling Secured Party will subordinate its Liens with respect to such Shared Collateral on the same terms as the Liens of the Controlling Secured Parties (other than any Liens of any First Lien Secured Parties constituting DIP Financing Liens) are subordinated thereto, and (ii) to the extent that such DIP Financing Liens rank pari passu with the Liens on any such Shared Collateral granted to secure the First Lien Obligations of the Controlling Secured Parties, each Non-Controlling Secured Party will confirm the priorities with respect to such Shared Collateral as set forth herein), in each case so long as (A) the First Lien Secured Parties of each Series retain the benefit of their Liens on all such Shared Collateral pledged to the DIP Lenders, including proceeds thereof arising after the commencement of such proceeding, with the same priority vis-à-vis all the other First Lien Secured Parties (other than any Liens of the First Lien Secured Parties constituting DIP Financing Liens) as existed prior to the commencement of the Bankruptcy Case, (B) the First Lien Secured Parties of each Series are granted Liens on any additional or replacement collateral pledged to any First Lien Secured Parties as adequate protection or otherwise in connection with such DIP Financing and/or use of cash collateral, with the same priority vis-à-vis</w:t>
      </w:r>
    </w:p>
    <w:p>
      <w:pPr>
        <w:sectPr>
          <w:pgSz w:w="11900" w:h="16838" w:orient="portrait"/>
          <w:cols w:equalWidth="0" w:num="1">
            <w:col w:w="10780"/>
          </w:cols>
          <w:pgMar w:left="580" w:top="936" w:right="539" w:bottom="1440" w:gutter="0" w:footer="0" w:header="0"/>
        </w:sectPr>
      </w:pPr>
    </w:p>
    <w:bookmarkStart w:id="252" w:name="page253"/>
    <w:bookmarkEnd w:id="252"/>
    <w:p>
      <w:pPr>
        <w:jc w:val="both"/>
        <w:spacing w:after="0" w:line="248" w:lineRule="auto"/>
        <w:rPr>
          <w:sz w:val="20"/>
          <w:szCs w:val="20"/>
          <w:color w:val="auto"/>
        </w:rPr>
      </w:pPr>
      <w:r>
        <w:rPr>
          <w:rFonts w:ascii="Times New Roman" w:cs="Times New Roman" w:eastAsia="Times New Roman" w:hAnsi="Times New Roman"/>
          <w:sz w:val="22"/>
          <w:szCs w:val="22"/>
          <w:color w:val="auto"/>
        </w:rPr>
        <w:t>the First Lien Secured Parties (other than any Liens of the First Lien Secured Parties constituting DIP Financing Liens) as set forth in this Agreement, (C) if any amount of such DIP Financing or cash collateral is applied to repay any of the First Lien Obligations, such amount is applied pursuant to Section 2.01, and (D) if any First Lien Secured Parties are granted adequate protection with respect to the First Lien Obligations, including in the form of periodic payments, in connection with such DIP Financing and/or use of cash collateral, the proceeds of such adequate protection are applied pursuant to Section 2.01; provided that the First Lien Secured Parties of each Series shall have a right to object to the grant of a Lien to secure the DIP Financing over any Collateral subject to Liens in favor of the First Lien Secured Parties of such Series or their Authorized Representative that shall not constitute Shared Collateral; and provided, further, that the First Lien Secured Parties receiving adequate protection with respect to the First Lien Obligations shall not object to any other First Lien Secured Party receiving adequate protection with respect to the First Lien Obligations comparable to any adequate protection granted to such First Lien Secured Parties in connection with a DIP Financing and/or use of cash collateral.</w:t>
      </w:r>
    </w:p>
    <w:p>
      <w:pPr>
        <w:spacing w:after="0" w:line="202" w:lineRule="exact"/>
        <w:rPr>
          <w:sz w:val="20"/>
          <w:szCs w:val="20"/>
          <w:color w:val="auto"/>
        </w:rPr>
      </w:pPr>
    </w:p>
    <w:p>
      <w:pPr>
        <w:jc w:val="both"/>
        <w:ind w:firstLine="645"/>
        <w:spacing w:after="0" w:line="249" w:lineRule="auto"/>
        <w:tabs>
          <w:tab w:leader="none" w:pos="1023"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First Lien Secured Parties agrees that, in an Insolvency or Liquidation Proceeding or otherwise, none of them will oppose any sale or disposition of any Shared Collateral of any Grantor that is supported by the Controlling Secured Parties or the Applicable Authorized Representative (at the direction of the Controlling Secured Parties); provided that any Proceeds of any Shared Collateral realized therefrom shall be applied pursuant to Section 2.01.</w:t>
      </w:r>
    </w:p>
    <w:p>
      <w:pPr>
        <w:spacing w:after="0" w:line="2" w:lineRule="exact"/>
        <w:rPr>
          <w:rFonts w:ascii="Times New Roman" w:cs="Times New Roman" w:eastAsia="Times New Roman" w:hAnsi="Times New Roman"/>
          <w:sz w:val="22"/>
          <w:szCs w:val="22"/>
          <w:color w:val="auto"/>
        </w:rPr>
      </w:pPr>
    </w:p>
    <w:p>
      <w:pPr>
        <w:jc w:val="both"/>
        <w:ind w:firstLine="649"/>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i w:val="1"/>
          <w:iCs w:val="1"/>
          <w:color w:val="auto"/>
        </w:rPr>
        <w:t>Reinstatement</w:t>
      </w:r>
      <w:r>
        <w:rPr>
          <w:rFonts w:ascii="Times New Roman" w:cs="Times New Roman" w:eastAsia="Times New Roman" w:hAnsi="Times New Roman"/>
          <w:sz w:val="22"/>
          <w:szCs w:val="22"/>
          <w:color w:val="auto"/>
        </w:rPr>
        <w:t>. In the event that any of the First Lien Obligations shall be paid in full and such payment or any part thereof shall subsequently, for whatever reason (including an order or judgment for disgorgement or avoidance of a preference, fraudulent transfer, or other avoidance action under the Bankruptcy Code, other applicable Bankruptcy Law, or any similar law, or the settlement of any claim in respect thereof), be required to be returned or repaid, the terms and conditions of this Article II shall be fully applicable thereto until all such First Lien Obligations shall again have been paid in full in cash.</w:t>
      </w:r>
    </w:p>
    <w:p>
      <w:pPr>
        <w:spacing w:after="0" w:line="177" w:lineRule="exact"/>
        <w:rPr>
          <w:sz w:val="20"/>
          <w:szCs w:val="20"/>
          <w:color w:val="auto"/>
        </w:rPr>
      </w:pPr>
    </w:p>
    <w:p>
      <w:pPr>
        <w:jc w:val="both"/>
        <w:ind w:right="20" w:firstLine="649"/>
        <w:spacing w:after="0" w:line="258"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As between the First Lien Secured Parties, the Applicable Collateral Agent shall have the right, subject to the terms of the applicable First Lien Debt Document, to adjust or settle any insurance policy or claim covering or constituting Shared Collateral in the event of any loss thereunder and to approve any award granted in any condemnation or similar proceeding affecting the Shared Collateral.</w:t>
      </w:r>
    </w:p>
    <w:p>
      <w:pPr>
        <w:spacing w:after="0" w:line="168" w:lineRule="exact"/>
        <w:rPr>
          <w:sz w:val="20"/>
          <w:szCs w:val="20"/>
          <w:color w:val="auto"/>
        </w:rPr>
      </w:pPr>
    </w:p>
    <w:p>
      <w:pPr>
        <w:jc w:val="both"/>
        <w:ind w:firstLine="649"/>
        <w:spacing w:after="0" w:line="252"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i w:val="1"/>
          <w:iCs w:val="1"/>
          <w:color w:val="auto"/>
        </w:rPr>
        <w:t>Refinancings</w:t>
      </w:r>
      <w:r>
        <w:rPr>
          <w:rFonts w:ascii="Times New Roman" w:cs="Times New Roman" w:eastAsia="Times New Roman" w:hAnsi="Times New Roman"/>
          <w:sz w:val="22"/>
          <w:szCs w:val="22"/>
          <w:color w:val="auto"/>
        </w:rPr>
        <w:t>. The First Lien Obligations of any Series may be Refinanced, in whole or in part, in each case, without notice to, or the consent (except to the extent a consent is otherwise required to permit the Refinancing transaction under any First Lien Debt Document) of, any First Lien Secured Party of any other Series, all without affecting the priorities provided for herein or the other provisions hereof; provided that the Authorized Representative and Collateral Agent for the holders of any such Refinancing indebtedness shall have executed a Joinder Agreement on behalf of the holders of such Refinancing indebtedness.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i w:val="1"/>
          <w:iCs w:val="1"/>
          <w:color w:val="auto"/>
        </w:rPr>
        <w:t>Possessory Collateral Agent as Gratuitous Bailee for Perfection</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645"/>
        <w:spacing w:after="0" w:line="244" w:lineRule="auto"/>
        <w:tabs>
          <w:tab w:leader="none" w:pos="1023"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Possessory Collateral shall be delivered to the Applicable Collateral Agent and the Applicable Collateral Agent agrees to hold any Shared Collateral constituting Possessory Collateral that is part of the Shared Collateral in its possession or control (or in the possession or control of its agents or bailees) as gratuitous bailee or non-fiduciary agent, as applicable, for the benefit of each other First Lien Secured Party and any assignee solely for the purpose of</w:t>
      </w:r>
    </w:p>
    <w:p>
      <w:pPr>
        <w:sectPr>
          <w:pgSz w:w="11900" w:h="16838" w:orient="portrait"/>
          <w:cols w:equalWidth="0" w:num="1">
            <w:col w:w="10760"/>
          </w:cols>
          <w:pgMar w:left="600" w:top="720" w:right="539" w:bottom="1440" w:gutter="0" w:footer="0" w:header="0"/>
        </w:sectPr>
      </w:pPr>
    </w:p>
    <w:bookmarkStart w:id="253" w:name="page254"/>
    <w:bookmarkEnd w:id="253"/>
    <w:p>
      <w:pPr>
        <w:jc w:val="both"/>
        <w:spacing w:after="0" w:line="238" w:lineRule="auto"/>
        <w:rPr>
          <w:sz w:val="20"/>
          <w:szCs w:val="20"/>
          <w:color w:val="auto"/>
        </w:rPr>
      </w:pPr>
      <w:r>
        <w:rPr>
          <w:rFonts w:ascii="Times New Roman" w:cs="Times New Roman" w:eastAsia="Times New Roman" w:hAnsi="Times New Roman"/>
          <w:sz w:val="22"/>
          <w:szCs w:val="22"/>
          <w:color w:val="auto"/>
        </w:rPr>
        <w:t>perfecting the security interest granted in such Possessory Collateral, if any, pursuant to the applicable First Lien Security Documents, in each case, subject to the terms and conditions of this Section 2.09; provided that at any time a Collateral Agent ceases to be the Applicable Collateral Agent, such former Applicable Collateral Agent shall, at the request of the new Applicable Collateral Agent, at the sole expense of the Grantors, promptly deliver all such Possessory Collateral to the new Applicable Collateral Agent together with any necessary endorsements (or otherwise allow such new Applicable Collateral Agent to obtain control of such Possessory Collateral). If any Applicable Collateral Agent or Applicable Authorized Representative shall at any time obtain any landlord waiver or bailee’s letter or any similar agreement or arrangement granting it rights or access to Shared Collateral, the Applicable Collateral Agent and Applicable Authorized Representative shall also hold such Shared Collateral, or take such actions with respect to such landlord waiver, bailee’s letter or similar agreement or arrangement, as agent or gratuitous bailee for the other First Lien Secured Parties, in each case solely for the purpose of perfecting the Liens granted under the relevant First Lien Security Documents. The Company shall take such further action as is required to effectuate the transfer contemplated hereby and shall indemnify each Collateral Agent for loss or damage suffered by such Collateral Agent as a result of such transfer except for loss or damage suffered by such Collateral Agent as a result of its own willful misconduct or gross negligence as determined by a court of competent jurisdiction in a final and nonappealable judgment.</w:t>
      </w:r>
    </w:p>
    <w:p>
      <w:pPr>
        <w:spacing w:after="0" w:line="179" w:lineRule="exact"/>
        <w:rPr>
          <w:sz w:val="20"/>
          <w:szCs w:val="20"/>
          <w:color w:val="auto"/>
        </w:rPr>
      </w:pPr>
    </w:p>
    <w:p>
      <w:pPr>
        <w:jc w:val="both"/>
        <w:ind w:firstLine="645"/>
        <w:spacing w:after="0" w:line="247" w:lineRule="auto"/>
        <w:tabs>
          <w:tab w:leader="none" w:pos="1022"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Collateral Agent agrees to hold any Shared Collateral constituting Possessory Collateral, from time to time in its possession, as gratuitous bailee or non-fiduciary agent for the benefit of each other First Lien Secured Party and any assignee, solely for the purpose of perfecting the security interest granted in such Possessory Collateral, if any, pursuant to the applicable First Lien Security Documents, in each case, subject to the terms and conditions of this Section 2.09.</w:t>
      </w:r>
    </w:p>
    <w:p>
      <w:pPr>
        <w:spacing w:after="0" w:line="169" w:lineRule="exact"/>
        <w:rPr>
          <w:rFonts w:ascii="Times New Roman" w:cs="Times New Roman" w:eastAsia="Times New Roman" w:hAnsi="Times New Roman"/>
          <w:sz w:val="22"/>
          <w:szCs w:val="22"/>
          <w:color w:val="auto"/>
        </w:rPr>
      </w:pPr>
    </w:p>
    <w:p>
      <w:pPr>
        <w:jc w:val="both"/>
        <w:ind w:firstLine="645"/>
        <w:spacing w:after="0" w:line="248" w:lineRule="auto"/>
        <w:tabs>
          <w:tab w:leader="none" w:pos="1023"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or responsibilities of each Collateral Agent under this Section 2.09 shall be limited solely to holding any Shared Collateral constituting Possessory Collateral as gratuitous bailee or non-fiduciary agent, as applicable, for the benefit of each other First Lien Secured Party for purposes of perfecting the Lien held by such First Lien Secured Parties thereon.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i w:val="1"/>
          <w:iCs w:val="1"/>
          <w:color w:val="auto"/>
        </w:rPr>
        <w:t>Amendments to Security Documents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5"/>
        <w:spacing w:after="0" w:line="253" w:lineRule="auto"/>
        <w:tabs>
          <w:tab w:leader="none" w:pos="1023"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the Credit Agreement Collateral Agent, each Additional First Lien Secured Party agrees that no Additional First Lien Security Document may be amended, supplemented or otherwise modified or entered into to the extent such amendment, supplement or modification, or the terms of any new Additional First Lien Security Document, would be prohibited by, or would require any Grantor to act or refrain from acting in a manner that would violate, any of the terms of this Agreement.</w:t>
      </w:r>
    </w:p>
    <w:p>
      <w:pPr>
        <w:spacing w:after="0" w:line="192" w:lineRule="exact"/>
        <w:rPr>
          <w:rFonts w:ascii="Times New Roman" w:cs="Times New Roman" w:eastAsia="Times New Roman" w:hAnsi="Times New Roman"/>
          <w:sz w:val="22"/>
          <w:szCs w:val="22"/>
          <w:color w:val="auto"/>
        </w:rPr>
      </w:pPr>
    </w:p>
    <w:p>
      <w:pPr>
        <w:jc w:val="both"/>
        <w:ind w:left="-20" w:firstLine="650"/>
        <w:spacing w:after="0" w:line="250" w:lineRule="auto"/>
        <w:tabs>
          <w:tab w:leader="none" w:pos="1016"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the Additional First Lien Collateral Agent, the Credit Agreement Collateral Agent agrees that no Credit Agreement Collateral Document may be amended, supplemented or otherwise modified or entered into to the extent such amendment, supplement or modification, or the terms of any new Credit Agreement Collateral Document, would be prohibited by, or would require any Grantor to act or refrain from acting in a manner that would violate, any of the terms of this Agreement.</w:t>
      </w:r>
    </w:p>
    <w:p>
      <w:pPr>
        <w:spacing w:after="0" w:line="167" w:lineRule="exact"/>
        <w:rPr>
          <w:rFonts w:ascii="Times New Roman" w:cs="Times New Roman" w:eastAsia="Times New Roman" w:hAnsi="Times New Roman"/>
          <w:sz w:val="22"/>
          <w:szCs w:val="22"/>
          <w:color w:val="auto"/>
        </w:rPr>
      </w:pPr>
    </w:p>
    <w:p>
      <w:pPr>
        <w:ind w:left="-20" w:right="20" w:firstLine="650"/>
        <w:spacing w:after="0" w:line="271" w:lineRule="auto"/>
        <w:tabs>
          <w:tab w:leader="none" w:pos="1017"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determinations required by this Section 2.10, each Collateral Agent may conclusively rely on an officer’s certificate of the Company.</w:t>
      </w:r>
    </w:p>
    <w:p>
      <w:pPr>
        <w:sectPr>
          <w:pgSz w:w="11900" w:h="16838" w:orient="portrait"/>
          <w:cols w:equalWidth="0" w:num="1">
            <w:col w:w="10760"/>
          </w:cols>
          <w:pgMar w:left="600" w:top="706" w:right="539" w:bottom="1440" w:gutter="0" w:footer="0" w:header="0"/>
        </w:sectPr>
      </w:pPr>
    </w:p>
    <w:bookmarkStart w:id="254" w:name="page255"/>
    <w:bookmarkEnd w:id="254"/>
    <w:p>
      <w:pPr>
        <w:ind w:left="660"/>
        <w:spacing w:after="0"/>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i w:val="1"/>
          <w:iCs w:val="1"/>
          <w:color w:val="auto"/>
        </w:rPr>
        <w:t>No New Liens</w:t>
      </w:r>
    </w:p>
    <w:p>
      <w:pPr>
        <w:spacing w:after="0" w:line="224" w:lineRule="exact"/>
        <w:rPr>
          <w:sz w:val="20"/>
          <w:szCs w:val="20"/>
          <w:color w:val="auto"/>
        </w:rPr>
      </w:pPr>
    </w:p>
    <w:p>
      <w:pPr>
        <w:ind w:right="20" w:firstLine="649"/>
        <w:spacing w:after="0" w:line="260" w:lineRule="auto"/>
        <w:rPr>
          <w:sz w:val="20"/>
          <w:szCs w:val="20"/>
          <w:color w:val="auto"/>
        </w:rPr>
      </w:pPr>
      <w:r>
        <w:rPr>
          <w:rFonts w:ascii="Times New Roman" w:cs="Times New Roman" w:eastAsia="Times New Roman" w:hAnsi="Times New Roman"/>
          <w:sz w:val="21"/>
          <w:szCs w:val="21"/>
          <w:color w:val="auto"/>
        </w:rPr>
        <w:t>The parties hereto, and each of the Grantors, agree that, so long as the Discharge of Credit Agreement Obligations has not occurred, other than cash collateral granted to secure the Credit Agreement Obligations in accordance with the terms of any First Lien Loan Document, none of the Grantors shall grant or permit any additional Liens on any asset or property of any Grantor to secure any Credit Agreement Obligation or Additional First Lien Obligation unless it has granted, or concurrently therewith grants, or permits the grant of, a Lien on such asset or property of such Grantor to secure each other Series of First Lien Obligations. If any Authorized Representative or any First Lien Secured Party shall hold any Lien on any assets or property of any Grantor securing any Credit Agreement Obligation or Additional First Lien Obligation, as applicable, other than cash collateral granted to secure the First Lien Obligations in accordance with the terms of any First Lien Debt Document, that are not also subject to Liens securing all other First Lien Obligations under the applicable First Lien Security Documents (the “</w:t>
      </w:r>
      <w:r>
        <w:rPr>
          <w:rFonts w:ascii="Times New Roman" w:cs="Times New Roman" w:eastAsia="Times New Roman" w:hAnsi="Times New Roman"/>
          <w:sz w:val="21"/>
          <w:szCs w:val="21"/>
          <w:u w:val="single" w:color="auto"/>
          <w:color w:val="auto"/>
        </w:rPr>
        <w:t>Undersecured Obligations</w:t>
      </w:r>
      <w:r>
        <w:rPr>
          <w:rFonts w:ascii="Times New Roman" w:cs="Times New Roman" w:eastAsia="Times New Roman" w:hAnsi="Times New Roman"/>
          <w:sz w:val="21"/>
          <w:szCs w:val="21"/>
          <w:color w:val="auto"/>
        </w:rPr>
        <w:t>”), subject to Section 1.03, (A) such Authorized Representative or First Lien Secured Party shall be deemed to hold and have held such Lien for the benefit of each Authorized Representative and the other First Lien Secured Parties in respect of Undersecured Obligations as security for such Person’s First Lien Obligations and (B) the Grantors shall notify the Authorized Representative for the Undersecured Obligations promptly upon becoming aware of any Undersecured Obligations and shall promptly grant a similar Lien with the same priority on such assets or property to each Authorized Representative as security for the applicable First Lien Obligations.</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ARTICLE III</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EXISTENCE AND AMOUNTS OF LIENS AND FIRST LIEN OBLIGATIONS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i w:val="1"/>
          <w:iCs w:val="1"/>
          <w:color w:val="auto"/>
        </w:rPr>
        <w:t>Determinations with Respect to Amounts of Liens and First Lien Obligations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49"/>
        <w:spacing w:after="0" w:line="247" w:lineRule="auto"/>
        <w:rPr>
          <w:sz w:val="20"/>
          <w:szCs w:val="20"/>
          <w:color w:val="auto"/>
        </w:rPr>
      </w:pPr>
      <w:r>
        <w:rPr>
          <w:rFonts w:ascii="Times New Roman" w:cs="Times New Roman" w:eastAsia="Times New Roman" w:hAnsi="Times New Roman"/>
          <w:sz w:val="22"/>
          <w:szCs w:val="22"/>
          <w:color w:val="auto"/>
        </w:rPr>
        <w:t>Whenever a Collateral Agent or any Authorized Representative shall be required, in connection with the exercise of its rights or the performance of its obligations hereunder, to determine the existence or amount of any First Lien Obligations of any Series, or the Shared Collateral subject to any Lien securing the First Lien Obligations of any Series, it may request that such information be furnished to it in writing by each other Authorized Representative or Collateral Agent and shall be entitled to make such determination or not make any determination on the basis of the information so furnished; provided, however, that if an Authorized Representative or a Collateral Agent shall fail or refuse reasonably promptly to provide the requested information, the requesting Collateral Agent or Authorized Representative shall be entitled to make any such determination by such method as it may, in the exercise of its good faith judgment, determine (to the extent such method is permitted under the First Lien Debt Documents, including by reliance upon a certificate of the Company).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First Lien Secured Party or any other Person as a result of such determination.</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IV</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APPLICABLE COLLATERAL AGENT</w:t>
      </w:r>
    </w:p>
    <w:p>
      <w:pPr>
        <w:sectPr>
          <w:pgSz w:w="11900" w:h="16838" w:orient="portrait"/>
          <w:cols w:equalWidth="0" w:num="1">
            <w:col w:w="10780"/>
          </w:cols>
          <w:pgMar w:left="580" w:top="945" w:right="539" w:bottom="1440" w:gutter="0" w:footer="0" w:header="0"/>
        </w:sectPr>
      </w:pPr>
    </w:p>
    <w:bookmarkStart w:id="255" w:name="page256"/>
    <w:bookmarkEnd w:id="255"/>
    <w:p>
      <w:pPr>
        <w:ind w:left="660"/>
        <w:spacing w:after="0"/>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i w:val="1"/>
          <w:iCs w:val="1"/>
          <w:color w:val="auto"/>
        </w:rPr>
        <w:t>Authority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right="20" w:firstLine="650"/>
        <w:spacing w:after="0" w:line="252" w:lineRule="auto"/>
        <w:tabs>
          <w:tab w:leader="none" w:pos="1037"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nothing herein shall be construed to impose any fiduciary or other duty on any Applicable Collateral Agent to any Non- Controlling Secured Party or give any Non-Controlling Secured Party the right to direct any Applicable Collateral Agent, except that each Applicable Collateral Agent shall be obligated to distribute proceeds of any Shared Collateral in accordance with Section 2.01.</w:t>
      </w:r>
    </w:p>
    <w:p>
      <w:pPr>
        <w:spacing w:after="0" w:line="111" w:lineRule="exact"/>
        <w:rPr>
          <w:rFonts w:ascii="Times New Roman" w:cs="Times New Roman" w:eastAsia="Times New Roman" w:hAnsi="Times New Roman"/>
          <w:sz w:val="22"/>
          <w:szCs w:val="22"/>
          <w:color w:val="auto"/>
        </w:rPr>
      </w:pPr>
    </w:p>
    <w:p>
      <w:pPr>
        <w:jc w:val="both"/>
        <w:ind w:firstLine="650"/>
        <w:spacing w:after="0" w:line="248" w:lineRule="auto"/>
        <w:tabs>
          <w:tab w:leader="none" w:pos="1036"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furtherance of the foregoing, each Non-Controlling Secured Party acknowledges and agrees that the Applicable Collateral Agent shall be entitled, for the benefit of the First Lien Secured Parties, to sell, transfer or otherwise dispose of or deal with any Shared Collateral as provided herein and in the First Lien Security Documents, as applicable, pursuant to which the Applicable Collateral Agent is the collateral agent for such Shared Collateral, without regard to any rights to which the Non-Controlling Secured Parties would otherwise be entitled as a result of the First Lien Obligations held by such Non-Controlling Secured Parties. Without limiting the foregoing, each Non-Controlling Secured Party agrees that none of the Applicable Collateral Agent, the Applicable Authorized Representative or any other First Lien Secured Party shall have any duty or obligation first to marshal or realize upon any type of Shared Collateral (or any other Collateral securing any of the First Lien Obligations), or to sell, dispose of or otherwise liquidate all or any portion of such Shared Collateral (or any other Collateral securing any First Lien Obligations), in any manner that would maximize the return to the Non-Controlling Secured Parties, notwithstanding that the order and timing of any such realization, sale, disposition or liquidation may affect the amount of proceeds actually received by the Non-Controlling Secured Parties from such realization, sale, disposition liquidation. Each of the First Lien Secured Parties waives any claim it may now or hereafter have against any Collateral Agent or the Authorized Representative of any other Series of First Lien Obligations or any other First Lien Secured Party of any other Series arising out of (i) any actions which any Collateral Agent, Authorized Representative or the First Lien Secured Parties take or omit to take (including actions with respect to the creation, perfection or continuation of Liens on any Collateral, actions with respect to the foreclosure upon, sale, release or depreciation of, or failure to realize upon, an y of the Collateral and actions with respect to the collection of any claim for all or any part of the First Lien Obligations from any account debtor, guarantor or any other party) in accordance with the First Lien Security Documents or any other agreement related thereto or to the collection of the First Lien Obligations or the valuation, use, protection or release of any security for the First Lien Obligations, (ii) any election by any Collateral Agent, Applicable Authorized Representative or any holders of First Lien Obligations, in any Insolvency or Liquidation Proceeding, of the application of Section 1111(b) of the Bankruptcy Code or any equivalent provision of any other Bankruptcy Law or (iii) subject to Section 2.05, any borrowing by, or grant of a security interest or administrative expense priority under Section 364 of the Bankruptcy Code or any equivalent provision of any other Bankruptcy Law, the Company or any of its Subsidiaries, as debtor-in- possession. Notwithstanding any other provision of this Agreement, the Applicable Collateral Agent shall not accept any Shared Collateral in full or partial satisfaction of any First Lien Obligations pursuant to Section 9-620 of the Uniform Commercial Code of any jurisdiction, without the consent of each Authorized Representative representing holders of First Lien Obligations for which such Collateral constitutes Shared Collateral.</w:t>
      </w:r>
    </w:p>
    <w:p>
      <w:pPr>
        <w:spacing w:after="0" w:line="200" w:lineRule="exact"/>
        <w:rPr>
          <w:sz w:val="20"/>
          <w:szCs w:val="20"/>
          <w:color w:val="auto"/>
        </w:rPr>
      </w:pPr>
    </w:p>
    <w:p>
      <w:pPr>
        <w:spacing w:after="0" w:line="234" w:lineRule="exact"/>
        <w:rPr>
          <w:sz w:val="20"/>
          <w:szCs w:val="20"/>
          <w:color w:val="auto"/>
        </w:rPr>
      </w:pPr>
    </w:p>
    <w:p>
      <w:pPr>
        <w:jc w:val="both"/>
        <w:ind w:firstLine="649"/>
        <w:spacing w:after="0" w:line="252"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i w:val="1"/>
          <w:iCs w:val="1"/>
          <w:color w:val="auto"/>
        </w:rPr>
        <w:t>Exculpatory Provisions</w:t>
      </w:r>
      <w:r>
        <w:rPr>
          <w:rFonts w:ascii="Times New Roman" w:cs="Times New Roman" w:eastAsia="Times New Roman" w:hAnsi="Times New Roman"/>
          <w:sz w:val="22"/>
          <w:szCs w:val="22"/>
          <w:color w:val="auto"/>
        </w:rPr>
        <w:t>. The Applicable Collateral Agent shall not have any duties or obligations under this Agreement except those expressly set forth herein. Without limiting the generality of the foregoing, the Applicable Collateral Agent:</w:t>
      </w:r>
    </w:p>
    <w:p>
      <w:pPr>
        <w:spacing w:after="0" w:line="179" w:lineRule="exact"/>
        <w:rPr>
          <w:sz w:val="20"/>
          <w:szCs w:val="20"/>
          <w:color w:val="auto"/>
        </w:rPr>
      </w:pPr>
    </w:p>
    <w:p>
      <w:pPr>
        <w:ind w:right="20" w:firstLine="650"/>
        <w:spacing w:after="0" w:line="258" w:lineRule="auto"/>
        <w:tabs>
          <w:tab w:leader="none" w:pos="1037"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an Event of Default has occurred and is continuing;</w:t>
      </w:r>
    </w:p>
    <w:p>
      <w:pPr>
        <w:sectPr>
          <w:pgSz w:w="11900" w:h="16838" w:orient="portrait"/>
          <w:cols w:equalWidth="0" w:num="1">
            <w:col w:w="10780"/>
          </w:cols>
          <w:pgMar w:left="580" w:top="932" w:right="539" w:bottom="1440" w:gutter="0" w:footer="0" w:header="0"/>
        </w:sectPr>
      </w:pPr>
    </w:p>
    <w:bookmarkStart w:id="256" w:name="page257"/>
    <w:bookmarkEnd w:id="256"/>
    <w:p>
      <w:pPr>
        <w:jc w:val="both"/>
        <w:ind w:right="40" w:firstLine="645"/>
        <w:spacing w:after="0" w:line="258" w:lineRule="auto"/>
        <w:tabs>
          <w:tab w:leader="none" w:pos="1022"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not have any duty to take any discretionary action or exercise any discretionary powers (except discretionary rights and powers expressly contemplated hereby; provided, however, that in no circumstance shall the Initial Additional First Lien Collateral Agent have any duty to take any discretionary action or exercise any discretionary powers);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Applicable Collateral Agent shall not be required to take any action that, in its opinion or the opinion of its counsel, may expose the Applicable Collateral Agent to liability or that is contrary to this Agreement or applicable law;</w:t>
      </w:r>
    </w:p>
    <w:p>
      <w:pPr>
        <w:spacing w:after="0" w:line="160" w:lineRule="exact"/>
        <w:rPr>
          <w:rFonts w:ascii="Times New Roman" w:cs="Times New Roman" w:eastAsia="Times New Roman" w:hAnsi="Times New Roman"/>
          <w:sz w:val="21"/>
          <w:szCs w:val="21"/>
          <w:color w:val="auto"/>
        </w:rPr>
      </w:pPr>
    </w:p>
    <w:p>
      <w:pPr>
        <w:jc w:val="both"/>
        <w:ind w:right="40" w:firstLine="645"/>
        <w:spacing w:after="0" w:line="250" w:lineRule="auto"/>
        <w:tabs>
          <w:tab w:leader="none" w:pos="1023"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have any duty to disclose, and shall not be liable for the failure to disclose, any information relating to a Grantor or any of its Affiliates that is communicated to or obtained by the Person serving as the Applicable Collateral Agent or any of its Affiliates in any capacity;</w:t>
      </w:r>
    </w:p>
    <w:p>
      <w:pPr>
        <w:spacing w:after="0" w:line="167" w:lineRule="exact"/>
        <w:rPr>
          <w:rFonts w:ascii="Times New Roman" w:cs="Times New Roman" w:eastAsia="Times New Roman" w:hAnsi="Times New Roman"/>
          <w:sz w:val="22"/>
          <w:szCs w:val="22"/>
          <w:color w:val="auto"/>
        </w:rPr>
      </w:pPr>
    </w:p>
    <w:p>
      <w:pPr>
        <w:jc w:val="both"/>
        <w:ind w:firstLine="645"/>
        <w:spacing w:after="0" w:line="246" w:lineRule="auto"/>
        <w:tabs>
          <w:tab w:leader="none" w:pos="102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not taken by it (1) in the absence of its own gross negligence or willful misconduct or (2) in reliance on a certificate from the Company stating that such action is permitted by the terms of this Agreement (which certificate Company may issue and deliver, or decline to issue or deliver, in its sole discretion). The Applicable Collateral Agent shall be deemed not to have knowledge of any Event of Default under any Series of First Lien Obligations unless and until written notice describing such Event of Default and referencing the applicable First Lien Debt Documents is given to the Applicable Collateral Agent;</w:t>
      </w:r>
    </w:p>
    <w:p>
      <w:pPr>
        <w:spacing w:after="0" w:line="185" w:lineRule="exact"/>
        <w:rPr>
          <w:rFonts w:ascii="Times New Roman" w:cs="Times New Roman" w:eastAsia="Times New Roman" w:hAnsi="Times New Roman"/>
          <w:sz w:val="22"/>
          <w:szCs w:val="22"/>
          <w:color w:val="auto"/>
        </w:rPr>
      </w:pPr>
    </w:p>
    <w:p>
      <w:pPr>
        <w:jc w:val="both"/>
        <w:ind w:right="20" w:firstLine="645"/>
        <w:spacing w:after="0" w:line="249" w:lineRule="auto"/>
        <w:tabs>
          <w:tab w:leader="none" w:pos="1023"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for or have any duty to ascertain or inquire into (1) any statement, warranty or representation made in or in connection with this Agreement or any other First Lien Debt Document, (2) the contents of any certificate, report or other document delivered hereunder or thereunder or in connection herewith or therewith, (3) the performance observance of any of the covenants, agreements or other terms or conditions set forth herein or therein or the occurrence of any Default or Event of Default, (4) the validity, enforceability, effectiveness or genuineness of this Agreement, any other First Lien Security Document or any other agreement, instrument or document, or the creation, perfection or priority of any Lien purported to be created by the First Lien Security Documents, (5) the value or the sufficiency of any Collateral for any Series of First Lien Obligations, or (6) the satisfaction of any condition set forth in any First Lien Debt Document, other than to confirm receipt of items expressly required to be delivered to the Applicable Collateral Agent; and</w:t>
      </w:r>
    </w:p>
    <w:p>
      <w:pPr>
        <w:spacing w:after="0" w:line="169" w:lineRule="exact"/>
        <w:rPr>
          <w:rFonts w:ascii="Times New Roman" w:cs="Times New Roman" w:eastAsia="Times New Roman" w:hAnsi="Times New Roman"/>
          <w:sz w:val="22"/>
          <w:szCs w:val="22"/>
          <w:color w:val="auto"/>
        </w:rPr>
      </w:pPr>
    </w:p>
    <w:p>
      <w:pPr>
        <w:ind w:right="40" w:firstLine="645"/>
        <w:spacing w:after="0" w:line="271" w:lineRule="auto"/>
        <w:tabs>
          <w:tab w:leader="none" w:pos="1027"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need not segregate money held hereunder from other funds except to the extent required by law and shall be under no liability for interest on any money received by it hereunder except as otherwise agreed in writing.</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ARTICLE V MISCELLANEOUS</w:t>
      </w:r>
    </w:p>
    <w:p>
      <w:pPr>
        <w:spacing w:after="0" w:line="202" w:lineRule="exact"/>
        <w:rPr>
          <w:sz w:val="20"/>
          <w:szCs w:val="20"/>
          <w:color w:val="auto"/>
        </w:rPr>
      </w:pPr>
    </w:p>
    <w:p>
      <w:pPr>
        <w:ind w:right="40" w:firstLine="649"/>
        <w:spacing w:after="0" w:line="275"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All notices and other communications provided for herein shall be in writing and shall be delivered by hand or overnight courier service, mailed by certified or registered mail or sent by telecopy, as follows:</w:t>
      </w:r>
    </w:p>
    <w:p>
      <w:pPr>
        <w:spacing w:after="0" w:line="167" w:lineRule="exact"/>
        <w:rPr>
          <w:sz w:val="20"/>
          <w:szCs w:val="20"/>
          <w:color w:val="auto"/>
        </w:rPr>
      </w:pPr>
    </w:p>
    <w:p>
      <w:pPr>
        <w:ind w:left="1260" w:hanging="615"/>
        <w:spacing w:after="0"/>
        <w:tabs>
          <w:tab w:leader="none" w:pos="126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to the Credit Agreement Collateral Agent or the First Lien Administrative Agent, to it at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JPMorgan Chase Bank, N.A.</w:t>
      </w:r>
    </w:p>
    <w:p>
      <w:pPr>
        <w:ind w:left="420"/>
        <w:spacing w:after="0" w:line="205" w:lineRule="auto"/>
        <w:rPr>
          <w:sz w:val="20"/>
          <w:szCs w:val="20"/>
          <w:color w:val="auto"/>
        </w:rPr>
      </w:pPr>
      <w:r>
        <w:rPr>
          <w:rFonts w:ascii="Times New Roman" w:cs="Times New Roman" w:eastAsia="Times New Roman" w:hAnsi="Times New Roman"/>
          <w:sz w:val="22"/>
          <w:szCs w:val="22"/>
          <w:color w:val="auto"/>
        </w:rPr>
        <w:t>500 Stanton Christiana Rd. NCC5 /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Floor</w:t>
      </w:r>
    </w:p>
    <w:p>
      <w:pPr>
        <w:ind w:left="420"/>
        <w:spacing w:after="0" w:line="205" w:lineRule="auto"/>
        <w:rPr>
          <w:sz w:val="20"/>
          <w:szCs w:val="20"/>
          <w:color w:val="auto"/>
        </w:rPr>
      </w:pPr>
      <w:r>
        <w:rPr>
          <w:rFonts w:ascii="Times New Roman" w:cs="Times New Roman" w:eastAsia="Times New Roman" w:hAnsi="Times New Roman"/>
          <w:sz w:val="22"/>
          <w:szCs w:val="22"/>
          <w:color w:val="auto"/>
        </w:rPr>
        <w:t>Newark, DE 19713,</w:t>
      </w:r>
    </w:p>
    <w:p>
      <w:pPr>
        <w:ind w:left="420"/>
        <w:spacing w:after="0"/>
        <w:rPr>
          <w:sz w:val="20"/>
          <w:szCs w:val="20"/>
          <w:color w:val="auto"/>
        </w:rPr>
      </w:pPr>
      <w:r>
        <w:rPr>
          <w:rFonts w:ascii="Times New Roman" w:cs="Times New Roman" w:eastAsia="Times New Roman" w:hAnsi="Times New Roman"/>
          <w:sz w:val="22"/>
          <w:szCs w:val="22"/>
          <w:color w:val="auto"/>
        </w:rPr>
        <w:t>Attention of Himran Aziz</w:t>
      </w:r>
    </w:p>
    <w:p>
      <w:pPr>
        <w:sectPr>
          <w:pgSz w:w="11900" w:h="16838" w:orient="portrait"/>
          <w:cols w:equalWidth="0" w:num="1">
            <w:col w:w="10780"/>
          </w:cols>
          <w:pgMar w:left="600" w:top="706" w:right="519" w:bottom="1440" w:gutter="0" w:footer="0" w:header="0"/>
        </w:sectPr>
      </w:pPr>
    </w:p>
    <w:bookmarkStart w:id="257" w:name="page258"/>
    <w:bookmarkEnd w:id="257"/>
    <w:p>
      <w:pPr>
        <w:ind w:left="440"/>
        <w:spacing w:after="0"/>
        <w:rPr>
          <w:sz w:val="20"/>
          <w:szCs w:val="20"/>
          <w:color w:val="auto"/>
        </w:rPr>
      </w:pPr>
      <w:r>
        <w:rPr>
          <w:rFonts w:ascii="Times New Roman" w:cs="Times New Roman" w:eastAsia="Times New Roman" w:hAnsi="Times New Roman"/>
          <w:sz w:val="22"/>
          <w:szCs w:val="22"/>
          <w:color w:val="auto"/>
        </w:rPr>
        <w:t xml:space="preserve">Fax No. </w:t>
      </w:r>
      <w:r>
        <w:rPr>
          <w:rFonts w:ascii="Times New Roman" w:cs="Times New Roman" w:eastAsia="Times New Roman" w:hAnsi="Times New Roman"/>
          <w:sz w:val="19"/>
          <w:szCs w:val="19"/>
          <w:color w:val="auto"/>
        </w:rPr>
        <w:t>[***]</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Email: [***];</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if to the Additional First Lien Collateral Agent or the Initial Additional Authorized Representative, to it at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Wilmington Trust, National Association Global Capital Markets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277 Park Avenue, 25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 New York, NY 10172</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of Sotera Health Holdings, LLC Notes Administrator</w:t>
      </w:r>
    </w:p>
    <w:p>
      <w:pPr>
        <w:spacing w:after="0" w:line="200" w:lineRule="exact"/>
        <w:rPr>
          <w:sz w:val="20"/>
          <w:szCs w:val="20"/>
          <w:color w:val="auto"/>
        </w:rPr>
      </w:pPr>
    </w:p>
    <w:p>
      <w:pPr>
        <w:spacing w:after="0" w:line="252" w:lineRule="exact"/>
        <w:rPr>
          <w:sz w:val="20"/>
          <w:szCs w:val="20"/>
          <w:color w:val="auto"/>
        </w:rPr>
      </w:pPr>
    </w:p>
    <w:p>
      <w:pPr>
        <w:ind w:left="20" w:right="40" w:firstLine="645"/>
        <w:spacing w:after="0" w:line="271" w:lineRule="auto"/>
        <w:tabs>
          <w:tab w:leader="none" w:pos="1043"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Additional Authorized Representative, to it at the address set forth in the applicable Joinder Agreement; and</w:t>
      </w:r>
    </w:p>
    <w:p>
      <w:pPr>
        <w:spacing w:after="0" w:line="200" w:lineRule="exact"/>
        <w:rPr>
          <w:rFonts w:ascii="Times New Roman" w:cs="Times New Roman" w:eastAsia="Times New Roman" w:hAnsi="Times New Roman"/>
          <w:sz w:val="22"/>
          <w:szCs w:val="22"/>
          <w:color w:val="auto"/>
        </w:rPr>
      </w:pPr>
    </w:p>
    <w:p>
      <w:pPr>
        <w:spacing w:after="0" w:line="322" w:lineRule="exact"/>
        <w:rPr>
          <w:rFonts w:ascii="Times New Roman" w:cs="Times New Roman" w:eastAsia="Times New Roman" w:hAnsi="Times New Roman"/>
          <w:sz w:val="22"/>
          <w:szCs w:val="22"/>
          <w:color w:val="auto"/>
        </w:rPr>
      </w:pPr>
    </w:p>
    <w:p>
      <w:pPr>
        <w:ind w:left="1040" w:hanging="375"/>
        <w:spacing w:after="0"/>
        <w:tabs>
          <w:tab w:leader="none" w:pos="104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Holdings, the Company or any of the Grantors, to the applicable party at Sotera Health Holdings, LLC</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9100 South Hills Blvd, Suite 300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Broadview Heights, OH 44147 Attention of Alexander</w:t>
      </w:r>
    </w:p>
    <w:p>
      <w:pPr>
        <w:ind w:left="660"/>
        <w:spacing w:after="0" w:line="233" w:lineRule="auto"/>
        <w:rPr>
          <w:sz w:val="20"/>
          <w:szCs w:val="20"/>
          <w:color w:val="auto"/>
        </w:rPr>
      </w:pPr>
      <w:r>
        <w:rPr>
          <w:rFonts w:ascii="Times New Roman" w:cs="Times New Roman" w:eastAsia="Times New Roman" w:hAnsi="Times New Roman"/>
          <w:sz w:val="22"/>
          <w:szCs w:val="22"/>
          <w:color w:val="auto"/>
        </w:rPr>
        <w:t>Dimitrief Tel. No. 440 262 1799</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9"/>
          <w:szCs w:val="19"/>
          <w:color w:val="auto"/>
        </w:rPr>
        <w:t>[***]</w:t>
      </w:r>
    </w:p>
    <w:p>
      <w:pPr>
        <w:spacing w:after="0" w:line="223" w:lineRule="exact"/>
        <w:rPr>
          <w:sz w:val="20"/>
          <w:szCs w:val="20"/>
          <w:color w:val="auto"/>
        </w:rPr>
      </w:pPr>
    </w:p>
    <w:p>
      <w:pPr>
        <w:jc w:val="both"/>
        <w:ind w:firstLine="649"/>
        <w:spacing w:after="0" w:line="253" w:lineRule="auto"/>
        <w:rPr>
          <w:sz w:val="20"/>
          <w:szCs w:val="20"/>
          <w:color w:val="auto"/>
        </w:rPr>
      </w:pPr>
      <w:r>
        <w:rPr>
          <w:rFonts w:ascii="Times New Roman" w:cs="Times New Roman" w:eastAsia="Times New Roman" w:hAnsi="Times New Roman"/>
          <w:sz w:val="22"/>
          <w:szCs w:val="22"/>
          <w:color w:val="auto"/>
        </w:rPr>
        <w:t>Any party hereto may change its address or telecopy number for notices and other communications hereunder by notice to the other parties hereto. 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i w:val="1"/>
          <w:iCs w:val="1"/>
          <w:color w:val="auto"/>
        </w:rPr>
        <w:t>Waivers; Amendment; Joinder Agreements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50"/>
        <w:spacing w:after="0" w:line="262" w:lineRule="auto"/>
        <w:tabs>
          <w:tab w:leader="none" w:pos="1037"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Section 5.01(b),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59" w:lineRule="exact"/>
        <w:rPr>
          <w:rFonts w:ascii="Times New Roman" w:cs="Times New Roman" w:eastAsia="Times New Roman" w:hAnsi="Times New Roman"/>
          <w:sz w:val="21"/>
          <w:szCs w:val="21"/>
          <w:color w:val="auto"/>
        </w:rPr>
      </w:pPr>
    </w:p>
    <w:p>
      <w:pPr>
        <w:ind w:left="20" w:right="20" w:firstLine="645"/>
        <w:spacing w:after="0" w:line="271" w:lineRule="auto"/>
        <w:tabs>
          <w:tab w:leader="none" w:pos="1042"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terminated, waived, amended or modified (other than pursuant to any Joinder Agreement) except pursuant to an</w:t>
      </w:r>
    </w:p>
    <w:p>
      <w:pPr>
        <w:sectPr>
          <w:pgSz w:w="11900" w:h="16838" w:orient="portrait"/>
          <w:cols w:equalWidth="0" w:num="1">
            <w:col w:w="10780"/>
          </w:cols>
          <w:pgMar w:left="580" w:top="693" w:right="539" w:bottom="1440" w:gutter="0" w:footer="0" w:header="0"/>
        </w:sectPr>
      </w:pPr>
    </w:p>
    <w:bookmarkStart w:id="258" w:name="page259"/>
    <w:bookmarkEnd w:id="258"/>
    <w:p>
      <w:pPr>
        <w:jc w:val="both"/>
        <w:ind w:left="20" w:right="20"/>
        <w:spacing w:after="0" w:line="250" w:lineRule="auto"/>
        <w:rPr>
          <w:sz w:val="20"/>
          <w:szCs w:val="20"/>
          <w:color w:val="auto"/>
        </w:rPr>
      </w:pPr>
      <w:r>
        <w:rPr>
          <w:rFonts w:ascii="Times New Roman" w:cs="Times New Roman" w:eastAsia="Times New Roman" w:hAnsi="Times New Roman"/>
          <w:sz w:val="22"/>
          <w:szCs w:val="22"/>
          <w:color w:val="auto"/>
        </w:rPr>
        <w:t>agreement or agreements in writing entered into by each Authorized Representative and each Collateral Agent (and with respect to any such termination, waiver, amendment or modification which by the terms of this Agreement requires the Company’s consent or which adversely affects the Company or any other Grantor, with the consent of the Company).</w:t>
      </w:r>
    </w:p>
    <w:p>
      <w:pPr>
        <w:spacing w:after="0" w:line="195" w:lineRule="exact"/>
        <w:rPr>
          <w:sz w:val="20"/>
          <w:szCs w:val="20"/>
          <w:color w:val="auto"/>
        </w:rPr>
      </w:pPr>
    </w:p>
    <w:p>
      <w:pPr>
        <w:jc w:val="both"/>
        <w:ind w:left="20" w:firstLine="645"/>
        <w:spacing w:after="0" w:line="251" w:lineRule="auto"/>
        <w:tabs>
          <w:tab w:leader="none" w:pos="1043"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without the consent of any First Lien Secured Party, any Authorized Representative and Collateral Agent may become a party hereto by execution and delivery of a Joinder Agreement in accordance with Section 5.13 and upon such execution and delivery, such Authorized Representative and Collateral Agent and the Additional First Lien Secured Parties and Additional First Lien Obligations of the Series for which such Authorized Representative and Collateral Agent is acting shall be subject to the terms hereof and the terms of the Additional First Lien Security Documents applicable thereto.</w:t>
      </w:r>
    </w:p>
    <w:p>
      <w:pPr>
        <w:spacing w:after="0" w:line="181" w:lineRule="exact"/>
        <w:rPr>
          <w:rFonts w:ascii="Times New Roman" w:cs="Times New Roman" w:eastAsia="Times New Roman" w:hAnsi="Times New Roman"/>
          <w:sz w:val="22"/>
          <w:szCs w:val="22"/>
          <w:color w:val="auto"/>
        </w:rPr>
      </w:pPr>
    </w:p>
    <w:p>
      <w:pPr>
        <w:jc w:val="both"/>
        <w:ind w:left="20" w:firstLine="645"/>
        <w:spacing w:after="0" w:line="256" w:lineRule="auto"/>
        <w:tabs>
          <w:tab w:leader="none" w:pos="104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without the consent of any other Authorized Representative or First Lien Secured Party, the Collateral Agents may effect amendments and modifications to this Agreement to the extent necessary to reflect any incurrence of any Additional First Lien Obligations in compliance with the Credit Agreement and the other First Lien Debt Documents.</w:t>
      </w:r>
    </w:p>
    <w:p>
      <w:pPr>
        <w:spacing w:after="0" w:line="159" w:lineRule="exact"/>
        <w:rPr>
          <w:sz w:val="20"/>
          <w:szCs w:val="20"/>
          <w:color w:val="auto"/>
        </w:rPr>
      </w:pPr>
    </w:p>
    <w:p>
      <w:pPr>
        <w:jc w:val="both"/>
        <w:ind w:left="20" w:firstLine="649"/>
        <w:spacing w:after="0" w:line="252"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i w:val="1"/>
          <w:iCs w:val="1"/>
          <w:color w:val="auto"/>
        </w:rPr>
        <w:t>Parties in Interest</w:t>
      </w:r>
      <w:r>
        <w:rPr>
          <w:rFonts w:ascii="Times New Roman" w:cs="Times New Roman" w:eastAsia="Times New Roman" w:hAnsi="Times New Roman"/>
          <w:sz w:val="22"/>
          <w:szCs w:val="22"/>
          <w:color w:val="auto"/>
        </w:rPr>
        <w:t>. This Agreement shall be binding upon and inure to the benefit of the parties hereto and their respective successors and assigns, as well as the other First Lien Secured Parties, all of which are intended to be bound by, and to be third party beneficiaries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5.04. [Reserved.]</w:t>
      </w:r>
    </w:p>
    <w:p>
      <w:pPr>
        <w:spacing w:after="0" w:line="216" w:lineRule="exact"/>
        <w:rPr>
          <w:sz w:val="20"/>
          <w:szCs w:val="20"/>
          <w:color w:val="auto"/>
        </w:rPr>
      </w:pPr>
    </w:p>
    <w:p>
      <w:pPr>
        <w:jc w:val="both"/>
        <w:ind w:firstLine="649"/>
        <w:spacing w:after="0" w:line="249"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i w:val="1"/>
          <w:iCs w:val="1"/>
          <w:color w:val="auto"/>
        </w:rPr>
        <w:t>Counterparts; Electronic Signatures</w:t>
      </w:r>
      <w:r>
        <w:rPr>
          <w:rFonts w:ascii="Times New Roman" w:cs="Times New Roman" w:eastAsia="Times New Roman" w:hAnsi="Times New Roman"/>
          <w:sz w:val="22"/>
          <w:szCs w:val="22"/>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to this Agreement by facsimile or other electronic transmission shall be effective as delivery of a manually executed counterpart of this Agreement. The words “execution,” “execute,” “signed,” “signature,” “delivery,” and words of like import in or relating to this Agreement hereby shall be deemed to include electronic signatures, the electronic matching of assignment terms and contract formulations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sz w:val="20"/>
          <w:szCs w:val="20"/>
          <w:color w:val="auto"/>
        </w:rPr>
      </w:pPr>
    </w:p>
    <w:p>
      <w:pPr>
        <w:jc w:val="both"/>
        <w:ind w:left="20" w:firstLine="649"/>
        <w:spacing w:after="0" w:line="252"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ectPr>
          <w:pgSz w:w="11900" w:h="16838" w:orient="portrait"/>
          <w:cols w:equalWidth="0" w:num="1">
            <w:col w:w="10780"/>
          </w:cols>
          <w:pgMar w:left="580" w:top="922" w:right="539" w:bottom="1440" w:gutter="0" w:footer="0" w:header="0"/>
        </w:sectPr>
      </w:pPr>
    </w:p>
    <w:bookmarkStart w:id="259" w:name="page260"/>
    <w:bookmarkEnd w:id="259"/>
    <w:p>
      <w:pPr>
        <w:ind w:right="20" w:firstLine="649"/>
        <w:spacing w:after="0" w:line="275"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SHALL BE CONSTRUED IN ACCORDANCE WITH AND GOVERNED BY THE LAWS OF THE STATE OF NEW YORK.</w:t>
      </w:r>
    </w:p>
    <w:p>
      <w:pPr>
        <w:spacing w:after="0" w:line="136" w:lineRule="exact"/>
        <w:rPr>
          <w:sz w:val="20"/>
          <w:szCs w:val="20"/>
          <w:color w:val="auto"/>
        </w:rPr>
      </w:pPr>
    </w:p>
    <w:p>
      <w:pPr>
        <w:ind w:right="20" w:firstLine="649"/>
        <w:spacing w:after="0" w:line="286"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i w:val="1"/>
          <w:iCs w:val="1"/>
          <w:color w:val="auto"/>
        </w:rPr>
        <w:t>Submission to Jurisdiction Waivers; Consent to Service of Process</w:t>
      </w:r>
      <w:r>
        <w:rPr>
          <w:rFonts w:ascii="Times New Roman" w:cs="Times New Roman" w:eastAsia="Times New Roman" w:hAnsi="Times New Roman"/>
          <w:sz w:val="21"/>
          <w:szCs w:val="21"/>
          <w:color w:val="auto"/>
        </w:rPr>
        <w:t xml:space="preserve"> . Each party hereto, on behalf of itself and, as applicable, the First Lien Secured Parties of the Series for which it is acting, irrevocably and unconditionally:</w:t>
      </w:r>
    </w:p>
    <w:p>
      <w:pPr>
        <w:spacing w:after="0" w:line="157" w:lineRule="exact"/>
        <w:rPr>
          <w:sz w:val="20"/>
          <w:szCs w:val="20"/>
          <w:color w:val="auto"/>
        </w:rPr>
      </w:pPr>
    </w:p>
    <w:p>
      <w:pPr>
        <w:jc w:val="both"/>
        <w:ind w:firstLine="645"/>
        <w:spacing w:after="0" w:line="249" w:lineRule="auto"/>
        <w:tabs>
          <w:tab w:leader="none" w:pos="102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the First Lien Debt Documents shall affect any right that any Representative may otherwise have to bring any action or proceeding relating to any First Lien Debt Document against any Grantor or its respective properties in the courts of any jurisdiction;</w:t>
      </w:r>
    </w:p>
    <w:p>
      <w:pPr>
        <w:spacing w:after="0" w:line="183" w:lineRule="exact"/>
        <w:rPr>
          <w:rFonts w:ascii="Times New Roman" w:cs="Times New Roman" w:eastAsia="Times New Roman" w:hAnsi="Times New Roman"/>
          <w:sz w:val="22"/>
          <w:szCs w:val="22"/>
          <w:color w:val="auto"/>
        </w:rPr>
      </w:pPr>
    </w:p>
    <w:p>
      <w:pPr>
        <w:jc w:val="both"/>
        <w:ind w:firstLine="645"/>
        <w:spacing w:after="0" w:line="272" w:lineRule="auto"/>
        <w:tabs>
          <w:tab w:leader="none" w:pos="1022"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waives, to the fullest extent it may legally and effectively do so, any objection that it may now or hereafter have to the laying of venue of any suit, action or proceeding arising out of or relating to this Agreement in any court referred to in paragraph (a) of this Section. Each of the parties hereto hereby irrevocably waives, to the fullest extent permitted by law, the defense of an inconvenient forum to the maintenance of such action or proceeding in any such court;</w:t>
      </w:r>
    </w:p>
    <w:p>
      <w:pPr>
        <w:spacing w:after="0" w:line="147" w:lineRule="exact"/>
        <w:rPr>
          <w:rFonts w:ascii="Times New Roman" w:cs="Times New Roman" w:eastAsia="Times New Roman" w:hAnsi="Times New Roman"/>
          <w:sz w:val="21"/>
          <w:szCs w:val="21"/>
          <w:color w:val="auto"/>
        </w:rPr>
      </w:pPr>
    </w:p>
    <w:p>
      <w:pPr>
        <w:jc w:val="both"/>
        <w:ind w:right="20" w:firstLine="645"/>
        <w:spacing w:after="0" w:line="250" w:lineRule="auto"/>
        <w:tabs>
          <w:tab w:leader="none" w:pos="102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service of process in any such action or proceeding may be effected by mailing a copy thereof by registered or certified mail (or any substantially similar form of mail), postage prepaid, to such Person (or its Authorized Representative) at the address set forth in Section 5.01;</w:t>
      </w:r>
    </w:p>
    <w:p>
      <w:pPr>
        <w:spacing w:after="0" w:line="194" w:lineRule="exact"/>
        <w:rPr>
          <w:rFonts w:ascii="Times New Roman" w:cs="Times New Roman" w:eastAsia="Times New Roman" w:hAnsi="Times New Roman"/>
          <w:sz w:val="22"/>
          <w:szCs w:val="22"/>
          <w:color w:val="auto"/>
        </w:rPr>
      </w:pPr>
    </w:p>
    <w:p>
      <w:pPr>
        <w:jc w:val="both"/>
        <w:ind w:right="20" w:firstLine="645"/>
        <w:spacing w:after="0" w:line="252" w:lineRule="auto"/>
        <w:tabs>
          <w:tab w:leader="none" w:pos="1022"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it relates to any Grantor, such Grantor designates, appoints and empowers the Company as its designee, appointee and agent to receive, accept and acknowledge for and on its behalf, and in respect of its property, service of any and all legal process, summons, notices and documents that may be served in any such action or proceeding and the Company hereby accepts such designation and appointment; and</w:t>
      </w:r>
    </w:p>
    <w:p>
      <w:pPr>
        <w:spacing w:after="0" w:line="165" w:lineRule="exact"/>
        <w:rPr>
          <w:rFonts w:ascii="Times New Roman" w:cs="Times New Roman" w:eastAsia="Times New Roman" w:hAnsi="Times New Roman"/>
          <w:sz w:val="22"/>
          <w:szCs w:val="22"/>
          <w:color w:val="auto"/>
        </w:rPr>
      </w:pPr>
    </w:p>
    <w:p>
      <w:pPr>
        <w:ind w:right="20" w:firstLine="645"/>
        <w:spacing w:after="0" w:line="271" w:lineRule="auto"/>
        <w:tabs>
          <w:tab w:leader="none" w:pos="102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to the maximum extent not prohibited by law, any right it may have to claim or recover in any legal action or proceeding referred to in this Section 5.08 any special, exemplary, punitive or consequential damages.</w:t>
      </w:r>
    </w:p>
    <w:p>
      <w:pPr>
        <w:spacing w:after="0" w:line="140" w:lineRule="exact"/>
        <w:rPr>
          <w:sz w:val="20"/>
          <w:szCs w:val="20"/>
          <w:color w:val="auto"/>
        </w:rPr>
      </w:pPr>
    </w:p>
    <w:p>
      <w:pPr>
        <w:jc w:val="both"/>
        <w:ind w:right="20" w:firstLine="649"/>
        <w:spacing w:after="0" w:line="257" w:lineRule="auto"/>
        <w:rPr>
          <w:sz w:val="20"/>
          <w:szCs w:val="20"/>
          <w:color w:val="auto"/>
        </w:rPr>
      </w:pPr>
      <w:r>
        <w:rPr>
          <w:rFonts w:ascii="Times New Roman" w:cs="Times New Roman" w:eastAsia="Times New Roman" w:hAnsi="Times New Roman"/>
          <w:sz w:val="21"/>
          <w:szCs w:val="21"/>
          <w:color w:val="auto"/>
        </w:rPr>
        <w:t xml:space="preserve">Section 5.09. </w:t>
      </w:r>
      <w:r>
        <w:rPr>
          <w:rFonts w:ascii="Times New Roman" w:cs="Times New Roman" w:eastAsia="Times New Roman" w:hAnsi="Times New Roman"/>
          <w:sz w:val="21"/>
          <w:szCs w:val="21"/>
          <w:i w:val="1"/>
          <w:iCs w:val="1"/>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ANY FIRST LIEN DEBT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w:t>
      </w:r>
    </w:p>
    <w:p>
      <w:pPr>
        <w:sectPr>
          <w:pgSz w:w="11900" w:h="16838" w:orient="portrait"/>
          <w:cols w:equalWidth="0" w:num="1">
            <w:col w:w="10760"/>
          </w:cols>
          <w:pgMar w:left="600" w:top="932" w:right="539" w:bottom="1440" w:gutter="0" w:footer="0" w:header="0"/>
        </w:sectPr>
      </w:pPr>
    </w:p>
    <w:bookmarkStart w:id="260" w:name="page261"/>
    <w:bookmarkEnd w:id="260"/>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FOREGOING WAIVER AND (B) ACKNOWLEDGES THAT IT AND THE OTHER PARTIES HERETO HAVE BEEN INDUCED TO ENTER INTO THIS AGREEMENT BY, AMONG OTHER THINGS, THE MUTUAL WAIVERS AND CERTIFICATIONS IN THIS SECTION 5.09.</w:t>
      </w:r>
    </w:p>
    <w:p>
      <w:pPr>
        <w:spacing w:after="0" w:line="169" w:lineRule="exact"/>
        <w:rPr>
          <w:sz w:val="20"/>
          <w:szCs w:val="20"/>
          <w:color w:val="auto"/>
        </w:rPr>
      </w:pPr>
    </w:p>
    <w:p>
      <w:pPr>
        <w:jc w:val="both"/>
        <w:ind w:firstLine="649"/>
        <w:spacing w:after="0" w:line="252"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i w:val="1"/>
          <w:iCs w:val="1"/>
          <w:color w:val="auto"/>
        </w:rPr>
        <w:t>Headings</w:t>
      </w:r>
      <w:r>
        <w:rPr>
          <w:rFonts w:ascii="Times New Roman" w:cs="Times New Roman" w:eastAsia="Times New Roman" w:hAnsi="Times New Roman"/>
          <w:sz w:val="22"/>
          <w:szCs w:val="22"/>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75" w:lineRule="exact"/>
        <w:rPr>
          <w:sz w:val="20"/>
          <w:szCs w:val="20"/>
          <w:color w:val="auto"/>
        </w:rPr>
      </w:pPr>
    </w:p>
    <w:p>
      <w:pPr>
        <w:jc w:val="both"/>
        <w:ind w:firstLine="649"/>
        <w:spacing w:after="0" w:line="246"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i w:val="1"/>
          <w:iCs w:val="1"/>
          <w:color w:val="auto"/>
        </w:rPr>
        <w:t>Conflicts</w:t>
      </w:r>
      <w:r>
        <w:rPr>
          <w:rFonts w:ascii="Times New Roman" w:cs="Times New Roman" w:eastAsia="Times New Roman" w:hAnsi="Times New Roman"/>
          <w:sz w:val="22"/>
          <w:szCs w:val="22"/>
          <w:color w:val="auto"/>
        </w:rPr>
        <w:t>. In the event of any conflict or inconsistency between the provisions of this Agreement and the provisions of any of the First Lien Security Documents or any of the other First Lien Debt Documents, the provisions of this Agreement shall control.</w:t>
      </w:r>
    </w:p>
    <w:p>
      <w:pPr>
        <w:spacing w:after="0" w:line="194" w:lineRule="exact"/>
        <w:rPr>
          <w:sz w:val="20"/>
          <w:szCs w:val="20"/>
          <w:color w:val="auto"/>
        </w:rPr>
      </w:pPr>
    </w:p>
    <w:p>
      <w:pPr>
        <w:jc w:val="both"/>
        <w:ind w:firstLine="649"/>
        <w:spacing w:after="0" w:line="249"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i w:val="1"/>
          <w:iCs w:val="1"/>
          <w:color w:val="auto"/>
        </w:rPr>
        <w:t>Provisions Solely to Define Relative Rights</w:t>
      </w:r>
      <w:r>
        <w:rPr>
          <w:rFonts w:ascii="Times New Roman" w:cs="Times New Roman" w:eastAsia="Times New Roman" w:hAnsi="Times New Roman"/>
          <w:sz w:val="22"/>
          <w:szCs w:val="22"/>
          <w:color w:val="auto"/>
        </w:rPr>
        <w:t>. The provisions of this Agreement are and are intended solely for the purpose of defining the relative rights of the First Lien Secured Parties in relation to one another. None of the Company, any other Grantor or any creditor thereof shall have any rights or obligations hereunder, except as expressly provided in this Agreement, and none of the Company or any other Grantor may rely on the terms hereof (other than Sections 2.04, 2.05, 2.09, 5.02(b) and 5.12). Notwithstanding anything in this Agreement to the contrary (other than Sections 2.04, 2.05, 2.09, 5.02(b), and 5.12), nothing in this Agreement is intended to or will amend, waive or otherwise modify the provisions of the Credit Agreement, any other First Lien Debt Document, or permit the Company or any Grantor to take any action, or fail to take any action, to the extent such action or failure would otherwise constitute a breach of, or default under, the Credit Agreement or any other First Lien Debt Document or obligate the Company or any Grantor to take any action, or fail to take any action, that would otherwise constitute a breach of, or default under, the Credit Agreement or any other First Lien Debt Document. Nothing in this Agreement is intended to or shall impair the obligations of any Grantor, which are absolute and unconditional, to pay the First Lien Obligations as and when the same shall become due and payable in accordance with their terms.</w:t>
      </w:r>
    </w:p>
    <w:p>
      <w:pPr>
        <w:spacing w:after="0" w:line="179" w:lineRule="exact"/>
        <w:rPr>
          <w:sz w:val="20"/>
          <w:szCs w:val="20"/>
          <w:color w:val="auto"/>
        </w:rPr>
      </w:pPr>
    </w:p>
    <w:p>
      <w:pPr>
        <w:jc w:val="both"/>
        <w:ind w:firstLine="649"/>
        <w:spacing w:after="0" w:line="249"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i w:val="1"/>
          <w:iCs w:val="1"/>
          <w:color w:val="auto"/>
        </w:rPr>
        <w:t>Additional Senior Debt</w:t>
      </w:r>
      <w:r>
        <w:rPr>
          <w:rFonts w:ascii="Times New Roman" w:cs="Times New Roman" w:eastAsia="Times New Roman" w:hAnsi="Times New Roman"/>
          <w:sz w:val="22"/>
          <w:szCs w:val="22"/>
          <w:color w:val="auto"/>
        </w:rPr>
        <w:t>. To the extent, but only to the extent, permitted by the provisions of the then extant Credit Agreement and the Additional First Lien Documents, the Company may incur additional indebtedness after the date hereof that is permitted by the Credit Agreement and the Additional First Lien Documents to be incurred and secured on an equal and ratable basis by the Liens securing the then extant First Lien Obligations (such indebtedness referred to as “</w:t>
      </w:r>
      <w:r>
        <w:rPr>
          <w:rFonts w:ascii="Times New Roman" w:cs="Times New Roman" w:eastAsia="Times New Roman" w:hAnsi="Times New Roman"/>
          <w:sz w:val="22"/>
          <w:szCs w:val="22"/>
          <w:u w:val="single" w:color="auto"/>
          <w:color w:val="auto"/>
        </w:rPr>
        <w:t>Additional Senior Class Debt</w:t>
      </w:r>
      <w:r>
        <w:rPr>
          <w:rFonts w:ascii="Times New Roman" w:cs="Times New Roman" w:eastAsia="Times New Roman" w:hAnsi="Times New Roman"/>
          <w:sz w:val="22"/>
          <w:szCs w:val="22"/>
          <w:color w:val="auto"/>
        </w:rPr>
        <w:t>”). Any such Additional Senior Class Debt may be secured by a Lien and may be Guaranteed by the Grantors on a senior basis, in each case under and pursuant to the Additional First Lien Documents, if and subject to the condition that the Authorized Representative of any such Additional Senior Class Debt (each, an “</w:t>
      </w:r>
      <w:r>
        <w:rPr>
          <w:rFonts w:ascii="Times New Roman" w:cs="Times New Roman" w:eastAsia="Times New Roman" w:hAnsi="Times New Roman"/>
          <w:sz w:val="22"/>
          <w:szCs w:val="22"/>
          <w:u w:val="single" w:color="auto"/>
          <w:color w:val="auto"/>
        </w:rPr>
        <w:t>Additional Senior Class Debt Representative</w:t>
      </w:r>
      <w:r>
        <w:rPr>
          <w:rFonts w:ascii="Times New Roman" w:cs="Times New Roman" w:eastAsia="Times New Roman" w:hAnsi="Times New Roman"/>
          <w:sz w:val="22"/>
          <w:szCs w:val="22"/>
          <w:color w:val="auto"/>
        </w:rPr>
        <w:t xml:space="preserve">”), and the collateral agent, collateral trustee or similar representative for the holders of such Additional Senior Class Debt (each, an “ </w:t>
      </w:r>
      <w:r>
        <w:rPr>
          <w:rFonts w:ascii="Times New Roman" w:cs="Times New Roman" w:eastAsia="Times New Roman" w:hAnsi="Times New Roman"/>
          <w:sz w:val="22"/>
          <w:szCs w:val="22"/>
          <w:u w:val="single" w:color="auto"/>
          <w:color w:val="auto"/>
        </w:rPr>
        <w:t>Additional Senior Class Debt Collateral Agent</w:t>
      </w:r>
      <w:r>
        <w:rPr>
          <w:rFonts w:ascii="Times New Roman" w:cs="Times New Roman" w:eastAsia="Times New Roman" w:hAnsi="Times New Roman"/>
          <w:sz w:val="22"/>
          <w:szCs w:val="22"/>
          <w:color w:val="auto"/>
        </w:rPr>
        <w:t>”), in each case, acting on behalf of the holders of such Additional Senior Class Debt becomes a party to this Agreement by satisfying the conditions set forth in clauses (i) through (iv) of the immediately succeeding paragraph.</w:t>
      </w:r>
    </w:p>
    <w:p>
      <w:pPr>
        <w:spacing w:after="0" w:line="181" w:lineRule="exact"/>
        <w:rPr>
          <w:sz w:val="20"/>
          <w:szCs w:val="20"/>
          <w:color w:val="auto"/>
        </w:rPr>
      </w:pPr>
    </w:p>
    <w:p>
      <w:pPr>
        <w:ind w:right="20" w:firstLine="649"/>
        <w:spacing w:after="0" w:line="284" w:lineRule="auto"/>
        <w:rPr>
          <w:sz w:val="20"/>
          <w:szCs w:val="20"/>
          <w:color w:val="auto"/>
        </w:rPr>
      </w:pPr>
      <w:r>
        <w:rPr>
          <w:rFonts w:ascii="Times New Roman" w:cs="Times New Roman" w:eastAsia="Times New Roman" w:hAnsi="Times New Roman"/>
          <w:sz w:val="22"/>
          <w:szCs w:val="22"/>
          <w:color w:val="auto"/>
        </w:rPr>
        <w:t>In order for an Additional Senior Class Debt Representative and the related Additional Senior Class Debt Collateral Agent to become a party to this Agreement,</w:t>
      </w:r>
    </w:p>
    <w:p>
      <w:pPr>
        <w:spacing w:after="0" w:line="130" w:lineRule="exact"/>
        <w:rPr>
          <w:sz w:val="20"/>
          <w:szCs w:val="20"/>
          <w:color w:val="auto"/>
        </w:rPr>
      </w:pPr>
    </w:p>
    <w:p>
      <w:pPr>
        <w:ind w:left="640" w:right="160" w:firstLine="654"/>
        <w:spacing w:after="0" w:line="271" w:lineRule="auto"/>
        <w:tabs>
          <w:tab w:leader="none" w:pos="1655" w:val="left"/>
        </w:tabs>
        <w:numPr>
          <w:ilvl w:val="0"/>
          <w:numId w:val="347"/>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211E1F"/>
        </w:rPr>
        <w:t>such Additional Senior Class Debt Representative and Additional Senior Class Debt Collateral Agent shall have executed and delivered a Joinder Agreement</w:t>
      </w:r>
    </w:p>
    <w:p>
      <w:pPr>
        <w:sectPr>
          <w:pgSz w:w="11900" w:h="16838" w:orient="portrait"/>
          <w:cols w:equalWidth="0" w:num="1">
            <w:col w:w="10760"/>
          </w:cols>
          <w:pgMar w:left="600" w:top="909" w:right="539" w:bottom="1440" w:gutter="0" w:footer="0" w:header="0"/>
        </w:sectPr>
      </w:pPr>
    </w:p>
    <w:bookmarkStart w:id="261" w:name="page262"/>
    <w:bookmarkEnd w:id="261"/>
    <w:p>
      <w:pPr>
        <w:jc w:val="both"/>
        <w:ind w:left="640" w:right="140"/>
        <w:spacing w:after="0" w:line="263" w:lineRule="auto"/>
        <w:rPr>
          <w:sz w:val="20"/>
          <w:szCs w:val="20"/>
          <w:color w:val="auto"/>
        </w:rPr>
      </w:pPr>
      <w:r>
        <w:rPr>
          <w:rFonts w:ascii="Times New Roman" w:cs="Times New Roman" w:eastAsia="Times New Roman" w:hAnsi="Times New Roman"/>
          <w:sz w:val="21"/>
          <w:szCs w:val="21"/>
          <w:color w:val="211E1F"/>
        </w:rPr>
        <w:t>substantially in the form of Annex II (with such changes as may be reasonably approved by the Applicable Authorized Representative and the Company and such Additional Senior Class Debt Representative), and provided a copy of such executed Joinder Agreement to each Authorized Representative pursuant to which such Additional Senior Class Debt Representative becomes an “</w:t>
      </w:r>
      <w:r>
        <w:rPr>
          <w:rFonts w:ascii="Times New Roman" w:cs="Times New Roman" w:eastAsia="Times New Roman" w:hAnsi="Times New Roman"/>
          <w:sz w:val="21"/>
          <w:szCs w:val="21"/>
          <w:u w:val="single" w:color="auto"/>
          <w:color w:val="211E1F"/>
        </w:rPr>
        <w:t>Authorized Representative</w:t>
      </w:r>
      <w:r>
        <w:rPr>
          <w:rFonts w:ascii="Times New Roman" w:cs="Times New Roman" w:eastAsia="Times New Roman" w:hAnsi="Times New Roman"/>
          <w:sz w:val="21"/>
          <w:szCs w:val="21"/>
          <w:color w:val="211E1F"/>
        </w:rPr>
        <w:t>” hereunder, such Additional Senior Class Debt Collateral Agent becomes a “</w:t>
      </w:r>
      <w:r>
        <w:rPr>
          <w:rFonts w:ascii="Times New Roman" w:cs="Times New Roman" w:eastAsia="Times New Roman" w:hAnsi="Times New Roman"/>
          <w:sz w:val="21"/>
          <w:szCs w:val="21"/>
          <w:u w:val="single" w:color="auto"/>
          <w:color w:val="211E1F"/>
        </w:rPr>
        <w:t>Collateral Agent</w:t>
      </w:r>
      <w:r>
        <w:rPr>
          <w:rFonts w:ascii="Times New Roman" w:cs="Times New Roman" w:eastAsia="Times New Roman" w:hAnsi="Times New Roman"/>
          <w:sz w:val="21"/>
          <w:szCs w:val="21"/>
          <w:color w:val="211E1F"/>
        </w:rPr>
        <w:t>” hereunder and the Additional Senior Class Debt in respect of which such Additional Senior Class Debt Representative is the Authorized Representative and the related Additional Senior Class Debt Secured Parties become subject hereto and bound hereby;</w:t>
      </w:r>
    </w:p>
    <w:p>
      <w:pPr>
        <w:spacing w:after="0" w:line="186" w:lineRule="exact"/>
        <w:rPr>
          <w:sz w:val="20"/>
          <w:szCs w:val="20"/>
          <w:color w:val="auto"/>
        </w:rPr>
      </w:pPr>
    </w:p>
    <w:p>
      <w:pPr>
        <w:jc w:val="both"/>
        <w:ind w:left="640" w:right="60" w:firstLine="654"/>
        <w:spacing w:after="0" w:line="250" w:lineRule="auto"/>
        <w:tabs>
          <w:tab w:leader="none" w:pos="1661" w:val="left"/>
        </w:tabs>
        <w:numPr>
          <w:ilvl w:val="0"/>
          <w:numId w:val="348"/>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211E1F"/>
        </w:rPr>
        <w:t>the Company shall have (x) delivered to each Authorized Representative true and complete copies of each of the Additional First Lien Documents relating to such Additional Senior Class Debt, certified as being true and correct by a responsible officer of the Company, and (y) identified in a certificate of an authorized officer the obligations to be designated as Additional First Lien Obligations and the initial aggregate principal amount or face amount thereof and stating that such obligations are permitted to be incurred and secured on a pari passu basis with the Liens securing the then-existing First Lien Obligations and by the terms of the then-existing First Lien Debt Documents;</w:t>
      </w:r>
    </w:p>
    <w:p>
      <w:pPr>
        <w:spacing w:after="0" w:line="193" w:lineRule="exact"/>
        <w:rPr>
          <w:rFonts w:ascii="Times New Roman" w:cs="Times New Roman" w:eastAsia="Times New Roman" w:hAnsi="Times New Roman"/>
          <w:sz w:val="22"/>
          <w:szCs w:val="22"/>
          <w:color w:val="211E1F"/>
        </w:rPr>
      </w:pPr>
    </w:p>
    <w:p>
      <w:pPr>
        <w:jc w:val="both"/>
        <w:ind w:left="640" w:right="20" w:firstLine="654"/>
        <w:spacing w:after="0" w:line="250" w:lineRule="auto"/>
        <w:tabs>
          <w:tab w:leader="none" w:pos="1667" w:val="left"/>
        </w:tabs>
        <w:numPr>
          <w:ilvl w:val="0"/>
          <w:numId w:val="348"/>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211E1F"/>
        </w:rPr>
        <w:t>all filings, recordations and/or amendments or supplements to the First Lien Security Documents necessary or desirable in the reasonable judgment of such Additional Senior Class Debt Representative to confirm and perfect the Liens securing the relevant obligations relating to such Additional Senior Class Debt shall have been made, executed and/or delivered (or, with respect to any such filings or recordations, acceptable provisions to perform such filings or recordations shall have been taken in the reasonable judgment of such Additional Senior Class Debt Representative), and all fees and taxes in connection therewith shall have been paid (or acceptable provisions to make such payments shall have been taken in the reasonable judgment of such Additional Senior Class Debt Representative); and</w:t>
      </w:r>
    </w:p>
    <w:p>
      <w:pPr>
        <w:spacing w:after="0" w:line="186" w:lineRule="exact"/>
        <w:rPr>
          <w:rFonts w:ascii="Times New Roman" w:cs="Times New Roman" w:eastAsia="Times New Roman" w:hAnsi="Times New Roman"/>
          <w:sz w:val="22"/>
          <w:szCs w:val="22"/>
          <w:color w:val="211E1F"/>
        </w:rPr>
      </w:pPr>
    </w:p>
    <w:p>
      <w:pPr>
        <w:jc w:val="both"/>
        <w:ind w:left="640" w:right="160" w:firstLine="654"/>
        <w:spacing w:after="0" w:line="256" w:lineRule="auto"/>
        <w:tabs>
          <w:tab w:leader="none" w:pos="1655" w:val="left"/>
        </w:tabs>
        <w:numPr>
          <w:ilvl w:val="0"/>
          <w:numId w:val="348"/>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211E1F"/>
        </w:rPr>
        <w:t>the Additional First Lien Documents, as applicable, relating to such Additional Senior Class Debt shall provide, in a manner reasonably satisfactory to each Collateral Agent, that each Additional Senior Class Debt Secured Party with respect to such Additional Senior Class Debt will be subject to and bound by the provisions of this Agreement in its capacity as a holder of such Additional Senior Class Debt.</w:t>
      </w:r>
    </w:p>
    <w:p>
      <w:pPr>
        <w:spacing w:after="0" w:line="159" w:lineRule="exact"/>
        <w:rPr>
          <w:sz w:val="20"/>
          <w:szCs w:val="20"/>
          <w:color w:val="auto"/>
        </w:rPr>
      </w:pPr>
    </w:p>
    <w:p>
      <w:pPr>
        <w:jc w:val="both"/>
        <w:ind w:firstLine="649"/>
        <w:spacing w:after="0" w:line="238"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i w:val="1"/>
          <w:iCs w:val="1"/>
          <w:color w:val="auto"/>
        </w:rPr>
        <w:t>Agent Capacities</w:t>
      </w:r>
      <w:r>
        <w:rPr>
          <w:rFonts w:ascii="Times New Roman" w:cs="Times New Roman" w:eastAsia="Times New Roman" w:hAnsi="Times New Roman"/>
          <w:sz w:val="22"/>
          <w:szCs w:val="22"/>
          <w:color w:val="auto"/>
        </w:rPr>
        <w:t>. Except as expressly provided herein or in the Credit Agreement Collateral Documents, JPMorgan is acting in the capacities of First Lien Administrative Agent and Credit Agreement Collateral Agent solely for the Credit Agreement Secured Parties. Except as expressly provided herein or in the Initial Additional First Lien Documents, Wilmington Trust, National Association is acting in the capacity of Initial Additional First Lien Collateral Agent solely for the Initial Additional First Lien Secured Parties. Except as expressly set forth herein, none of the First Lien Administrative Agent, the Credit Agreement Collateral Agent, the Initial Additional Authorized Representative or the Additional First Lien Collateral Agent shall have any duties or obligations in respect of any of the Collateral, all of such duties and obligations, if any, being subject to and governed by the applicable First Lien Debt Documents. It is understood and agreed that Wilmington Trust, National Association is entering into this Agreement in its capacity as Notes Collateral Agent under the Initial Additional First Lien Documents and the provisions of the Initial Additional First Lien Documents granting or extending any rights, protections, privileges, indemnities and</w:t>
      </w:r>
    </w:p>
    <w:p>
      <w:pPr>
        <w:sectPr>
          <w:pgSz w:w="11900" w:h="16838" w:orient="portrait"/>
          <w:cols w:equalWidth="0" w:num="1">
            <w:col w:w="10760"/>
          </w:cols>
          <w:pgMar w:left="600" w:top="922" w:right="539" w:bottom="1440" w:gutter="0" w:footer="0" w:header="0"/>
        </w:sectPr>
      </w:pPr>
    </w:p>
    <w:bookmarkStart w:id="262" w:name="page263"/>
    <w:bookmarkEnd w:id="262"/>
    <w:p>
      <w:pPr>
        <w:jc w:val="both"/>
        <w:spacing w:after="0" w:line="271" w:lineRule="auto"/>
        <w:rPr>
          <w:sz w:val="20"/>
          <w:szCs w:val="20"/>
          <w:color w:val="auto"/>
        </w:rPr>
      </w:pPr>
      <w:r>
        <w:rPr>
          <w:rFonts w:ascii="Times New Roman" w:cs="Times New Roman" w:eastAsia="Times New Roman" w:hAnsi="Times New Roman"/>
          <w:sz w:val="22"/>
          <w:szCs w:val="22"/>
          <w:color w:val="auto"/>
        </w:rPr>
        <w:t>immunities to Wilmington Trust, National Association thereunder shall also apply to its acting as Initial Additional First Lien Collateral Agent and Initial Additional Authorized Representative hereunder.</w:t>
      </w:r>
    </w:p>
    <w:p>
      <w:pPr>
        <w:spacing w:after="0" w:line="140" w:lineRule="exact"/>
        <w:rPr>
          <w:sz w:val="20"/>
          <w:szCs w:val="20"/>
          <w:color w:val="auto"/>
        </w:rPr>
      </w:pPr>
    </w:p>
    <w:p>
      <w:pPr>
        <w:jc w:val="both"/>
        <w:ind w:firstLine="649"/>
        <w:spacing w:after="0" w:line="262" w:lineRule="auto"/>
        <w:rPr>
          <w:sz w:val="20"/>
          <w:szCs w:val="20"/>
          <w:color w:val="auto"/>
        </w:rPr>
      </w:pPr>
      <w:r>
        <w:rPr>
          <w:rFonts w:ascii="Times New Roman" w:cs="Times New Roman" w:eastAsia="Times New Roman" w:hAnsi="Times New Roman"/>
          <w:sz w:val="21"/>
          <w:szCs w:val="21"/>
          <w:color w:val="auto"/>
        </w:rPr>
        <w:t xml:space="preserve">Section 5.15. </w:t>
      </w:r>
      <w:r>
        <w:rPr>
          <w:rFonts w:ascii="Times New Roman" w:cs="Times New Roman" w:eastAsia="Times New Roman" w:hAnsi="Times New Roman"/>
          <w:sz w:val="21"/>
          <w:szCs w:val="21"/>
          <w:i w:val="1"/>
          <w:iCs w:val="1"/>
          <w:color w:val="auto"/>
        </w:rPr>
        <w:t>Integration</w:t>
      </w:r>
      <w:r>
        <w:rPr>
          <w:rFonts w:ascii="Times New Roman" w:cs="Times New Roman" w:eastAsia="Times New Roman" w:hAnsi="Times New Roman"/>
          <w:sz w:val="21"/>
          <w:szCs w:val="21"/>
          <w:color w:val="auto"/>
        </w:rPr>
        <w:t>. This Agreement together with the other First Lien Debt Documents and the First Lien Security Documents represents the entire agreement of each of the Grantors and the First Lien Secured Parties with respect to the subject matter hereof and there are no promises, undertakings, representations or warranties by any Grantor, any Collateral Agent, any Authorized Representative or any other First Lien Secured Party relative to the subject matter hereof not expressly set forth or referred to herein or in the other First Lien Debt Documents or the First Lien Security Documents.</w:t>
      </w:r>
    </w:p>
    <w:p>
      <w:pPr>
        <w:spacing w:after="0" w:line="167" w:lineRule="exact"/>
        <w:rPr>
          <w:sz w:val="20"/>
          <w:szCs w:val="20"/>
          <w:color w:val="auto"/>
        </w:rPr>
      </w:pPr>
    </w:p>
    <w:p>
      <w:pPr>
        <w:jc w:val="both"/>
        <w:ind w:firstLine="649"/>
        <w:spacing w:after="0" w:line="263"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i w:val="1"/>
          <w:iCs w:val="1"/>
          <w:color w:val="auto"/>
        </w:rPr>
        <w:t>Additional Grantors</w:t>
      </w:r>
      <w:r>
        <w:rPr>
          <w:rFonts w:ascii="Times New Roman" w:cs="Times New Roman" w:eastAsia="Times New Roman" w:hAnsi="Times New Roman"/>
          <w:sz w:val="21"/>
          <w:szCs w:val="21"/>
          <w:color w:val="auto"/>
        </w:rPr>
        <w:t xml:space="preserve"> . Each of Holdings and the Company agrees that, if any Subsidiary or other Person shall become a Grantor after the date hereof, it will promptly cause such Subsidiary or other Person to become party hereto by executing and delivering an instrument in the form of Annex I. Upon such execution and delivery, such Subsidiary or other Person will become a Grantor hereunder with the same force and effect as if originally named as a Grantor herein. The execution and delivery of such instrument shall not require the consent of any other party hereunder, and will be acknowledged by the Applicable Authorized Representative and the Applicable Collateral Agent. The rights and obligations of each Grantor hereunder shall remain in full force and effect notwithstanding the addition of any new Grantor as a party to this Agreement. The Company will deliver copies of each such instrument to each Authorized Representative.</w:t>
      </w:r>
    </w:p>
    <w:p>
      <w:pPr>
        <w:spacing w:after="0" w:line="192" w:lineRule="exact"/>
        <w:rPr>
          <w:sz w:val="20"/>
          <w:szCs w:val="20"/>
          <w:color w:val="auto"/>
        </w:rPr>
      </w:pPr>
    </w:p>
    <w:p>
      <w:pPr>
        <w:jc w:val="both"/>
        <w:ind w:right="20" w:firstLine="649"/>
        <w:spacing w:after="0" w:line="262"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i w:val="1"/>
          <w:iCs w:val="1"/>
          <w:color w:val="auto"/>
        </w:rPr>
        <w:t>No Fiduciary Duty.</w:t>
      </w:r>
      <w:r>
        <w:rPr>
          <w:rFonts w:ascii="Times New Roman" w:cs="Times New Roman" w:eastAsia="Times New Roman" w:hAnsi="Times New Roman"/>
          <w:sz w:val="22"/>
          <w:szCs w:val="22"/>
          <w:color w:val="auto"/>
        </w:rPr>
        <w:t xml:space="preserve"> No Collateral Agent shall be deemed to owe any fiduciary duty to any party hereto, any Authorized Representative or any other First Lien Secured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0760"/>
          </w:cols>
          <w:pgMar w:left="600" w:top="922" w:right="539" w:bottom="1440" w:gutter="0" w:footer="0" w:header="0"/>
        </w:sectPr>
      </w:pPr>
    </w:p>
    <w:bookmarkStart w:id="263" w:name="page264"/>
    <w:bookmarkEnd w:id="263"/>
    <w:p>
      <w:pPr>
        <w:ind w:right="280" w:firstLine="649"/>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Credit Agreement Collateral Agent</w:t>
      </w:r>
    </w:p>
    <w:p>
      <w:pPr>
        <w:spacing w:after="0" w:line="196" w:lineRule="exact"/>
        <w:rPr>
          <w:sz w:val="20"/>
          <w:szCs w:val="20"/>
          <w:color w:val="auto"/>
        </w:rPr>
      </w:pPr>
    </w:p>
    <w:p>
      <w:pPr>
        <w:ind w:left="4540"/>
        <w:spacing w:after="0"/>
        <w:tabs>
          <w:tab w:leader="none" w:pos="554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-13970</wp:posOffset>
            </wp:positionV>
            <wp:extent cx="274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22"/>
          <w:szCs w:val="22"/>
          <w:color w:val="auto"/>
        </w:rPr>
        <w:t>Title:</w:t>
      </w:r>
    </w:p>
    <w:p>
      <w:pPr>
        <w:spacing w:after="0" w:line="385" w:lineRule="exact"/>
        <w:rPr>
          <w:sz w:val="20"/>
          <w:szCs w:val="20"/>
          <w:color w:val="auto"/>
        </w:rPr>
      </w:pPr>
    </w:p>
    <w:p>
      <w:pPr>
        <w:ind w:left="4540"/>
        <w:spacing w:after="0"/>
        <w:tabs>
          <w:tab w:leader="none" w:pos="554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-13970</wp:posOffset>
            </wp:positionV>
            <wp:extent cx="274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as Authorized Representative for the Credit Agreement Secured Parties</w:t>
      </w:r>
    </w:p>
    <w:p>
      <w:pPr>
        <w:spacing w:after="0" w:line="194" w:lineRule="exact"/>
        <w:rPr>
          <w:sz w:val="20"/>
          <w:szCs w:val="20"/>
          <w:color w:val="auto"/>
        </w:rPr>
      </w:pPr>
    </w:p>
    <w:p>
      <w:pPr>
        <w:ind w:left="4540"/>
        <w:spacing w:after="0"/>
        <w:tabs>
          <w:tab w:leader="none" w:pos="554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-13970</wp:posOffset>
            </wp:positionV>
            <wp:extent cx="274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0" w:lineRule="exact"/>
        <w:rPr>
          <w:sz w:val="20"/>
          <w:szCs w:val="20"/>
          <w:color w:val="auto"/>
        </w:rPr>
      </w:pPr>
    </w:p>
    <w:p>
      <w:pPr>
        <w:ind w:left="4540"/>
        <w:spacing w:after="0"/>
        <w:tabs>
          <w:tab w:leader="none" w:pos="554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-13970</wp:posOffset>
            </wp:positionV>
            <wp:extent cx="274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First Lien Pari Passu Intercreditor Agreement</w:t>
      </w:r>
      <w:r>
        <w:rPr>
          <w:rFonts w:ascii="Times New Roman" w:cs="Times New Roman" w:eastAsia="Times New Roman" w:hAnsi="Times New Roman"/>
          <w:sz w:val="20"/>
          <w:szCs w:val="20"/>
          <w:color w:val="auto"/>
        </w:rPr>
        <w:t>]</w:t>
      </w:r>
    </w:p>
    <w:p>
      <w:pPr>
        <w:sectPr>
          <w:pgSz w:w="11900" w:h="16838" w:orient="portrait"/>
          <w:cols w:equalWidth="0" w:num="1">
            <w:col w:w="10700"/>
          </w:cols>
          <w:pgMar w:left="600" w:top="1408" w:right="599" w:bottom="1440" w:gutter="0" w:footer="0" w:header="0"/>
        </w:sectPr>
      </w:pPr>
    </w:p>
    <w:bookmarkStart w:id="264" w:name="page265"/>
    <w:bookmarkEnd w:id="264"/>
    <w:p>
      <w:pPr>
        <w:spacing w:after="0" w:line="200" w:lineRule="exact"/>
        <w:rPr>
          <w:sz w:val="20"/>
          <w:szCs w:val="20"/>
          <w:color w:val="auto"/>
        </w:rPr>
      </w:pPr>
    </w:p>
    <w:p>
      <w:pPr>
        <w:spacing w:after="0" w:line="224" w:lineRule="exact"/>
        <w:rPr>
          <w:sz w:val="20"/>
          <w:szCs w:val="20"/>
          <w:color w:val="auto"/>
        </w:rPr>
      </w:pPr>
    </w:p>
    <w:p>
      <w:pPr>
        <w:ind w:left="3700" w:right="560"/>
        <w:spacing w:after="0" w:line="299" w:lineRule="auto"/>
        <w:rPr>
          <w:sz w:val="20"/>
          <w:szCs w:val="20"/>
          <w:color w:val="auto"/>
        </w:rPr>
      </w:pPr>
      <w:r>
        <w:rPr>
          <w:rFonts w:ascii="Times New Roman" w:cs="Times New Roman" w:eastAsia="Times New Roman" w:hAnsi="Times New Roman"/>
          <w:sz w:val="21"/>
          <w:szCs w:val="21"/>
          <w:b w:val="1"/>
          <w:bCs w:val="1"/>
          <w:color w:val="auto"/>
        </w:rPr>
        <w:t>WILMINGTON TRUST, NATIONAL ASSOCIATION</w:t>
      </w:r>
      <w:r>
        <w:rPr>
          <w:rFonts w:ascii="Times New Roman" w:cs="Times New Roman" w:eastAsia="Times New Roman" w:hAnsi="Times New Roman"/>
          <w:sz w:val="21"/>
          <w:szCs w:val="21"/>
          <w:color w:val="auto"/>
        </w:rPr>
        <w:t>, as Additional First Lien Collateral Agent</w:t>
      </w:r>
    </w:p>
    <w:p>
      <w:pPr>
        <w:spacing w:after="0" w:line="118" w:lineRule="exact"/>
        <w:rPr>
          <w:sz w:val="20"/>
          <w:szCs w:val="20"/>
          <w:color w:val="auto"/>
        </w:rPr>
      </w:pPr>
    </w:p>
    <w:p>
      <w:pPr>
        <w:ind w:left="3700"/>
        <w:spacing w:after="0"/>
        <w:tabs>
          <w:tab w:leader="none" w:pos="470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274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jc w:val="center"/>
        <w:ind w:right="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WILMINGTON TRUST, NATIONAL</w:t>
      </w:r>
    </w:p>
    <w:p>
      <w:pPr>
        <w:spacing w:after="0" w:line="3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ASSOCIATION</w:t>
      </w:r>
      <w:r>
        <w:rPr>
          <w:rFonts w:ascii="Times New Roman" w:cs="Times New Roman" w:eastAsia="Times New Roman" w:hAnsi="Times New Roman"/>
          <w:sz w:val="21"/>
          <w:szCs w:val="21"/>
          <w:color w:val="auto"/>
        </w:rPr>
        <w:t>, as Initial Additional Authorized Representative</w:t>
      </w:r>
    </w:p>
    <w:p>
      <w:pPr>
        <w:spacing w:after="0" w:line="192" w:lineRule="exact"/>
        <w:rPr>
          <w:sz w:val="20"/>
          <w:szCs w:val="20"/>
          <w:color w:val="auto"/>
        </w:rPr>
      </w:pPr>
    </w:p>
    <w:p>
      <w:pPr>
        <w:ind w:left="3700"/>
        <w:spacing w:after="0"/>
        <w:tabs>
          <w:tab w:leader="none" w:pos="470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274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First Lien Pari Passu Intercreditor Agreement</w:t>
      </w:r>
      <w:r>
        <w:rPr>
          <w:rFonts w:ascii="Times New Roman" w:cs="Times New Roman" w:eastAsia="Times New Roman" w:hAnsi="Times New Roman"/>
          <w:sz w:val="20"/>
          <w:szCs w:val="20"/>
          <w:color w:val="auto"/>
        </w:rPr>
        <w:t>]</w:t>
      </w:r>
    </w:p>
    <w:p>
      <w:pPr>
        <w:sectPr>
          <w:pgSz w:w="11900" w:h="16838" w:orient="portrait"/>
          <w:cols w:equalWidth="0" w:num="1">
            <w:col w:w="9400"/>
          </w:cols>
          <w:pgMar w:left="1440" w:top="1440" w:right="1059" w:bottom="1440" w:gutter="0" w:footer="0" w:header="0"/>
        </w:sectPr>
      </w:pPr>
    </w:p>
    <w:bookmarkStart w:id="265" w:name="page266"/>
    <w:bookmarkEnd w:id="265"/>
    <w:p>
      <w:pPr>
        <w:ind w:left="3700"/>
        <w:spacing w:after="0"/>
        <w:rPr>
          <w:sz w:val="20"/>
          <w:szCs w:val="20"/>
          <w:color w:val="auto"/>
        </w:rPr>
      </w:pPr>
      <w:r>
        <w:rPr>
          <w:rFonts w:ascii="Times New Roman" w:cs="Times New Roman" w:eastAsia="Times New Roman" w:hAnsi="Times New Roman"/>
          <w:sz w:val="22"/>
          <w:szCs w:val="22"/>
          <w:b w:val="1"/>
          <w:bCs w:val="1"/>
          <w:color w:val="auto"/>
        </w:rPr>
        <w:t xml:space="preserve">SOTERA HEALTH COMPANY, </w:t>
      </w:r>
      <w:r>
        <w:rPr>
          <w:rFonts w:ascii="Times New Roman" w:cs="Times New Roman" w:eastAsia="Times New Roman" w:hAnsi="Times New Roman"/>
          <w:sz w:val="22"/>
          <w:szCs w:val="22"/>
          <w:color w:val="auto"/>
        </w:rPr>
        <w:t>as</w:t>
      </w:r>
    </w:p>
    <w:p>
      <w:pPr>
        <w:spacing w:after="0" w:line="1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Holdings</w:t>
      </w:r>
    </w:p>
    <w:p>
      <w:pPr>
        <w:spacing w:after="0" w:line="209" w:lineRule="exact"/>
        <w:rPr>
          <w:sz w:val="20"/>
          <w:szCs w:val="20"/>
          <w:color w:val="auto"/>
        </w:rPr>
      </w:pPr>
    </w:p>
    <w:p>
      <w:pPr>
        <w:ind w:left="3700"/>
        <w:spacing w:after="0"/>
        <w:tabs>
          <w:tab w:leader="none" w:pos="470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274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jc w:val="center"/>
        <w:ind w:right="-140"/>
        <w:spacing w:after="0"/>
        <w:rPr>
          <w:sz w:val="20"/>
          <w:szCs w:val="20"/>
          <w:color w:val="auto"/>
        </w:rPr>
      </w:pPr>
      <w:r>
        <w:rPr>
          <w:rFonts w:ascii="Times New Roman" w:cs="Times New Roman" w:eastAsia="Times New Roman" w:hAnsi="Times New Roman"/>
          <w:sz w:val="22"/>
          <w:szCs w:val="22"/>
          <w:color w:val="auto"/>
        </w:rPr>
        <w:t>Title:</w:t>
      </w:r>
    </w:p>
    <w:p>
      <w:pPr>
        <w:spacing w:after="0" w:line="16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SOTERA HEALTH HOLDINGS, LLC,</w:t>
      </w:r>
    </w:p>
    <w:p>
      <w:pPr>
        <w:spacing w:after="0" w:line="1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as Company</w:t>
      </w:r>
    </w:p>
    <w:p>
      <w:pPr>
        <w:spacing w:after="0" w:line="196" w:lineRule="exact"/>
        <w:rPr>
          <w:sz w:val="20"/>
          <w:szCs w:val="20"/>
          <w:color w:val="auto"/>
        </w:rPr>
      </w:pPr>
    </w:p>
    <w:p>
      <w:pPr>
        <w:ind w:left="3700"/>
        <w:spacing w:after="0"/>
        <w:tabs>
          <w:tab w:leader="none" w:pos="470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274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Title:</w:t>
      </w:r>
    </w:p>
    <w:p>
      <w:pPr>
        <w:spacing w:after="0" w:line="19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SOTERA HEALTH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9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080"/>
        <w:spacing w:after="0" w:line="231" w:lineRule="auto"/>
        <w:rPr>
          <w:sz w:val="20"/>
          <w:szCs w:val="20"/>
          <w:color w:val="auto"/>
        </w:rPr>
      </w:pPr>
      <w:r>
        <w:rPr>
          <w:rFonts w:ascii="Times New Roman" w:cs="Times New Roman" w:eastAsia="Times New Roman" w:hAnsi="Times New Roman"/>
          <w:sz w:val="22"/>
          <w:szCs w:val="22"/>
          <w:color w:val="auto"/>
        </w:rPr>
        <w:t>Name: Jonathan M. Lyons</w:t>
      </w:r>
    </w:p>
    <w:p>
      <w:pPr>
        <w:jc w:val="right"/>
        <w:ind w:right="179"/>
        <w:spacing w:after="0"/>
        <w:rPr>
          <w:sz w:val="20"/>
          <w:szCs w:val="20"/>
          <w:color w:val="auto"/>
        </w:rPr>
      </w:pPr>
      <w:r>
        <w:rPr>
          <w:rFonts w:ascii="Times New Roman" w:cs="Times New Roman" w:eastAsia="Times New Roman" w:hAnsi="Times New Roman"/>
          <w:sz w:val="22"/>
          <w:szCs w:val="22"/>
          <w:color w:val="auto"/>
        </w:rPr>
        <w:t>Title: Senior Vice President, Chief Financial Officer</w:t>
      </w:r>
    </w:p>
    <w:p>
      <w:pPr>
        <w:spacing w:after="0" w:line="200" w:lineRule="exact"/>
        <w:rPr>
          <w:sz w:val="20"/>
          <w:szCs w:val="20"/>
          <w:color w:val="auto"/>
        </w:rPr>
      </w:pPr>
    </w:p>
    <w:p>
      <w:pPr>
        <w:spacing w:after="0" w:line="3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STERIGENICS U.S., LLC</w:t>
      </w:r>
      <w:r>
        <w:rPr>
          <w:rFonts w:ascii="Times New Roman" w:cs="Times New Roman" w:eastAsia="Times New Roman" w:hAnsi="Times New Roman"/>
          <w:sz w:val="22"/>
          <w:szCs w:val="22"/>
          <w:color w:val="auto"/>
        </w:rPr>
        <w:t>, as a Grantor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-11430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Michael P. Rutz</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NELSON LABORATORIES, LLC</w:t>
      </w:r>
      <w:r>
        <w:rPr>
          <w:rFonts w:ascii="Times New Roman" w:cs="Times New Roman" w:eastAsia="Times New Roman" w:hAnsi="Times New Roman"/>
          <w:sz w:val="22"/>
          <w:szCs w:val="22"/>
          <w:color w:val="auto"/>
        </w:rPr>
        <w:t>, as a</w:t>
      </w:r>
    </w:p>
    <w:p>
      <w:pPr>
        <w:spacing w:after="0" w:line="3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Grantor</w:t>
      </w:r>
    </w:p>
    <w:p>
      <w:pPr>
        <w:spacing w:after="0" w:line="198" w:lineRule="exact"/>
        <w:rPr>
          <w:sz w:val="20"/>
          <w:szCs w:val="20"/>
          <w:color w:val="auto"/>
        </w:rPr>
      </w:pPr>
    </w:p>
    <w:tbl>
      <w:tblPr>
        <w:tblLayout w:type="fixed"/>
        <w:tblInd w:w="3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1"/>
                <w:szCs w:val="21"/>
                <w:color w:val="auto"/>
              </w:rPr>
            </w:pPr>
          </w:p>
        </w:tc>
        <w:tc>
          <w:tcPr>
            <w:tcW w:w="2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Name: Jarremy Morgan</w:t>
            </w:r>
          </w:p>
        </w:tc>
      </w:tr>
      <w:tr>
        <w:trPr>
          <w:trHeight w:val="302"/>
        </w:trPr>
        <w:tc>
          <w:tcPr>
            <w:tcW w:w="520" w:type="dxa"/>
            <w:vAlign w:val="bottom"/>
          </w:tcPr>
          <w:p>
            <w:pPr>
              <w:spacing w:after="0"/>
              <w:rPr>
                <w:sz w:val="24"/>
                <w:szCs w:val="24"/>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SOTERA HEALTH SERVICES, LLC</w:t>
      </w:r>
      <w:r>
        <w:rPr>
          <w:rFonts w:ascii="Times New Roman" w:cs="Times New Roman" w:eastAsia="Times New Roman" w:hAnsi="Times New Roman"/>
          <w:sz w:val="22"/>
          <w:szCs w:val="22"/>
          <w:color w:val="auto"/>
        </w:rPr>
        <w:t>, as</w:t>
      </w:r>
    </w:p>
    <w:p>
      <w:pPr>
        <w:spacing w:after="0" w:line="1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a Grantor</w:t>
      </w:r>
    </w:p>
    <w:p>
      <w:pPr>
        <w:spacing w:after="0" w:line="200" w:lineRule="exact"/>
        <w:rPr>
          <w:sz w:val="20"/>
          <w:szCs w:val="20"/>
          <w:color w:val="auto"/>
        </w:rPr>
      </w:pPr>
    </w:p>
    <w:p>
      <w:pPr>
        <w:spacing w:after="0" w:line="243" w:lineRule="exact"/>
        <w:rPr>
          <w:sz w:val="20"/>
          <w:szCs w:val="20"/>
          <w:color w:val="auto"/>
        </w:rPr>
      </w:pPr>
    </w:p>
    <w:tbl>
      <w:tblPr>
        <w:tblLayout w:type="fixed"/>
        <w:tblInd w:w="3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1"/>
                <w:szCs w:val="21"/>
                <w:color w:val="auto"/>
              </w:rPr>
            </w:pPr>
          </w:p>
        </w:tc>
        <w:tc>
          <w:tcPr>
            <w:tcW w:w="236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7"/>
              </w:rPr>
              <w:t>Name: Jason Peterson</w:t>
            </w:r>
          </w:p>
        </w:tc>
      </w:tr>
      <w:tr>
        <w:trPr>
          <w:trHeight w:val="276"/>
        </w:trPr>
        <w:tc>
          <w:tcPr>
            <w:tcW w:w="520" w:type="dxa"/>
            <w:vAlign w:val="bottom"/>
          </w:tcPr>
          <w:p>
            <w:pPr>
              <w:spacing w:after="0"/>
              <w:rPr>
                <w:sz w:val="23"/>
                <w:szCs w:val="23"/>
                <w:color w:val="auto"/>
              </w:rPr>
            </w:pPr>
          </w:p>
        </w:tc>
        <w:tc>
          <w:tcPr>
            <w:tcW w:w="280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color w:val="auto"/>
                <w:w w:val="96"/>
              </w:rPr>
              <w:t>Title: Vice President, Treasurer</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First Lien Pari Passu Intercreditor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4" w:right="1440" w:bottom="1440" w:gutter="0" w:footer="0" w:header="0"/>
        </w:sectPr>
      </w:pPr>
    </w:p>
    <w:bookmarkStart w:id="266" w:name="page267"/>
    <w:bookmarkEnd w:id="266"/>
    <w:p>
      <w:pPr>
        <w:spacing w:after="0" w:line="208" w:lineRule="exact"/>
        <w:rPr>
          <w:sz w:val="20"/>
          <w:szCs w:val="20"/>
          <w:color w:val="auto"/>
        </w:rPr>
      </w:pPr>
    </w:p>
    <w:p>
      <w:pPr>
        <w:ind w:left="3700"/>
        <w:spacing w:after="0" w:line="250" w:lineRule="auto"/>
        <w:rPr>
          <w:sz w:val="20"/>
          <w:szCs w:val="20"/>
          <w:color w:val="auto"/>
        </w:rPr>
      </w:pPr>
      <w:r>
        <w:rPr>
          <w:rFonts w:ascii="Times New Roman" w:cs="Times New Roman" w:eastAsia="Times New Roman" w:hAnsi="Times New Roman"/>
          <w:sz w:val="22"/>
          <w:szCs w:val="22"/>
          <w:b w:val="1"/>
          <w:bCs w:val="1"/>
          <w:color w:val="auto"/>
        </w:rPr>
        <w:t>STERIGENICS RADIATION TECHNOLOGIES HOLDINGS, LLC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w:t>
      </w:r>
    </w:p>
    <w:p>
      <w:pPr>
        <w:ind w:left="3680"/>
        <w:spacing w:after="0"/>
        <w:rPr>
          <w:sz w:val="20"/>
          <w:szCs w:val="20"/>
          <w:color w:val="auto"/>
        </w:rPr>
      </w:pPr>
      <w:r>
        <w:rPr>
          <w:rFonts w:ascii="Times New Roman" w:cs="Times New Roman" w:eastAsia="Times New Roman" w:hAnsi="Times New Roman"/>
          <w:sz w:val="22"/>
          <w:szCs w:val="22"/>
          <w:color w:val="auto"/>
        </w:rPr>
        <w:t>a Grantor</w:t>
      </w:r>
    </w:p>
    <w:p>
      <w:pPr>
        <w:spacing w:after="0" w:line="200" w:lineRule="exact"/>
        <w:rPr>
          <w:sz w:val="20"/>
          <w:szCs w:val="20"/>
          <w:color w:val="auto"/>
        </w:rPr>
      </w:pPr>
    </w:p>
    <w:p>
      <w:pPr>
        <w:spacing w:after="0" w:line="266" w:lineRule="exact"/>
        <w:rPr>
          <w:sz w:val="20"/>
          <w:szCs w:val="20"/>
          <w:color w:val="auto"/>
        </w:rPr>
      </w:pPr>
    </w:p>
    <w:p>
      <w:pPr>
        <w:ind w:left="3700"/>
        <w:spacing w:after="0"/>
        <w:tabs>
          <w:tab w:leader="none" w:pos="4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 Alan Crompton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274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2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STERIGENICS RADIATION</w:t>
      </w:r>
    </w:p>
    <w:p>
      <w:pPr>
        <w:spacing w:after="0" w:line="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TECHNOLOGIES,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77" w:lineRule="exact"/>
        <w:rPr>
          <w:sz w:val="20"/>
          <w:szCs w:val="20"/>
          <w:color w:val="auto"/>
        </w:rPr>
      </w:pPr>
    </w:p>
    <w:p>
      <w:pPr>
        <w:ind w:left="3700"/>
        <w:spacing w:after="0"/>
        <w:tabs>
          <w:tab w:leader="none" w:pos="4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 Alan Crompton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274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22"/>
          <w:szCs w:val="22"/>
          <w:color w:val="auto"/>
        </w:rPr>
        <w:t>Title: Vice President, Treasurer and</w:t>
      </w:r>
    </w:p>
    <w:p>
      <w:pPr>
        <w:ind w:left="5000"/>
        <w:spacing w:after="0"/>
        <w:rPr>
          <w:sz w:val="20"/>
          <w:szCs w:val="20"/>
          <w:color w:val="auto"/>
        </w:rPr>
      </w:pPr>
      <w:r>
        <w:rPr>
          <w:rFonts w:ascii="Times New Roman" w:cs="Times New Roman" w:eastAsia="Times New Roman" w:hAnsi="Times New Roman"/>
          <w:sz w:val="22"/>
          <w:szCs w:val="22"/>
          <w:color w:val="auto"/>
        </w:rPr>
        <w:t>Secretary</w:t>
      </w:r>
    </w:p>
    <w:p>
      <w:pPr>
        <w:spacing w:after="0" w:line="21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NELSON LABORATORIES</w:t>
      </w:r>
    </w:p>
    <w:p>
      <w:pPr>
        <w:spacing w:after="0" w:line="1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HOLDINGS,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42" w:lineRule="exact"/>
        <w:rPr>
          <w:sz w:val="20"/>
          <w:szCs w:val="20"/>
          <w:color w:val="auto"/>
        </w:rPr>
      </w:pPr>
    </w:p>
    <w:tbl>
      <w:tblPr>
        <w:tblLayout w:type="fixed"/>
        <w:tblInd w:w="3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1"/>
                <w:szCs w:val="21"/>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Name: Jarremy Morgan</w:t>
            </w:r>
          </w:p>
        </w:tc>
      </w:tr>
      <w:tr>
        <w:trPr>
          <w:trHeight w:val="289"/>
        </w:trPr>
        <w:tc>
          <w:tcPr>
            <w:tcW w:w="520" w:type="dxa"/>
            <w:vAlign w:val="bottom"/>
          </w:tcPr>
          <w:p>
            <w:pPr>
              <w:spacing w:after="0"/>
              <w:rPr>
                <w:sz w:val="24"/>
                <w:szCs w:val="24"/>
                <w:color w:val="auto"/>
              </w:rPr>
            </w:pPr>
          </w:p>
        </w:tc>
        <w:tc>
          <w:tcPr>
            <w:tcW w:w="31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6"/>
              </w:rPr>
              <w:t>Title: Vice President and Secretary</w:t>
            </w:r>
          </w:p>
        </w:tc>
      </w:tr>
    </w:tbl>
    <w:p>
      <w:pPr>
        <w:spacing w:after="0" w:line="186" w:lineRule="exact"/>
        <w:rPr>
          <w:sz w:val="20"/>
          <w:szCs w:val="20"/>
          <w:color w:val="auto"/>
        </w:rPr>
      </w:pPr>
    </w:p>
    <w:p>
      <w:pPr>
        <w:ind w:left="3700" w:right="320"/>
        <w:spacing w:after="0" w:line="275" w:lineRule="auto"/>
        <w:rPr>
          <w:sz w:val="20"/>
          <w:szCs w:val="20"/>
          <w:color w:val="auto"/>
        </w:rPr>
      </w:pPr>
      <w:r>
        <w:rPr>
          <w:rFonts w:ascii="Times New Roman" w:cs="Times New Roman" w:eastAsia="Times New Roman" w:hAnsi="Times New Roman"/>
          <w:sz w:val="22"/>
          <w:szCs w:val="22"/>
          <w:b w:val="1"/>
          <w:bCs w:val="1"/>
          <w:color w:val="auto"/>
        </w:rPr>
        <w:t>NELSON LABORATORIES FAIRFIELD HOLDINGS, LLC</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Grantor</w:t>
      </w:r>
    </w:p>
    <w:p>
      <w:pPr>
        <w:spacing w:after="0" w:line="387" w:lineRule="exact"/>
        <w:rPr>
          <w:sz w:val="20"/>
          <w:szCs w:val="20"/>
          <w:color w:val="auto"/>
        </w:rPr>
      </w:pPr>
    </w:p>
    <w:tbl>
      <w:tblPr>
        <w:tblLayout w:type="fixed"/>
        <w:tblInd w:w="3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1"/>
                <w:szCs w:val="21"/>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Name: Jarremy Morgan</w:t>
            </w:r>
          </w:p>
        </w:tc>
      </w:tr>
      <w:tr>
        <w:trPr>
          <w:trHeight w:val="303"/>
        </w:trPr>
        <w:tc>
          <w:tcPr>
            <w:tcW w:w="520" w:type="dxa"/>
            <w:vAlign w:val="bottom"/>
          </w:tcPr>
          <w:p>
            <w:pPr>
              <w:spacing w:after="0"/>
              <w:rPr>
                <w:sz w:val="24"/>
                <w:szCs w:val="24"/>
                <w:color w:val="auto"/>
              </w:rPr>
            </w:pPr>
          </w:p>
        </w:tc>
        <w:tc>
          <w:tcPr>
            <w:tcW w:w="31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6"/>
              </w:rPr>
              <w:t>Title: Vice President and Secretary</w:t>
            </w:r>
          </w:p>
        </w:tc>
      </w:tr>
    </w:tbl>
    <w:p>
      <w:pPr>
        <w:spacing w:after="0" w:line="213" w:lineRule="exact"/>
        <w:rPr>
          <w:sz w:val="20"/>
          <w:szCs w:val="20"/>
          <w:color w:val="auto"/>
        </w:rPr>
      </w:pPr>
    </w:p>
    <w:p>
      <w:pPr>
        <w:ind w:left="3700" w:right="5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STERIGENICS RADIATION TECHNOLOGIES IN, INC., </w:t>
      </w:r>
      <w:r>
        <w:rPr>
          <w:rFonts w:ascii="Times New Roman" w:cs="Times New Roman" w:eastAsia="Times New Roman" w:hAnsi="Times New Roman"/>
          <w:sz w:val="22"/>
          <w:szCs w:val="22"/>
          <w:color w:val="auto"/>
        </w:rPr>
        <w:t>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Grantor</w:t>
      </w:r>
    </w:p>
    <w:p>
      <w:pPr>
        <w:spacing w:after="0" w:line="400" w:lineRule="exact"/>
        <w:rPr>
          <w:sz w:val="20"/>
          <w:szCs w:val="20"/>
          <w:color w:val="auto"/>
        </w:rPr>
      </w:pPr>
    </w:p>
    <w:tbl>
      <w:tblPr>
        <w:tblLayout w:type="fixed"/>
        <w:tblInd w:w="3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1"/>
                <w:szCs w:val="21"/>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Name: Alan Crompton</w:t>
            </w:r>
          </w:p>
        </w:tc>
      </w:tr>
      <w:tr>
        <w:trPr>
          <w:trHeight w:val="276"/>
        </w:trPr>
        <w:tc>
          <w:tcPr>
            <w:tcW w:w="520" w:type="dxa"/>
            <w:vAlign w:val="bottom"/>
          </w:tcPr>
          <w:p>
            <w:pPr>
              <w:spacing w:after="0"/>
              <w:rPr>
                <w:sz w:val="23"/>
                <w:szCs w:val="23"/>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Title: Vice President, Treasurer and Secretary</w:t>
            </w:r>
          </w:p>
        </w:tc>
      </w:tr>
    </w:tbl>
    <w:p>
      <w:pPr>
        <w:spacing w:after="0" w:line="200" w:lineRule="exact"/>
        <w:rPr>
          <w:sz w:val="20"/>
          <w:szCs w:val="20"/>
          <w:color w:val="auto"/>
        </w:rPr>
      </w:pPr>
    </w:p>
    <w:p>
      <w:pPr>
        <w:spacing w:after="0" w:line="23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First Lien Pari Passu Intercreditor Agreement</w:t>
      </w:r>
      <w:r>
        <w:rPr>
          <w:rFonts w:ascii="Times New Roman" w:cs="Times New Roman" w:eastAsia="Times New Roman" w:hAnsi="Times New Roman"/>
          <w:sz w:val="20"/>
          <w:szCs w:val="20"/>
          <w:color w:val="auto"/>
        </w:rPr>
        <w:t>]</w:t>
      </w:r>
    </w:p>
    <w:p>
      <w:pPr>
        <w:sectPr>
          <w:pgSz w:w="11900" w:h="16838" w:orient="portrait"/>
          <w:cols w:equalWidth="0" w:num="1">
            <w:col w:w="10120"/>
          </w:cols>
          <w:pgMar w:left="1440" w:top="1440" w:right="339" w:bottom="1440" w:gutter="0" w:footer="0" w:header="0"/>
        </w:sectPr>
      </w:pPr>
    </w:p>
    <w:bookmarkStart w:id="267" w:name="page268"/>
    <w:bookmarkEnd w:id="267"/>
    <w:p>
      <w:pPr>
        <w:spacing w:after="0" w:line="20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NELSON LABORATORIES</w:t>
      </w:r>
    </w:p>
    <w:p>
      <w:pPr>
        <w:spacing w:after="0" w:line="3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BOZEMAN,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52" w:lineRule="exact"/>
        <w:rPr>
          <w:sz w:val="20"/>
          <w:szCs w:val="20"/>
          <w:color w:val="auto"/>
        </w:rPr>
      </w:pPr>
    </w:p>
    <w:p>
      <w:pPr>
        <w:ind w:left="3700"/>
        <w:spacing w:after="0"/>
        <w:tabs>
          <w:tab w:leader="none" w:pos="4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 Jarremy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274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Title: Vice President, Treasurer and Secretary</w:t>
      </w:r>
    </w:p>
    <w:p>
      <w:pPr>
        <w:spacing w:after="0" w:line="24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NELSON LABORATORIES</w:t>
      </w:r>
    </w:p>
    <w:p>
      <w:pPr>
        <w:spacing w:after="0" w:line="3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FAIRFIELD, INC.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54" w:lineRule="exact"/>
        <w:rPr>
          <w:sz w:val="20"/>
          <w:szCs w:val="20"/>
          <w:color w:val="auto"/>
        </w:rPr>
      </w:pPr>
    </w:p>
    <w:tbl>
      <w:tblPr>
        <w:tblLayout w:type="fixed"/>
        <w:tblInd w:w="3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2"/>
                <w:szCs w:val="22"/>
                <w:color w:val="auto"/>
              </w:rPr>
            </w:pPr>
          </w:p>
        </w:tc>
        <w:tc>
          <w:tcPr>
            <w:tcW w:w="2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Name: Jarremy Morgan</w:t>
            </w:r>
          </w:p>
        </w:tc>
      </w:tr>
      <w:tr>
        <w:trPr>
          <w:trHeight w:val="276"/>
        </w:trPr>
        <w:tc>
          <w:tcPr>
            <w:tcW w:w="520" w:type="dxa"/>
            <w:vAlign w:val="bottom"/>
          </w:tcPr>
          <w:p>
            <w:pPr>
              <w:spacing w:after="0"/>
              <w:rPr>
                <w:sz w:val="23"/>
                <w:szCs w:val="23"/>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Vice President</w:t>
            </w:r>
          </w:p>
        </w:tc>
      </w:tr>
    </w:tbl>
    <w:p>
      <w:pPr>
        <w:spacing w:after="0" w:line="19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REGULATORY COMPLIANCE</w:t>
      </w:r>
    </w:p>
    <w:p>
      <w:pPr>
        <w:spacing w:after="0" w:line="3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 xml:space="preserve">ASSOCIATES INC. </w:t>
      </w:r>
      <w:r>
        <w:rPr>
          <w:rFonts w:ascii="Times New Roman" w:cs="Times New Roman" w:eastAsia="Times New Roman" w:hAnsi="Times New Roman"/>
          <w:sz w:val="22"/>
          <w:szCs w:val="22"/>
          <w:color w:val="auto"/>
        </w:rPr>
        <w:t>as a Grantor</w:t>
      </w:r>
    </w:p>
    <w:p>
      <w:pPr>
        <w:spacing w:after="0" w:line="200" w:lineRule="exact"/>
        <w:rPr>
          <w:sz w:val="20"/>
          <w:szCs w:val="20"/>
          <w:color w:val="auto"/>
        </w:rPr>
      </w:pPr>
    </w:p>
    <w:p>
      <w:pPr>
        <w:spacing w:after="0" w:line="27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-13970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080"/>
        <w:spacing w:after="0" w:line="218" w:lineRule="auto"/>
        <w:rPr>
          <w:sz w:val="20"/>
          <w:szCs w:val="20"/>
          <w:color w:val="auto"/>
        </w:rPr>
      </w:pPr>
      <w:r>
        <w:rPr>
          <w:rFonts w:ascii="Times New Roman" w:cs="Times New Roman" w:eastAsia="Times New Roman" w:hAnsi="Times New Roman"/>
          <w:sz w:val="22"/>
          <w:szCs w:val="22"/>
          <w:color w:val="auto"/>
        </w:rPr>
        <w:t>Name: Jarremy Morgan</w:t>
      </w:r>
    </w:p>
    <w:p>
      <w:pPr>
        <w:jc w:val="right"/>
        <w:ind w:right="759"/>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First Lien Pari Passu Intercreditor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60"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22"/>
          <w:szCs w:val="22"/>
          <w:u w:val="single" w:color="auto"/>
          <w:color w:val="211E1F"/>
        </w:rPr>
        <w:t>Grantors</w:t>
      </w:r>
    </w:p>
    <w:p>
      <w:pPr>
        <w:spacing w:after="0" w:line="179" w:lineRule="exact"/>
        <w:rPr>
          <w:sz w:val="20"/>
          <w:szCs w:val="20"/>
          <w:color w:val="auto"/>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211E1F"/>
        </w:rPr>
        <w:t>Sotera Health Company</w:t>
      </w:r>
    </w:p>
    <w:p>
      <w:pPr>
        <w:spacing w:after="0" w:line="30"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211E1F"/>
        </w:rPr>
        <w:t>Sotera Health Holdings, LLC</w:t>
      </w:r>
    </w:p>
    <w:p>
      <w:pPr>
        <w:spacing w:after="0" w:line="29"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Sotera Health LLC</w:t>
      </w:r>
    </w:p>
    <w:p>
      <w:pPr>
        <w:spacing w:after="0" w:line="18"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Sterigenics U.S., LLC</w:t>
      </w:r>
    </w:p>
    <w:p>
      <w:pPr>
        <w:spacing w:after="0" w:line="30"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Nelson Laboratories, LLC</w:t>
      </w:r>
    </w:p>
    <w:p>
      <w:pPr>
        <w:spacing w:after="0" w:line="29"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Sotera Health Services, LLC</w:t>
      </w:r>
    </w:p>
    <w:p>
      <w:pPr>
        <w:spacing w:after="0" w:line="17"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Sterigenics Radiation Technologies Holdings, LLC</w:t>
      </w:r>
    </w:p>
    <w:p>
      <w:pPr>
        <w:spacing w:after="0" w:line="17"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Sterigenics Radiation Technologies, LLC</w:t>
      </w:r>
    </w:p>
    <w:p>
      <w:pPr>
        <w:spacing w:after="0" w:line="18"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Nelson Laboratories Holdings, LLC</w:t>
      </w:r>
    </w:p>
    <w:p>
      <w:pPr>
        <w:spacing w:after="0" w:line="29"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Nelson Laboratories Fairfield Holdings, LLC</w:t>
      </w:r>
    </w:p>
    <w:p>
      <w:pPr>
        <w:spacing w:after="0" w:line="18" w:lineRule="exact"/>
        <w:rPr>
          <w:rFonts w:ascii="Times New Roman" w:cs="Times New Roman" w:eastAsia="Times New Roman" w:hAnsi="Times New Roman"/>
          <w:sz w:val="22"/>
          <w:szCs w:val="22"/>
          <w:color w:val="211E1F"/>
        </w:rPr>
      </w:pPr>
    </w:p>
    <w:p>
      <w:pPr>
        <w:ind w:left="307" w:hanging="307"/>
        <w:spacing w:after="0"/>
        <w:tabs>
          <w:tab w:leader="none" w:pos="30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Sterigenics Radiation Technologies IN, Inc.</w:t>
      </w:r>
    </w:p>
    <w:p>
      <w:pPr>
        <w:spacing w:after="0" w:line="30"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Nelson Laboratories Bozeman, LLC</w:t>
      </w:r>
    </w:p>
    <w:p>
      <w:pPr>
        <w:spacing w:after="0" w:line="29"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Nelson Laboratories Fairfield, Inc.</w:t>
      </w:r>
    </w:p>
    <w:p>
      <w:pPr>
        <w:spacing w:after="0" w:line="18" w:lineRule="exact"/>
        <w:rPr>
          <w:rFonts w:ascii="Times New Roman" w:cs="Times New Roman" w:eastAsia="Times New Roman" w:hAnsi="Times New Roman"/>
          <w:sz w:val="22"/>
          <w:szCs w:val="22"/>
          <w:color w:val="211E1F"/>
        </w:rPr>
      </w:pPr>
    </w:p>
    <w:p>
      <w:pPr>
        <w:ind w:left="327" w:hanging="327"/>
        <w:spacing w:after="0"/>
        <w:tabs>
          <w:tab w:leader="none" w:pos="327" w:val="left"/>
        </w:tabs>
        <w:numPr>
          <w:ilvl w:val="0"/>
          <w:numId w:val="349"/>
        </w:numPr>
        <w:rPr>
          <w:rFonts w:ascii="Times New Roman" w:cs="Times New Roman" w:eastAsia="Times New Roman" w:hAnsi="Times New Roman"/>
          <w:sz w:val="22"/>
          <w:szCs w:val="22"/>
          <w:color w:val="211E1F"/>
        </w:rPr>
      </w:pPr>
      <w:r>
        <w:rPr>
          <w:rFonts w:ascii="Times New Roman" w:cs="Times New Roman" w:eastAsia="Times New Roman" w:hAnsi="Times New Roman"/>
          <w:sz w:val="22"/>
          <w:szCs w:val="22"/>
          <w:color w:val="auto"/>
        </w:rPr>
        <w:t>Regulatory Compliance Associates Inc.</w:t>
      </w:r>
    </w:p>
    <w:p>
      <w:pPr>
        <w:sectPr>
          <w:pgSz w:w="11900" w:h="16838" w:orient="portrait"/>
          <w:cols w:equalWidth="0" w:num="1">
            <w:col w:w="10467"/>
          </w:cols>
          <w:pgMar w:left="913" w:top="1368" w:right="51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2"/>
          <w:szCs w:val="22"/>
          <w:u w:val="single" w:color="auto"/>
          <w:color w:val="auto"/>
        </w:rPr>
        <w:t>ANNEX I</w:t>
      </w:r>
    </w:p>
    <w:p>
      <w:pPr>
        <w:spacing w:after="0" w:line="206" w:lineRule="exact"/>
        <w:rPr>
          <w:sz w:val="20"/>
          <w:szCs w:val="20"/>
          <w:color w:val="auto"/>
        </w:rPr>
      </w:pPr>
    </w:p>
    <w:p>
      <w:pPr>
        <w:ind w:left="1440" w:right="1960" w:firstLine="577"/>
        <w:spacing w:after="0" w:line="255" w:lineRule="auto"/>
        <w:rPr>
          <w:sz w:val="20"/>
          <w:szCs w:val="20"/>
          <w:color w:val="auto"/>
        </w:rPr>
      </w:pPr>
      <w:r>
        <w:rPr>
          <w:rFonts w:ascii="Times New Roman" w:cs="Times New Roman" w:eastAsia="Times New Roman" w:hAnsi="Times New Roman"/>
          <w:sz w:val="22"/>
          <w:szCs w:val="22"/>
          <w:color w:val="auto"/>
        </w:rPr>
        <w:t xml:space="preserve">ACKNOWLEDGMENT OF AND CONSENT TO FIRST LIEN PARI PASSU INTERCREDITOR </w:t>
      </w:r>
      <w:r>
        <w:rPr>
          <w:rFonts w:ascii="Times New Roman" w:cs="Times New Roman" w:eastAsia="Times New Roman" w:hAnsi="Times New Roman"/>
          <w:sz w:val="19"/>
          <w:szCs w:val="19"/>
          <w:color w:val="auto"/>
        </w:rPr>
        <w:t>AGREEMENT</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(Company and the Other Grantors)</w:t>
      </w:r>
    </w:p>
    <w:p>
      <w:pPr>
        <w:spacing w:after="0" w:line="207" w:lineRule="exact"/>
        <w:rPr>
          <w:sz w:val="20"/>
          <w:szCs w:val="20"/>
          <w:color w:val="auto"/>
        </w:rPr>
      </w:pPr>
    </w:p>
    <w:p>
      <w:pPr>
        <w:jc w:val="both"/>
        <w:ind w:left="20" w:right="40" w:firstLine="649"/>
        <w:spacing w:after="0" w:line="248" w:lineRule="auto"/>
        <w:rPr>
          <w:sz w:val="20"/>
          <w:szCs w:val="20"/>
          <w:color w:val="auto"/>
        </w:rPr>
      </w:pPr>
      <w:r>
        <w:rPr>
          <w:rFonts w:ascii="Times New Roman" w:cs="Times New Roman" w:eastAsia="Times New Roman" w:hAnsi="Times New Roman"/>
          <w:sz w:val="22"/>
          <w:szCs w:val="22"/>
          <w:color w:val="auto"/>
        </w:rPr>
        <w:t>Each of the undersigned Grantors (the “</w:t>
      </w:r>
      <w:r>
        <w:rPr>
          <w:rFonts w:ascii="Times New Roman" w:cs="Times New Roman" w:eastAsia="Times New Roman" w:hAnsi="Times New Roman"/>
          <w:sz w:val="22"/>
          <w:szCs w:val="22"/>
          <w:u w:val="single" w:color="auto"/>
          <w:color w:val="auto"/>
        </w:rPr>
        <w:t>New Grantors</w:t>
      </w:r>
      <w:r>
        <w:rPr>
          <w:rFonts w:ascii="Times New Roman" w:cs="Times New Roman" w:eastAsia="Times New Roman" w:hAnsi="Times New Roman"/>
          <w:sz w:val="22"/>
          <w:szCs w:val="22"/>
          <w:color w:val="auto"/>
        </w:rPr>
        <w:t>”) has read the First Lien Pari Passu Intercreditor Agreement, dated as of May 30, 2024, by and among SOTERA HEALTH COMPANY,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SOTERA HEALTH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certain subsidiaries and affiliates of the Company (each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JPMORGAN CHASE BANK, N.A., in its capacity as Credit Agreement Collateral Agent and First Lien Administrative Agent, WILMINGTON TRUST, NATIONAL ASSOCIATION, in its capacity as Initial Additional First Lien Collateral Agent and Initial Additional Authorized Representative (as amended, renewed, extended, supplemented, restated, replaced or otherwise modified from time to time, the “</w:t>
      </w:r>
      <w:r>
        <w:rPr>
          <w:rFonts w:ascii="Times New Roman" w:cs="Times New Roman" w:eastAsia="Times New Roman" w:hAnsi="Times New Roman"/>
          <w:sz w:val="22"/>
          <w:szCs w:val="22"/>
          <w:u w:val="single" w:color="auto"/>
          <w:color w:val="auto"/>
        </w:rPr>
        <w:t>First Lien Pari Passu Intercreditor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but not defined herein shall have the meanings assigned to such terms in the First Lien Pari Passu Intercreditor Agreement.</w:t>
      </w:r>
    </w:p>
    <w:p>
      <w:pPr>
        <w:spacing w:after="0" w:line="199" w:lineRule="exact"/>
        <w:rPr>
          <w:sz w:val="20"/>
          <w:szCs w:val="20"/>
          <w:color w:val="auto"/>
        </w:rPr>
      </w:pPr>
    </w:p>
    <w:p>
      <w:pPr>
        <w:jc w:val="both"/>
        <w:ind w:right="20" w:firstLine="650"/>
        <w:spacing w:after="0" w:line="250" w:lineRule="auto"/>
        <w:tabs>
          <w:tab w:leader="none" w:pos="104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New Grantors executes and delivers this instrument to evidence its acknowledgment of and consent to the First Lien Pari Passu Intercreditor Agreement (such instrument, the “</w:t>
      </w:r>
      <w:r>
        <w:rPr>
          <w:rFonts w:ascii="Times New Roman" w:cs="Times New Roman" w:eastAsia="Times New Roman" w:hAnsi="Times New Roman"/>
          <w:sz w:val="22"/>
          <w:szCs w:val="22"/>
          <w:u w:val="single" w:color="auto"/>
          <w:color w:val="auto"/>
        </w:rPr>
        <w:t>Grantor Consent</w:t>
      </w:r>
      <w:r>
        <w:rPr>
          <w:rFonts w:ascii="Times New Roman" w:cs="Times New Roman" w:eastAsia="Times New Roman" w:hAnsi="Times New Roman"/>
          <w:sz w:val="22"/>
          <w:szCs w:val="22"/>
          <w:color w:val="auto"/>
        </w:rPr>
        <w:t>”). Each of the New Grantors agrees that, except with respect to those provisions of which the Company or any other Grantor is an intended third party beneficiary, no First Lien Secured Party shall have any liability to the Grantors for acting in accordance with the provisions of the First Lien Pari Passu Intercreditor Agreement and the other documents referred to therein. Each of the New Grantors understands that neither the Company nor any Grantor is an intended beneficiary or third party beneficiary of the First Lien Pari Passu Intercreditor Agreement except that it is an intended beneficiary and third party beneficiary thereof with the right and power to enforce with respect to the applicable provisions set forth in Section 5.12 (Provisions Solely to Define Relative Rights) of the First Lien Pari Passu Intercreditor Agreement.</w:t>
      </w:r>
    </w:p>
    <w:p>
      <w:pPr>
        <w:spacing w:after="0" w:line="179" w:lineRule="exact"/>
        <w:rPr>
          <w:rFonts w:ascii="Times New Roman" w:cs="Times New Roman" w:eastAsia="Times New Roman" w:hAnsi="Times New Roman"/>
          <w:sz w:val="22"/>
          <w:szCs w:val="22"/>
          <w:color w:val="auto"/>
        </w:rPr>
      </w:pPr>
    </w:p>
    <w:p>
      <w:pPr>
        <w:jc w:val="both"/>
        <w:ind w:right="20" w:firstLine="650"/>
        <w:spacing w:after="0" w:line="256" w:lineRule="auto"/>
        <w:tabs>
          <w:tab w:leader="none" w:pos="104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First Lien Pari Passu Intercreditor Agreement or provided herein, each of the undersigned acknowledges that it shall not have any right to consent to or approve any amendment, renewal, extension, supplement, modification or waiver of any provision of the First Lien Pari Passu Intercreditor Agreement except to the extent set forth in Section 5.02(b) of the First Lien Pari Passu Intercreditor Agreement.</w:t>
      </w:r>
    </w:p>
    <w:p>
      <w:pPr>
        <w:spacing w:after="0" w:line="162" w:lineRule="exact"/>
        <w:rPr>
          <w:rFonts w:ascii="Times New Roman" w:cs="Times New Roman" w:eastAsia="Times New Roman" w:hAnsi="Times New Roman"/>
          <w:sz w:val="22"/>
          <w:szCs w:val="22"/>
          <w:color w:val="auto"/>
        </w:rPr>
      </w:pPr>
    </w:p>
    <w:p>
      <w:pPr>
        <w:ind w:right="40" w:firstLine="650"/>
        <w:spacing w:after="0" w:line="271" w:lineRule="auto"/>
        <w:tabs>
          <w:tab w:leader="none" w:pos="104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GRANTOR CONSENT SHALL BE GOVERNED BY, AND CONSTRUED IN ACCORDANCE WITH, THE LAWS OF THE STATE OF NEW YORK.</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Annex I-1</w:t>
      </w:r>
    </w:p>
    <w:p>
      <w:pPr>
        <w:sectPr>
          <w:pgSz w:w="11900" w:h="16838" w:orient="portrait"/>
          <w:cols w:equalWidth="0" w:num="1">
            <w:col w:w="10800"/>
          </w:cols>
          <w:pgMar w:left="580" w:top="1422" w:right="519" w:bottom="1440" w:gutter="0" w:footer="0" w:header="0"/>
        </w:sectPr>
      </w:pPr>
    </w:p>
    <w:bookmarkStart w:id="270" w:name="page271"/>
    <w:bookmarkEnd w:id="270"/>
    <w:p>
      <w:pPr>
        <w:spacing w:after="0" w:line="2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[NEW GRANTORS]</w:t>
      </w:r>
    </w:p>
    <w:p>
      <w:pPr>
        <w:spacing w:after="0" w:line="168" w:lineRule="exact"/>
        <w:rPr>
          <w:sz w:val="20"/>
          <w:szCs w:val="20"/>
          <w:color w:val="auto"/>
        </w:rPr>
      </w:pPr>
    </w:p>
    <w:p>
      <w:pPr>
        <w:ind w:left="3700"/>
        <w:spacing w:after="0"/>
        <w:tabs>
          <w:tab w:leader="none" w:pos="4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-13970</wp:posOffset>
            </wp:positionV>
            <wp:extent cx="274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Annex I-2</w:t>
      </w:r>
    </w:p>
    <w:p>
      <w:pPr>
        <w:sectPr>
          <w:pgSz w:w="11900" w:h="16838" w:orient="portrait"/>
          <w:cols w:equalWidth="0" w:num="1">
            <w:col w:w="9019"/>
          </w:cols>
          <w:pgMar w:left="1440" w:top="1440" w:right="1440" w:bottom="1440" w:gutter="0" w:footer="0" w:header="0"/>
        </w:sectPr>
      </w:pPr>
    </w:p>
    <w:bookmarkStart w:id="271" w:name="page272"/>
    <w:bookmarkEnd w:id="271"/>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1E1F"/>
        </w:rPr>
        <w:t>Acknowledged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[APPLICABLE AUTHORIZED REPRESENTATIVE]</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-13970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239"/>
        <w:spacing w:after="0"/>
        <w:rPr>
          <w:sz w:val="20"/>
          <w:szCs w:val="20"/>
          <w:color w:val="auto"/>
        </w:rPr>
      </w:pPr>
      <w:r>
        <w:rPr>
          <w:rFonts w:ascii="Times New Roman" w:cs="Times New Roman" w:eastAsia="Times New Roman" w:hAnsi="Times New Roman"/>
          <w:sz w:val="22"/>
          <w:szCs w:val="22"/>
          <w:color w:val="auto"/>
        </w:rPr>
        <w:t>Annex I-3</w:t>
      </w:r>
    </w:p>
    <w:p>
      <w:pPr>
        <w:sectPr>
          <w:pgSz w:w="11900" w:h="16838" w:orient="portrait"/>
          <w:cols w:equalWidth="0" w:num="1">
            <w:col w:w="9879"/>
          </w:cols>
          <w:pgMar w:left="580" w:top="1440" w:right="1440" w:bottom="1440" w:gutter="0" w:footer="0" w:header="0"/>
        </w:sectPr>
      </w:pPr>
    </w:p>
    <w:bookmarkStart w:id="272" w:name="page273"/>
    <w:bookmarkEnd w:id="272"/>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1E1F"/>
        </w:rPr>
        <w:t>Acknowledged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[APPLICABLE COLLATERAL AGENT]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-13970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03" w:lineRule="exact"/>
        <w:rPr>
          <w:sz w:val="20"/>
          <w:szCs w:val="20"/>
          <w:color w:val="auto"/>
        </w:rPr>
      </w:pPr>
    </w:p>
    <w:p>
      <w:pPr>
        <w:jc w:val="right"/>
        <w:ind w:right="4239"/>
        <w:spacing w:after="0"/>
        <w:rPr>
          <w:sz w:val="20"/>
          <w:szCs w:val="20"/>
          <w:color w:val="auto"/>
        </w:rPr>
      </w:pPr>
      <w:r>
        <w:rPr>
          <w:rFonts w:ascii="Times New Roman" w:cs="Times New Roman" w:eastAsia="Times New Roman" w:hAnsi="Times New Roman"/>
          <w:sz w:val="22"/>
          <w:szCs w:val="22"/>
          <w:color w:val="auto"/>
        </w:rPr>
        <w:t>Annex I-4</w:t>
      </w:r>
    </w:p>
    <w:p>
      <w:pPr>
        <w:sectPr>
          <w:pgSz w:w="11900" w:h="16838" w:orient="portrait"/>
          <w:cols w:equalWidth="0" w:num="1">
            <w:col w:w="9879"/>
          </w:cols>
          <w:pgMar w:left="580" w:top="1440" w:right="1440" w:bottom="1440" w:gutter="0" w:footer="0" w:header="0"/>
        </w:sectPr>
      </w:pPr>
    </w:p>
    <w:bookmarkStart w:id="273" w:name="page274"/>
    <w:bookmarkEnd w:id="273"/>
    <w:p>
      <w:pPr>
        <w:ind w:left="9820"/>
        <w:spacing w:after="0"/>
        <w:rPr>
          <w:sz w:val="20"/>
          <w:szCs w:val="20"/>
          <w:color w:val="auto"/>
        </w:rPr>
      </w:pPr>
      <w:r>
        <w:rPr>
          <w:rFonts w:ascii="Times New Roman" w:cs="Times New Roman" w:eastAsia="Times New Roman" w:hAnsi="Times New Roman"/>
          <w:sz w:val="21"/>
          <w:szCs w:val="21"/>
          <w:u w:val="single" w:color="auto"/>
          <w:color w:val="auto"/>
        </w:rPr>
        <w:t>ANNEX II</w:t>
      </w:r>
    </w:p>
    <w:p>
      <w:pPr>
        <w:spacing w:after="0" w:line="231" w:lineRule="exact"/>
        <w:rPr>
          <w:sz w:val="20"/>
          <w:szCs w:val="20"/>
          <w:color w:val="auto"/>
        </w:rPr>
      </w:pPr>
    </w:p>
    <w:p>
      <w:pPr>
        <w:jc w:val="both"/>
        <w:ind w:firstLine="649"/>
        <w:spacing w:after="0" w:line="249" w:lineRule="auto"/>
        <w:rPr>
          <w:sz w:val="20"/>
          <w:szCs w:val="20"/>
          <w:color w:val="auto"/>
        </w:rPr>
      </w:pPr>
      <w:r>
        <w:rPr>
          <w:rFonts w:ascii="Times New Roman" w:cs="Times New Roman" w:eastAsia="Times New Roman" w:hAnsi="Times New Roman"/>
          <w:sz w:val="22"/>
          <w:szCs w:val="22"/>
          <w:color w:val="auto"/>
        </w:rPr>
        <w:t>[FORM OF] JOINDER NO. [ ] (this “</w:t>
      </w: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dated as of [ ], 20[ ] to the FIRST LIEN PARI PASSU INTERCREDITOR AGREEMENT dated as of May 30, 2024 (the “</w:t>
      </w:r>
      <w:r>
        <w:rPr>
          <w:rFonts w:ascii="Times New Roman" w:cs="Times New Roman" w:eastAsia="Times New Roman" w:hAnsi="Times New Roman"/>
          <w:sz w:val="22"/>
          <w:szCs w:val="22"/>
          <w:u w:val="single" w:color="auto"/>
          <w:color w:val="auto"/>
        </w:rPr>
        <w:t>First Lien Pari Passu Intercreditor Agreement</w:t>
      </w:r>
      <w:r>
        <w:rPr>
          <w:rFonts w:ascii="Times New Roman" w:cs="Times New Roman" w:eastAsia="Times New Roman" w:hAnsi="Times New Roman"/>
          <w:sz w:val="22"/>
          <w:szCs w:val="22"/>
          <w:color w:val="auto"/>
        </w:rPr>
        <w:t>”), among SOTERA HEALTH COMPANY,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SOTERA HEALTH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certain subsidiaries and affiliates of the Company (each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JPMORGAN CHASE BANK, N.A., as Credit Agreement Collateral Agent for the Credit Agreement First Lien Secured Parties under the First Lien Security Documents (in such capacity, the “</w:t>
      </w:r>
      <w:r>
        <w:rPr>
          <w:rFonts w:ascii="Times New Roman" w:cs="Times New Roman" w:eastAsia="Times New Roman" w:hAnsi="Times New Roman"/>
          <w:sz w:val="22"/>
          <w:szCs w:val="22"/>
          <w:u w:val="single" w:color="auto"/>
          <w:color w:val="auto"/>
        </w:rPr>
        <w:t>Credit Agreement Collateral Agent</w:t>
      </w:r>
      <w:r>
        <w:rPr>
          <w:rFonts w:ascii="Times New Roman" w:cs="Times New Roman" w:eastAsia="Times New Roman" w:hAnsi="Times New Roman"/>
          <w:sz w:val="22"/>
          <w:szCs w:val="22"/>
          <w:color w:val="auto"/>
        </w:rPr>
        <w:t>”), JPMORGAN CHASE BANK, N.A., as First Lien Administrative Agent and Authorized Representative for the Credit Agreement Secured Parties, WILMINGTON TRUST, NATIONAL ASSOCIATION, as Initial Additional First Lien Collateral Agent, WILMINGTON TRUST, NATIONAL ASSOCIATION, as Initial Additional Authorized Representative, and the additional Authorized Representatives from time to time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-1520190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20" w:right="40" w:firstLine="645"/>
        <w:spacing w:after="0" w:line="271" w:lineRule="auto"/>
        <w:tabs>
          <w:tab w:leader="none" w:pos="1041"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but not otherwise defined herein shall have the meanings assigned to such terms in the First Lien Pari Passu Intercreditor Agreement.</w:t>
      </w:r>
    </w:p>
    <w:p>
      <w:pPr>
        <w:spacing w:after="0" w:line="171" w:lineRule="exact"/>
        <w:rPr>
          <w:rFonts w:ascii="Times New Roman" w:cs="Times New Roman" w:eastAsia="Times New Roman" w:hAnsi="Times New Roman"/>
          <w:sz w:val="22"/>
          <w:szCs w:val="22"/>
          <w:color w:val="auto"/>
        </w:rPr>
      </w:pPr>
    </w:p>
    <w:p>
      <w:pPr>
        <w:jc w:val="both"/>
        <w:ind w:firstLine="650"/>
        <w:spacing w:after="0" w:line="260" w:lineRule="auto"/>
        <w:tabs>
          <w:tab w:leader="none" w:pos="1036"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the ability of the Company to incur Additional First Lien Obligations and to secure such Additional Senior Class Debt with the liens and security interests created by the Additional First Lien Security Documents, the Additional Senior Class Debt Representative in respect of such Additional Senior Class Debt is required to become an Authorized Representative, the Additional Senior Class Debt Collateral Agent in respect of such Additional Senior Class Debt is required to become a Collateral Agent and such Additional Senior Class Debt and the Additional Senior Class Debt Secured Parties in respect thereof are required to become subject to and bound by the First Lien Pari Passu Intercreditor Agreement. Section 5.13 of the First Lien Pari Passu Intercreditor Agreement provides that such Additional Senior Class Debt Representative may become an Authorized Representative, such Additional Senior Class Debt Collateral Agent may become a Collateral Agent and such Additional Senior Class Debt and such Additional Senior Class Debt Secured Parties may become subject to and bound by the First Lien Pari Passu Intercreditor Agreement, upon the execution and delivery by the Additional Senior Class Debt Representative and the Additional Senior Class Debt Collateral Agent of an instrument in the form of this Joinder and the satisfaction of the other conditions set forth in Section 5.13 of the First Lien Pari Passu Intercreditor Agreement. The undersigned Additional Senior Class Debt Representative (the “</w:t>
      </w:r>
      <w:r>
        <w:rPr>
          <w:rFonts w:ascii="Times New Roman" w:cs="Times New Roman" w:eastAsia="Times New Roman" w:hAnsi="Times New Roman"/>
          <w:sz w:val="21"/>
          <w:szCs w:val="21"/>
          <w:u w:val="single" w:color="auto"/>
          <w:color w:val="auto"/>
        </w:rPr>
        <w:t>New Representative</w:t>
      </w:r>
      <w:r>
        <w:rPr>
          <w:rFonts w:ascii="Times New Roman" w:cs="Times New Roman" w:eastAsia="Times New Roman" w:hAnsi="Times New Roman"/>
          <w:sz w:val="21"/>
          <w:szCs w:val="21"/>
          <w:color w:val="auto"/>
        </w:rPr>
        <w:t>”) and Additional Senior Class Debt Collateral Agent (the “</w:t>
      </w:r>
      <w:r>
        <w:rPr>
          <w:rFonts w:ascii="Times New Roman" w:cs="Times New Roman" w:eastAsia="Times New Roman" w:hAnsi="Times New Roman"/>
          <w:sz w:val="21"/>
          <w:szCs w:val="21"/>
          <w:u w:val="single" w:color="auto"/>
          <w:color w:val="auto"/>
        </w:rPr>
        <w:t>New Collateral Agent</w:t>
      </w:r>
      <w:r>
        <w:rPr>
          <w:rFonts w:ascii="Times New Roman" w:cs="Times New Roman" w:eastAsia="Times New Roman" w:hAnsi="Times New Roman"/>
          <w:sz w:val="21"/>
          <w:szCs w:val="21"/>
          <w:color w:val="auto"/>
        </w:rPr>
        <w:t>”) are executing this Joinder in accordance with the requirements of the First Lien Pari Passu Intercreditor Agreement and the First Lien Security Documents.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the New Representative and the New Collateral Agent agree as follows: SECTION 1. In accordance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Section 5.13 of the First Lien Pari Passu Intercreditor</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Agreement, the New Representative by its signature below becomes an Authorized Representative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under, the New Collateral Agent by its signature below becomes a Collateral Agent under, and the related Additional Senior Class Debt and Additional Senior Class Debt Secured Parties become subject to and bound by, the First Lien Pari Passu Intercreditor Agreement with the same</w:t>
      </w:r>
    </w:p>
    <w:p>
      <w:pPr>
        <w:sectPr>
          <w:pgSz w:w="11900" w:h="16838" w:orient="portrait"/>
          <w:cols w:equalWidth="0" w:num="1">
            <w:col w:w="10780"/>
          </w:cols>
          <w:pgMar w:left="580" w:top="1422" w:right="539" w:bottom="1440" w:gutter="0" w:footer="0" w:header="0"/>
        </w:sectPr>
      </w:pPr>
    </w:p>
    <w:bookmarkStart w:id="274" w:name="page275"/>
    <w:bookmarkEnd w:id="274"/>
    <w:p>
      <w:pPr>
        <w:jc w:val="both"/>
        <w:spacing w:after="0" w:line="271" w:lineRule="auto"/>
        <w:rPr>
          <w:sz w:val="20"/>
          <w:szCs w:val="20"/>
          <w:color w:val="auto"/>
        </w:rPr>
      </w:pPr>
      <w:r>
        <w:rPr>
          <w:rFonts w:ascii="Times New Roman" w:cs="Times New Roman" w:eastAsia="Times New Roman" w:hAnsi="Times New Roman"/>
          <w:sz w:val="22"/>
          <w:szCs w:val="22"/>
          <w:color w:val="auto"/>
        </w:rPr>
        <w:t>force and effect as if the New Representative had originally been named therein as an Authorized Representative and the New Collateral Agent had originally been named therein as a Collateral</w:t>
      </w:r>
    </w:p>
    <w:p>
      <w:pPr>
        <w:spacing w:after="0" w:line="9" w:lineRule="exact"/>
        <w:rPr>
          <w:sz w:val="20"/>
          <w:szCs w:val="20"/>
          <w:color w:val="auto"/>
        </w:rPr>
      </w:pPr>
    </w:p>
    <w:p>
      <w:pPr>
        <w:jc w:val="both"/>
        <w:ind w:left="20" w:right="20"/>
        <w:spacing w:after="0" w:line="252" w:lineRule="auto"/>
        <w:rPr>
          <w:sz w:val="20"/>
          <w:szCs w:val="20"/>
          <w:color w:val="auto"/>
        </w:rPr>
      </w:pPr>
      <w:r>
        <w:rPr>
          <w:rFonts w:ascii="Times New Roman" w:cs="Times New Roman" w:eastAsia="Times New Roman" w:hAnsi="Times New Roman"/>
          <w:sz w:val="22"/>
          <w:szCs w:val="22"/>
          <w:color w:val="auto"/>
        </w:rPr>
        <w:t>Agent, and each of the New Representative and the New Collateral Agent, on its behalf and on behalf of such Additional Senior Class Debt Secured Parties, hereby agrees to all the terms and provisions of the First Lien Pari Passu Intercreditor Agreement applicable to it as Authorized Representative or Collateral Agent, as applicable, and to the Additional Senior Class Debt Secured Parties that it represents as Additional First Lien Secured Parties.</w:t>
      </w:r>
    </w:p>
    <w:p>
      <w:pPr>
        <w:spacing w:after="0" w:line="179" w:lineRule="exact"/>
        <w:rPr>
          <w:sz w:val="20"/>
          <w:szCs w:val="20"/>
          <w:color w:val="auto"/>
        </w:rPr>
      </w:pPr>
    </w:p>
    <w:p>
      <w:pPr>
        <w:jc w:val="both"/>
        <w:ind w:left="20" w:firstLine="649"/>
        <w:spacing w:after="0" w:line="256" w:lineRule="auto"/>
        <w:rPr>
          <w:sz w:val="20"/>
          <w:szCs w:val="20"/>
          <w:color w:val="auto"/>
        </w:rPr>
      </w:pPr>
      <w:r>
        <w:rPr>
          <w:rFonts w:ascii="Times New Roman" w:cs="Times New Roman" w:eastAsia="Times New Roman" w:hAnsi="Times New Roman"/>
          <w:sz w:val="22"/>
          <w:szCs w:val="22"/>
          <w:color w:val="auto"/>
        </w:rPr>
        <w:t>Each reference to an “</w:t>
      </w:r>
      <w:r>
        <w:rPr>
          <w:rFonts w:ascii="Times New Roman" w:cs="Times New Roman" w:eastAsia="Times New Roman" w:hAnsi="Times New Roman"/>
          <w:sz w:val="22"/>
          <w:szCs w:val="22"/>
          <w:u w:val="single" w:color="auto"/>
          <w:color w:val="auto"/>
        </w:rPr>
        <w:t>Authorized Representative</w:t>
      </w:r>
      <w:r>
        <w:rPr>
          <w:rFonts w:ascii="Times New Roman" w:cs="Times New Roman" w:eastAsia="Times New Roman" w:hAnsi="Times New Roman"/>
          <w:sz w:val="22"/>
          <w:szCs w:val="22"/>
          <w:color w:val="auto"/>
        </w:rPr>
        <w:t xml:space="preserve">” in the First Lien Pari Passu Intercreditor Agreement shall be deemed to include the New Representative. Each reference to a “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in the First Lien Pari Passu Intercreditor Agreement shall be deemed to include the New Collateral Agent. The First Lien Pari Passu Intercreditor Agreement is hereby incorporated herein by reference.</w:t>
      </w:r>
    </w:p>
    <w:p>
      <w:pPr>
        <w:spacing w:after="0" w:line="163" w:lineRule="exact"/>
        <w:rPr>
          <w:sz w:val="20"/>
          <w:szCs w:val="20"/>
          <w:color w:val="auto"/>
        </w:rPr>
      </w:pPr>
    </w:p>
    <w:p>
      <w:pPr>
        <w:jc w:val="both"/>
        <w:ind w:left="20" w:firstLine="649"/>
        <w:spacing w:after="0" w:line="243" w:lineRule="auto"/>
        <w:rPr>
          <w:sz w:val="20"/>
          <w:szCs w:val="20"/>
          <w:color w:val="auto"/>
        </w:rPr>
      </w:pPr>
      <w:r>
        <w:rPr>
          <w:rFonts w:ascii="Times New Roman" w:cs="Times New Roman" w:eastAsia="Times New Roman" w:hAnsi="Times New Roman"/>
          <w:sz w:val="22"/>
          <w:szCs w:val="22"/>
          <w:color w:val="auto"/>
        </w:rPr>
        <w:t>SECTION 2. Each of the New Representative and the New Collateral Agent represents and warrants to the Company and each Grantor, each Collateral Agent, each Authorized Representative and the other First Lien Secured Parties, individually, that (i) it has full power and authority to enter into this Joinder, in its capacity as [agent] [trustee] under [describe new debt facility], (ii) this Joinder has been duly authorized, executed and delivered by it and constitutes its legal, valid and binding obligation, enforceable against it in accordance with its terms, and (iii) the Additional First Lien Documents relating to such Additional Senior Class Debt provide that, upon its entry into this Joinder, the Additional Senior Class Debt Secured Parties in respect of such Additional Senior Class Debt will be subject to and bound by the provisions of the First Lien Pari Passu Intercreditor Agreement as Additional First Lien Secured Parties.</w:t>
      </w:r>
    </w:p>
    <w:p>
      <w:pPr>
        <w:spacing w:after="0" w:line="178" w:lineRule="exact"/>
        <w:rPr>
          <w:sz w:val="20"/>
          <w:szCs w:val="20"/>
          <w:color w:val="auto"/>
        </w:rPr>
      </w:pPr>
    </w:p>
    <w:p>
      <w:pPr>
        <w:jc w:val="both"/>
        <w:ind w:left="20" w:firstLine="649"/>
        <w:spacing w:after="0" w:line="253" w:lineRule="auto"/>
        <w:rPr>
          <w:sz w:val="20"/>
          <w:szCs w:val="20"/>
          <w:color w:val="auto"/>
        </w:rPr>
      </w:pPr>
      <w:r>
        <w:rPr>
          <w:rFonts w:ascii="Times New Roman" w:cs="Times New Roman" w:eastAsia="Times New Roman" w:hAnsi="Times New Roman"/>
          <w:sz w:val="22"/>
          <w:szCs w:val="22"/>
          <w:color w:val="auto"/>
        </w:rPr>
        <w:t>SECTION 3. This Joinder may be executed in counterparts, each of which shall constitute an original, but all of which when taken together shall constitute a single contract. This Joinder shall become effective when each Collateral Agent shall have received a counterpart of this Joinder that bears the signatures of the New Representative and the New Collateral Agent. Delivery of an executed signature page to this Joinder by facsimile transmission shall be as effective as delivery of a manually signed counterpart of this Joinder.</w:t>
      </w:r>
    </w:p>
    <w:p>
      <w:pPr>
        <w:spacing w:after="0" w:line="179" w:lineRule="exact"/>
        <w:rPr>
          <w:sz w:val="20"/>
          <w:szCs w:val="20"/>
          <w:color w:val="auto"/>
        </w:rPr>
      </w:pPr>
    </w:p>
    <w:p>
      <w:pPr>
        <w:ind w:left="20" w:right="40" w:firstLine="649"/>
        <w:spacing w:after="0" w:line="271" w:lineRule="auto"/>
        <w:rPr>
          <w:sz w:val="20"/>
          <w:szCs w:val="20"/>
          <w:color w:val="auto"/>
        </w:rPr>
      </w:pPr>
      <w:r>
        <w:rPr>
          <w:rFonts w:ascii="Times New Roman" w:cs="Times New Roman" w:eastAsia="Times New Roman" w:hAnsi="Times New Roman"/>
          <w:sz w:val="22"/>
          <w:szCs w:val="22"/>
          <w:color w:val="auto"/>
        </w:rPr>
        <w:t>SECTION 4. Except as expressly supplemented hereby, the First Lien Pari Passu Intercreditor Agreement shall remain in full force and effect.</w:t>
      </w:r>
    </w:p>
    <w:p>
      <w:pPr>
        <w:spacing w:after="0" w:line="144" w:lineRule="exact"/>
        <w:rPr>
          <w:sz w:val="20"/>
          <w:szCs w:val="20"/>
          <w:color w:val="auto"/>
        </w:rPr>
      </w:pPr>
    </w:p>
    <w:p>
      <w:pPr>
        <w:jc w:val="both"/>
        <w:ind w:left="20" w:right="20" w:firstLine="649"/>
        <w:spacing w:after="0" w:line="258" w:lineRule="auto"/>
        <w:rPr>
          <w:sz w:val="20"/>
          <w:szCs w:val="20"/>
          <w:color w:val="auto"/>
        </w:rPr>
      </w:pPr>
      <w:r>
        <w:rPr>
          <w:rFonts w:ascii="Times New Roman" w:cs="Times New Roman" w:eastAsia="Times New Roman" w:hAnsi="Times New Roman"/>
          <w:sz w:val="22"/>
          <w:szCs w:val="22"/>
          <w:color w:val="auto"/>
        </w:rPr>
        <w:t>SECTION 5. THIS JOINDER SHALL BE GOVERNED BY, AND CONSTRUED IN ACCORDANCE WITH, THE LAWS OF THE STATE OF NEW YORK.</w:t>
      </w:r>
    </w:p>
    <w:p>
      <w:pPr>
        <w:spacing w:after="0" w:line="172" w:lineRule="exact"/>
        <w:rPr>
          <w:sz w:val="20"/>
          <w:szCs w:val="20"/>
          <w:color w:val="auto"/>
        </w:rPr>
      </w:pPr>
    </w:p>
    <w:p>
      <w:pPr>
        <w:jc w:val="both"/>
        <w:ind w:left="20" w:firstLine="649"/>
        <w:spacing w:after="0" w:line="250" w:lineRule="auto"/>
        <w:rPr>
          <w:sz w:val="20"/>
          <w:szCs w:val="20"/>
          <w:color w:val="auto"/>
        </w:rPr>
      </w:pPr>
      <w:r>
        <w:rPr>
          <w:rFonts w:ascii="Times New Roman" w:cs="Times New Roman" w:eastAsia="Times New Roman" w:hAnsi="Times New Roman"/>
          <w:sz w:val="22"/>
          <w:szCs w:val="22"/>
          <w:color w:val="auto"/>
        </w:rPr>
        <w:t>SECTION 6. In case any one or more of the provisions contained in this Joinder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Pari Passu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ectPr>
          <w:pgSz w:w="11900" w:h="16838" w:orient="portrait"/>
          <w:cols w:equalWidth="0" w:num="1">
            <w:col w:w="10780"/>
          </w:cols>
          <w:pgMar w:left="580" w:top="1368" w:right="539" w:bottom="1440" w:gutter="0" w:footer="0" w:header="0"/>
        </w:sectPr>
      </w:pPr>
    </w:p>
    <w:bookmarkStart w:id="275" w:name="page276"/>
    <w:bookmarkEnd w:id="275"/>
    <w:p>
      <w:pPr>
        <w:spacing w:after="0" w:line="144" w:lineRule="exact"/>
        <w:rPr>
          <w:sz w:val="20"/>
          <w:szCs w:val="20"/>
          <w:color w:val="auto"/>
        </w:rPr>
      </w:pPr>
    </w:p>
    <w:p>
      <w:pPr>
        <w:jc w:val="both"/>
        <w:ind w:firstLine="649"/>
        <w:spacing w:after="0" w:line="263" w:lineRule="auto"/>
        <w:rPr>
          <w:sz w:val="20"/>
          <w:szCs w:val="20"/>
          <w:color w:val="auto"/>
        </w:rPr>
      </w:pPr>
      <w:r>
        <w:rPr>
          <w:rFonts w:ascii="Times New Roman" w:cs="Times New Roman" w:eastAsia="Times New Roman" w:hAnsi="Times New Roman"/>
          <w:sz w:val="22"/>
          <w:szCs w:val="22"/>
          <w:color w:val="auto"/>
        </w:rPr>
        <w:t>SECTION 7. All communications and notices hereunder shall be in writing and given as provided in Section 5.01 of the First Lien Pari Passu Intercreditor Agreement. All communications and notices hereunder to the New Representative or the New Collateral Agent shall be given to it at its address set forth below its signature hereto.</w:t>
      </w:r>
    </w:p>
    <w:p>
      <w:pPr>
        <w:spacing w:after="0" w:line="154" w:lineRule="exact"/>
        <w:rPr>
          <w:sz w:val="20"/>
          <w:szCs w:val="20"/>
          <w:color w:val="auto"/>
        </w:rPr>
      </w:pPr>
    </w:p>
    <w:p>
      <w:pPr>
        <w:jc w:val="both"/>
        <w:ind w:firstLine="649"/>
        <w:spacing w:after="0" w:line="250" w:lineRule="auto"/>
        <w:rPr>
          <w:sz w:val="20"/>
          <w:szCs w:val="20"/>
          <w:color w:val="auto"/>
        </w:rPr>
      </w:pPr>
      <w:r>
        <w:rPr>
          <w:rFonts w:ascii="Times New Roman" w:cs="Times New Roman" w:eastAsia="Times New Roman" w:hAnsi="Times New Roman"/>
          <w:sz w:val="22"/>
          <w:szCs w:val="22"/>
          <w:color w:val="auto"/>
        </w:rPr>
        <w:t>SECTION 8. The Company agrees to reimburse each Collateral Agent and each Authorized Representative for its reasonable out-of-pocket expenses in connection with this Joinder, including the reasonable fees, other charges and disbursements of counsel.</w:t>
      </w:r>
    </w:p>
    <w:p>
      <w:pPr>
        <w:spacing w:after="0" w:line="1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211E1F"/>
        </w:rPr>
        <w:t>[Remainder of this page intentionally left blank.]</w:t>
      </w:r>
    </w:p>
    <w:p>
      <w:pPr>
        <w:sectPr>
          <w:pgSz w:w="11900" w:h="16838" w:orient="portrait"/>
          <w:cols w:equalWidth="0" w:num="1">
            <w:col w:w="10760"/>
          </w:cols>
          <w:pgMar w:left="600" w:top="1440" w:right="539" w:bottom="1440" w:gutter="0" w:footer="0" w:header="0"/>
        </w:sectPr>
      </w:pPr>
    </w:p>
    <w:bookmarkStart w:id="276" w:name="page277"/>
    <w:bookmarkEnd w:id="276"/>
    <w:p>
      <w:pPr>
        <w:spacing w:after="0" w:line="212" w:lineRule="exact"/>
        <w:rPr>
          <w:sz w:val="20"/>
          <w:szCs w:val="20"/>
          <w:color w:val="auto"/>
        </w:rPr>
      </w:pPr>
    </w:p>
    <w:p>
      <w:pPr>
        <w:ind w:firstLine="649"/>
        <w:spacing w:after="0" w:line="271" w:lineRule="auto"/>
        <w:rPr>
          <w:sz w:val="20"/>
          <w:szCs w:val="20"/>
          <w:color w:val="auto"/>
        </w:rPr>
      </w:pPr>
      <w:r>
        <w:rPr>
          <w:rFonts w:ascii="Times New Roman" w:cs="Times New Roman" w:eastAsia="Times New Roman" w:hAnsi="Times New Roman"/>
          <w:sz w:val="22"/>
          <w:szCs w:val="22"/>
          <w:color w:val="auto"/>
        </w:rPr>
        <w:t>IN WITNESS WHEREOF, each of the New Representative and the New Collateral Agent has duly executed this Joinder to the First Lien Pari Passu Intercreditor Agreement as of the day and year first above written.</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211E1F"/>
        </w:rPr>
        <w:t>[NAME OF NEW REPRESENTATIVE], as</w:t>
      </w:r>
    </w:p>
    <w:p>
      <w:pPr>
        <w:spacing w:after="0" w:line="14" w:lineRule="exact"/>
        <w:rPr>
          <w:sz w:val="20"/>
          <w:szCs w:val="20"/>
          <w:color w:val="auto"/>
        </w:rPr>
      </w:pPr>
    </w:p>
    <w:p>
      <w:pPr>
        <w:ind w:left="4540"/>
        <w:spacing w:after="0"/>
        <w:tabs>
          <w:tab w:leader="none" w:pos="4800" w:val="left"/>
          <w:tab w:leader="none" w:pos="6760" w:val="left"/>
        </w:tabs>
        <w:rPr>
          <w:sz w:val="20"/>
          <w:szCs w:val="20"/>
          <w:color w:val="auto"/>
        </w:rPr>
      </w:pPr>
      <w:r>
        <w:rPr>
          <w:rFonts w:ascii="Times New Roman" w:cs="Times New Roman" w:eastAsia="Times New Roman" w:hAnsi="Times New Roman"/>
          <w:sz w:val="22"/>
          <w:szCs w:val="22"/>
          <w:color w:val="auto"/>
        </w:rPr>
        <w:t>[</w:t>
        <w:tab/>
        <w:t>] for the holders of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-29210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-29210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2" w:lineRule="exact"/>
        <w:rPr>
          <w:sz w:val="20"/>
          <w:szCs w:val="20"/>
          <w:color w:val="auto"/>
        </w:rPr>
      </w:pPr>
    </w:p>
    <w:p>
      <w:pPr>
        <w:ind w:left="4540"/>
        <w:spacing w:after="0"/>
        <w:tabs>
          <w:tab w:leader="none" w:pos="554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-13970</wp:posOffset>
            </wp:positionV>
            <wp:extent cx="274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0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Title: 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-13970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-13970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211E1F"/>
        </w:rPr>
        <w:t>[NAME OF NEW COLLATERAL AGENT]</w:t>
      </w:r>
      <w:r>
        <w:rPr>
          <w:rFonts w:ascii="Times New Roman" w:cs="Times New Roman" w:eastAsia="Times New Roman" w:hAnsi="Times New Roman"/>
          <w:sz w:val="22"/>
          <w:szCs w:val="22"/>
          <w:color w:val="000000"/>
        </w:rPr>
        <w:t>,</w:t>
      </w:r>
    </w:p>
    <w:p>
      <w:pPr>
        <w:spacing w:after="0" w:line="28" w:lineRule="exact"/>
        <w:rPr>
          <w:sz w:val="20"/>
          <w:szCs w:val="20"/>
          <w:color w:val="auto"/>
        </w:rPr>
      </w:pPr>
    </w:p>
    <w:p>
      <w:pPr>
        <w:ind w:left="4540"/>
        <w:spacing w:after="0"/>
        <w:tabs>
          <w:tab w:leader="none" w:pos="554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-29210</wp:posOffset>
            </wp:positionV>
            <wp:extent cx="274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2"/>
          <w:szCs w:val="22"/>
          <w:color w:val="auto"/>
        </w:rPr>
        <w:t>Title:</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40"/>
        <w:spacing w:after="0"/>
        <w:tabs>
          <w:tab w:leader="none" w:pos="5900" w:val="left"/>
        </w:tabs>
        <w:rPr>
          <w:sz w:val="20"/>
          <w:szCs w:val="20"/>
          <w:color w:val="auto"/>
        </w:rPr>
      </w:pPr>
      <w:r>
        <w:rPr>
          <w:rFonts w:ascii="Times New Roman" w:cs="Times New Roman" w:eastAsia="Times New Roman" w:hAnsi="Times New Roman"/>
          <w:sz w:val="22"/>
          <w:szCs w:val="22"/>
          <w:color w:val="auto"/>
        </w:rPr>
        <w:t>attention of:</w:t>
      </w:r>
      <w:r>
        <w:rPr>
          <w:sz w:val="20"/>
          <w:szCs w:val="20"/>
          <w:color w:val="auto"/>
        </w:rPr>
        <w:tab/>
      </w:r>
      <w:r>
        <w:rPr>
          <w:rFonts w:ascii="Times New Roman" w:cs="Times New Roman" w:eastAsia="Times New Roman" w:hAnsi="Times New Roman"/>
          <w:sz w:val="21"/>
          <w:szCs w:val="21"/>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-13970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4326890</wp:posOffset>
            </wp:positionH>
            <wp:positionV relativeFrom="paragraph">
              <wp:posOffset>-13970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740"/>
          </w:cols>
          <w:pgMar w:left="600" w:top="1440" w:right="559" w:bottom="1440" w:gutter="0" w:footer="0" w:header="0"/>
        </w:sectPr>
      </w:pPr>
    </w:p>
    <w:bookmarkStart w:id="277" w:name="page278"/>
    <w:bookmarkEnd w:id="277"/>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1E1F"/>
        </w:rPr>
        <w:t>Acknowledged by: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11E1F"/>
        </w:rPr>
        <w:t>SOTERA HEALTH HOLDINGS, LLC,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1E1F"/>
        </w:rPr>
        <w:t>as Company</w:t>
      </w:r>
    </w:p>
    <w:p>
      <w:pPr>
        <w:spacing w:after="0" w:line="20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211E1F"/>
        </w:rPr>
        <w:t>By:</w:t>
      </w:r>
      <w:r>
        <w:rPr>
          <w:sz w:val="20"/>
          <w:szCs w:val="20"/>
          <w:color w:val="auto"/>
        </w:rPr>
        <w:tab/>
      </w:r>
      <w:r>
        <w:rPr>
          <w:rFonts w:ascii="Times New Roman" w:cs="Times New Roman" w:eastAsia="Times New Roman" w:hAnsi="Times New Roman"/>
          <w:sz w:val="22"/>
          <w:szCs w:val="22"/>
          <w:color w:val="211E1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-13970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211E1F"/>
        </w:rPr>
        <w:t>Title:</w:t>
      </w:r>
    </w:p>
    <w:p>
      <w:pPr>
        <w:sectPr>
          <w:pgSz w:w="11900" w:h="16838" w:orient="portrait"/>
          <w:cols w:equalWidth="0" w:num="1">
            <w:col w:w="9759"/>
          </w:cols>
          <w:pgMar w:left="700" w:top="1440" w:right="1440" w:bottom="1440" w:gutter="0" w:footer="0" w:header="0"/>
        </w:sectPr>
      </w:pPr>
    </w:p>
    <w:bookmarkStart w:id="278" w:name="page279"/>
    <w:bookmarkEnd w:id="278"/>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F</w:t>
      </w:r>
    </w:p>
    <w:p>
      <w:pPr>
        <w:spacing w:after="0" w:line="200" w:lineRule="exact"/>
        <w:rPr>
          <w:sz w:val="20"/>
          <w:szCs w:val="20"/>
          <w:color w:val="auto"/>
        </w:rPr>
      </w:pPr>
    </w:p>
    <w:p>
      <w:pPr>
        <w:spacing w:after="0" w:line="23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[See attached.]</w:t>
      </w:r>
    </w:p>
    <w:p>
      <w:pPr>
        <w:sectPr>
          <w:pgSz w:w="11900" w:h="16838" w:orient="portrait"/>
          <w:cols w:equalWidth="0" w:num="1">
            <w:col w:w="9940"/>
          </w:cols>
          <w:pgMar w:left="1440" w:top="1440" w:right="519" w:bottom="1440" w:gutter="0" w:footer="0" w:header="0"/>
        </w:sectPr>
      </w:pPr>
    </w:p>
    <w:bookmarkStart w:id="279" w:name="page280"/>
    <w:bookmarkEnd w:id="279"/>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[FORM OF]</w:t>
      </w:r>
    </w:p>
    <w:p>
      <w:pPr>
        <w:spacing w:after="0" w:line="24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ABL INTERCREDITOR AGREEMENT</w:t>
      </w:r>
    </w:p>
    <w:p>
      <w:pPr>
        <w:spacing w:after="0" w:line="24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among</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SOTERA HEALTH HOLDINGS, LLC,</w:t>
      </w:r>
    </w:p>
    <w:p>
      <w:pPr>
        <w:spacing w:after="0" w:line="152" w:lineRule="exact"/>
        <w:rPr>
          <w:sz w:val="20"/>
          <w:szCs w:val="20"/>
          <w:color w:val="auto"/>
        </w:rPr>
      </w:pPr>
    </w:p>
    <w:p>
      <w:pPr>
        <w:ind w:left="2920"/>
        <w:spacing w:after="0"/>
        <w:tabs>
          <w:tab w:leader="none" w:pos="5960" w:val="left"/>
        </w:tabs>
        <w:rPr>
          <w:sz w:val="20"/>
          <w:szCs w:val="20"/>
          <w:color w:val="auto"/>
        </w:rPr>
      </w:pPr>
      <w:r>
        <w:rPr>
          <w:rFonts w:ascii="Times New Roman" w:cs="Times New Roman" w:eastAsia="Times New Roman" w:hAnsi="Times New Roman"/>
          <w:sz w:val="22"/>
          <w:szCs w:val="22"/>
          <w:color w:val="auto"/>
        </w:rPr>
        <w:t>the other Pledgors party hereto, [</w:t>
      </w:r>
      <w:r>
        <w:rPr>
          <w:sz w:val="20"/>
          <w:szCs w:val="20"/>
          <w:color w:val="auto"/>
        </w:rPr>
        <w:tab/>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as ABL Representative,</w:t>
      </w:r>
    </w:p>
    <w:p>
      <w:pPr>
        <w:spacing w:after="0" w:line="31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1"/>
          <w:szCs w:val="21"/>
          <w:color w:val="auto"/>
        </w:rPr>
        <w:t>as First Lien Collateral Agent, Designated Senior Representative, and First Lien/Second Lien</w:t>
      </w:r>
    </w:p>
    <w:p>
      <w:pPr>
        <w:spacing w:after="0" w:line="1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Intercreditor Representative</w:t>
      </w:r>
    </w:p>
    <w:p>
      <w:pPr>
        <w:spacing w:after="0" w:line="221" w:lineRule="exact"/>
        <w:rPr>
          <w:sz w:val="20"/>
          <w:szCs w:val="20"/>
          <w:color w:val="auto"/>
        </w:rPr>
      </w:pPr>
    </w:p>
    <w:p>
      <w:pPr>
        <w:ind w:left="1080" w:hanging="280"/>
        <w:spacing w:after="0"/>
        <w:tabs>
          <w:tab w:leader="none" w:pos="108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Second Lien Collateral Agent and Designated Second Priority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dated as of</w:t>
      </w:r>
    </w:p>
    <w:p>
      <w:pPr>
        <w:spacing w:after="0" w:line="23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 mm] [dd ] , [yyyy]</w:t>
      </w:r>
    </w:p>
    <w:p>
      <w:pPr>
        <w:sectPr>
          <w:pgSz w:w="11900" w:h="16838" w:orient="portrait"/>
          <w:cols w:equalWidth="0" w:num="1">
            <w:col w:w="9940"/>
          </w:cols>
          <w:pgMar w:left="1440" w:top="1440" w:right="519" w:bottom="1440" w:gutter="0" w:footer="0" w:header="0"/>
        </w:sectPr>
      </w:pPr>
    </w:p>
    <w:bookmarkStart w:id="280" w:name="page281"/>
    <w:bookmarkEnd w:id="280"/>
    <w:p>
      <w:pPr>
        <w:ind w:left="4200"/>
        <w:spacing w:after="0"/>
        <w:rPr>
          <w:sz w:val="20"/>
          <w:szCs w:val="20"/>
          <w:color w:val="auto"/>
        </w:rPr>
      </w:pPr>
      <w:r>
        <w:rPr>
          <w:rFonts w:ascii="Times New Roman" w:cs="Times New Roman" w:eastAsia="Times New Roman" w:hAnsi="Times New Roman"/>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w w:val="92"/>
              </w:rPr>
              <w:t>Page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18"/>
        </w:trPr>
        <w:tc>
          <w:tcPr>
            <w:tcW w:w="20" w:type="dxa"/>
            <w:vAlign w:val="bottom"/>
          </w:tcPr>
          <w:p>
            <w:pPr>
              <w:spacing w:after="0"/>
              <w:rPr>
                <w:sz w:val="24"/>
                <w:szCs w:val="24"/>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9"/>
              </w:rPr>
              <w:t>SECTION 1. DEFINITIONS; TERMS GENERALLY</w:t>
            </w: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w:t>
            </w: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2"/>
        </w:trPr>
        <w:tc>
          <w:tcPr>
            <w:tcW w:w="7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1.1</w:t>
            </w:r>
          </w:p>
        </w:tc>
        <w:tc>
          <w:tcPr>
            <w:tcW w:w="184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Definitions  2</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2"/>
        </w:trPr>
        <w:tc>
          <w:tcPr>
            <w:tcW w:w="7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1.2</w:t>
            </w:r>
          </w:p>
        </w:tc>
        <w:tc>
          <w:tcPr>
            <w:tcW w:w="2720" w:type="dxa"/>
            <w:vAlign w:val="bottom"/>
            <w:gridSpan w:val="5"/>
          </w:tcPr>
          <w:p>
            <w:pPr>
              <w:ind w:left="540"/>
              <w:spacing w:after="0"/>
              <w:rPr>
                <w:sz w:val="20"/>
                <w:szCs w:val="20"/>
                <w:color w:val="auto"/>
              </w:rPr>
            </w:pPr>
            <w:r>
              <w:rPr>
                <w:rFonts w:ascii="Times New Roman" w:cs="Times New Roman" w:eastAsia="Times New Roman" w:hAnsi="Times New Roman"/>
                <w:sz w:val="22"/>
                <w:szCs w:val="22"/>
                <w:color w:val="auto"/>
              </w:rPr>
              <w:t>Terms Generally  17</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Times New Roman" w:cs="Times New Roman" w:eastAsia="Times New Roman" w:hAnsi="Times New Roman"/>
                <w:sz w:val="22"/>
                <w:szCs w:val="22"/>
                <w:color w:val="auto"/>
                <w:w w:val="98"/>
              </w:rPr>
              <w:t>SECTION 2. PRIORITIES AND AGREEMENTS WITH RESPECT TO COLLATERAL</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w:t>
            </w:r>
          </w:p>
        </w:tc>
      </w:tr>
      <w:tr>
        <w:trPr>
          <w:trHeight w:val="339"/>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1.1</w:t>
            </w: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Priority of Claims</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18</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7140" w:type="dxa"/>
            <w:vAlign w:val="bottom"/>
            <w:gridSpan w:val="10"/>
          </w:tcPr>
          <w:p>
            <w:pPr>
              <w:ind w:left="160"/>
              <w:spacing w:after="0" w:line="243" w:lineRule="exact"/>
              <w:rPr>
                <w:sz w:val="20"/>
                <w:szCs w:val="20"/>
                <w:color w:val="auto"/>
              </w:rPr>
            </w:pPr>
            <w:r>
              <w:rPr>
                <w:rFonts w:ascii="Times New Roman" w:cs="Times New Roman" w:eastAsia="Times New Roman" w:hAnsi="Times New Roman"/>
                <w:sz w:val="22"/>
                <w:szCs w:val="22"/>
                <w:color w:val="auto"/>
              </w:rPr>
              <w:t>Actions with Respect to Collateral; Prohibition on Contesting Liens  20</w:t>
            </w:r>
          </w:p>
        </w:tc>
        <w:tc>
          <w:tcPr>
            <w:tcW w:w="540" w:type="dxa"/>
            <w:vAlign w:val="bottom"/>
          </w:tcPr>
          <w:p>
            <w:pPr>
              <w:spacing w:after="0"/>
              <w:rPr>
                <w:sz w:val="21"/>
                <w:szCs w:val="21"/>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7680" w:type="dxa"/>
            <w:vAlign w:val="bottom"/>
            <w:gridSpan w:val="11"/>
          </w:tcPr>
          <w:p>
            <w:pPr>
              <w:ind w:left="160"/>
              <w:spacing w:after="0" w:line="243" w:lineRule="exact"/>
              <w:rPr>
                <w:sz w:val="20"/>
                <w:szCs w:val="20"/>
                <w:color w:val="auto"/>
              </w:rPr>
            </w:pPr>
            <w:r>
              <w:rPr>
                <w:rFonts w:ascii="Times New Roman" w:cs="Times New Roman" w:eastAsia="Times New Roman" w:hAnsi="Times New Roman"/>
                <w:sz w:val="22"/>
                <w:szCs w:val="22"/>
                <w:color w:val="auto"/>
                <w:w w:val="97"/>
              </w:rPr>
              <w:t>Confirmation of Lien Priorities in Junior Secured Obligations Collateral Documents 21</w:t>
            </w: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6320" w:type="dxa"/>
            <w:vAlign w:val="bottom"/>
            <w:gridSpan w:val="9"/>
          </w:tcPr>
          <w:p>
            <w:pPr>
              <w:ind w:left="560"/>
              <w:spacing w:after="0" w:line="243" w:lineRule="exact"/>
              <w:rPr>
                <w:sz w:val="20"/>
                <w:szCs w:val="20"/>
                <w:color w:val="auto"/>
              </w:rPr>
            </w:pPr>
            <w:r>
              <w:rPr>
                <w:rFonts w:ascii="Times New Roman" w:cs="Times New Roman" w:eastAsia="Times New Roman" w:hAnsi="Times New Roman"/>
                <w:sz w:val="22"/>
                <w:szCs w:val="22"/>
                <w:color w:val="auto"/>
              </w:rPr>
              <w:t>No Duties of Senior Agents; Provision of Notice  22</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7"/>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1.5</w:t>
            </w:r>
          </w:p>
        </w:tc>
        <w:tc>
          <w:tcPr>
            <w:tcW w:w="45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8"/>
              </w:rPr>
              <w:t>No Interference; Payment Over; Avoidance Issues</w:t>
            </w:r>
          </w:p>
        </w:tc>
        <w:tc>
          <w:tcPr>
            <w:tcW w:w="176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23</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6"/>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1.6</w:t>
            </w:r>
          </w:p>
        </w:tc>
        <w:tc>
          <w:tcPr>
            <w:tcW w:w="322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w w:val="99"/>
              </w:rPr>
              <w:t>Automatic Release of Junior Liens</w:t>
            </w:r>
          </w:p>
        </w:tc>
        <w:tc>
          <w:tcPr>
            <w:tcW w:w="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25</w:t>
            </w: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7140" w:type="dxa"/>
            <w:vAlign w:val="bottom"/>
            <w:gridSpan w:val="10"/>
          </w:tcPr>
          <w:p>
            <w:pPr>
              <w:ind w:left="160"/>
              <w:spacing w:after="0" w:line="243" w:lineRule="exact"/>
              <w:rPr>
                <w:sz w:val="20"/>
                <w:szCs w:val="20"/>
                <w:color w:val="auto"/>
              </w:rPr>
            </w:pPr>
            <w:r>
              <w:rPr>
                <w:rFonts w:ascii="Times New Roman" w:cs="Times New Roman" w:eastAsia="Times New Roman" w:hAnsi="Times New Roman"/>
                <w:sz w:val="22"/>
                <w:szCs w:val="22"/>
                <w:color w:val="auto"/>
                <w:w w:val="99"/>
              </w:rPr>
              <w:t>Certain Agreements with Respect to Bankruptcy or Insolvency Proceedings  26</w:t>
            </w:r>
          </w:p>
        </w:tc>
        <w:tc>
          <w:tcPr>
            <w:tcW w:w="540" w:type="dxa"/>
            <w:vAlign w:val="bottom"/>
          </w:tcPr>
          <w:p>
            <w:pPr>
              <w:spacing w:after="0"/>
              <w:rPr>
                <w:sz w:val="21"/>
                <w:szCs w:val="21"/>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148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Reinstatement</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7"/>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1.9</w:t>
            </w:r>
          </w:p>
        </w:tc>
        <w:tc>
          <w:tcPr>
            <w:tcW w:w="45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Entry Upon Premises by the ABL Representative</w:t>
            </w:r>
          </w:p>
        </w:tc>
        <w:tc>
          <w:tcPr>
            <w:tcW w:w="176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31</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1.10</w:t>
            </w:r>
          </w:p>
        </w:tc>
        <w:tc>
          <w:tcPr>
            <w:tcW w:w="1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5"/>
              </w:rPr>
              <w:t>Insurance</w:t>
            </w:r>
          </w:p>
        </w:tc>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1.11</w:t>
            </w:r>
          </w:p>
        </w:tc>
        <w:tc>
          <w:tcPr>
            <w:tcW w:w="408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color w:val="auto"/>
              </w:rPr>
              <w:t>Amendments to Security Documents  33</w:t>
            </w: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7"/>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1.12</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Refinancings</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33</w:t>
            </w: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0"/>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1.13</w:t>
            </w:r>
          </w:p>
        </w:tc>
        <w:tc>
          <w:tcPr>
            <w:tcW w:w="714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Pledged Collateral Agent as Gratuitous Bailee/Gratuitous Agent for Perfection</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9"/>
              </w:rPr>
              <w:t>33</w:t>
            </w:r>
          </w:p>
        </w:tc>
      </w:tr>
      <w:tr>
        <w:trPr>
          <w:trHeight w:val="282"/>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1.14</w:t>
            </w:r>
          </w:p>
        </w:tc>
        <w:tc>
          <w:tcPr>
            <w:tcW w:w="3220" w:type="dxa"/>
            <w:vAlign w:val="bottom"/>
            <w:gridSpan w:val="6"/>
          </w:tcPr>
          <w:p>
            <w:pPr>
              <w:ind w:left="440"/>
              <w:spacing w:after="0"/>
              <w:rPr>
                <w:sz w:val="20"/>
                <w:szCs w:val="20"/>
                <w:color w:val="auto"/>
              </w:rPr>
            </w:pPr>
            <w:r>
              <w:rPr>
                <w:rFonts w:ascii="Times New Roman" w:cs="Times New Roman" w:eastAsia="Times New Roman" w:hAnsi="Times New Roman"/>
                <w:sz w:val="22"/>
                <w:szCs w:val="22"/>
                <w:color w:val="auto"/>
              </w:rPr>
              <w:t>Rights as Unsecured Creditors</w:t>
            </w: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34</w:t>
            </w: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73"/>
        </w:trPr>
        <w:tc>
          <w:tcPr>
            <w:tcW w:w="7060" w:type="dxa"/>
            <w:vAlign w:val="bottom"/>
            <w:gridSpan w:val="12"/>
          </w:tcPr>
          <w:p>
            <w:pPr>
              <w:spacing w:after="0"/>
              <w:rPr>
                <w:sz w:val="20"/>
                <w:szCs w:val="20"/>
                <w:color w:val="auto"/>
              </w:rPr>
            </w:pPr>
            <w:r>
              <w:rPr>
                <w:rFonts w:ascii="Times New Roman" w:cs="Times New Roman" w:eastAsia="Times New Roman" w:hAnsi="Times New Roman"/>
                <w:sz w:val="22"/>
                <w:szCs w:val="22"/>
                <w:color w:val="auto"/>
                <w:w w:val="98"/>
              </w:rPr>
              <w:t>SECTION 3. EXISTENCE AND AMOUNTS OF LIENS AND OBLIGATIONS</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35</w:t>
            </w:r>
          </w:p>
        </w:tc>
        <w:tc>
          <w:tcPr>
            <w:tcW w:w="540" w:type="dxa"/>
            <w:vAlign w:val="bottom"/>
          </w:tcPr>
          <w:p>
            <w:pPr>
              <w:spacing w:after="0"/>
              <w:rPr>
                <w:sz w:val="24"/>
                <w:szCs w:val="24"/>
                <w:color w:val="auto"/>
              </w:rPr>
            </w:pPr>
          </w:p>
        </w:tc>
      </w:tr>
      <w:tr>
        <w:trPr>
          <w:trHeight w:val="486"/>
        </w:trPr>
        <w:tc>
          <w:tcPr>
            <w:tcW w:w="304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SECTION 4. MISCELLANEOUS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98"/>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1.1</w:t>
            </w:r>
          </w:p>
        </w:tc>
        <w:tc>
          <w:tcPr>
            <w:tcW w:w="10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Notices</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35</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230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Amendments; Waivers</w:t>
            </w:r>
          </w:p>
        </w:tc>
        <w:tc>
          <w:tcPr>
            <w:tcW w:w="4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1.3</w:t>
            </w: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Parties in Interest</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1.4</w:t>
            </w: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Effectiveness of Agreement</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36</w:t>
            </w: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48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3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37</w:t>
            </w: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6320" w:type="dxa"/>
            <w:vAlign w:val="bottom"/>
            <w:gridSpan w:val="9"/>
          </w:tcPr>
          <w:p>
            <w:pPr>
              <w:ind w:left="560"/>
              <w:spacing w:after="0" w:line="243" w:lineRule="exact"/>
              <w:rPr>
                <w:sz w:val="20"/>
                <w:szCs w:val="20"/>
                <w:color w:val="auto"/>
              </w:rPr>
            </w:pPr>
            <w:r>
              <w:rPr>
                <w:rFonts w:ascii="Times New Roman" w:cs="Times New Roman" w:eastAsia="Times New Roman" w:hAnsi="Times New Roman"/>
                <w:sz w:val="22"/>
                <w:szCs w:val="22"/>
                <w:color w:val="auto"/>
              </w:rPr>
              <w:t>Continuing Nature of This Agreement; Severability  37</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7"/>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1.7</w:t>
            </w:r>
          </w:p>
        </w:tc>
        <w:tc>
          <w:tcPr>
            <w:tcW w:w="632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Governing Law; Jurisdiction; Consent to Service of Process; Waivers</w:t>
            </w: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37</w:t>
            </w:r>
          </w:p>
        </w:tc>
        <w:tc>
          <w:tcPr>
            <w:tcW w:w="540" w:type="dxa"/>
            <w:vAlign w:val="bottom"/>
          </w:tcPr>
          <w:p>
            <w:pPr>
              <w:spacing w:after="0"/>
              <w:rPr>
                <w:sz w:val="22"/>
                <w:szCs w:val="22"/>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2720" w:type="dxa"/>
            <w:vAlign w:val="bottom"/>
            <w:gridSpan w:val="5"/>
          </w:tcPr>
          <w:p>
            <w:pPr>
              <w:ind w:left="160"/>
              <w:spacing w:after="0" w:line="243" w:lineRule="exact"/>
              <w:rPr>
                <w:sz w:val="20"/>
                <w:szCs w:val="20"/>
                <w:color w:val="auto"/>
              </w:rPr>
            </w:pPr>
            <w:r>
              <w:rPr>
                <w:rFonts w:ascii="Times New Roman" w:cs="Times New Roman" w:eastAsia="Times New Roman" w:hAnsi="Times New Roman"/>
                <w:sz w:val="22"/>
                <w:szCs w:val="22"/>
                <w:color w:val="auto"/>
              </w:rPr>
              <w:t>WAIVER OF JURY TRIAL</w:t>
            </w:r>
          </w:p>
        </w:tc>
        <w:tc>
          <w:tcPr>
            <w:tcW w:w="50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1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8"/>
              </w:rPr>
              <w:t>Headings</w:t>
            </w:r>
          </w:p>
        </w:tc>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7"/>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1.10</w:t>
            </w:r>
          </w:p>
        </w:tc>
        <w:tc>
          <w:tcPr>
            <w:tcW w:w="10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Conflicts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6"/>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1.11</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6"/>
              </w:rPr>
              <w:t>Relative Rights</w:t>
            </w:r>
          </w:p>
        </w:tc>
        <w:tc>
          <w:tcPr>
            <w:tcW w:w="82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39</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184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Agent Capacities</w:t>
            </w:r>
          </w:p>
        </w:tc>
        <w:tc>
          <w:tcPr>
            <w:tcW w:w="4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0"/>
              </w:rPr>
              <w:t>39</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4080" w:type="dxa"/>
            <w:vAlign w:val="bottom"/>
            <w:gridSpan w:val="7"/>
          </w:tcPr>
          <w:p>
            <w:pPr>
              <w:ind w:left="440"/>
              <w:spacing w:after="0" w:line="243" w:lineRule="exact"/>
              <w:rPr>
                <w:sz w:val="20"/>
                <w:szCs w:val="20"/>
                <w:color w:val="auto"/>
              </w:rPr>
            </w:pPr>
            <w:r>
              <w:rPr>
                <w:rFonts w:ascii="Times New Roman" w:cs="Times New Roman" w:eastAsia="Times New Roman" w:hAnsi="Times New Roman"/>
                <w:sz w:val="22"/>
                <w:szCs w:val="22"/>
                <w:color w:val="auto"/>
              </w:rPr>
              <w:t>Requirements for Additional Obligations</w:t>
            </w:r>
          </w:p>
        </w:tc>
        <w:tc>
          <w:tcPr>
            <w:tcW w:w="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7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2720" w:type="dxa"/>
            <w:vAlign w:val="bottom"/>
            <w:gridSpan w:val="5"/>
          </w:tcPr>
          <w:p>
            <w:pPr>
              <w:ind w:left="440"/>
              <w:spacing w:after="0" w:line="243" w:lineRule="exact"/>
              <w:rPr>
                <w:sz w:val="20"/>
                <w:szCs w:val="20"/>
                <w:color w:val="auto"/>
              </w:rPr>
            </w:pPr>
            <w:r>
              <w:rPr>
                <w:rFonts w:ascii="Times New Roman" w:cs="Times New Roman" w:eastAsia="Times New Roman" w:hAnsi="Times New Roman"/>
                <w:sz w:val="22"/>
                <w:szCs w:val="22"/>
                <w:color w:val="auto"/>
              </w:rPr>
              <w:t>Intercreditor Agreements</w:t>
            </w:r>
          </w:p>
        </w:tc>
        <w:tc>
          <w:tcPr>
            <w:tcW w:w="50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82"/>
        </w:trPr>
        <w:tc>
          <w:tcPr>
            <w:tcW w:w="7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1.15</w:t>
            </w: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7"/>
              </w:rPr>
              <w:t>Further Assurances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9879"/>
          </w:cols>
          <w:pgMar w:left="580" w:top="1404" w:right="1440" w:bottom="1440" w:gutter="0" w:footer="0" w:header="0"/>
        </w:sectPr>
      </w:pPr>
    </w:p>
    <w:bookmarkStart w:id="281" w:name="page282"/>
    <w:bookmarkEnd w:id="281"/>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EXHIBITS</w:t>
            </w:r>
            <w:r>
              <w:rPr>
                <w:rFonts w:ascii="Times New Roman" w:cs="Times New Roman" w:eastAsia="Times New Roman" w:hAnsi="Times New Roman"/>
                <w:sz w:val="22"/>
                <w:szCs w:val="22"/>
                <w:color w:val="auto"/>
              </w:rPr>
              <w:t>:</w:t>
            </w:r>
          </w:p>
        </w:tc>
        <w:tc>
          <w:tcPr>
            <w:tcW w:w="6560" w:type="dxa"/>
            <w:vAlign w:val="bottom"/>
          </w:tcPr>
          <w:p>
            <w:pPr>
              <w:spacing w:after="0"/>
              <w:rPr>
                <w:sz w:val="22"/>
                <w:szCs w:val="22"/>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574"/>
        </w:trPr>
        <w:tc>
          <w:tcPr>
            <w:tcW w:w="180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Exhibit A-1</w:t>
            </w:r>
          </w:p>
        </w:tc>
        <w:tc>
          <w:tcPr>
            <w:tcW w:w="65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Acknowledgement of and Consent to the ABL Intercreditor Agreement</w:t>
            </w:r>
          </w:p>
        </w:tc>
      </w:tr>
      <w:tr>
        <w:trPr>
          <w:trHeight w:val="282"/>
        </w:trPr>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(Company and the Other Pledgors)</w:t>
            </w:r>
          </w:p>
        </w:tc>
      </w:tr>
      <w:tr>
        <w:trPr>
          <w:trHeight w:val="311"/>
        </w:trPr>
        <w:tc>
          <w:tcPr>
            <w:tcW w:w="180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Exhibit A-2</w:t>
            </w:r>
          </w:p>
        </w:tc>
        <w:tc>
          <w:tcPr>
            <w:tcW w:w="65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Consent and Acknowledgment (ABL Obligations)</w:t>
            </w:r>
          </w:p>
        </w:tc>
      </w:tr>
      <w:tr>
        <w:trPr>
          <w:trHeight w:val="351"/>
        </w:trPr>
        <w:tc>
          <w:tcPr>
            <w:tcW w:w="180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Exhibit A-3</w:t>
            </w:r>
          </w:p>
        </w:tc>
        <w:tc>
          <w:tcPr>
            <w:tcW w:w="65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Consent and Acknowledgment (Other First Lien Secured Obligations)</w:t>
            </w:r>
          </w:p>
        </w:tc>
      </w:tr>
      <w:tr>
        <w:trPr>
          <w:trHeight w:val="364"/>
        </w:trPr>
        <w:tc>
          <w:tcPr>
            <w:tcW w:w="180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Exhibit A-4</w:t>
            </w:r>
          </w:p>
        </w:tc>
        <w:tc>
          <w:tcPr>
            <w:tcW w:w="65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Consent and Acknowledgment (Other Second Lien Secured Obligations)</w:t>
            </w:r>
          </w:p>
        </w:tc>
      </w:tr>
    </w:tbl>
    <w:p>
      <w:pPr>
        <w:sectPr>
          <w:pgSz w:w="11900" w:h="16838" w:orient="portrait"/>
          <w:cols w:equalWidth="0" w:num="1">
            <w:col w:w="9639"/>
          </w:cols>
          <w:pgMar w:left="820" w:top="1440" w:right="1440" w:bottom="1440" w:gutter="0" w:footer="0" w:header="0"/>
        </w:sectPr>
      </w:pPr>
    </w:p>
    <w:bookmarkStart w:id="282" w:name="page283"/>
    <w:bookmarkEnd w:id="282"/>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ABL INTERCREDITOR AGREEMENT</w:t>
      </w:r>
    </w:p>
    <w:p>
      <w:pPr>
        <w:spacing w:after="0" w:line="224" w:lineRule="exact"/>
        <w:rPr>
          <w:sz w:val="20"/>
          <w:szCs w:val="20"/>
          <w:color w:val="auto"/>
        </w:rPr>
      </w:pPr>
    </w:p>
    <w:p>
      <w:pPr>
        <w:jc w:val="both"/>
        <w:ind w:left="20" w:right="20" w:firstLine="1298"/>
        <w:spacing w:after="0" w:line="248" w:lineRule="auto"/>
        <w:rPr>
          <w:sz w:val="20"/>
          <w:szCs w:val="20"/>
          <w:color w:val="auto"/>
        </w:rPr>
      </w:pPr>
      <w:r>
        <w:rPr>
          <w:rFonts w:ascii="Times New Roman" w:cs="Times New Roman" w:eastAsia="Times New Roman" w:hAnsi="Times New Roman"/>
          <w:sz w:val="22"/>
          <w:szCs w:val="22"/>
          <w:color w:val="auto"/>
        </w:rPr>
        <w:t>ABL INTERCREDITOR AGREEMENT, dated as of [mm] [dd], [yyyy] (as amended, restated, amended and restated, extended, supplemented or otherwise modified from time to time,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among SOTERA HEALTH COMPANY, a Delaware corporation (“</w:t>
      </w: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 SOTERA HEALTH HOLDINGS, LLC, a Delaware limited liability company (together with its successors in such capacity and as provided in Section 4.4 (Effectiveness of Agreement),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the other Pledgors (as defined below) that have executed a Company Consent (as defined below) from time to time, [ ]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in its capacity as the ABL Representative, JPMORGAN CHASE BANK, N.A. (“</w:t>
      </w:r>
      <w:r>
        <w:rPr>
          <w:rFonts w:ascii="Times New Roman" w:cs="Times New Roman" w:eastAsia="Times New Roman" w:hAnsi="Times New Roman"/>
          <w:sz w:val="22"/>
          <w:szCs w:val="22"/>
          <w:b w:val="1"/>
          <w:bCs w:val="1"/>
          <w:color w:val="auto"/>
        </w:rPr>
        <w:t>JPMorgan</w:t>
      </w:r>
      <w:r>
        <w:rPr>
          <w:rFonts w:ascii="Times New Roman" w:cs="Times New Roman" w:eastAsia="Times New Roman" w:hAnsi="Times New Roman"/>
          <w:sz w:val="22"/>
          <w:szCs w:val="22"/>
          <w:color w:val="auto"/>
        </w:rPr>
        <w:t>”), in its capacities as the First Lien Collateral Agent, the Designated Senior Representative, and the First Lien/Second Lien Intercreditor Representative; [ ] (“[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solely in its capacity as Second Lien Collateral Agent under the Second Lien [Credit Agreement][Indenture], as the Designated Second Priority Representative; and acknowledged and consented to (a) by each Other First Lien Obligations Agent, for itself and on behalf of the relevant Other First Lien Obligations Secured Parties, that has executed and delivered an applicable Consent and Acknowledgement and (b) by each Other Second Lien Obligations Agent, for itself and on behalf of the relevant Other Second Lien Obligations Secured Parties, that has executed and delivered an applicable Consent and Acknowledgement. Capitalized terms used but not defined in the preamble or the recitals to this Agreement have the meanings set forth in Section 1.1 below.</w:t>
      </w:r>
    </w:p>
    <w:p>
      <w:pPr>
        <w:spacing w:after="0" w:line="1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4" w:lineRule="exact"/>
        <w:rPr>
          <w:sz w:val="20"/>
          <w:szCs w:val="20"/>
          <w:color w:val="auto"/>
        </w:rPr>
      </w:pPr>
    </w:p>
    <w:p>
      <w:pPr>
        <w:jc w:val="both"/>
        <w:ind w:left="20" w:firstLine="1294"/>
        <w:spacing w:after="0" w:line="249" w:lineRule="auto"/>
        <w:tabs>
          <w:tab w:leader="none" w:pos="1689"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the Company (i) is a party to that certain First Lien Credit Agreement dated as of December 13, 2019 (as amended, renewed, extended, supplemented, restated, replaced or otherwise modified from time to time) among Holdings, the Company, the lenders party thereto from time to time, and JPMorgan Chase Bank, N.A. as first lien administrative agent and first lien collateral agent, (ii) is a party to that certain First Lien Credit Agreement dated as of February [ ], 2023 (as amended, renewed, extended, supplemented, restated, replaced or otherwise modified from time to time) among Holdings, the Company, the lenders party thereto from time to time, and JPMorgan Chase Bank, N.A., as first lien administrative agent and first lien collateral agent, and (iii) to the extent provided in Section 4.13, may become a party to Other First Lien Obligations Credit Documents from time to time hereafter;</w:t>
      </w:r>
    </w:p>
    <w:p>
      <w:pPr>
        <w:spacing w:after="0" w:line="181" w:lineRule="exact"/>
        <w:rPr>
          <w:rFonts w:ascii="Times New Roman" w:cs="Times New Roman" w:eastAsia="Times New Roman" w:hAnsi="Times New Roman"/>
          <w:sz w:val="22"/>
          <w:szCs w:val="22"/>
          <w:color w:val="auto"/>
        </w:rPr>
      </w:pPr>
    </w:p>
    <w:p>
      <w:pPr>
        <w:jc w:val="both"/>
        <w:ind w:right="20" w:firstLine="1298"/>
        <w:spacing w:after="0" w:line="252" w:lineRule="auto"/>
        <w:tabs>
          <w:tab w:leader="none" w:pos="1685"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the Company (i) is a party to that certain Second Lien [Credit Agreement][Indenture] dated as of [mm] [dd], [yyyy] among Holdings, the Company, the lenders party thereto from time to time, and [ ], as trustee and Second Lien Collateral Agent, and (ii) to the extent provided in Section 4.13, may become a party to Other Second Lien Obligations Credit Documents from time to time hereafter;</w:t>
      </w:r>
    </w:p>
    <w:p>
      <w:pPr>
        <w:ind w:left="1680" w:hanging="382"/>
        <w:spacing w:after="0" w:line="226" w:lineRule="auto"/>
        <w:tabs>
          <w:tab w:leader="none" w:pos="1680"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WHEREAS, the Company is a party to that certain [Asset-Based Revolving Credit Agreement] dated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-1463040</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of [mm] [dd], [yyyy] among Holdings, the Company, the lenders party thereto from time to time, and [ ], as [administrative agent and collateral agent], and;</w:t>
      </w:r>
    </w:p>
    <w:p>
      <w:pPr>
        <w:spacing w:after="0" w:line="10" w:lineRule="exact"/>
        <w:rPr>
          <w:sz w:val="20"/>
          <w:szCs w:val="20"/>
          <w:color w:val="auto"/>
        </w:rPr>
      </w:pPr>
    </w:p>
    <w:p>
      <w:pPr>
        <w:ind w:left="20" w:right="40" w:firstLine="1294"/>
        <w:spacing w:after="0" w:line="258" w:lineRule="auto"/>
        <w:tabs>
          <w:tab w:leader="none" w:pos="1689"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the Existing First Lien Collateral Agent and the Additional First Lien Collateral Agent have previously entered into that certain First Lien Pari Passu Intercreditor</w:t>
      </w:r>
    </w:p>
    <w:p>
      <w:pPr>
        <w:sectPr>
          <w:pgSz w:w="11900" w:h="16838" w:orient="portrait"/>
          <w:cols w:equalWidth="0" w:num="1">
            <w:col w:w="10800"/>
          </w:cols>
          <w:pgMar w:left="580" w:top="1440" w:right="519" w:bottom="1440" w:gutter="0" w:footer="0" w:header="0"/>
        </w:sectPr>
      </w:pPr>
    </w:p>
    <w:bookmarkStart w:id="283" w:name="page284"/>
    <w:bookmarkEnd w:id="283"/>
    <w:p>
      <w:pPr>
        <w:ind w:left="20" w:right="20"/>
        <w:spacing w:after="0" w:line="271" w:lineRule="auto"/>
        <w:rPr>
          <w:sz w:val="20"/>
          <w:szCs w:val="20"/>
          <w:color w:val="auto"/>
        </w:rPr>
      </w:pPr>
      <w:r>
        <w:rPr>
          <w:rFonts w:ascii="Times New Roman" w:cs="Times New Roman" w:eastAsia="Times New Roman" w:hAnsi="Times New Roman"/>
          <w:sz w:val="22"/>
          <w:szCs w:val="22"/>
          <w:color w:val="auto"/>
        </w:rPr>
        <w:t>Agreement dated as of February [ ], 2023 (as amended, renewed, extended, supplemented, restated, replaced or otherwise modified from time to time, the “</w:t>
      </w:r>
      <w:r>
        <w:rPr>
          <w:rFonts w:ascii="Times New Roman" w:cs="Times New Roman" w:eastAsia="Times New Roman" w:hAnsi="Times New Roman"/>
          <w:sz w:val="22"/>
          <w:szCs w:val="22"/>
          <w:b w:val="1"/>
          <w:bCs w:val="1"/>
          <w:color w:val="auto"/>
        </w:rPr>
        <w:t>First Lien Pari Passu Intercreditor Agreement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1298"/>
        <w:spacing w:after="0" w:line="264" w:lineRule="auto"/>
        <w:tabs>
          <w:tab w:leader="none" w:pos="1686"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WHEREAS, the First Lien Collateral Agent, the Designated Senior Representative, the Second Lien Collateral Agent and the Designated Second Priority Representative, have previously entered into that certain First Lien/Second Lien Intercreditor Agreement dated as of [mm] [dd], [yyyy] (as amended, renewed, extended, supplemented, restated, replaced or otherwise modified from time to time, the “ </w:t>
      </w:r>
      <w:r>
        <w:rPr>
          <w:rFonts w:ascii="Times New Roman" w:cs="Times New Roman" w:eastAsia="Times New Roman" w:hAnsi="Times New Roman"/>
          <w:sz w:val="21"/>
          <w:szCs w:val="21"/>
          <w:b w:val="1"/>
          <w:bCs w:val="1"/>
          <w:color w:val="auto"/>
        </w:rPr>
        <w:t>First Lien/Second Lien Intercreditor Agreement</w:t>
      </w:r>
      <w:r>
        <w:rPr>
          <w:rFonts w:ascii="Times New Roman" w:cs="Times New Roman" w:eastAsia="Times New Roman" w:hAnsi="Times New Roman"/>
          <w:sz w:val="21"/>
          <w:szCs w:val="21"/>
          <w:color w:val="auto"/>
        </w:rPr>
        <w:t>”); and</w:t>
      </w:r>
    </w:p>
    <w:p>
      <w:pPr>
        <w:spacing w:after="0" w:line="165" w:lineRule="exact"/>
        <w:rPr>
          <w:rFonts w:ascii="Times New Roman" w:cs="Times New Roman" w:eastAsia="Times New Roman" w:hAnsi="Times New Roman"/>
          <w:sz w:val="21"/>
          <w:szCs w:val="21"/>
          <w:color w:val="auto"/>
        </w:rPr>
      </w:pPr>
    </w:p>
    <w:p>
      <w:pPr>
        <w:jc w:val="both"/>
        <w:ind w:firstLine="1298"/>
        <w:spacing w:after="0" w:line="238" w:lineRule="auto"/>
        <w:tabs>
          <w:tab w:leader="none" w:pos="1670"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this Agreement governs the relationship between the ABL Obligations Secured Parties as a group on the one hand, and the Non-ABL Obligations Secured Parties as a group on the other, with respect to the Shared Collateral, while the First Lien/Second Lien Intercreditor Agreement governs the relationship between the First Lien Obligations Secured Parties as a group, on the one hand, and the Second Lien Obligations Secured Parties as a group, on the other, with respect to the Shared Collateral, and while the First Lien Pari Passu Intercreditor Agreement governs the relationship among the First Lien Obligations Secured Parties with respect to the Shared Collateral.</w:t>
      </w:r>
    </w:p>
    <w:p>
      <w:pPr>
        <w:spacing w:after="0" w:line="209" w:lineRule="exact"/>
        <w:rPr>
          <w:sz w:val="20"/>
          <w:szCs w:val="20"/>
          <w:color w:val="auto"/>
        </w:rPr>
      </w:pPr>
    </w:p>
    <w:p>
      <w:pPr>
        <w:jc w:val="both"/>
        <w:ind w:right="20" w:firstLine="1298"/>
        <w:spacing w:after="0" w:line="250" w:lineRule="auto"/>
        <w:rPr>
          <w:sz w:val="20"/>
          <w:szCs w:val="20"/>
          <w:color w:val="auto"/>
        </w:rPr>
      </w:pPr>
      <w:r>
        <w:rPr>
          <w:rFonts w:ascii="Times New Roman" w:cs="Times New Roman" w:eastAsia="Times New Roman" w:hAnsi="Times New Roman"/>
          <w:sz w:val="22"/>
          <w:szCs w:val="22"/>
          <w:color w:val="auto"/>
        </w:rPr>
        <w:t>Accordingly, in consideration of the foregoing, the mutual covenants and obligations herein set forth and for other good and valuable consideration, the sufficiency and receipt of which are hereby acknowledged, the parties hereto, intending to be legally bound, hereby agree as follows: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Definitions; Terms Generally.</w:t>
      </w:r>
    </w:p>
    <w:p>
      <w:pPr>
        <w:spacing w:after="0" w:line="224" w:lineRule="exact"/>
        <w:rPr>
          <w:sz w:val="20"/>
          <w:szCs w:val="20"/>
          <w:color w:val="auto"/>
        </w:rPr>
      </w:pPr>
    </w:p>
    <w:p>
      <w:pPr>
        <w:ind w:left="1320"/>
        <w:spacing w:after="0"/>
        <w:tabs>
          <w:tab w:leader="none" w:pos="28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340" w:hanging="868"/>
        <w:spacing w:after="0"/>
        <w:tabs>
          <w:tab w:leader="none" w:pos="2340"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following terms have the meanings specified below:</w:t>
      </w:r>
    </w:p>
    <w:p>
      <w:pPr>
        <w:spacing w:after="0" w:line="202" w:lineRule="exact"/>
        <w:rPr>
          <w:sz w:val="20"/>
          <w:szCs w:val="20"/>
          <w:color w:val="auto"/>
        </w:rPr>
      </w:pPr>
    </w:p>
    <w:p>
      <w:pPr>
        <w:jc w:val="both"/>
        <w:ind w:left="20" w:firstLine="1283"/>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Facility Agreement</w:t>
      </w:r>
      <w:r>
        <w:rPr>
          <w:rFonts w:ascii="Times New Roman" w:cs="Times New Roman" w:eastAsia="Times New Roman" w:hAnsi="Times New Roman"/>
          <w:sz w:val="22"/>
          <w:szCs w:val="22"/>
          <w:color w:val="auto"/>
        </w:rPr>
        <w:t>” means that certain [Asset-Based Revolving Credit Agreement] dated as of [mm] [dd], [yyyy], among the Company, Holdings, the lenders party thereto from time to time and the ABL Representative, as amended, restated, supplemented, replaced (whether or not upon termination, and whether with the original lenders or otherwise), restructured, refinanced, extended or otherwise modified from time to time, including any agreement extending the maturity thereof, refinancing, replacing or otherwise restructuring all or any portion of the Indebtedness under such agreement or agreements or any successor or replacement agreement or agreements or indenture or indentures or increasing the amount loaned or issued thereunder or altering the maturity thereof, (including in this definition any refinancing, replacement, restructuring or new debt facility designated by the Company as “ABL Facility Agreement” pursuant to Section 4.13).</w:t>
      </w:r>
    </w:p>
    <w:p>
      <w:pPr>
        <w:spacing w:after="0" w:line="166" w:lineRule="exact"/>
        <w:rPr>
          <w:sz w:val="20"/>
          <w:szCs w:val="20"/>
          <w:color w:val="auto"/>
        </w:rPr>
      </w:pPr>
    </w:p>
    <w:p>
      <w:pPr>
        <w:jc w:val="both"/>
        <w:ind w:left="2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Facility Collateral Agreement</w:t>
      </w:r>
      <w:r>
        <w:rPr>
          <w:rFonts w:ascii="Times New Roman" w:cs="Times New Roman" w:eastAsia="Times New Roman" w:hAnsi="Times New Roman"/>
          <w:sz w:val="22"/>
          <w:szCs w:val="22"/>
          <w:color w:val="auto"/>
        </w:rPr>
        <w:t>” means (a) the [ABL Collateral Agreement] dated as of [mm] [dd], [yyyy], among the Company, each other Pledgor party thereto and the ABL Representative, as amended, restated, supplemented or otherwise modified from time to time, and</w:t>
      </w:r>
    </w:p>
    <w:p>
      <w:pPr>
        <w:sectPr>
          <w:pgSz w:w="11900" w:h="16838" w:orient="portrait"/>
          <w:cols w:equalWidth="0" w:num="1">
            <w:col w:w="10780"/>
          </w:cols>
          <w:pgMar w:left="580" w:top="1408" w:right="539" w:bottom="1440" w:gutter="0" w:footer="0" w:header="0"/>
        </w:sectPr>
      </w:pPr>
    </w:p>
    <w:bookmarkStart w:id="284" w:name="page285"/>
    <w:bookmarkEnd w:id="284"/>
    <w:p>
      <w:pPr>
        <w:jc w:val="both"/>
        <w:ind w:left="305" w:hanging="305"/>
        <w:spacing w:after="0" w:line="250" w:lineRule="auto"/>
        <w:tabs>
          <w:tab w:leader="none" w:pos="296"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collateral agreement entered into from time to time in respect of any ABL Facility Agreement and designated by the Company as an “ABL Facility Collateral Agreement,” as amended, restated, supplemented or other modified from time to time.</w:t>
      </w:r>
    </w:p>
    <w:p>
      <w:pPr>
        <w:spacing w:after="0" w:line="177" w:lineRule="exact"/>
        <w:rPr>
          <w:sz w:val="20"/>
          <w:szCs w:val="20"/>
          <w:color w:val="auto"/>
        </w:rPr>
      </w:pPr>
    </w:p>
    <w:p>
      <w:pPr>
        <w:jc w:val="both"/>
        <w:ind w:left="305" w:right="200" w:firstLine="1283"/>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Obligations</w:t>
      </w:r>
      <w:r>
        <w:rPr>
          <w:rFonts w:ascii="Times New Roman" w:cs="Times New Roman" w:eastAsia="Times New Roman" w:hAnsi="Times New Roman"/>
          <w:sz w:val="22"/>
          <w:szCs w:val="22"/>
          <w:color w:val="auto"/>
        </w:rPr>
        <w:t>” means all [“Obligations”] (as such term is defined in the ABL Facility Agreement) of the Company and the other Pledgors including all obligations outstanding under, and all other obligations in respect of, any ABL Obligations Documents, to pay principal, premium (if any), interest (including interest, fees and other amounts accruing after the commencement of any Insolvency or Liquidation Proceeding, regardless of whether or not allowed or allowable in such proceeding), penalties, fees, indemnifications, reimbursements (including reimbursement obligations with respect to any letters of credit and bankers’ acceptance), damages and other liabilities payable under or in connection with the ABL Obligations Documents.</w:t>
      </w:r>
    </w:p>
    <w:p>
      <w:pPr>
        <w:spacing w:after="0" w:line="180" w:lineRule="exact"/>
        <w:rPr>
          <w:sz w:val="20"/>
          <w:szCs w:val="20"/>
          <w:color w:val="auto"/>
        </w:rPr>
      </w:pPr>
    </w:p>
    <w:p>
      <w:pPr>
        <w:jc w:val="both"/>
        <w:ind w:left="305" w:right="200" w:firstLine="1283"/>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Obligations Collateral Documents</w:t>
      </w:r>
      <w:r>
        <w:rPr>
          <w:rFonts w:ascii="Times New Roman" w:cs="Times New Roman" w:eastAsia="Times New Roman" w:hAnsi="Times New Roman"/>
          <w:sz w:val="22"/>
          <w:szCs w:val="22"/>
          <w:color w:val="auto"/>
        </w:rPr>
        <w:t>” means, collectively, the ABL Facility Collateral Agreement, any of the other [“Security Documents”] (or comparable terms) as defined in the ABL Facility Agreement and any other documents now existing or entered into after the date hereof that grant Liens on any assets or properties of any Pledgor to secure any ABL Obligations.</w:t>
      </w:r>
    </w:p>
    <w:p>
      <w:pPr>
        <w:spacing w:after="0" w:line="179" w:lineRule="exact"/>
        <w:rPr>
          <w:sz w:val="20"/>
          <w:szCs w:val="20"/>
          <w:color w:val="auto"/>
        </w:rPr>
      </w:pPr>
    </w:p>
    <w:p>
      <w:pPr>
        <w:jc w:val="both"/>
        <w:ind w:left="305" w:right="220" w:firstLine="1283"/>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Obligations Documents</w:t>
      </w:r>
      <w:r>
        <w:rPr>
          <w:rFonts w:ascii="Times New Roman" w:cs="Times New Roman" w:eastAsia="Times New Roman" w:hAnsi="Times New Roman"/>
          <w:sz w:val="22"/>
          <w:szCs w:val="22"/>
          <w:color w:val="auto"/>
        </w:rPr>
        <w:t>” means, collectively, the documentation in respect of the ABL Obligations, including the ABL Facility Agreement, the ABL Obligations Collateral Documents and any other “Loan Documents” or comparable terms as defined in the ABL Facility Agreement.</w:t>
      </w:r>
    </w:p>
    <w:p>
      <w:pPr>
        <w:spacing w:after="0" w:line="175" w:lineRule="exact"/>
        <w:rPr>
          <w:sz w:val="20"/>
          <w:szCs w:val="20"/>
          <w:color w:val="auto"/>
        </w:rPr>
      </w:pPr>
    </w:p>
    <w:p>
      <w:pPr>
        <w:ind w:left="305" w:right="98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Obligations Secured Parties</w:t>
      </w:r>
      <w:r>
        <w:rPr>
          <w:rFonts w:ascii="Times New Roman" w:cs="Times New Roman" w:eastAsia="Times New Roman" w:hAnsi="Times New Roman"/>
          <w:sz w:val="22"/>
          <w:szCs w:val="22"/>
          <w:color w:val="auto"/>
        </w:rPr>
        <w:t>” means, at any time, the persons holding any ABL Obligations, including the ABL Representative.</w:t>
      </w:r>
    </w:p>
    <w:p>
      <w:pPr>
        <w:spacing w:after="0" w:line="149" w:lineRule="exact"/>
        <w:rPr>
          <w:sz w:val="20"/>
          <w:szCs w:val="20"/>
          <w:color w:val="auto"/>
        </w:rPr>
      </w:pPr>
    </w:p>
    <w:p>
      <w:pPr>
        <w:ind w:left="160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Priority Collateral</w:t>
      </w:r>
      <w:r>
        <w:rPr>
          <w:rFonts w:ascii="Times New Roman" w:cs="Times New Roman" w:eastAsia="Times New Roman" w:hAnsi="Times New Roman"/>
          <w:sz w:val="22"/>
          <w:szCs w:val="22"/>
          <w:color w:val="auto"/>
        </w:rPr>
        <w:t>” means all Shared Collateral consisting of the</w:t>
      </w:r>
    </w:p>
    <w:p>
      <w:pPr>
        <w:spacing w:after="0" w:line="18"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22"/>
          <w:szCs w:val="22"/>
          <w:color w:val="auto"/>
        </w:rPr>
        <w:t>following:</w:t>
      </w:r>
    </w:p>
    <w:p>
      <w:pPr>
        <w:spacing w:after="0" w:line="209" w:lineRule="exact"/>
        <w:rPr>
          <w:sz w:val="20"/>
          <w:szCs w:val="20"/>
          <w:color w:val="auto"/>
        </w:rPr>
      </w:pPr>
    </w:p>
    <w:p>
      <w:pPr>
        <w:ind w:left="465" w:right="2560" w:firstLine="1292"/>
        <w:spacing w:after="0" w:line="258" w:lineRule="auto"/>
        <w:tabs>
          <w:tab w:leader="none" w:pos="2408"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(except for Accounts which constitute identifiable Proceeds of Non-ABL Priority Collateral);</w:t>
      </w:r>
    </w:p>
    <w:p>
      <w:pPr>
        <w:spacing w:after="0" w:line="171" w:lineRule="exact"/>
        <w:rPr>
          <w:rFonts w:ascii="Times New Roman" w:cs="Times New Roman" w:eastAsia="Times New Roman" w:hAnsi="Times New Roman"/>
          <w:sz w:val="22"/>
          <w:szCs w:val="22"/>
          <w:color w:val="auto"/>
        </w:rPr>
      </w:pPr>
    </w:p>
    <w:p>
      <w:pPr>
        <w:ind w:left="2405" w:hanging="648"/>
        <w:spacing w:after="0"/>
        <w:tabs>
          <w:tab w:leader="none" w:pos="2405"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w:t>
      </w:r>
    </w:p>
    <w:p>
      <w:pPr>
        <w:spacing w:after="0" w:line="219" w:lineRule="exact"/>
        <w:rPr>
          <w:rFonts w:ascii="Times New Roman" w:cs="Times New Roman" w:eastAsia="Times New Roman" w:hAnsi="Times New Roman"/>
          <w:sz w:val="22"/>
          <w:szCs w:val="22"/>
          <w:color w:val="auto"/>
        </w:rPr>
      </w:pPr>
    </w:p>
    <w:p>
      <w:pPr>
        <w:jc w:val="both"/>
        <w:ind w:left="465" w:right="200" w:firstLine="1292"/>
        <w:spacing w:after="0" w:line="266" w:lineRule="auto"/>
        <w:tabs>
          <w:tab w:leader="none" w:pos="2624"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evidencing, governing or securing the items referred to in the preceding clauses (a) and (b), all (i) General Intangibles (other than intellectual property and the equity interests of any subsidiary of a Pledgor),</w:t>
      </w:r>
    </w:p>
    <w:p>
      <w:pPr>
        <w:spacing w:after="0" w:line="1" w:lineRule="exact"/>
        <w:rPr>
          <w:rFonts w:ascii="Times New Roman" w:cs="Times New Roman" w:eastAsia="Times New Roman" w:hAnsi="Times New Roman"/>
          <w:sz w:val="21"/>
          <w:szCs w:val="21"/>
          <w:color w:val="auto"/>
        </w:rPr>
      </w:pPr>
    </w:p>
    <w:p>
      <w:pPr>
        <w:jc w:val="both"/>
        <w:ind w:left="465" w:right="200" w:hanging="5"/>
        <w:spacing w:after="0" w:line="252" w:lineRule="auto"/>
        <w:tabs>
          <w:tab w:leader="none" w:pos="797"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Chattel Paper, (iii) Instruments, (iv) Commercial Tort Claims and (v) Documents; provided, that to the extent any of the foregoing also relates to Non-ABL Priority Collateral, only the portion related to the items referred to in the preceding clauses (a) and (b) shall be included in the ABL Priority Collateral;</w:t>
      </w:r>
    </w:p>
    <w:p>
      <w:pPr>
        <w:spacing w:after="0" w:line="164" w:lineRule="exact"/>
        <w:rPr>
          <w:rFonts w:ascii="Times New Roman" w:cs="Times New Roman" w:eastAsia="Times New Roman" w:hAnsi="Times New Roman"/>
          <w:sz w:val="22"/>
          <w:szCs w:val="22"/>
          <w:color w:val="auto"/>
        </w:rPr>
      </w:pPr>
    </w:p>
    <w:p>
      <w:pPr>
        <w:ind w:left="465" w:right="240" w:firstLine="1292"/>
        <w:spacing w:after="0" w:line="258" w:lineRule="auto"/>
        <w:tabs>
          <w:tab w:leader="none" w:pos="2622"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relating to any of the items referred to in the preceding clauses (a) through (c) constituting ABL Priority Collateral, all Supporting Obligations;</w:t>
      </w:r>
    </w:p>
    <w:p>
      <w:pPr>
        <w:spacing w:after="0" w:line="158" w:lineRule="exact"/>
        <w:rPr>
          <w:rFonts w:ascii="Times New Roman" w:cs="Times New Roman" w:eastAsia="Times New Roman" w:hAnsi="Times New Roman"/>
          <w:sz w:val="22"/>
          <w:szCs w:val="22"/>
          <w:color w:val="auto"/>
        </w:rPr>
      </w:pPr>
    </w:p>
    <w:p>
      <w:pPr>
        <w:jc w:val="both"/>
        <w:ind w:left="465" w:right="220" w:firstLine="1292"/>
        <w:spacing w:after="0" w:line="257" w:lineRule="auto"/>
        <w:tabs>
          <w:tab w:leader="none" w:pos="2624"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Deposit Accounts, and all deposits of cash, checks, other negotiable instruments, funds and other evidence of payments held in any such accounts or credited thereto (other than all deposits of cash, checks other negotiable instruments, funds and</w:t>
      </w:r>
    </w:p>
    <w:p>
      <w:pPr>
        <w:sectPr>
          <w:pgSz w:w="11900" w:h="16838" w:orient="portrait"/>
          <w:cols w:equalWidth="0" w:num="1">
            <w:col w:w="11265"/>
          </w:cols>
          <w:pgMar w:left="295" w:top="1408" w:right="339" w:bottom="1440" w:gutter="0" w:footer="0" w:header="0"/>
        </w:sectPr>
      </w:pPr>
    </w:p>
    <w:bookmarkStart w:id="285" w:name="page286"/>
    <w:bookmarkEnd w:id="285"/>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other evidence of payments constituting separately identified Proceeds of Non-ABL Priority Collateral) and (ii)</w:t>
      </w:r>
    </w:p>
    <w:p>
      <w:pPr>
        <w:spacing w:after="0" w:line="58" w:lineRule="exact"/>
        <w:rPr>
          <w:sz w:val="20"/>
          <w:szCs w:val="20"/>
          <w:color w:val="auto"/>
        </w:rPr>
      </w:pPr>
    </w:p>
    <w:p>
      <w:pPr>
        <w:ind w:left="420" w:right="60"/>
        <w:spacing w:after="0" w:line="258" w:lineRule="auto"/>
        <w:rPr>
          <w:sz w:val="20"/>
          <w:szCs w:val="20"/>
          <w:color w:val="auto"/>
        </w:rPr>
      </w:pPr>
      <w:r>
        <w:rPr>
          <w:rFonts w:ascii="Times New Roman" w:cs="Times New Roman" w:eastAsia="Times New Roman" w:hAnsi="Times New Roman"/>
          <w:sz w:val="22"/>
          <w:szCs w:val="22"/>
          <w:color w:val="auto"/>
        </w:rPr>
        <w:t>all Securities, Security Entitlements and Securities Accounts; provided, that any of the foregoing in this clause (e) that consists of identifiable Proceeds of Non-ABL Priority Collateral shall not be included in the ABL Priority Collateral;</w:t>
      </w:r>
    </w:p>
    <w:p>
      <w:pPr>
        <w:spacing w:after="0" w:line="199" w:lineRule="exact"/>
        <w:rPr>
          <w:sz w:val="20"/>
          <w:szCs w:val="20"/>
          <w:color w:val="auto"/>
        </w:rPr>
      </w:pPr>
    </w:p>
    <w:p>
      <w:pPr>
        <w:ind w:left="2360" w:hanging="642"/>
        <w:spacing w:after="0"/>
        <w:tabs>
          <w:tab w:leader="none" w:pos="236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books and records related to the foregoing; and</w:t>
      </w:r>
    </w:p>
    <w:p>
      <w:pPr>
        <w:spacing w:after="0" w:line="219" w:lineRule="exact"/>
        <w:rPr>
          <w:rFonts w:ascii="Times New Roman" w:cs="Times New Roman" w:eastAsia="Times New Roman" w:hAnsi="Times New Roman"/>
          <w:sz w:val="22"/>
          <w:szCs w:val="22"/>
          <w:color w:val="auto"/>
        </w:rPr>
      </w:pPr>
    </w:p>
    <w:p>
      <w:pPr>
        <w:ind w:left="2360" w:hanging="642"/>
        <w:spacing w:after="0"/>
        <w:tabs>
          <w:tab w:leader="none" w:pos="236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ABL Priority Proceeds;</w:t>
      </w:r>
    </w:p>
    <w:p>
      <w:pPr>
        <w:spacing w:after="0" w:line="206" w:lineRule="exact"/>
        <w:rPr>
          <w:sz w:val="20"/>
          <w:szCs w:val="20"/>
          <w:color w:val="auto"/>
        </w:rPr>
      </w:pPr>
    </w:p>
    <w:p>
      <w:pPr>
        <w:ind w:left="280"/>
        <w:spacing w:after="0" w:line="258" w:lineRule="auto"/>
        <w:rPr>
          <w:sz w:val="20"/>
          <w:szCs w:val="20"/>
          <w:color w:val="auto"/>
        </w:rPr>
      </w:pPr>
      <w:r>
        <w:rPr>
          <w:rFonts w:ascii="Times New Roman" w:cs="Times New Roman" w:eastAsia="Times New Roman" w:hAnsi="Times New Roman"/>
          <w:sz w:val="22"/>
          <w:szCs w:val="22"/>
          <w:color w:val="auto"/>
        </w:rPr>
        <w:t>All capitalized terms used in this definition and not defined elsewhere in this Agreement have the meanings assigned to them in the UCC.</w:t>
      </w:r>
    </w:p>
    <w:p>
      <w:pPr>
        <w:spacing w:after="0" w:line="18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Priority Pledged Collateral</w:t>
      </w:r>
      <w:r>
        <w:rPr>
          <w:rFonts w:ascii="Times New Roman" w:cs="Times New Roman" w:eastAsia="Times New Roman" w:hAnsi="Times New Roman"/>
          <w:sz w:val="22"/>
          <w:szCs w:val="22"/>
          <w:color w:val="auto"/>
        </w:rPr>
        <w:t>” means ABL Priority Collateral that is Pledged</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Collateral.</w:t>
      </w:r>
    </w:p>
    <w:p>
      <w:pPr>
        <w:spacing w:after="0" w:line="19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Priority Proceeds</w:t>
      </w:r>
      <w:r>
        <w:rPr>
          <w:rFonts w:ascii="Times New Roman" w:cs="Times New Roman" w:eastAsia="Times New Roman" w:hAnsi="Times New Roman"/>
          <w:sz w:val="22"/>
          <w:szCs w:val="22"/>
          <w:color w:val="auto"/>
        </w:rPr>
        <w:t>” means all products and proceeds of ABL Priority</w:t>
      </w:r>
    </w:p>
    <w:p>
      <w:pPr>
        <w:spacing w:after="0" w:line="32" w:lineRule="exact"/>
        <w:rPr>
          <w:sz w:val="20"/>
          <w:szCs w:val="20"/>
          <w:color w:val="auto"/>
        </w:rPr>
      </w:pPr>
    </w:p>
    <w:p>
      <w:pPr>
        <w:jc w:val="both"/>
        <w:ind w:left="280" w:right="60"/>
        <w:spacing w:after="0" w:line="262" w:lineRule="auto"/>
        <w:rPr>
          <w:sz w:val="20"/>
          <w:szCs w:val="20"/>
          <w:color w:val="auto"/>
        </w:rPr>
      </w:pPr>
      <w:r>
        <w:rPr>
          <w:rFonts w:ascii="Times New Roman" w:cs="Times New Roman" w:eastAsia="Times New Roman" w:hAnsi="Times New Roman"/>
          <w:sz w:val="21"/>
          <w:szCs w:val="21"/>
          <w:color w:val="auto"/>
        </w:rPr>
        <w:t>Collateral described in clauses (a) through (f) of the definition thereof, in whatever form received, including proceeds of insurance policies related to Inventory of any Pledgor and proceeds of business interruption insurance, in each case (i) except to the extent constituting identifiable products and proceeds of Non-ABL Priority Collateral that would not otherwise constitute ABL Priority Collateral pursuant to clauses (a) through (f) and (ii) excluding, in all instances, any property that is acquired with cash proceeds of such ABL Priority Collateral and doe s not otherwise constitute ABL Priority Collateral.</w:t>
      </w:r>
    </w:p>
    <w:p>
      <w:pPr>
        <w:spacing w:after="0" w:line="166" w:lineRule="exact"/>
        <w:rPr>
          <w:sz w:val="20"/>
          <w:szCs w:val="20"/>
          <w:color w:val="auto"/>
        </w:rPr>
      </w:pPr>
    </w:p>
    <w:p>
      <w:pPr>
        <w:jc w:val="both"/>
        <w:ind w:left="280" w:right="60" w:firstLine="129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Representative</w:t>
      </w:r>
      <w:r>
        <w:rPr>
          <w:rFonts w:ascii="Times New Roman" w:cs="Times New Roman" w:eastAsia="Times New Roman" w:hAnsi="Times New Roman"/>
          <w:sz w:val="22"/>
          <w:szCs w:val="22"/>
          <w:color w:val="auto"/>
        </w:rPr>
        <w:t>” means the collateral agent for the ABL Obligations Secured Parties, together with its successors or co-agents in substantially the same capacity as may from time to time be appointed pursuant to the ABL Facility Agreement. As of the date hereof, [</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 shall be the ABL Representative.</w:t>
      </w:r>
    </w:p>
    <w:p>
      <w:pPr>
        <w:spacing w:after="0" w:line="190" w:lineRule="exact"/>
        <w:rPr>
          <w:sz w:val="20"/>
          <w:szCs w:val="20"/>
          <w:color w:val="auto"/>
        </w:rPr>
      </w:pPr>
    </w:p>
    <w:p>
      <w:pPr>
        <w:jc w:val="both"/>
        <w:ind w:left="280" w:right="60" w:firstLine="1298"/>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shall mean, with respect to a person, any of such person’s now owned and hereafter acquired or arising accounts (as defined in the Uniform Commercial Code), and whether or not constituting “accounts” (as defined in the Uniform Commercial Code) any rights to payment for the sale or lease of inventory (as defined in the Uniform Commercial Code), including Inventory, or rendition of services, whether or not they have been earned by performance, whether such rights to payment constitute payment intangibles, letter-of-credit rights or any other classification of property, or are evidenced in whole or in part by instruments, chattel paper, general intangibles or documents.</w:t>
      </w:r>
    </w:p>
    <w:p>
      <w:pPr>
        <w:spacing w:after="0" w:line="197" w:lineRule="exact"/>
        <w:rPr>
          <w:sz w:val="20"/>
          <w:szCs w:val="20"/>
          <w:color w:val="auto"/>
        </w:rPr>
      </w:pPr>
    </w:p>
    <w:p>
      <w:pPr>
        <w:ind w:left="280" w:right="180" w:firstLine="129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“Additional First Lien Collateral Agent” </w:t>
      </w:r>
      <w:r>
        <w:rPr>
          <w:rFonts w:ascii="Times New Roman" w:cs="Times New Roman" w:eastAsia="Times New Roman" w:hAnsi="Times New Roman"/>
          <w:sz w:val="22"/>
          <w:szCs w:val="22"/>
          <w:color w:val="auto"/>
        </w:rPr>
        <w:t>has the meaning assigned to such term in the definition of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Lien Credit Agreements”.</w:t>
      </w:r>
    </w:p>
    <w:p>
      <w:pPr>
        <w:spacing w:after="0" w:line="3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assigned to such term in the preamble hereof. “</w:t>
      </w:r>
      <w:r>
        <w:rPr>
          <w:rFonts w:ascii="Times New Roman" w:cs="Times New Roman" w:eastAsia="Times New Roman" w:hAnsi="Times New Roman"/>
          <w:sz w:val="22"/>
          <w:szCs w:val="22"/>
          <w:b w:val="1"/>
          <w:bCs w:val="1"/>
          <w:color w:val="auto"/>
        </w:rPr>
        <w:t>Applicable Junior</w:t>
      </w:r>
    </w:p>
    <w:p>
      <w:pPr>
        <w:spacing w:after="0" w:line="27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means (a) with respect to the ABL Priority</w:t>
      </w:r>
    </w:p>
    <w:p>
      <w:pPr>
        <w:spacing w:after="0" w:line="14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Collateral, the First Lien/Second Lien Intercreditor Representative, and (b) with respect to the Non-ABL Priority Collateral, the ABL Representative.</w:t>
      </w:r>
    </w:p>
    <w:p>
      <w:pPr>
        <w:sectPr>
          <w:pgSz w:w="11900" w:h="16838" w:orient="portrait"/>
          <w:cols w:equalWidth="0" w:num="1">
            <w:col w:w="11100"/>
          </w:cols>
          <w:pgMar w:left="320" w:top="1440" w:right="479" w:bottom="1440" w:gutter="0" w:footer="0" w:header="0"/>
        </w:sectPr>
      </w:pPr>
    </w:p>
    <w:bookmarkStart w:id="286" w:name="page287"/>
    <w:bookmarkEnd w:id="286"/>
    <w:p>
      <w:pPr>
        <w:jc w:val="both"/>
        <w:ind w:right="2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Pledged Collateral Agent</w:t>
      </w:r>
      <w:r>
        <w:rPr>
          <w:rFonts w:ascii="Times New Roman" w:cs="Times New Roman" w:eastAsia="Times New Roman" w:hAnsi="Times New Roman"/>
          <w:sz w:val="22"/>
          <w:szCs w:val="22"/>
          <w:color w:val="auto"/>
        </w:rPr>
        <w:t>” means (a) with respect to the ABL Priority Pledged Collateral, the ABL Representative, and (b) with respect to the Non-ABL Priority Pledged Collateral, the First Lien/Second Lien Intercreditor Representative.</w:t>
      </w:r>
    </w:p>
    <w:p>
      <w:pPr>
        <w:spacing w:after="0" w:line="175" w:lineRule="exact"/>
        <w:rPr>
          <w:sz w:val="20"/>
          <w:szCs w:val="20"/>
          <w:color w:val="auto"/>
        </w:rPr>
      </w:pPr>
    </w:p>
    <w:p>
      <w:pPr>
        <w:jc w:val="both"/>
        <w:ind w:right="2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Senior Representative</w:t>
      </w:r>
      <w:r>
        <w:rPr>
          <w:rFonts w:ascii="Times New Roman" w:cs="Times New Roman" w:eastAsia="Times New Roman" w:hAnsi="Times New Roman"/>
          <w:sz w:val="22"/>
          <w:szCs w:val="22"/>
          <w:color w:val="auto"/>
        </w:rPr>
        <w:t>” means (a) with respect to the ABL Priority Collateral, the ABL Representative, and (b) with respect to the Non-ABL Priority Collateral, the First Lien/Second Lien Intercreditor Representative.</w:t>
      </w:r>
    </w:p>
    <w:p>
      <w:pPr>
        <w:spacing w:after="0" w:line="2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Case</w:t>
      </w:r>
      <w:r>
        <w:rPr>
          <w:rFonts w:ascii="Times New Roman" w:cs="Times New Roman" w:eastAsia="Times New Roman" w:hAnsi="Times New Roman"/>
          <w:sz w:val="22"/>
          <w:szCs w:val="22"/>
          <w:color w:val="auto"/>
        </w:rPr>
        <w:t>” has the meaning assigned to such term in Section 2.7(b). “</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11 of the United States Code.</w:t>
      </w:r>
    </w:p>
    <w:p>
      <w:pPr>
        <w:spacing w:after="0" w:line="94" w:lineRule="exact"/>
        <w:rPr>
          <w:sz w:val="20"/>
          <w:szCs w:val="20"/>
          <w:color w:val="auto"/>
        </w:rPr>
      </w:pPr>
    </w:p>
    <w:p>
      <w:pPr>
        <w:jc w:val="both"/>
        <w:ind w:right="2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Law</w:t>
      </w:r>
      <w:r>
        <w:rPr>
          <w:rFonts w:ascii="Times New Roman" w:cs="Times New Roman" w:eastAsia="Times New Roman" w:hAnsi="Times New Roman"/>
          <w:sz w:val="22"/>
          <w:szCs w:val="22"/>
          <w:color w:val="auto"/>
        </w:rPr>
        <w:t>” means the Bankruptcy Code and any similar federal, state or foreign bankruptcy, insolvency or receivership law for the relief of debtors.</w:t>
      </w:r>
    </w:p>
    <w:p>
      <w:pPr>
        <w:spacing w:after="0" w:line="122" w:lineRule="exact"/>
        <w:rPr>
          <w:sz w:val="20"/>
          <w:szCs w:val="20"/>
          <w:color w:val="auto"/>
        </w:rPr>
      </w:pPr>
    </w:p>
    <w:p>
      <w:pPr>
        <w:jc w:val="both"/>
        <w:ind w:right="2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New York City are authorized or required by law to remain closed.</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w:t>
      </w:r>
      <w:r>
        <w:rPr>
          <w:rFonts w:ascii="Times New Roman" w:cs="Times New Roman" w:eastAsia="Times New Roman" w:hAnsi="Times New Roman"/>
          <w:sz w:val="22"/>
          <w:szCs w:val="22"/>
          <w:color w:val="auto"/>
        </w:rPr>
        <w:t>” has the meaning assigned to such term in the definition of Senior Secured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means all assets and properties now or hereafter acquired by any</w:t>
      </w:r>
    </w:p>
    <w:p>
      <w:pPr>
        <w:spacing w:after="0" w:line="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1"/>
          <w:szCs w:val="21"/>
          <w:color w:val="auto"/>
        </w:rPr>
        <w:t>Pledgor upon which a Lien in favor of any Secured Party is created by any of the ABL Obligations Collateral Documents, the First Lien Obligations Collateral Documents or the Second Lien Obligations Collateral Documents, as applicable.</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assigned to such term in the preamble hereof.</w:t>
      </w:r>
    </w:p>
    <w:p>
      <w:pPr>
        <w:spacing w:after="0" w:line="314" w:lineRule="exact"/>
        <w:rPr>
          <w:sz w:val="20"/>
          <w:szCs w:val="20"/>
          <w:color w:val="auto"/>
        </w:rPr>
      </w:pPr>
    </w:p>
    <w:p>
      <w:pPr>
        <w:jc w:val="both"/>
        <w:ind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Consent</w:t>
      </w:r>
      <w:r>
        <w:rPr>
          <w:rFonts w:ascii="Times New Roman" w:cs="Times New Roman" w:eastAsia="Times New Roman" w:hAnsi="Times New Roman"/>
          <w:sz w:val="22"/>
          <w:szCs w:val="22"/>
          <w:color w:val="auto"/>
        </w:rPr>
        <w:t>” means an Acknowledgement of and Consent to the ABL Intercreditor Agreement, in form and substance substantially similar to Exhibit A-1 hereto, pursuant to which the Company and each of the other Pledgors acknowledges this Agreement and consent to the terms hereof.</w:t>
      </w:r>
    </w:p>
    <w:p>
      <w:pPr>
        <w:spacing w:after="0" w:line="202" w:lineRule="exact"/>
        <w:rPr>
          <w:sz w:val="20"/>
          <w:szCs w:val="20"/>
          <w:color w:val="auto"/>
        </w:rPr>
      </w:pPr>
    </w:p>
    <w:p>
      <w:pPr>
        <w:jc w:val="both"/>
        <w:ind w:firstLine="129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Consent and Acknowledgment</w:t>
      </w:r>
      <w:r>
        <w:rPr>
          <w:rFonts w:ascii="Times New Roman" w:cs="Times New Roman" w:eastAsia="Times New Roman" w:hAnsi="Times New Roman"/>
          <w:sz w:val="22"/>
          <w:szCs w:val="22"/>
          <w:color w:val="auto"/>
        </w:rPr>
        <w:t>” means, as applicable, either (a) an instrument in form and substance substantially similar to Exhibit A-2 hereto or another instrument reasonably satisfactory to the First Lien/Second Lien Intercreditor Representative and the Company, pursuant to which any new ABL Representative acknowledges this Agreement and consents to be bound by the terms hereof in accordance with Section 4.13, (b) an instrument in form and substance substantially similar to Exhibit A-3 hereto or another instrument reasonably satisfactory to the ABL Representative, the Designated Senior Representative, the Designated Second Priority Representative and the Company, pursuant to which any Other First Lien Obligations Secured Party, through its Other First Lien Obligations Agent, acknowledges this Agreement and consents to be bound by the terms hereof in accordance with Section 4.13 or (c) an instrument in form and substance substantially similar to Exhibit A-4 hereto or another instrument reasonably satisfactory to the ABL Representative, the Designated Senior Representative, the Designated Second Priority Representative and the Company, pursuant to which any Other Second Lien Obligations Secured Party, through its Other Second Lien Obligations Agent, acknowledges this Agreement and</w:t>
      </w:r>
    </w:p>
    <w:p>
      <w:pPr>
        <w:sectPr>
          <w:pgSz w:w="11900" w:h="16838" w:orient="portrait"/>
          <w:cols w:equalWidth="0" w:num="1">
            <w:col w:w="10760"/>
          </w:cols>
          <w:pgMar w:left="600" w:top="1404" w:right="539" w:bottom="1440" w:gutter="0" w:footer="0" w:header="0"/>
        </w:sectPr>
      </w:pPr>
    </w:p>
    <w:bookmarkStart w:id="287" w:name="page288"/>
    <w:bookmarkEnd w:id="287"/>
    <w:p>
      <w:pPr>
        <w:ind w:left="4"/>
        <w:spacing w:after="0"/>
        <w:rPr>
          <w:sz w:val="20"/>
          <w:szCs w:val="20"/>
          <w:color w:val="auto"/>
        </w:rPr>
      </w:pPr>
      <w:r>
        <w:rPr>
          <w:rFonts w:ascii="Times New Roman" w:cs="Times New Roman" w:eastAsia="Times New Roman" w:hAnsi="Times New Roman"/>
          <w:sz w:val="22"/>
          <w:szCs w:val="22"/>
          <w:color w:val="auto"/>
        </w:rPr>
        <w:t>consents to be bound by the terms hereof in accordance with Section 4.13 and as contemplated by such instrument.</w:t>
      </w:r>
    </w:p>
    <w:p>
      <w:pPr>
        <w:spacing w:after="0" w:line="216" w:lineRule="exact"/>
        <w:rPr>
          <w:sz w:val="20"/>
          <w:szCs w:val="20"/>
          <w:color w:val="auto"/>
        </w:rPr>
      </w:pPr>
    </w:p>
    <w:p>
      <w:pPr>
        <w:jc w:val="both"/>
        <w:ind w:left="4" w:right="16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have meanings correlative thereto.</w:t>
      </w:r>
    </w:p>
    <w:p>
      <w:pPr>
        <w:spacing w:after="0" w:line="175" w:lineRule="exact"/>
        <w:rPr>
          <w:sz w:val="20"/>
          <w:szCs w:val="20"/>
          <w:color w:val="auto"/>
        </w:rPr>
      </w:pPr>
    </w:p>
    <w:p>
      <w:pPr>
        <w:ind w:left="4" w:right="18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Second Priority Representative</w:t>
      </w:r>
      <w:r>
        <w:rPr>
          <w:rFonts w:ascii="Times New Roman" w:cs="Times New Roman" w:eastAsia="Times New Roman" w:hAnsi="Times New Roman"/>
          <w:sz w:val="22"/>
          <w:szCs w:val="22"/>
          <w:color w:val="auto"/>
        </w:rPr>
        <w:t>” has the meaning assigned to such term in the First Lien/Second Lien Intercreditor Agreement.</w:t>
      </w:r>
    </w:p>
    <w:p>
      <w:pPr>
        <w:spacing w:after="0" w:line="136" w:lineRule="exact"/>
        <w:rPr>
          <w:sz w:val="20"/>
          <w:szCs w:val="20"/>
          <w:color w:val="auto"/>
        </w:rPr>
      </w:pPr>
    </w:p>
    <w:p>
      <w:pPr>
        <w:jc w:val="both"/>
        <w:ind w:left="4" w:right="16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Senior Representative</w:t>
      </w:r>
      <w:r>
        <w:rPr>
          <w:rFonts w:ascii="Times New Roman" w:cs="Times New Roman" w:eastAsia="Times New Roman" w:hAnsi="Times New Roman"/>
          <w:sz w:val="22"/>
          <w:szCs w:val="22"/>
          <w:color w:val="auto"/>
        </w:rPr>
        <w:t>” has the meaning assigned to such term in the First Lien/Second Lien Intercreditor Agreement.</w:t>
      </w: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DIP Financing</w:t>
      </w:r>
      <w:r>
        <w:rPr>
          <w:rFonts w:ascii="Times New Roman" w:cs="Times New Roman" w:eastAsia="Times New Roman" w:hAnsi="Times New Roman"/>
          <w:sz w:val="22"/>
          <w:szCs w:val="22"/>
          <w:color w:val="auto"/>
        </w:rPr>
        <w:t>” has the meaning assigned to such term in Section 2.7(b)(i). “</w:t>
      </w:r>
      <w:r>
        <w:rPr>
          <w:rFonts w:ascii="Times New Roman" w:cs="Times New Roman" w:eastAsia="Times New Roman" w:hAnsi="Times New Roman"/>
          <w:sz w:val="22"/>
          <w:szCs w:val="22"/>
          <w:b w:val="1"/>
          <w:bCs w:val="1"/>
          <w:color w:val="auto"/>
        </w:rPr>
        <w:t>Discharge</w:t>
      </w:r>
      <w:r>
        <w:rPr>
          <w:rFonts w:ascii="Times New Roman" w:cs="Times New Roman" w:eastAsia="Times New Roman" w:hAnsi="Times New Roman"/>
          <w:sz w:val="22"/>
          <w:szCs w:val="22"/>
          <w:color w:val="auto"/>
        </w:rPr>
        <w:t>” means, with respect</w:t>
      </w:r>
    </w:p>
    <w:p>
      <w:pPr>
        <w:spacing w:after="0" w:line="224"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to any Secured Obligations, except to the extent</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otherwise provided in Section 2.5(c) (Avoidance Issues) or Section 2.8 (Reinstatement) below, (a)</w:t>
      </w:r>
    </w:p>
    <w:p>
      <w:pPr>
        <w:spacing w:after="0" w:line="14" w:lineRule="exact"/>
        <w:rPr>
          <w:sz w:val="20"/>
          <w:szCs w:val="20"/>
          <w:color w:val="auto"/>
        </w:rPr>
      </w:pPr>
    </w:p>
    <w:p>
      <w:pPr>
        <w:jc w:val="both"/>
        <w:ind w:left="4" w:right="140"/>
        <w:spacing w:after="0" w:line="257" w:lineRule="auto"/>
        <w:rPr>
          <w:sz w:val="20"/>
          <w:szCs w:val="20"/>
          <w:color w:val="auto"/>
        </w:rPr>
      </w:pPr>
      <w:r>
        <w:rPr>
          <w:rFonts w:ascii="Times New Roman" w:cs="Times New Roman" w:eastAsia="Times New Roman" w:hAnsi="Times New Roman"/>
          <w:sz w:val="21"/>
          <w:szCs w:val="21"/>
          <w:color w:val="auto"/>
        </w:rPr>
        <w:t>payment in full in immediately available funds of the principal of, and interest (including interest accruing on or after the commencement of an Insolvency or Liquidation Proceeding, whether or not such interest would be allowed in the proceeding) accrued on, all outstanding Indebtedness included in such series of Secured Obligations after or concurrently with the termination of all commitments to extend credit thereunder, (b) with respect to any letters of credit that may be outstanding in respect of any series of Secured Obligations, termination or delivery of cash collateral, backstop letters of credit or other credit support in respect thereof in an amount and manner in compliance with the applicable Documents, and</w:t>
      </w:r>
    </w:p>
    <w:p>
      <w:pPr>
        <w:spacing w:after="0" w:line="1" w:lineRule="exact"/>
        <w:rPr>
          <w:sz w:val="20"/>
          <w:szCs w:val="20"/>
          <w:color w:val="auto"/>
        </w:rPr>
      </w:pPr>
    </w:p>
    <w:p>
      <w:pPr>
        <w:jc w:val="both"/>
        <w:ind w:left="4" w:right="140" w:hanging="4"/>
        <w:spacing w:after="0" w:line="256" w:lineRule="auto"/>
        <w:tabs>
          <w:tab w:leader="none" w:pos="310"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 in full in immediately available funds of any other Secured Obligations that are due and payable or otherwise accrued and owing at or prior to the time such principal and interest are paid (other than in respect of contingent indemnification and expense reimbursement claims not then due);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the Discharge of the ABL Obligations shall not be deemed to have occurred if such payments are made with the proceeds of a facility designated by the Company pursuant hereto as an ABL Facility Agreement or a Refinancing of the ABL Obligations, (ii) the Discharge of the First Lien Facility Obligations shall not be deemed to have occurred if such payments are made with the proceeds of a facility designated by the Company pursuant hereto as a First Lien Facility or a Refinancing of the First Lien Facility Obligations,</w:t>
      </w:r>
    </w:p>
    <w:p>
      <w:pPr>
        <w:spacing w:after="0" w:line="5" w:lineRule="exact"/>
        <w:rPr>
          <w:rFonts w:ascii="Times New Roman" w:cs="Times New Roman" w:eastAsia="Times New Roman" w:hAnsi="Times New Roman"/>
          <w:sz w:val="21"/>
          <w:szCs w:val="21"/>
          <w:color w:val="auto"/>
        </w:rPr>
      </w:pPr>
    </w:p>
    <w:p>
      <w:pPr>
        <w:jc w:val="both"/>
        <w:ind w:left="4" w:right="140" w:hanging="4"/>
        <w:spacing w:after="0" w:line="247" w:lineRule="auto"/>
        <w:tabs>
          <w:tab w:leader="none" w:pos="382"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Discharge of any Other First Lien Obligations shall not be deemed to have occurred if such payments are made with the proceeds of any obligations that are designated by the Company pursuant hereto as a Refinancing of such Other First Lien Obligations, (iv) the Discharge of the Second Lien Facility Obligations shall not be deemed to have occurred if such payments are made with the proceeds of a facility designated by the Company pursuant hereto as a Second Lien Facility or a Refinancing of the Second Lien Facility Obligations and (v) the Discharge of any Other Second Lien Obligations shall not be deemed to have occurred if such payments are made with the proceeds of any obligations that are designated by the Company pursuant hereto as a Refinancing of such Other Second Lien Obligations. The term “</w:t>
      </w:r>
      <w:r>
        <w:rPr>
          <w:rFonts w:ascii="Times New Roman" w:cs="Times New Roman" w:eastAsia="Times New Roman" w:hAnsi="Times New Roman"/>
          <w:sz w:val="22"/>
          <w:szCs w:val="22"/>
          <w:b w:val="1"/>
          <w:bCs w:val="1"/>
          <w:color w:val="auto"/>
        </w:rPr>
        <w:t>Discharged</w:t>
      </w:r>
      <w:r>
        <w:rPr>
          <w:rFonts w:ascii="Times New Roman" w:cs="Times New Roman" w:eastAsia="Times New Roman" w:hAnsi="Times New Roman"/>
          <w:sz w:val="22"/>
          <w:szCs w:val="22"/>
          <w:color w:val="auto"/>
        </w:rPr>
        <w:t>” has a correlative meaning to the foregoing.</w:t>
      </w:r>
    </w:p>
    <w:p>
      <w:pPr>
        <w:sectPr>
          <w:pgSz w:w="11900" w:h="16838" w:orient="portrait"/>
          <w:cols w:equalWidth="0" w:num="1">
            <w:col w:w="10904"/>
          </w:cols>
          <w:pgMar w:left="596" w:top="1408" w:right="399" w:bottom="1440" w:gutter="0" w:footer="0" w:header="0"/>
        </w:sectPr>
      </w:pPr>
    </w:p>
    <w:bookmarkStart w:id="288" w:name="page289"/>
    <w:bookmarkEnd w:id="288"/>
    <w:p>
      <w:pPr>
        <w:ind w:right="4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Dispose” or “Disposed of”</w:t>
      </w:r>
      <w:r>
        <w:rPr>
          <w:rFonts w:ascii="Times New Roman" w:cs="Times New Roman" w:eastAsia="Times New Roman" w:hAnsi="Times New Roman"/>
          <w:sz w:val="22"/>
          <w:szCs w:val="22"/>
          <w:color w:val="auto"/>
        </w:rPr>
        <w:t xml:space="preserve"> means to convey, sell, lease, sell and leaseback, assign, farm-out, transfer or otherwise dispose of any property, business or assets. The term “</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has a correlative meaning to the foregoing.</w:t>
      </w:r>
    </w:p>
    <w:p>
      <w:pPr>
        <w:spacing w:after="0" w:line="149" w:lineRule="exact"/>
        <w:rPr>
          <w:sz w:val="20"/>
          <w:szCs w:val="20"/>
          <w:color w:val="auto"/>
        </w:rPr>
      </w:pPr>
    </w:p>
    <w:p>
      <w:pPr>
        <w:jc w:val="both"/>
        <w:ind w:left="20" w:firstLine="128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Documents</w:t>
      </w:r>
      <w:r>
        <w:rPr>
          <w:rFonts w:ascii="Times New Roman" w:cs="Times New Roman" w:eastAsia="Times New Roman" w:hAnsi="Times New Roman"/>
          <w:sz w:val="22"/>
          <w:szCs w:val="22"/>
          <w:color w:val="auto"/>
        </w:rPr>
        <w:t>” means, collectively, the ABL Obligations Documents and the Non- ABL Obligations Documents, or any of the foregoing.</w:t>
      </w:r>
    </w:p>
    <w:p>
      <w:pPr>
        <w:spacing w:after="0" w:line="177" w:lineRule="exact"/>
        <w:rPr>
          <w:sz w:val="20"/>
          <w:szCs w:val="20"/>
          <w:color w:val="auto"/>
        </w:rPr>
      </w:pPr>
    </w:p>
    <w:p>
      <w:pPr>
        <w:jc w:val="both"/>
        <w:ind w:left="20" w:firstLine="129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Enforcement Notice</w:t>
      </w:r>
      <w:r>
        <w:rPr>
          <w:rFonts w:ascii="Times New Roman" w:cs="Times New Roman" w:eastAsia="Times New Roman" w:hAnsi="Times New Roman"/>
          <w:sz w:val="22"/>
          <w:szCs w:val="22"/>
          <w:color w:val="auto"/>
        </w:rPr>
        <w:t>” means a written notice delivered, at a time when an Event of Default has occurred and is continuing, by either (a) in the case of an Event of Default under the ABL Facility Agreement, the ABL Representative to the First Lien/Second Lien Intercreditor Representative or (b) in the case of any other Event of Default, the First Lien/Second Lien Intercreditor Representative to the ABL Representative.</w:t>
      </w:r>
    </w:p>
    <w:p>
      <w:pPr>
        <w:spacing w:after="0" w:line="175" w:lineRule="exact"/>
        <w:rPr>
          <w:sz w:val="20"/>
          <w:szCs w:val="20"/>
          <w:color w:val="auto"/>
        </w:rPr>
      </w:pPr>
    </w:p>
    <w:p>
      <w:pPr>
        <w:jc w:val="both"/>
        <w:ind w:left="2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means an “Event of Default” under and as defined in the ABL Facility Agreement, the First Lien Credit Agreements, any other applicable First Lien Facility Credit Document, any applicable Other First Lien Obligations Credit Document, the Second Lien [Credit Agreement][Indenture], any other applicable Second Lien Facility Credit Document or any applicable Other Second Lien Obligations Credit Document, as the context may require.</w:t>
      </w:r>
    </w:p>
    <w:p>
      <w:pPr>
        <w:spacing w:after="0" w:line="168" w:lineRule="exact"/>
        <w:rPr>
          <w:sz w:val="20"/>
          <w:szCs w:val="20"/>
          <w:color w:val="auto"/>
        </w:rPr>
      </w:pPr>
    </w:p>
    <w:p>
      <w:pPr>
        <w:ind w:left="20" w:right="40" w:firstLine="129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“Existing First Lien Collateral Agent” </w:t>
      </w:r>
      <w:r>
        <w:rPr>
          <w:rFonts w:ascii="Times New Roman" w:cs="Times New Roman" w:eastAsia="Times New Roman" w:hAnsi="Times New Roman"/>
          <w:sz w:val="22"/>
          <w:szCs w:val="22"/>
          <w:color w:val="auto"/>
        </w:rPr>
        <w:t>has the meaning assigned to such term in the definition of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Lien Credit Agreements”.</w:t>
      </w:r>
    </w:p>
    <w:p>
      <w:pPr>
        <w:spacing w:after="0" w:line="163" w:lineRule="exact"/>
        <w:rPr>
          <w:sz w:val="20"/>
          <w:szCs w:val="20"/>
          <w:color w:val="auto"/>
        </w:rPr>
      </w:pPr>
    </w:p>
    <w:p>
      <w:pPr>
        <w:jc w:val="both"/>
        <w:ind w:left="2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Collateral Agent</w:t>
      </w:r>
      <w:r>
        <w:rPr>
          <w:rFonts w:ascii="Times New Roman" w:cs="Times New Roman" w:eastAsia="Times New Roman" w:hAnsi="Times New Roman"/>
          <w:sz w:val="22"/>
          <w:szCs w:val="22"/>
          <w:color w:val="auto"/>
        </w:rPr>
        <w:t>” means the Applicable Collateral Agent under and as defined in the First Lien Pari Passu Intercreditor Agreement for the First Lien Facility Obligations Secured Parties, together with its successors or co-agents in substantially the same capacity as may from time to time be appointed pursuant to the applicable First Lien Facility. [As of the date hereof, JPMorgan shall be the First Lien Collateral Agent.]</w:t>
      </w:r>
    </w:p>
    <w:p>
      <w:pPr>
        <w:spacing w:after="0" w:line="168" w:lineRule="exact"/>
        <w:rPr>
          <w:sz w:val="20"/>
          <w:szCs w:val="20"/>
          <w:color w:val="auto"/>
        </w:rPr>
      </w:pPr>
    </w:p>
    <w:p>
      <w:pPr>
        <w:jc w:val="both"/>
        <w:ind w:left="20" w:firstLine="1283"/>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Lien Credit Agreements</w:t>
      </w:r>
      <w:r>
        <w:rPr>
          <w:rFonts w:ascii="Times New Roman" w:cs="Times New Roman" w:eastAsia="Times New Roman" w:hAnsi="Times New Roman"/>
          <w:sz w:val="21"/>
          <w:szCs w:val="21"/>
          <w:color w:val="auto"/>
        </w:rPr>
        <w:t>” means (i) that certain First Lien Credit Agreement dated as of December 13, 2019, among the Company, Holdings, the lenders party thereto from time to time and JPMorgan as successor to Jefferies Finance LLC, as first lien collateral agent (in such capacity and together with its successors in such capacity, the “</w:t>
      </w:r>
      <w:r>
        <w:rPr>
          <w:rFonts w:ascii="Times New Roman" w:cs="Times New Roman" w:eastAsia="Times New Roman" w:hAnsi="Times New Roman"/>
          <w:sz w:val="21"/>
          <w:szCs w:val="21"/>
          <w:b w:val="1"/>
          <w:bCs w:val="1"/>
          <w:color w:val="auto"/>
        </w:rPr>
        <w:t>Existing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First Lien Collateral Agent</w:t>
      </w:r>
      <w:r>
        <w:rPr>
          <w:rFonts w:ascii="Times New Roman" w:cs="Times New Roman" w:eastAsia="Times New Roman" w:hAnsi="Times New Roman"/>
          <w:sz w:val="21"/>
          <w:szCs w:val="21"/>
          <w:color w:val="auto"/>
        </w:rPr>
        <w:t>”), as amended, restated, supplemented, replaced (whether or not upon termination,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whether with the original lenders or otherwise), restructured, refinanced, extended or otherwise modified from time to time,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Company to not be included in the definition of “First Lien Credit Agreements”), and (ii) that certain First Lien Credit Agreement dated as of February [ ], 2023, among the Company, Holdings, the lenders party thereto from time to time and JPMorgan, as collateral agent (in such capacity and together with its successors in such capacity, the “</w:t>
      </w:r>
      <w:r>
        <w:rPr>
          <w:rFonts w:ascii="Times New Roman" w:cs="Times New Roman" w:eastAsia="Times New Roman" w:hAnsi="Times New Roman"/>
          <w:sz w:val="21"/>
          <w:szCs w:val="21"/>
          <w:b w:val="1"/>
          <w:bCs w:val="1"/>
          <w:color w:val="auto"/>
        </w:rPr>
        <w:t>Additional 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Lien Collateral Agent</w:t>
      </w:r>
      <w:r>
        <w:rPr>
          <w:rFonts w:ascii="Times New Roman" w:cs="Times New Roman" w:eastAsia="Times New Roman" w:hAnsi="Times New Roman"/>
          <w:sz w:val="21"/>
          <w:szCs w:val="21"/>
          <w:color w:val="auto"/>
        </w:rPr>
        <w:t>”), as amended, restated, supplemented, replaced (whether or not upon termination, and whether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original lenders or otherwise), restructured, refinanced, extended or otherwise modified from time to time, including any agreement or indenture extending the maturity thereof, refinancing, replacing or otherwise</w:t>
      </w:r>
    </w:p>
    <w:p>
      <w:pPr>
        <w:sectPr>
          <w:pgSz w:w="11900" w:h="16838" w:orient="portrait"/>
          <w:cols w:equalWidth="0" w:num="1">
            <w:col w:w="10780"/>
          </w:cols>
          <w:pgMar w:left="580" w:top="1404" w:right="539" w:bottom="1440" w:gutter="0" w:footer="0" w:header="0"/>
        </w:sectPr>
      </w:pPr>
    </w:p>
    <w:bookmarkStart w:id="289" w:name="page290"/>
    <w:bookmarkEnd w:id="289"/>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Company to not be included in the definition of “First Lien Credit Agreements”).</w:t>
      </w:r>
    </w:p>
    <w:p>
      <w:pPr>
        <w:spacing w:after="0" w:line="172" w:lineRule="exact"/>
        <w:rPr>
          <w:sz w:val="20"/>
          <w:szCs w:val="20"/>
          <w:color w:val="auto"/>
        </w:rPr>
      </w:pPr>
    </w:p>
    <w:p>
      <w:pPr>
        <w:jc w:val="both"/>
        <w:ind w:firstLine="129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Lien Facility</w:t>
      </w:r>
      <w:r>
        <w:rPr>
          <w:rFonts w:ascii="Times New Roman" w:cs="Times New Roman" w:eastAsia="Times New Roman" w:hAnsi="Times New Roman"/>
          <w:sz w:val="21"/>
          <w:szCs w:val="21"/>
          <w:color w:val="auto"/>
        </w:rPr>
        <w:t>” means (i) each of the First Lien Credit Agreements, and (ii) when the facilities referred to in clause (i) are no longer outstanding, if designated by the Company to be included in the definition of “First Lien Facility” and subject to the satisfaction of the applicable requirements set forth in Section 4.13, (A) a debt facility or commercial paper facility providing for revolving credit loans, term loans, receivables financing (including through the sale of receivables to lenders or to special purpose entities formed to borrow from lenders against such receivables) or letters of credit, (B) debt securities, indenture or other form of debt financing (including convertible or exchangeable debt instruments or bank guarantees or bankers’ acceptances) or (C) instrument or agreement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179" w:lineRule="exact"/>
        <w:rPr>
          <w:sz w:val="20"/>
          <w:szCs w:val="20"/>
          <w:color w:val="auto"/>
        </w:rPr>
      </w:pPr>
    </w:p>
    <w:p>
      <w:pPr>
        <w:jc w:val="both"/>
        <w:ind w:firstLine="129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Facility Collateral Agreements</w:t>
      </w:r>
      <w:r>
        <w:rPr>
          <w:rFonts w:ascii="Times New Roman" w:cs="Times New Roman" w:eastAsia="Times New Roman" w:hAnsi="Times New Roman"/>
          <w:sz w:val="22"/>
          <w:szCs w:val="22"/>
          <w:color w:val="auto"/>
        </w:rPr>
        <w:t>” means (a) each of (x) the First Lien Collateral Agreement dated as of December 13, 2019, among the Company, each other Pledgor party thereto and the Existing First Lien Collateral Agent, as amended, restated, supplemented or otherwise modified from time to time, and (y) the First Lien Collateral Agreement dated as of February [ ], 2023, among the Company, each other Pledgor party thereto and the Additional First Lien Collateral Agent, as amended, restated, supplemented or otherwise modified from time to time, and (b) any other collateral agreement entered into from time to time in respect of any First Lien Facility described in clause (ii) of the definition thereof and designated by the Company as a “First Lien Facility Collateral Agreement,” as amended, restated, supplemented or other modified from time to time.</w:t>
      </w:r>
    </w:p>
    <w:p>
      <w:pPr>
        <w:spacing w:after="0" w:line="195" w:lineRule="exact"/>
        <w:rPr>
          <w:sz w:val="20"/>
          <w:szCs w:val="20"/>
          <w:color w:val="auto"/>
        </w:rPr>
      </w:pPr>
    </w:p>
    <w:p>
      <w:pPr>
        <w:jc w:val="both"/>
        <w:ind w:right="2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Facility Collateral Documents</w:t>
      </w:r>
      <w:r>
        <w:rPr>
          <w:rFonts w:ascii="Times New Roman" w:cs="Times New Roman" w:eastAsia="Times New Roman" w:hAnsi="Times New Roman"/>
          <w:sz w:val="22"/>
          <w:szCs w:val="22"/>
          <w:color w:val="auto"/>
        </w:rPr>
        <w:t>” means, collectively, the First Lien Facility Collateral Agreements, any of the other “Security Documents” (or comparable terms) as defined in the applicable First Lien Facility Credit Documents, and any other documents now existing or entered into after the date hereof that grant Liens on any assets or properties of any Pledgor to secure any First Lien Facility Obligations.</w:t>
      </w:r>
    </w:p>
    <w:p>
      <w:pPr>
        <w:spacing w:after="0" w:line="154" w:lineRule="exact"/>
        <w:rPr>
          <w:sz w:val="20"/>
          <w:szCs w:val="20"/>
          <w:color w:val="auto"/>
        </w:rPr>
      </w:pPr>
    </w:p>
    <w:p>
      <w:pPr>
        <w:jc w:val="both"/>
        <w:ind w:right="2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Facility Credit Documents</w:t>
      </w:r>
      <w:r>
        <w:rPr>
          <w:rFonts w:ascii="Times New Roman" w:cs="Times New Roman" w:eastAsia="Times New Roman" w:hAnsi="Times New Roman"/>
          <w:sz w:val="22"/>
          <w:szCs w:val="22"/>
          <w:color w:val="auto"/>
        </w:rPr>
        <w:t>” means (i) the First Lien Credit Agreements and (ii) the instrument, agreement or other document evidencing or governing any other First Lien Facility described in clause (ii) of the definition thereof.</w:t>
      </w:r>
    </w:p>
    <w:p>
      <w:pPr>
        <w:spacing w:after="0" w:line="175" w:lineRule="exact"/>
        <w:rPr>
          <w:sz w:val="20"/>
          <w:szCs w:val="20"/>
          <w:color w:val="auto"/>
        </w:rPr>
      </w:pPr>
    </w:p>
    <w:p>
      <w:pPr>
        <w:jc w:val="both"/>
        <w:ind w:left="20" w:firstLine="1283"/>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Facility Documents</w:t>
      </w:r>
      <w:r>
        <w:rPr>
          <w:rFonts w:ascii="Times New Roman" w:cs="Times New Roman" w:eastAsia="Times New Roman" w:hAnsi="Times New Roman"/>
          <w:sz w:val="22"/>
          <w:szCs w:val="22"/>
          <w:color w:val="auto"/>
        </w:rPr>
        <w:t>” means, collectively, the documentation in respect of the First Lien Facility Obligations, including the First Lien Credit Agreements, any other First Lien Facility Credit Document, the First Lien Facility Collateral Documents and any other “First Lien Loan Documents” or comparable terms as defined in the applicable First Lien Facility.</w:t>
      </w:r>
    </w:p>
    <w:p>
      <w:pPr>
        <w:spacing w:after="0" w:line="182" w:lineRule="exact"/>
        <w:rPr>
          <w:sz w:val="20"/>
          <w:szCs w:val="20"/>
          <w:color w:val="auto"/>
        </w:rPr>
      </w:pPr>
    </w:p>
    <w:p>
      <w:pPr>
        <w:ind w:left="20" w:right="20" w:firstLine="1283"/>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Facility Obligations</w:t>
      </w:r>
      <w:r>
        <w:rPr>
          <w:rFonts w:ascii="Times New Roman" w:cs="Times New Roman" w:eastAsia="Times New Roman" w:hAnsi="Times New Roman"/>
          <w:sz w:val="22"/>
          <w:szCs w:val="22"/>
          <w:color w:val="auto"/>
        </w:rPr>
        <w:t>” means all “Secured Obligations” (as such term is defined in a First Lien Facility), including all obligations of the Company and other obligors</w:t>
      </w:r>
    </w:p>
    <w:p>
      <w:pPr>
        <w:sectPr>
          <w:pgSz w:w="11900" w:h="16838" w:orient="portrait"/>
          <w:cols w:equalWidth="0" w:num="1">
            <w:col w:w="10780"/>
          </w:cols>
          <w:pgMar w:left="580" w:top="1422" w:right="539" w:bottom="1440" w:gutter="0" w:footer="0" w:header="0"/>
        </w:sectPr>
      </w:pPr>
    </w:p>
    <w:bookmarkStart w:id="290" w:name="page291"/>
    <w:bookmarkEnd w:id="290"/>
    <w:p>
      <w:pPr>
        <w:spacing w:after="0" w:line="14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2"/>
          <w:szCs w:val="22"/>
          <w:color w:val="auto"/>
        </w:rPr>
        <w:t>outstanding under, and all other obligations in respect of, any First Lien Facility Documents, to pay principal, premium (if any), interest (including interest, fees and other amounts accruing after the commencement of any Insolvency or Liquidation Proceeding, regardless of whether or not allowed or allowable in such proceeding), penalties, fees, indemnifications, reimbursements (including reimbursement obligations with respect to any letters of credit and bankers’ acceptance), damages and other liabilities payable under or in connection with any First Lien Facility Documents.</w:t>
      </w:r>
    </w:p>
    <w:p>
      <w:pPr>
        <w:spacing w:after="0" w:line="187" w:lineRule="exact"/>
        <w:rPr>
          <w:sz w:val="20"/>
          <w:szCs w:val="20"/>
          <w:color w:val="auto"/>
        </w:rPr>
      </w:pPr>
    </w:p>
    <w:p>
      <w:pPr>
        <w:jc w:val="both"/>
        <w:ind w:right="2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Facility Obligations Secured Parties</w:t>
      </w:r>
      <w:r>
        <w:rPr>
          <w:rFonts w:ascii="Times New Roman" w:cs="Times New Roman" w:eastAsia="Times New Roman" w:hAnsi="Times New Roman"/>
          <w:sz w:val="22"/>
          <w:szCs w:val="22"/>
          <w:color w:val="auto"/>
        </w:rPr>
        <w:t>” means the persons holding any First Lien Facility Obligations, including the First Lien Collateral Agent.</w:t>
      </w:r>
    </w:p>
    <w:p>
      <w:pPr>
        <w:spacing w:after="0" w:line="150" w:lineRule="exact"/>
        <w:rPr>
          <w:sz w:val="20"/>
          <w:szCs w:val="20"/>
          <w:color w:val="auto"/>
        </w:rPr>
      </w:pPr>
    </w:p>
    <w:p>
      <w:pPr>
        <w:jc w:val="both"/>
        <w:ind w:right="2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Obligations</w:t>
      </w:r>
      <w:r>
        <w:rPr>
          <w:rFonts w:ascii="Times New Roman" w:cs="Times New Roman" w:eastAsia="Times New Roman" w:hAnsi="Times New Roman"/>
          <w:sz w:val="22"/>
          <w:szCs w:val="22"/>
          <w:color w:val="auto"/>
        </w:rPr>
        <w:t>” means, collectively, the First Lien Facility Obligations and the Other First Lien Obligations, or any of the foregoing.</w:t>
      </w:r>
    </w:p>
    <w:p>
      <w:pPr>
        <w:spacing w:after="0" w:line="149" w:lineRule="exact"/>
        <w:rPr>
          <w:sz w:val="20"/>
          <w:szCs w:val="20"/>
          <w:color w:val="auto"/>
        </w:rPr>
      </w:pPr>
    </w:p>
    <w:p>
      <w:pPr>
        <w:jc w:val="both"/>
        <w:ind w:right="20" w:firstLine="128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Obligations Collateral Documents</w:t>
      </w:r>
      <w:r>
        <w:rPr>
          <w:rFonts w:ascii="Times New Roman" w:cs="Times New Roman" w:eastAsia="Times New Roman" w:hAnsi="Times New Roman"/>
          <w:sz w:val="22"/>
          <w:szCs w:val="22"/>
          <w:color w:val="auto"/>
        </w:rPr>
        <w:t>” means, collectively, the First Lien Facility Collateral Documents and the Other First Lien Obligations Collateral Documents.</w:t>
      </w:r>
    </w:p>
    <w:p>
      <w:pPr>
        <w:spacing w:after="0" w:line="163" w:lineRule="exact"/>
        <w:rPr>
          <w:sz w:val="20"/>
          <w:szCs w:val="20"/>
          <w:color w:val="auto"/>
        </w:rPr>
      </w:pPr>
    </w:p>
    <w:p>
      <w:pPr>
        <w:ind w:right="40" w:firstLine="128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Obligations Credit Documents</w:t>
      </w:r>
      <w:r>
        <w:rPr>
          <w:rFonts w:ascii="Times New Roman" w:cs="Times New Roman" w:eastAsia="Times New Roman" w:hAnsi="Times New Roman"/>
          <w:sz w:val="22"/>
          <w:szCs w:val="22"/>
          <w:color w:val="auto"/>
        </w:rPr>
        <w:t>” means, collectively, the First Lien Facility Credit Documents and the Other First Lien Obligations Credit Documents.</w:t>
      </w:r>
    </w:p>
    <w:p>
      <w:pPr>
        <w:spacing w:after="0" w:line="163" w:lineRule="exact"/>
        <w:rPr>
          <w:sz w:val="20"/>
          <w:szCs w:val="20"/>
          <w:color w:val="auto"/>
        </w:rPr>
      </w:pPr>
    </w:p>
    <w:p>
      <w:pPr>
        <w:ind w:right="4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Obligations Documents</w:t>
      </w:r>
      <w:r>
        <w:rPr>
          <w:rFonts w:ascii="Times New Roman" w:cs="Times New Roman" w:eastAsia="Times New Roman" w:hAnsi="Times New Roman"/>
          <w:sz w:val="22"/>
          <w:szCs w:val="22"/>
          <w:color w:val="auto"/>
        </w:rPr>
        <w:t>” means, collectively, the First Lien Facility Documents and the Other First Lien Obligations Documents.</w:t>
      </w:r>
    </w:p>
    <w:p>
      <w:pPr>
        <w:spacing w:after="0" w:line="136" w:lineRule="exact"/>
        <w:rPr>
          <w:sz w:val="20"/>
          <w:szCs w:val="20"/>
          <w:color w:val="auto"/>
        </w:rPr>
      </w:pPr>
    </w:p>
    <w:p>
      <w:pPr>
        <w:jc w:val="both"/>
        <w:ind w:right="20" w:firstLine="128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Obligations Representative</w:t>
      </w:r>
      <w:r>
        <w:rPr>
          <w:rFonts w:ascii="Times New Roman" w:cs="Times New Roman" w:eastAsia="Times New Roman" w:hAnsi="Times New Roman"/>
          <w:sz w:val="22"/>
          <w:szCs w:val="22"/>
          <w:color w:val="auto"/>
        </w:rPr>
        <w:t>” means each of the First Lien Collateral Agent and each Other First Lien Obligations Agent.</w:t>
      </w:r>
    </w:p>
    <w:p>
      <w:pPr>
        <w:spacing w:after="0" w:line="177" w:lineRule="exact"/>
        <w:rPr>
          <w:sz w:val="20"/>
          <w:szCs w:val="20"/>
          <w:color w:val="auto"/>
        </w:rPr>
      </w:pPr>
    </w:p>
    <w:p>
      <w:pPr>
        <w:ind w:right="40" w:firstLine="128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Obligations Secured Parties</w:t>
      </w:r>
      <w:r>
        <w:rPr>
          <w:rFonts w:ascii="Times New Roman" w:cs="Times New Roman" w:eastAsia="Times New Roman" w:hAnsi="Times New Roman"/>
          <w:sz w:val="22"/>
          <w:szCs w:val="22"/>
          <w:color w:val="auto"/>
        </w:rPr>
        <w:t>” means, collectively, the First Lien Facility Obligations Secured Parties and the Other First Lien Obligations Secured Parties, or any of the foregoing.</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Pari Passu Intercreditor Agreement</w:t>
      </w:r>
      <w:r>
        <w:rPr>
          <w:rFonts w:ascii="Times New Roman" w:cs="Times New Roman" w:eastAsia="Times New Roman" w:hAnsi="Times New Roman"/>
          <w:sz w:val="22"/>
          <w:szCs w:val="22"/>
          <w:color w:val="auto"/>
        </w:rPr>
        <w:t>” has the meaning assigned to such term in the recitals.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Lien/Second Lien Intercreditor Agreement</w:t>
      </w:r>
      <w:r>
        <w:rPr>
          <w:rFonts w:ascii="Times New Roman" w:cs="Times New Roman" w:eastAsia="Times New Roman" w:hAnsi="Times New Roman"/>
          <w:sz w:val="21"/>
          <w:szCs w:val="21"/>
          <w:color w:val="auto"/>
        </w:rPr>
        <w:t>” has the meaning assigned to such term in the recitals.</w:t>
      </w:r>
    </w:p>
    <w:p>
      <w:pPr>
        <w:spacing w:after="0" w:line="218" w:lineRule="exact"/>
        <w:rPr>
          <w:sz w:val="20"/>
          <w:szCs w:val="20"/>
          <w:color w:val="auto"/>
        </w:rPr>
      </w:pPr>
    </w:p>
    <w:p>
      <w:pPr>
        <w:jc w:val="both"/>
        <w:ind w:firstLine="129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Lien/Second Lien Intercreditor Representative</w:t>
      </w:r>
      <w:r>
        <w:rPr>
          <w:rFonts w:ascii="Times New Roman" w:cs="Times New Roman" w:eastAsia="Times New Roman" w:hAnsi="Times New Roman"/>
          <w:sz w:val="22"/>
          <w:szCs w:val="22"/>
          <w:color w:val="auto"/>
        </w:rPr>
        <w:t>” means (a) until the Discharge of First Lien Obligations has occurred, the Designated Senior Representative, and (b) following the Discharge of First Lien Obligations, the Designated Second Priority Representative acting on behalf of the Second Lien Obligations Secured Parties. [As of the date hereof, JPMorgan, in its capacities as the First Lien Collateral Agent and the Designated Senior Representative, shall act as the First Lien/Second Lien Intercreditor Representative for purposes of this Agreement.]</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 has the meaning assigned to such term in the preamble hereof.</w:t>
      </w:r>
    </w:p>
    <w:p>
      <w:pPr>
        <w:spacing w:after="0" w:line="301" w:lineRule="exact"/>
        <w:rPr>
          <w:sz w:val="20"/>
          <w:szCs w:val="20"/>
          <w:color w:val="auto"/>
        </w:rPr>
      </w:pPr>
    </w:p>
    <w:p>
      <w:pPr>
        <w:jc w:val="both"/>
        <w:ind w:firstLine="129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means and includes all obligations that constitute “Indebtedness”, “Debt” or other comparable terms as defined in the ABL Facility Agreement, any First Lien Credit Agreement, any First Lien Facility Credit Document, the Second Lien [Credit Agreement][Indenture], any Second Lien Facility Credit Document, any Other First Lien</w:t>
      </w:r>
    </w:p>
    <w:p>
      <w:pPr>
        <w:sectPr>
          <w:pgSz w:w="11900" w:h="16838" w:orient="portrait"/>
          <w:cols w:equalWidth="0" w:num="1">
            <w:col w:w="10760"/>
          </w:cols>
          <w:pgMar w:left="600" w:top="1440" w:right="539" w:bottom="1440" w:gutter="0" w:footer="0" w:header="0"/>
        </w:sectPr>
      </w:pPr>
    </w:p>
    <w:bookmarkStart w:id="291" w:name="page292"/>
    <w:bookmarkEnd w:id="291"/>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Obligations Credit Document or any Other Second Lien Obligations Credit Document, as applicable.</w:t>
      </w:r>
    </w:p>
    <w:p>
      <w:pPr>
        <w:spacing w:after="0" w:line="229" w:lineRule="exact"/>
        <w:rPr>
          <w:sz w:val="20"/>
          <w:szCs w:val="20"/>
          <w:color w:val="auto"/>
        </w:rPr>
      </w:pPr>
    </w:p>
    <w:p>
      <w:pPr>
        <w:jc w:val="both"/>
        <w:ind w:right="20" w:firstLine="129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Insolvency or Liquidation Proceeding</w:t>
      </w:r>
      <w:r>
        <w:rPr>
          <w:rFonts w:ascii="Times New Roman" w:cs="Times New Roman" w:eastAsia="Times New Roman" w:hAnsi="Times New Roman"/>
          <w:sz w:val="22"/>
          <w:szCs w:val="22"/>
          <w:color w:val="auto"/>
        </w:rPr>
        <w:t>” means (a) any voluntary or involuntary case or proceeding under any Bankruptcy Law with respect to any Pledgor, (b) any other voluntary or involuntary insolvency, reorganization or bankruptcy case or proceeding, or any receivership, liquidation, reorganization or other similar case or proceeding with respect to any Pledgor or with respect to any of its assets, (c) any liquidation, dissolution, reorganization or winding up of any Pledgor whether voluntary or involuntary and whether or not involving insolvency or bankruptcy (except to the extent permitted by the applicable Documents) or (d) any assignment for the benefit of creditors or any other marshaling of assets and liabilities of any Pledgor.</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JPMorgan</w:t>
      </w:r>
      <w:r>
        <w:rPr>
          <w:rFonts w:ascii="Times New Roman" w:cs="Times New Roman" w:eastAsia="Times New Roman" w:hAnsi="Times New Roman"/>
          <w:sz w:val="22"/>
          <w:szCs w:val="22"/>
          <w:color w:val="auto"/>
        </w:rPr>
        <w:t>” has the meaning assigned to such term in the preamble hereof.</w:t>
      </w:r>
    </w:p>
    <w:p>
      <w:pPr>
        <w:spacing w:after="0" w:line="355" w:lineRule="exact"/>
        <w:rPr>
          <w:sz w:val="20"/>
          <w:szCs w:val="20"/>
          <w:color w:val="auto"/>
        </w:rPr>
      </w:pPr>
    </w:p>
    <w:p>
      <w:pPr>
        <w:jc w:val="both"/>
        <w:ind w:left="20" w:right="2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Agent</w:t>
      </w:r>
      <w:r>
        <w:rPr>
          <w:rFonts w:ascii="Times New Roman" w:cs="Times New Roman" w:eastAsia="Times New Roman" w:hAnsi="Times New Roman"/>
          <w:sz w:val="22"/>
          <w:szCs w:val="22"/>
          <w:color w:val="auto"/>
        </w:rPr>
        <w:t>” means (a) with respect to the ABL Priority Collateral, each of the First Lien Collateral Agent, the Other First Lien Obligations Agents, the Second Lien Collateral Agent and the Other Second Lien Obligations Agents, and (b) with respect to the Non -ABL Priority Collateral, the ABL Representative.</w:t>
      </w:r>
    </w:p>
    <w:p>
      <w:pPr>
        <w:spacing w:after="0" w:line="189" w:lineRule="exact"/>
        <w:rPr>
          <w:sz w:val="20"/>
          <w:szCs w:val="20"/>
          <w:color w:val="auto"/>
        </w:rPr>
      </w:pPr>
    </w:p>
    <w:p>
      <w:pPr>
        <w:jc w:val="both"/>
        <w:ind w:left="20" w:right="4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Secured Obligations</w:t>
      </w:r>
      <w:r>
        <w:rPr>
          <w:rFonts w:ascii="Times New Roman" w:cs="Times New Roman" w:eastAsia="Times New Roman" w:hAnsi="Times New Roman"/>
          <w:sz w:val="22"/>
          <w:szCs w:val="22"/>
          <w:color w:val="auto"/>
        </w:rPr>
        <w:t>” means (a) with respect to the ABL Priority Collateral, the Non-ABL Obligations, and (b) with respect to the Non-ABL Priority Collateral, the ABL Obligations.</w:t>
      </w:r>
    </w:p>
    <w:p>
      <w:pPr>
        <w:spacing w:after="0" w:line="150" w:lineRule="exact"/>
        <w:rPr>
          <w:sz w:val="20"/>
          <w:szCs w:val="20"/>
          <w:color w:val="auto"/>
        </w:rPr>
      </w:pPr>
    </w:p>
    <w:p>
      <w:pPr>
        <w:jc w:val="both"/>
        <w:ind w:left="20" w:right="4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Secured Obligations Collateral</w:t>
      </w:r>
      <w:r>
        <w:rPr>
          <w:rFonts w:ascii="Times New Roman" w:cs="Times New Roman" w:eastAsia="Times New Roman" w:hAnsi="Times New Roman"/>
          <w:sz w:val="22"/>
          <w:szCs w:val="22"/>
          <w:color w:val="auto"/>
        </w:rPr>
        <w:t>” means, (a) with respect to the ABL Obligations, the Non-ABL Priority Collateral, and (b) with respect to the Non-ABL Obligations, the ABL Priority Collateral.</w:t>
      </w:r>
    </w:p>
    <w:p>
      <w:pPr>
        <w:spacing w:after="0" w:line="136" w:lineRule="exact"/>
        <w:rPr>
          <w:sz w:val="20"/>
          <w:szCs w:val="20"/>
          <w:color w:val="auto"/>
        </w:rPr>
      </w:pPr>
    </w:p>
    <w:p>
      <w:pPr>
        <w:jc w:val="both"/>
        <w:ind w:left="20" w:right="60" w:firstLine="1283"/>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Secured Obligations Collateral Documents</w:t>
      </w:r>
      <w:r>
        <w:rPr>
          <w:rFonts w:ascii="Times New Roman" w:cs="Times New Roman" w:eastAsia="Times New Roman" w:hAnsi="Times New Roman"/>
          <w:sz w:val="22"/>
          <w:szCs w:val="22"/>
          <w:color w:val="auto"/>
        </w:rPr>
        <w:t>” means, (a) with respect to the ABL Priority Collateral, the Non-ABL Obligations Documents, and (b) with respect to the Non-ABL Priority Collateral, the ABL Obligations Documents.</w:t>
      </w:r>
    </w:p>
    <w:p>
      <w:pPr>
        <w:spacing w:after="0" w:line="162" w:lineRule="exact"/>
        <w:rPr>
          <w:sz w:val="20"/>
          <w:szCs w:val="20"/>
          <w:color w:val="auto"/>
        </w:rPr>
      </w:pPr>
    </w:p>
    <w:p>
      <w:pPr>
        <w:jc w:val="both"/>
        <w:ind w:left="20" w:firstLine="129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Secured Obligations Secured Parties</w:t>
      </w:r>
      <w:r>
        <w:rPr>
          <w:rFonts w:ascii="Times New Roman" w:cs="Times New Roman" w:eastAsia="Times New Roman" w:hAnsi="Times New Roman"/>
          <w:sz w:val="22"/>
          <w:szCs w:val="22"/>
          <w:color w:val="auto"/>
        </w:rPr>
        <w:t>” means (a) with respect to the ABL Priority Collateral, the Non-ABL Obligations Secured Parties, and (b) with respect to the Non- ABL Priority Collateral, the ABL Obligations Secured Parties.</w:t>
      </w:r>
    </w:p>
    <w:p>
      <w:pPr>
        <w:spacing w:after="0" w:line="166" w:lineRule="exact"/>
        <w:rPr>
          <w:sz w:val="20"/>
          <w:szCs w:val="20"/>
          <w:color w:val="auto"/>
        </w:rPr>
      </w:pPr>
    </w:p>
    <w:p>
      <w:pPr>
        <w:jc w:val="both"/>
        <w:ind w:left="20" w:right="20" w:firstLine="129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provided, that in no event shall an operating lease or an agreement to sell be deemed to constitute a Lien</w:t>
      </w:r>
    </w:p>
    <w:p>
      <w:pPr>
        <w:spacing w:after="0" w:line="160" w:lineRule="exact"/>
        <w:rPr>
          <w:sz w:val="20"/>
          <w:szCs w:val="20"/>
          <w:color w:val="auto"/>
        </w:rPr>
      </w:pPr>
    </w:p>
    <w:p>
      <w:pPr>
        <w:ind w:left="20" w:right="60" w:firstLine="1283"/>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Non-ABL Obligations</w:t>
      </w:r>
      <w:r>
        <w:rPr>
          <w:rFonts w:ascii="Times New Roman" w:cs="Times New Roman" w:eastAsia="Times New Roman" w:hAnsi="Times New Roman"/>
          <w:sz w:val="22"/>
          <w:szCs w:val="22"/>
          <w:color w:val="auto"/>
        </w:rPr>
        <w:t>” means, collectively, the First Lien Obligations and the Second Lien Obligations, or any of the foregoing.</w:t>
      </w:r>
    </w:p>
    <w:p>
      <w:pPr>
        <w:spacing w:after="0" w:line="124" w:lineRule="exact"/>
        <w:rPr>
          <w:sz w:val="20"/>
          <w:szCs w:val="20"/>
          <w:color w:val="auto"/>
        </w:rPr>
      </w:pPr>
    </w:p>
    <w:p>
      <w:pPr>
        <w:ind w:left="20" w:right="4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Non-ABL Obligations Documents</w:t>
      </w:r>
      <w:r>
        <w:rPr>
          <w:rFonts w:ascii="Times New Roman" w:cs="Times New Roman" w:eastAsia="Times New Roman" w:hAnsi="Times New Roman"/>
          <w:sz w:val="22"/>
          <w:szCs w:val="22"/>
          <w:color w:val="auto"/>
        </w:rPr>
        <w:t>” means, collectively, the First Lien Obligations Documents and the Second Lien Obligations Documents.</w:t>
      </w:r>
    </w:p>
    <w:p>
      <w:pPr>
        <w:sectPr>
          <w:pgSz w:w="11900" w:h="16838" w:orient="portrait"/>
          <w:cols w:equalWidth="0" w:num="1">
            <w:col w:w="10800"/>
          </w:cols>
          <w:pgMar w:left="580" w:top="1440" w:right="519" w:bottom="1440" w:gutter="0" w:footer="0" w:header="0"/>
        </w:sectPr>
      </w:pPr>
    </w:p>
    <w:bookmarkStart w:id="292" w:name="page293"/>
    <w:bookmarkEnd w:id="292"/>
    <w:p>
      <w:pPr>
        <w:ind w:right="4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Non-ABL Obligations Secured Parties</w:t>
      </w:r>
      <w:r>
        <w:rPr>
          <w:rFonts w:ascii="Times New Roman" w:cs="Times New Roman" w:eastAsia="Times New Roman" w:hAnsi="Times New Roman"/>
          <w:sz w:val="22"/>
          <w:szCs w:val="22"/>
          <w:color w:val="auto"/>
        </w:rPr>
        <w:t>” means, collectively, the First Lien Obligations Secured Parties and the Second Lien Obligations Secured Parties, or any of the foregoing.</w:t>
      </w:r>
    </w:p>
    <w:p>
      <w:pPr>
        <w:spacing w:after="0" w:line="149" w:lineRule="exact"/>
        <w:rPr>
          <w:sz w:val="20"/>
          <w:szCs w:val="20"/>
          <w:color w:val="auto"/>
        </w:rPr>
      </w:pPr>
    </w:p>
    <w:p>
      <w:pPr>
        <w:jc w:val="both"/>
        <w:ind w:firstLine="1298"/>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Non-ABL Priority Collateral</w:t>
      </w:r>
      <w:r>
        <w:rPr>
          <w:rFonts w:ascii="Times New Roman" w:cs="Times New Roman" w:eastAsia="Times New Roman" w:hAnsi="Times New Roman"/>
          <w:sz w:val="21"/>
          <w:szCs w:val="21"/>
          <w:color w:val="auto"/>
        </w:rPr>
        <w:t>” means the portion of Shared Collateral that is not ABL Priority Collateral, including all real estate, equipment, or intellectual property of any Pledgor and any equity interests of any subsidiary of any Pledgor and all substitutions, replacements, accessions, products and proceeds of any or all of the foregoing.</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Non-ABL Priority Pledged Collateral</w:t>
      </w:r>
      <w:r>
        <w:rPr>
          <w:rFonts w:ascii="Times New Roman" w:cs="Times New Roman" w:eastAsia="Times New Roman" w:hAnsi="Times New Roman"/>
          <w:sz w:val="22"/>
          <w:szCs w:val="22"/>
          <w:color w:val="auto"/>
        </w:rPr>
        <w:t>” means Non-ABL Priority Collateral that is Pledged Collateral.</w:t>
      </w:r>
    </w:p>
    <w:p>
      <w:pPr>
        <w:spacing w:after="0" w:line="220" w:lineRule="exact"/>
        <w:rPr>
          <w:sz w:val="20"/>
          <w:szCs w:val="20"/>
          <w:color w:val="auto"/>
        </w:rPr>
      </w:pPr>
    </w:p>
    <w:p>
      <w:pPr>
        <w:jc w:val="both"/>
        <w:ind w:right="2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means any principal, interest (including interest accruing after the commencement of any Insolvency or Liquidation Proceeding, whether or not allowed or allowable in such proceeding), penalties, fees, indemnifications, reimbursements (including, if applicable, reimbursement obligations with respect to any letters of credit and bankers’ acceptance), damages and other liabilities payable under the documentation governing any Indebtedness.</w:t>
      </w:r>
    </w:p>
    <w:p>
      <w:pPr>
        <w:spacing w:after="0" w:line="168" w:lineRule="exact"/>
        <w:rPr>
          <w:sz w:val="20"/>
          <w:szCs w:val="20"/>
          <w:color w:val="auto"/>
        </w:rPr>
      </w:pPr>
    </w:p>
    <w:p>
      <w:pPr>
        <w:jc w:val="both"/>
        <w:ind w:right="20" w:firstLine="129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First Lien Obligations</w:t>
      </w:r>
      <w:r>
        <w:rPr>
          <w:rFonts w:ascii="Times New Roman" w:cs="Times New Roman" w:eastAsia="Times New Roman" w:hAnsi="Times New Roman"/>
          <w:sz w:val="22"/>
          <w:szCs w:val="22"/>
          <w:color w:val="auto"/>
        </w:rPr>
        <w:t>” means all obligations of the Company and the other Pledgors (other than the First Lien Facility Obligations) to pay principal, premium (if any), interest (including interest, fees and other amounts accruing after the commencement of any Insolvency or Liquidation Proceeding, regardless of whether or not allowed or allowable in such proceeding), penalties, fees, indemnifications, reimbursements (including reimbursement obligations with respect to any letters of credit and bankers’ acceptance), damages and other liabilities payable under or in connection with the applicable Other First Lien Obligations Documents, in each case, (x) that are designated by the Company as Other First Lien Obligations pursuant to Section 4.13 and (y) the Representative with respect to which has duly executed and delivered an applicable Consent and Acknowledgment.</w:t>
      </w:r>
    </w:p>
    <w:p>
      <w:pPr>
        <w:spacing w:after="0" w:line="195" w:lineRule="exact"/>
        <w:rPr>
          <w:sz w:val="20"/>
          <w:szCs w:val="20"/>
          <w:color w:val="auto"/>
        </w:rPr>
      </w:pPr>
    </w:p>
    <w:p>
      <w:pPr>
        <w:jc w:val="both"/>
        <w:ind w:left="20" w:firstLine="1283"/>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First Lien Obligations Agent</w:t>
      </w:r>
      <w:r>
        <w:rPr>
          <w:rFonts w:ascii="Times New Roman" w:cs="Times New Roman" w:eastAsia="Times New Roman" w:hAnsi="Times New Roman"/>
          <w:sz w:val="22"/>
          <w:szCs w:val="22"/>
          <w:color w:val="auto"/>
        </w:rPr>
        <w:t>” means, with respect to any Series of Other First Lien Obligations or any separate facility within such Series, the person elected, designated or appointed as the administrative agent and/or collateral agent, trustee or similar representative of such Series or such separate facility within such Series by or on behalf of the holders of such Series of Other First Lien Obligations or such separate facility within such Series, and its respective successors in substantially the same capacity as may from time to time be appointed.</w:t>
      </w:r>
    </w:p>
    <w:p>
      <w:pPr>
        <w:spacing w:after="0" w:line="160" w:lineRule="exact"/>
        <w:rPr>
          <w:sz w:val="20"/>
          <w:szCs w:val="20"/>
          <w:color w:val="auto"/>
        </w:rPr>
      </w:pPr>
    </w:p>
    <w:p>
      <w:pPr>
        <w:jc w:val="both"/>
        <w:ind w:left="20" w:firstLine="129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First Lien Obligations Collateral Documents</w:t>
      </w:r>
      <w:r>
        <w:rPr>
          <w:rFonts w:ascii="Times New Roman" w:cs="Times New Roman" w:eastAsia="Times New Roman" w:hAnsi="Times New Roman"/>
          <w:sz w:val="22"/>
          <w:szCs w:val="22"/>
          <w:color w:val="auto"/>
        </w:rPr>
        <w:t>” means, collectively, the security agreements (if different from the First Lien Facility Collateral Agreements) or any other documents now existing or entered into after the date hereof that create Liens on any assets or properties of any Pledgor to secure any Other First Lien Obligations.</w:t>
      </w:r>
    </w:p>
    <w:p>
      <w:pPr>
        <w:spacing w:after="0" w:line="167" w:lineRule="exact"/>
        <w:rPr>
          <w:sz w:val="20"/>
          <w:szCs w:val="20"/>
          <w:color w:val="auto"/>
        </w:rPr>
      </w:pPr>
    </w:p>
    <w:p>
      <w:pPr>
        <w:jc w:val="both"/>
        <w:ind w:left="20" w:firstLine="129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First Lien Obligations Credit Document</w:t>
      </w:r>
      <w:r>
        <w:rPr>
          <w:rFonts w:ascii="Times New Roman" w:cs="Times New Roman" w:eastAsia="Times New Roman" w:hAnsi="Times New Roman"/>
          <w:sz w:val="22"/>
          <w:szCs w:val="22"/>
          <w:color w:val="auto"/>
        </w:rPr>
        <w:t>” means any (a) instruments, agreements or documents evidencing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and/or other forms of debt</w:t>
      </w:r>
    </w:p>
    <w:p>
      <w:pPr>
        <w:sectPr>
          <w:pgSz w:w="11900" w:h="16838" w:orient="portrait"/>
          <w:cols w:equalWidth="0" w:num="1">
            <w:col w:w="10780"/>
          </w:cols>
          <w:pgMar w:left="580" w:top="1404" w:right="539" w:bottom="1440" w:gutter="0" w:footer="0" w:header="0"/>
        </w:sectPr>
      </w:pPr>
    </w:p>
    <w:bookmarkStart w:id="293" w:name="page294"/>
    <w:bookmarkEnd w:id="293"/>
    <w:p>
      <w:pPr>
        <w:spacing w:after="0" w:line="131"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22"/>
          <w:szCs w:val="22"/>
          <w:color w:val="auto"/>
        </w:rPr>
        <w:t>financing (including convertible or exchangeable debt instruments or bank guarantees or bankers’ acceptances) or (c) instruments or agreements evidencing any other Indebtedness, in each case of the foregoing clauses to the extent that the obligations in respect thereof constitute Other First Lien Obligations.</w:t>
      </w:r>
    </w:p>
    <w:p>
      <w:pPr>
        <w:spacing w:after="0" w:line="177" w:lineRule="exact"/>
        <w:rPr>
          <w:sz w:val="20"/>
          <w:szCs w:val="20"/>
          <w:color w:val="auto"/>
        </w:rPr>
      </w:pPr>
    </w:p>
    <w:p>
      <w:pPr>
        <w:jc w:val="both"/>
        <w:ind w:right="2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First Lien Obligations Documents</w:t>
      </w:r>
      <w:r>
        <w:rPr>
          <w:rFonts w:ascii="Times New Roman" w:cs="Times New Roman" w:eastAsia="Times New Roman" w:hAnsi="Times New Roman"/>
          <w:sz w:val="22"/>
          <w:szCs w:val="22"/>
          <w:color w:val="auto"/>
        </w:rPr>
        <w:t>” means, collectively, the Other First Lien Obligations Credit Documents and the Other First Lien Obligations Collateral Documents related thereto.</w:t>
      </w:r>
    </w:p>
    <w:p>
      <w:pPr>
        <w:spacing w:after="0" w:line="136" w:lineRule="exact"/>
        <w:rPr>
          <w:sz w:val="20"/>
          <w:szCs w:val="20"/>
          <w:color w:val="auto"/>
        </w:rPr>
      </w:pPr>
    </w:p>
    <w:p>
      <w:pPr>
        <w:jc w:val="both"/>
        <w:ind w:firstLine="129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First Lien Obligations Secured Parties</w:t>
      </w:r>
      <w:r>
        <w:rPr>
          <w:rFonts w:ascii="Times New Roman" w:cs="Times New Roman" w:eastAsia="Times New Roman" w:hAnsi="Times New Roman"/>
          <w:sz w:val="22"/>
          <w:szCs w:val="22"/>
          <w:color w:val="auto"/>
        </w:rPr>
        <w:t>” means, collectively, the persons holding any Other First Lien Obligations who have, directly or indirectly through their respective Other First Lien Obligations Agents, become party to and bound by this Agreement pursuant to a Consent and Acknowledgment in accordance with the provisions of Section 4.13 hereof.</w:t>
      </w:r>
    </w:p>
    <w:p>
      <w:pPr>
        <w:spacing w:after="0" w:line="179" w:lineRule="exact"/>
        <w:rPr>
          <w:sz w:val="20"/>
          <w:szCs w:val="20"/>
          <w:color w:val="auto"/>
        </w:rPr>
      </w:pPr>
    </w:p>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Second Lien Obligations</w:t>
      </w:r>
      <w:r>
        <w:rPr>
          <w:rFonts w:ascii="Times New Roman" w:cs="Times New Roman" w:eastAsia="Times New Roman" w:hAnsi="Times New Roman"/>
          <w:sz w:val="22"/>
          <w:szCs w:val="22"/>
          <w:color w:val="auto"/>
        </w:rPr>
        <w:t>” means all obligations of the Company and the other Pledgors (other than the Second Lien Facility Obligations) to pay principal, premium (if any), interest (including interest, fees and other amounts accruing after the commencement of any Insolvency or Liquidation Proceeding, regardless of whether or not allowed or allowable in such proceeding), penalties, fees, indemnifications, reimbursements, damages and other liabilities payable under or in connection with the applicable Other Second Lien Obligations Documents, in each case, (x) that are designated by the Company as Other Second Lien Obligations pursuant to Section 4.13 and (y) the Representative with respect to which has duly executed and delivered an applicable Consent and Acknowledgment.</w:t>
      </w:r>
    </w:p>
    <w:p>
      <w:pPr>
        <w:spacing w:after="0" w:line="180" w:lineRule="exact"/>
        <w:rPr>
          <w:sz w:val="20"/>
          <w:szCs w:val="20"/>
          <w:color w:val="auto"/>
        </w:rPr>
      </w:pPr>
    </w:p>
    <w:p>
      <w:pPr>
        <w:jc w:val="both"/>
        <w:ind w:right="20" w:firstLine="129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Second Lien Obligations Agent</w:t>
      </w:r>
      <w:r>
        <w:rPr>
          <w:rFonts w:ascii="Times New Roman" w:cs="Times New Roman" w:eastAsia="Times New Roman" w:hAnsi="Times New Roman"/>
          <w:sz w:val="22"/>
          <w:szCs w:val="22"/>
          <w:color w:val="auto"/>
        </w:rPr>
        <w:t>” shall mean, with respect to any Series of Other Second Lien Obligations or any separate facility within such Series, the person elected, designated or appointed as the administrative agent and/or collateral agent, trustee or similar representative of such Series or such separate facility within such Series by or on behalf of the holders of such Series of Other Second Lien Obligations or such separate facility within such Series, and its respective successors in substantially the same capacity as may from time to time be appointed.</w:t>
      </w:r>
    </w:p>
    <w:p>
      <w:pPr>
        <w:spacing w:after="0" w:line="146" w:lineRule="exact"/>
        <w:rPr>
          <w:sz w:val="20"/>
          <w:szCs w:val="20"/>
          <w:color w:val="auto"/>
        </w:rPr>
      </w:pPr>
    </w:p>
    <w:p>
      <w:pPr>
        <w:jc w:val="both"/>
        <w:ind w:left="20" w:firstLine="129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Second Lien Obligations Collateral Documents</w:t>
      </w:r>
      <w:r>
        <w:rPr>
          <w:rFonts w:ascii="Times New Roman" w:cs="Times New Roman" w:eastAsia="Times New Roman" w:hAnsi="Times New Roman"/>
          <w:sz w:val="22"/>
          <w:szCs w:val="22"/>
          <w:color w:val="auto"/>
        </w:rPr>
        <w:t>” means, collectively, the security agreements (if different from the Second Lien Facility Collateral Agreement) or any other documents now existing or entered into after the date hereof that create Liens on any assets or properties of any Pledgor to secure any Other Second Lien Obligations.</w:t>
      </w:r>
    </w:p>
    <w:p>
      <w:pPr>
        <w:spacing w:after="0" w:line="180" w:lineRule="exact"/>
        <w:rPr>
          <w:sz w:val="20"/>
          <w:szCs w:val="20"/>
          <w:color w:val="auto"/>
        </w:rPr>
      </w:pPr>
    </w:p>
    <w:p>
      <w:pPr>
        <w:jc w:val="both"/>
        <w:ind w:left="20" w:firstLine="1283"/>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Second Lien Obligations Credit Document</w:t>
      </w:r>
      <w:r>
        <w:rPr>
          <w:rFonts w:ascii="Times New Roman" w:cs="Times New Roman" w:eastAsia="Times New Roman" w:hAnsi="Times New Roman"/>
          <w:sz w:val="22"/>
          <w:szCs w:val="22"/>
          <w:color w:val="auto"/>
        </w:rPr>
        <w:t>” means any (a) instruments, agreements or documents evidencing debt facilities or commercial paper facilities, providing for revolving credit loans or term loans, (b) debt securities, indentures and/or other forms of debt financing (including convertible or exchangeable debt instruments) or (c) instruments or agreements evidencing any other Indebtedness, in each case of the foregoing clauses to the extent that the obligations in respect thereof constitute Other Second Lien Obligations.</w:t>
      </w:r>
    </w:p>
    <w:p>
      <w:pPr>
        <w:spacing w:after="0" w:line="173" w:lineRule="exact"/>
        <w:rPr>
          <w:sz w:val="20"/>
          <w:szCs w:val="20"/>
          <w:color w:val="auto"/>
        </w:rPr>
      </w:pPr>
    </w:p>
    <w:p>
      <w:pPr>
        <w:jc w:val="both"/>
        <w:ind w:left="20" w:right="20" w:firstLine="128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Second Lien Obligations Documents</w:t>
      </w:r>
      <w:r>
        <w:rPr>
          <w:rFonts w:ascii="Times New Roman" w:cs="Times New Roman" w:eastAsia="Times New Roman" w:hAnsi="Times New Roman"/>
          <w:sz w:val="22"/>
          <w:szCs w:val="22"/>
          <w:color w:val="auto"/>
        </w:rPr>
        <w:t>” means, collectively, the Other Second Lien Obligations Credit Documents and the Other Second Lien Obligations Collateral Documents related thereto.</w:t>
      </w:r>
    </w:p>
    <w:p>
      <w:pPr>
        <w:sectPr>
          <w:pgSz w:w="11900" w:h="16838" w:orient="portrait"/>
          <w:cols w:equalWidth="0" w:num="1">
            <w:col w:w="10780"/>
          </w:cols>
          <w:pgMar w:left="580" w:top="1440" w:right="539" w:bottom="1440" w:gutter="0" w:footer="0" w:header="0"/>
        </w:sectPr>
      </w:pPr>
    </w:p>
    <w:bookmarkStart w:id="294" w:name="page295"/>
    <w:bookmarkEnd w:id="294"/>
    <w:p>
      <w:pPr>
        <w:spacing w:after="0" w:line="127" w:lineRule="exact"/>
        <w:rPr>
          <w:sz w:val="20"/>
          <w:szCs w:val="20"/>
          <w:color w:val="auto"/>
        </w:rPr>
      </w:pPr>
    </w:p>
    <w:p>
      <w:pPr>
        <w:jc w:val="both"/>
        <w:ind w:firstLine="129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Second Lien Obligations Secured Parties</w:t>
      </w:r>
      <w:r>
        <w:rPr>
          <w:rFonts w:ascii="Times New Roman" w:cs="Times New Roman" w:eastAsia="Times New Roman" w:hAnsi="Times New Roman"/>
          <w:sz w:val="22"/>
          <w:szCs w:val="22"/>
          <w:color w:val="auto"/>
        </w:rPr>
        <w:t>” means, collectively, the persons holding any Other Second Lien Obligations who have, directly or indirectly through their respective Other Second Lien Obligations Agents, become party to and bound by this Agreement pursuant to a Consent and Acknowledgment in accordance with the provisions of Section 4.13 hereof.</w:t>
      </w: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Remedies</w:t>
      </w:r>
      <w:r>
        <w:rPr>
          <w:rFonts w:ascii="Times New Roman" w:cs="Times New Roman" w:eastAsia="Times New Roman" w:hAnsi="Times New Roman"/>
          <w:sz w:val="22"/>
          <w:szCs w:val="22"/>
          <w:color w:val="auto"/>
        </w:rPr>
        <w:t>” means, with respect to any Junior Secured Obligations:</w:t>
      </w:r>
    </w:p>
    <w:p>
      <w:pPr>
        <w:spacing w:after="0" w:line="210" w:lineRule="exact"/>
        <w:rPr>
          <w:sz w:val="20"/>
          <w:szCs w:val="20"/>
          <w:color w:val="auto"/>
        </w:rPr>
      </w:pPr>
    </w:p>
    <w:p>
      <w:pPr>
        <w:ind w:left="140" w:right="20" w:firstLine="1298"/>
        <w:spacing w:after="0" w:line="271" w:lineRule="auto"/>
        <w:tabs>
          <w:tab w:leader="none" w:pos="2312"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filing a claim or statement of interest with respect to such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 Insolvency or Liquidation Proceeding has been commenced by or against any Pledgor;</w:t>
      </w:r>
    </w:p>
    <w:p>
      <w:pPr>
        <w:spacing w:after="0" w:line="171" w:lineRule="exact"/>
        <w:rPr>
          <w:rFonts w:ascii="Times New Roman" w:cs="Times New Roman" w:eastAsia="Times New Roman" w:hAnsi="Times New Roman"/>
          <w:sz w:val="22"/>
          <w:szCs w:val="22"/>
          <w:color w:val="auto"/>
        </w:rPr>
      </w:pPr>
    </w:p>
    <w:p>
      <w:pPr>
        <w:jc w:val="both"/>
        <w:ind w:left="140" w:firstLine="1298"/>
        <w:spacing w:after="0" w:line="252" w:lineRule="auto"/>
        <w:tabs>
          <w:tab w:leader="none" w:pos="2311"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action (not adverse to the Liens securing any Senior Secured Obligations, the priority status thereof, or the rights of the Applicable Senior Representative or any of the Senior Secured Obligations Secured Parties to exercise rights, powers and/or remedies in respect thereof) in order to create, perfect, preserve or protect (but not enforce) its Lien on any of the Collateral;</w:t>
      </w:r>
    </w:p>
    <w:p>
      <w:pPr>
        <w:spacing w:after="0" w:line="179" w:lineRule="exact"/>
        <w:rPr>
          <w:rFonts w:ascii="Times New Roman" w:cs="Times New Roman" w:eastAsia="Times New Roman" w:hAnsi="Times New Roman"/>
          <w:sz w:val="22"/>
          <w:szCs w:val="22"/>
          <w:color w:val="auto"/>
        </w:rPr>
      </w:pPr>
    </w:p>
    <w:p>
      <w:pPr>
        <w:jc w:val="both"/>
        <w:ind w:left="140" w:right="20" w:firstLine="1298"/>
        <w:spacing w:after="0" w:line="256" w:lineRule="auto"/>
        <w:tabs>
          <w:tab w:leader="none" w:pos="2312"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any necessary or appropriate responsive or defensive pleadings in opposition to any motion, claim, adversary proceeding or other pleading made by any person objecting to or otherwise seeking the disallowance of the claims or Liens of the Junior Secured Obligations Secured Parties, including any claims secured by the Junior Secured Obligations Collateral, in each case in accordance with the terms of this Agreement;</w:t>
      </w:r>
    </w:p>
    <w:p>
      <w:pPr>
        <w:spacing w:after="0" w:line="176" w:lineRule="exact"/>
        <w:rPr>
          <w:rFonts w:ascii="Times New Roman" w:cs="Times New Roman" w:eastAsia="Times New Roman" w:hAnsi="Times New Roman"/>
          <w:sz w:val="22"/>
          <w:szCs w:val="22"/>
          <w:color w:val="auto"/>
        </w:rPr>
      </w:pPr>
    </w:p>
    <w:p>
      <w:pPr>
        <w:jc w:val="both"/>
        <w:ind w:left="140" w:right="20" w:firstLine="1298"/>
        <w:spacing w:after="0" w:line="256" w:lineRule="auto"/>
        <w:tabs>
          <w:tab w:leader="none" w:pos="2311"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any pleadings, objections, motions or agreements which assert rights or interests available to unsecured creditors of the Pledgors arising under either any Insolvency or Liquidation Proceeding or applicable non-Bankruptcy Law, in each case not inconsistent with the terms of this Agreement or applicable law (including the Bankruptcy Laws of any applicable jurisdiction);</w:t>
      </w:r>
    </w:p>
    <w:p>
      <w:pPr>
        <w:spacing w:after="0" w:line="162" w:lineRule="exact"/>
        <w:rPr>
          <w:rFonts w:ascii="Times New Roman" w:cs="Times New Roman" w:eastAsia="Times New Roman" w:hAnsi="Times New Roman"/>
          <w:sz w:val="22"/>
          <w:szCs w:val="22"/>
          <w:color w:val="auto"/>
        </w:rPr>
      </w:pPr>
    </w:p>
    <w:p>
      <w:pPr>
        <w:jc w:val="both"/>
        <w:ind w:left="140" w:firstLine="1298"/>
        <w:spacing w:after="0" w:line="268" w:lineRule="auto"/>
        <w:tabs>
          <w:tab w:leader="none" w:pos="2312"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voting on any Plan of Reorganization, filing any proof of claim, making other filings and making any arguments, obligations, and motions (including in support of or opposition to, as applicable, the confirmation or approval of any Plan of Reorganization) that are, in each case, in accordance with the terms of this Agreement; and</w:t>
      </w:r>
    </w:p>
    <w:p>
      <w:pPr>
        <w:spacing w:after="0" w:line="163" w:lineRule="exact"/>
        <w:rPr>
          <w:sz w:val="20"/>
          <w:szCs w:val="20"/>
          <w:color w:val="auto"/>
        </w:rPr>
      </w:pPr>
    </w:p>
    <w:p>
      <w:pPr>
        <w:ind w:left="160" w:firstLine="1298"/>
        <w:spacing w:after="0" w:line="282" w:lineRule="auto"/>
        <w:rPr>
          <w:sz w:val="20"/>
          <w:szCs w:val="20"/>
          <w:color w:val="auto"/>
        </w:rPr>
      </w:pPr>
      <w:r>
        <w:rPr>
          <w:rFonts w:ascii="Times New Roman" w:cs="Times New Roman" w:eastAsia="Times New Roman" w:hAnsi="Times New Roman"/>
          <w:sz w:val="21"/>
          <w:szCs w:val="21"/>
          <w:color w:val="auto"/>
        </w:rPr>
        <w:t>(f)with respect to the ABL Representative only, the exercise of rights and/or remedies under any account control agreement during a [“Cash Dominion Period”] (or comparable terms) as defined in the ABL Facility Agreement.</w:t>
      </w:r>
    </w:p>
    <w:p>
      <w:pPr>
        <w:spacing w:after="0" w:line="158" w:lineRule="exact"/>
        <w:rPr>
          <w:sz w:val="20"/>
          <w:szCs w:val="20"/>
          <w:color w:val="auto"/>
        </w:rPr>
      </w:pPr>
    </w:p>
    <w:p>
      <w:pPr>
        <w:ind w:right="20" w:firstLine="1283"/>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 of Reorganization</w:t>
      </w:r>
      <w:r>
        <w:rPr>
          <w:rFonts w:ascii="Times New Roman" w:cs="Times New Roman" w:eastAsia="Times New Roman" w:hAnsi="Times New Roman"/>
          <w:sz w:val="21"/>
          <w:szCs w:val="21"/>
          <w:color w:val="auto"/>
        </w:rPr>
        <w:t>” means any plan of reorganization, plan of liquidation, agreement for composition, or other type of plan of arrangement proposed in or in connection with any Insolvency or Liquidation Proceeding.</w:t>
      </w:r>
    </w:p>
    <w:p>
      <w:pPr>
        <w:spacing w:after="0" w:line="140" w:lineRule="exact"/>
        <w:rPr>
          <w:sz w:val="20"/>
          <w:szCs w:val="20"/>
          <w:color w:val="auto"/>
        </w:rPr>
      </w:pPr>
    </w:p>
    <w:p>
      <w:pPr>
        <w:jc w:val="both"/>
        <w:ind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Pledged Collateral</w:t>
      </w:r>
      <w:r>
        <w:rPr>
          <w:rFonts w:ascii="Times New Roman" w:cs="Times New Roman" w:eastAsia="Times New Roman" w:hAnsi="Times New Roman"/>
          <w:sz w:val="22"/>
          <w:szCs w:val="22"/>
          <w:color w:val="auto"/>
        </w:rPr>
        <w:t>” means the Shared Collateral in the possession or control of any Representative (or its agents or bailees), to the extent that possession or control thereof perfects a Lien thereon under the Uniform Commercial Code of any jurisdiction.</w:t>
      </w:r>
    </w:p>
    <w:p>
      <w:pPr>
        <w:spacing w:after="0" w:line="162" w:lineRule="exact"/>
        <w:rPr>
          <w:sz w:val="20"/>
          <w:szCs w:val="20"/>
          <w:color w:val="auto"/>
        </w:rPr>
      </w:pPr>
    </w:p>
    <w:p>
      <w:pPr>
        <w:ind w:right="4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Pledged Collateral Agent</w:t>
      </w:r>
      <w:r>
        <w:rPr>
          <w:rFonts w:ascii="Times New Roman" w:cs="Times New Roman" w:eastAsia="Times New Roman" w:hAnsi="Times New Roman"/>
          <w:sz w:val="22"/>
          <w:szCs w:val="22"/>
          <w:color w:val="auto"/>
        </w:rPr>
        <w:t>” means, with respect to any Pledged Collateral, the Representative having possession or control (including through its agents or bailees) thereof.</w:t>
      </w:r>
    </w:p>
    <w:p>
      <w:pPr>
        <w:sectPr>
          <w:pgSz w:w="11900" w:h="16838" w:orient="portrait"/>
          <w:cols w:equalWidth="0" w:num="1">
            <w:col w:w="10760"/>
          </w:cols>
          <w:pgMar w:left="600" w:top="1440" w:right="539" w:bottom="1440" w:gutter="0" w:footer="0" w:header="0"/>
        </w:sectPr>
      </w:pPr>
    </w:p>
    <w:bookmarkStart w:id="295" w:name="page296"/>
    <w:bookmarkEnd w:id="295"/>
    <w:p>
      <w:pPr>
        <w:jc w:val="both"/>
        <w:ind w:right="2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Pledgors</w:t>
      </w:r>
      <w:r>
        <w:rPr>
          <w:rFonts w:ascii="Times New Roman" w:cs="Times New Roman" w:eastAsia="Times New Roman" w:hAnsi="Times New Roman"/>
          <w:sz w:val="22"/>
          <w:szCs w:val="22"/>
          <w:color w:val="auto"/>
        </w:rPr>
        <w:t>” means Holdings, the Company and each of its subsidiaries that shall have granted any Lien in favor of any Representative on any of its assets or properties to secure any of the Secured Obligations.</w:t>
      </w:r>
    </w:p>
    <w:p>
      <w:pPr>
        <w:spacing w:after="0" w:line="149" w:lineRule="exact"/>
        <w:rPr>
          <w:sz w:val="20"/>
          <w:szCs w:val="20"/>
          <w:color w:val="auto"/>
        </w:rPr>
      </w:pPr>
    </w:p>
    <w:p>
      <w:pPr>
        <w:jc w:val="both"/>
        <w:ind w:left="20" w:firstLine="1283"/>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Post-Petition Claims</w:t>
      </w:r>
      <w:r>
        <w:rPr>
          <w:rFonts w:ascii="Times New Roman" w:cs="Times New Roman" w:eastAsia="Times New Roman" w:hAnsi="Times New Roman"/>
          <w:sz w:val="22"/>
          <w:szCs w:val="22"/>
          <w:color w:val="auto"/>
        </w:rPr>
        <w:t>” means, collectively, interest, fees, costs, expenses and other charges that pursuant to any ABL Obligations Document, any First Lien Obligations Document or any Second Lien Obligations Document continue to accrue after the commencement of an Insolvency or Liquidation Proceeding.</w:t>
      </w:r>
    </w:p>
    <w:p>
      <w:pPr>
        <w:spacing w:after="0" w:line="3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Recovery</w:t>
      </w:r>
      <w:r>
        <w:rPr>
          <w:rFonts w:ascii="Times New Roman" w:cs="Times New Roman" w:eastAsia="Times New Roman" w:hAnsi="Times New Roman"/>
          <w:sz w:val="22"/>
          <w:szCs w:val="22"/>
          <w:color w:val="auto"/>
        </w:rPr>
        <w:t>” has the meaning assigned to such term in Section 2.5(c).</w:t>
      </w:r>
    </w:p>
    <w:p>
      <w:pPr>
        <w:spacing w:after="0" w:line="193" w:lineRule="exact"/>
        <w:rPr>
          <w:sz w:val="20"/>
          <w:szCs w:val="20"/>
          <w:color w:val="auto"/>
        </w:rPr>
      </w:pPr>
    </w:p>
    <w:p>
      <w:pPr>
        <w:jc w:val="both"/>
        <w:ind w:left="20" w:firstLine="129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Refinance</w:t>
      </w:r>
      <w:r>
        <w:rPr>
          <w:rFonts w:ascii="Times New Roman" w:cs="Times New Roman" w:eastAsia="Times New Roman" w:hAnsi="Times New Roman"/>
          <w:sz w:val="22"/>
          <w:szCs w:val="22"/>
          <w:color w:val="auto"/>
        </w:rPr>
        <w:t>” means, in respect of any Indebtedness, to amend, restate, supplement, waive, replace (whether or not upon termination, and whether with the original parties or otherwise), restructure, repay, refund, refinance or otherwise modify from time to time (including by means of any agreement or indenture extending the maturity thereof, refinancing, replacing or otherwise restructuring all or any portion of the obligations under such agreement or agreements or indenture or indentures or any successor or replacement agreement or agreements or indenture or indentures or increasing the amount loaned or issued thereunder or altering the maturity thereof). “</w:t>
      </w:r>
      <w:r>
        <w:rPr>
          <w:rFonts w:ascii="Times New Roman" w:cs="Times New Roman" w:eastAsia="Times New Roman" w:hAnsi="Times New Roman"/>
          <w:sz w:val="22"/>
          <w:szCs w:val="22"/>
          <w:b w:val="1"/>
          <w:bCs w:val="1"/>
          <w:color w:val="auto"/>
        </w:rPr>
        <w:t>Refinanced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Refinancing</w:t>
      </w:r>
      <w:r>
        <w:rPr>
          <w:rFonts w:ascii="Times New Roman" w:cs="Times New Roman" w:eastAsia="Times New Roman" w:hAnsi="Times New Roman"/>
          <w:sz w:val="22"/>
          <w:szCs w:val="22"/>
          <w:color w:val="auto"/>
        </w:rPr>
        <w:t>” have correlative meanings</w:t>
      </w:r>
      <w:r>
        <w:rPr>
          <w:rFonts w:ascii="Arial" w:cs="Arial" w:eastAsia="Arial" w:hAnsi="Arial"/>
          <w:sz w:val="22"/>
          <w:szCs w:val="22"/>
          <w:color w:val="auto"/>
        </w:rPr>
        <w:t>.</w:t>
      </w:r>
    </w:p>
    <w:p>
      <w:pPr>
        <w:spacing w:after="0" w:line="197" w:lineRule="exact"/>
        <w:rPr>
          <w:sz w:val="20"/>
          <w:szCs w:val="20"/>
          <w:color w:val="auto"/>
        </w:rPr>
      </w:pPr>
    </w:p>
    <w:p>
      <w:pPr>
        <w:jc w:val="both"/>
        <w:ind w:left="20" w:firstLine="129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means, (a) in respect of the ABL Obligations or the ABL Obligations Secured Parties, the ABL Representative, (b) in respect of the First Lien Facility Obligations or the First Lien Facility Obligations Secured Parties under (x) the Credit Agreement (as defined in the First Lien Pari Passu Intercreditor Agreement), the Credit Agreement Collateral Agent (as defined in the First Lien Pari Passu Intercreditor Agreement), and (y) the Initial Additional First Lien Agreement (as defined in the First Lien Pari Passu Intercreditor Agreement), the Initial Additional First Lien Collateral Agent (as defined in the First Lien Pari Passu Intercreditor Agreement),(c) in respect of the Second Lien Facility Obligations or the Second Lien Facility Obligations Secured Parties, the Second Lien Collateral Agent, (d) in respect of any Series of Other First Lien Obligations or the relevant Other First Lien Obligations Secured Parties, the Other First Lien Obligations Agent of such Series and (e) in respect of any Series of Other Second Lien Obligations or the relevant Other Second Lien Obligations Secured Parties, the Other Second Lien Obligations Agent of such Series.</w:t>
      </w:r>
    </w:p>
    <w:p>
      <w:pPr>
        <w:spacing w:after="0" w:line="183" w:lineRule="exact"/>
        <w:rPr>
          <w:sz w:val="20"/>
          <w:szCs w:val="20"/>
          <w:color w:val="auto"/>
        </w:rPr>
      </w:pPr>
    </w:p>
    <w:p>
      <w:pPr>
        <w:jc w:val="both"/>
        <w:ind w:left="20" w:firstLine="1283"/>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Collateral Agent</w:t>
      </w:r>
      <w:r>
        <w:rPr>
          <w:rFonts w:ascii="Times New Roman" w:cs="Times New Roman" w:eastAsia="Times New Roman" w:hAnsi="Times New Roman"/>
          <w:sz w:val="22"/>
          <w:szCs w:val="22"/>
          <w:color w:val="auto"/>
        </w:rPr>
        <w:t>” means the collateral agent for the secured parties under the Second Lien [Credit Agreement][Indenture], together with its successors or co-agents in substantially the same capacity as may from time to time be appointed pursuant to the Second Lien [Credit Agreement][Indenture]. [As of the date hereof, [ ] shall be the Second Lien Collateral Agent.]</w:t>
      </w:r>
    </w:p>
    <w:p>
      <w:pPr>
        <w:spacing w:after="0" w:line="189" w:lineRule="exact"/>
        <w:rPr>
          <w:sz w:val="20"/>
          <w:szCs w:val="20"/>
          <w:color w:val="auto"/>
        </w:rPr>
      </w:pPr>
    </w:p>
    <w:p>
      <w:pPr>
        <w:jc w:val="both"/>
        <w:ind w:left="20" w:right="20" w:firstLine="1283"/>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[Credit Agreement][Indenture]</w:t>
      </w:r>
      <w:r>
        <w:rPr>
          <w:rFonts w:ascii="Times New Roman" w:cs="Times New Roman" w:eastAsia="Times New Roman" w:hAnsi="Times New Roman"/>
          <w:sz w:val="22"/>
          <w:szCs w:val="22"/>
          <w:color w:val="auto"/>
        </w:rPr>
        <w:t>” means that certain Second Lien [Credit Agreement] [Indenture], dated as of [mm] [dd], [yyyy], among the Company, Holdings, the guarantors identified therein and [ ], as [administrative agent][trustee] and as Second Lien Collateral Agent, as amended, restated, supplemented, replaced (whether or not upon termination, and whether with the original holders or otherwise), restructured, refinanced, extended or otherwise modified from time to time, including any agreement or indenture extending the maturity thereof, refinancing, replacing or otherwise restructuring all or any portion of the Indebtedness under such agreement or agreements or indenture or indentures or</w:t>
      </w:r>
    </w:p>
    <w:p>
      <w:pPr>
        <w:sectPr>
          <w:pgSz w:w="11900" w:h="16838" w:orient="portrait"/>
          <w:cols w:equalWidth="0" w:num="1">
            <w:col w:w="10780"/>
          </w:cols>
          <w:pgMar w:left="580" w:top="1404" w:right="539" w:bottom="1440" w:gutter="0" w:footer="0" w:header="0"/>
        </w:sectPr>
      </w:pPr>
    </w:p>
    <w:bookmarkStart w:id="296" w:name="page297"/>
    <w:bookmarkEnd w:id="296"/>
    <w:p>
      <w:pPr>
        <w:spacing w:after="0" w:line="158" w:lineRule="exact"/>
        <w:rPr>
          <w:sz w:val="20"/>
          <w:szCs w:val="20"/>
          <w:color w:val="auto"/>
        </w:rPr>
      </w:pPr>
    </w:p>
    <w:p>
      <w:pPr>
        <w:jc w:val="both"/>
        <w:ind w:left="4" w:right="20"/>
        <w:spacing w:after="0" w:line="271" w:lineRule="auto"/>
        <w:rPr>
          <w:sz w:val="20"/>
          <w:szCs w:val="20"/>
          <w:color w:val="auto"/>
        </w:rPr>
      </w:pPr>
      <w:r>
        <w:rPr>
          <w:rFonts w:ascii="Times New Roman" w:cs="Times New Roman" w:eastAsia="Times New Roman" w:hAnsi="Times New Roman"/>
          <w:sz w:val="22"/>
          <w:szCs w:val="22"/>
          <w:color w:val="auto"/>
        </w:rPr>
        <w:t>any successor or replacement agreement or agreements or indenture or indentures or increasing the amount loaned or issued thereunder or altering the maturity thereof.</w:t>
      </w:r>
    </w:p>
    <w:p>
      <w:pPr>
        <w:spacing w:after="0" w:line="167" w:lineRule="exact"/>
        <w:rPr>
          <w:sz w:val="20"/>
          <w:szCs w:val="20"/>
          <w:color w:val="auto"/>
        </w:rPr>
      </w:pPr>
    </w:p>
    <w:p>
      <w:pPr>
        <w:jc w:val="both"/>
        <w:ind w:left="4" w:firstLine="1283"/>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Lien Facility</w:t>
      </w:r>
      <w:r>
        <w:rPr>
          <w:rFonts w:ascii="Times New Roman" w:cs="Times New Roman" w:eastAsia="Times New Roman" w:hAnsi="Times New Roman"/>
          <w:sz w:val="21"/>
          <w:szCs w:val="21"/>
          <w:color w:val="auto"/>
        </w:rPr>
        <w:t>” means (i) the Second Lien [Credit Agreement][Indenture], and (ii) when the facility referred to in clause (i) is no longer outstanding, if designated by the Company to be included in the definition of “Second Lien Facility” and subject to the satisfaction of the applicable requirements set forth in Section 4.13, (A) a debt facility or commercial paper facility providing for revolving credit loans, term loans, receivables financing (including through the sale of receivables to lenders or to special purpose entities formed to borrow from lenders against such receivables) or letters of credit, (B) debt securities, indenture or other form of debt financing (including convertible or exchangeable debt instruments or bank guarantees or bankers’ acceptances) or (C)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17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Lien Facility Collateral Agreement</w:t>
      </w:r>
      <w:r>
        <w:rPr>
          <w:rFonts w:ascii="Times New Roman" w:cs="Times New Roman" w:eastAsia="Times New Roman" w:hAnsi="Times New Roman"/>
          <w:sz w:val="21"/>
          <w:szCs w:val="21"/>
          <w:color w:val="auto"/>
        </w:rPr>
        <w:t>” means (a) the Second Lien Collateral Agreement dated as of</w:t>
      </w:r>
    </w:p>
    <w:p>
      <w:pPr>
        <w:spacing w:after="0" w:line="43" w:lineRule="exact"/>
        <w:rPr>
          <w:sz w:val="20"/>
          <w:szCs w:val="20"/>
          <w:color w:val="auto"/>
        </w:rPr>
      </w:pPr>
    </w:p>
    <w:p>
      <w:pPr>
        <w:jc w:val="both"/>
        <w:ind w:left="4" w:right="20" w:hanging="4"/>
        <w:spacing w:after="0" w:line="247" w:lineRule="auto"/>
        <w:tabs>
          <w:tab w:leader="none" w:pos="579"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[dd ], [yyyy], among the Company, each other Pledgor party thereto and the Second Lien Collateral Agent, as amended, restated, supplemented or otherwise modified from time to time, and (b) any other collateral agreement entered into from time to time in respect of any Second Lien Facility described in clause (ii) of the definition thereof and designated by the Company as a “Second Lien Facility Collateral Agreement,” as amended, restated, supplemented or other modified from time to time.</w:t>
      </w:r>
    </w:p>
    <w:p>
      <w:pPr>
        <w:spacing w:after="0" w:line="182" w:lineRule="exact"/>
        <w:rPr>
          <w:sz w:val="20"/>
          <w:szCs w:val="20"/>
          <w:color w:val="auto"/>
        </w:rPr>
      </w:pPr>
    </w:p>
    <w:p>
      <w:pPr>
        <w:jc w:val="both"/>
        <w:ind w:left="4" w:firstLine="129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Facility Collateral Documents</w:t>
      </w:r>
      <w:r>
        <w:rPr>
          <w:rFonts w:ascii="Times New Roman" w:cs="Times New Roman" w:eastAsia="Times New Roman" w:hAnsi="Times New Roman"/>
          <w:sz w:val="22"/>
          <w:szCs w:val="22"/>
          <w:color w:val="auto"/>
        </w:rPr>
        <w:t>” means, collectively, the Second Lien Facility Collateral Agreement, any of the other “Security Documents” (or comparable terms) as defined in the Second Lien Facility Credit Documents, and any other documents now existing or entered into after the date hereof that grant Liens on any assets or properties of any Pledgor to secure any Second Lien Facility Obligations.</w:t>
      </w:r>
    </w:p>
    <w:p>
      <w:pPr>
        <w:spacing w:after="0" w:line="17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Facility Credit Documents</w:t>
      </w:r>
      <w:r>
        <w:rPr>
          <w:rFonts w:ascii="Times New Roman" w:cs="Times New Roman" w:eastAsia="Times New Roman" w:hAnsi="Times New Roman"/>
          <w:sz w:val="22"/>
          <w:szCs w:val="22"/>
          <w:color w:val="auto"/>
        </w:rPr>
        <w:t>” means (i) the Second Lien [Credit Agreement][Indenture] and</w:t>
      </w:r>
    </w:p>
    <w:p>
      <w:pPr>
        <w:spacing w:after="0" w:line="32" w:lineRule="exact"/>
        <w:rPr>
          <w:sz w:val="20"/>
          <w:szCs w:val="20"/>
          <w:color w:val="auto"/>
        </w:rPr>
      </w:pPr>
    </w:p>
    <w:p>
      <w:pPr>
        <w:ind w:left="4" w:right="20" w:hanging="4"/>
        <w:spacing w:after="0" w:line="237" w:lineRule="auto"/>
        <w:tabs>
          <w:tab w:leader="none" w:pos="356"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instrument, agreement or other document evidencing or governing any other Second Lien Facility described in clause (ii) of the definition thereof.</w:t>
      </w:r>
    </w:p>
    <w:p>
      <w:pPr>
        <w:spacing w:after="0" w:line="188" w:lineRule="exact"/>
        <w:rPr>
          <w:sz w:val="20"/>
          <w:szCs w:val="20"/>
          <w:color w:val="auto"/>
        </w:rPr>
      </w:pPr>
    </w:p>
    <w:p>
      <w:pPr>
        <w:jc w:val="both"/>
        <w:ind w:left="4" w:right="2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Facility Documents</w:t>
      </w:r>
      <w:r>
        <w:rPr>
          <w:rFonts w:ascii="Times New Roman" w:cs="Times New Roman" w:eastAsia="Times New Roman" w:hAnsi="Times New Roman"/>
          <w:sz w:val="22"/>
          <w:szCs w:val="22"/>
          <w:color w:val="auto"/>
        </w:rPr>
        <w:t>” means, collectively, the documentation in respect of the Second Lien Facility Obligations, including the Second Lien [Credit Agreement][Indenture], any other Second Lien Facility Credit Document, the Second Lien Facility Collateral Documents and any other “Loan Documents” or comparable terms as defined in the applicable Second Lien Facility</w:t>
      </w:r>
      <w:r>
        <w:rPr>
          <w:rFonts w:ascii="Arial" w:cs="Arial" w:eastAsia="Arial" w:hAnsi="Arial"/>
          <w:sz w:val="22"/>
          <w:szCs w:val="22"/>
          <w:color w:val="auto"/>
        </w:rPr>
        <w:t>.</w:t>
      </w:r>
    </w:p>
    <w:p>
      <w:pPr>
        <w:spacing w:after="0" w:line="180" w:lineRule="exact"/>
        <w:rPr>
          <w:sz w:val="20"/>
          <w:szCs w:val="20"/>
          <w:color w:val="auto"/>
        </w:rPr>
      </w:pPr>
    </w:p>
    <w:p>
      <w:pPr>
        <w:jc w:val="both"/>
        <w:ind w:left="4"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Facility Obligations</w:t>
      </w:r>
      <w:r>
        <w:rPr>
          <w:rFonts w:ascii="Times New Roman" w:cs="Times New Roman" w:eastAsia="Times New Roman" w:hAnsi="Times New Roman"/>
          <w:sz w:val="22"/>
          <w:szCs w:val="22"/>
          <w:color w:val="auto"/>
        </w:rPr>
        <w:t>” means all “Secured Obligations” (as such term is defined in the Second Lien Facility Collateral Agreement), including all obligations of the Company and other obligors outstanding under, and all other obligations in respect of, any Second Lien Facility Documents, to pay principal, premium(if any), interest (including interest, fees and other amounts accruing after the commencement of any Insolvency or Liquidation Proceeding, regardless of whether or not allowed or allowable in such proceeding), penalties, fees, indemnifications, reimbursements, damages and other liabilities payable under or in connection with the Second Lien Facility Documents.</w:t>
      </w:r>
    </w:p>
    <w:p>
      <w:pPr>
        <w:sectPr>
          <w:pgSz w:w="11900" w:h="16838" w:orient="portrait"/>
          <w:cols w:equalWidth="0" w:num="1">
            <w:col w:w="10764"/>
          </w:cols>
          <w:pgMar w:left="596" w:top="1440" w:right="539" w:bottom="1440" w:gutter="0" w:footer="0" w:header="0"/>
        </w:sectPr>
      </w:pPr>
    </w:p>
    <w:bookmarkStart w:id="297" w:name="page298"/>
    <w:bookmarkEnd w:id="297"/>
    <w:p>
      <w:pPr>
        <w:spacing w:after="0" w:line="140" w:lineRule="exact"/>
        <w:rPr>
          <w:sz w:val="20"/>
          <w:szCs w:val="20"/>
          <w:color w:val="auto"/>
        </w:rPr>
      </w:pPr>
    </w:p>
    <w:p>
      <w:pPr>
        <w:jc w:val="both"/>
        <w:ind w:right="2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Facility Obligations Secured Parties</w:t>
      </w:r>
      <w:r>
        <w:rPr>
          <w:rFonts w:ascii="Times New Roman" w:cs="Times New Roman" w:eastAsia="Times New Roman" w:hAnsi="Times New Roman"/>
          <w:sz w:val="22"/>
          <w:szCs w:val="22"/>
          <w:color w:val="auto"/>
        </w:rPr>
        <w:t>” means the persons holding any Second Lien Facility Obligations, including the Second Lien Collateral Agent.</w:t>
      </w:r>
    </w:p>
    <w:p>
      <w:pPr>
        <w:spacing w:after="0" w:line="136" w:lineRule="exact"/>
        <w:rPr>
          <w:sz w:val="20"/>
          <w:szCs w:val="20"/>
          <w:color w:val="auto"/>
        </w:rPr>
      </w:pPr>
    </w:p>
    <w:p>
      <w:pPr>
        <w:jc w:val="both"/>
        <w:ind w:right="4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Obligations</w:t>
      </w:r>
      <w:r>
        <w:rPr>
          <w:rFonts w:ascii="Times New Roman" w:cs="Times New Roman" w:eastAsia="Times New Roman" w:hAnsi="Times New Roman"/>
          <w:sz w:val="22"/>
          <w:szCs w:val="22"/>
          <w:color w:val="auto"/>
        </w:rPr>
        <w:t>” means, collectively, the Second Lien Facility Obligations and the Other Second Lien Obligations, or any of the foregoing.</w:t>
      </w:r>
    </w:p>
    <w:p>
      <w:pPr>
        <w:spacing w:after="0" w:line="163" w:lineRule="exact"/>
        <w:rPr>
          <w:sz w:val="20"/>
          <w:szCs w:val="20"/>
          <w:color w:val="auto"/>
        </w:rPr>
      </w:pPr>
    </w:p>
    <w:p>
      <w:pPr>
        <w:jc w:val="both"/>
        <w:ind w:right="2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Obligations Collateral Documents</w:t>
      </w:r>
      <w:r>
        <w:rPr>
          <w:rFonts w:ascii="Times New Roman" w:cs="Times New Roman" w:eastAsia="Times New Roman" w:hAnsi="Times New Roman"/>
          <w:sz w:val="22"/>
          <w:szCs w:val="22"/>
          <w:color w:val="auto"/>
        </w:rPr>
        <w:t>” means, collectively, the Second Lien Facility Collateral Documents and the Other Second Lien Obligations Collateral Documents.</w:t>
      </w:r>
    </w:p>
    <w:p>
      <w:pPr>
        <w:spacing w:after="0" w:line="163" w:lineRule="exact"/>
        <w:rPr>
          <w:sz w:val="20"/>
          <w:szCs w:val="20"/>
          <w:color w:val="auto"/>
        </w:rPr>
      </w:pPr>
    </w:p>
    <w:p>
      <w:pPr>
        <w:jc w:val="both"/>
        <w:ind w:right="40" w:firstLine="129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Obligations Documents</w:t>
      </w:r>
      <w:r>
        <w:rPr>
          <w:rFonts w:ascii="Times New Roman" w:cs="Times New Roman" w:eastAsia="Times New Roman" w:hAnsi="Times New Roman"/>
          <w:sz w:val="22"/>
          <w:szCs w:val="22"/>
          <w:color w:val="auto"/>
        </w:rPr>
        <w:t>” means, collectively, the Second Lien Facility Documents and the Other Second Lien Obligations Documents.</w:t>
      </w:r>
    </w:p>
    <w:p>
      <w:pPr>
        <w:spacing w:after="0" w:line="149" w:lineRule="exact"/>
        <w:rPr>
          <w:sz w:val="20"/>
          <w:szCs w:val="20"/>
          <w:color w:val="auto"/>
        </w:rPr>
      </w:pPr>
    </w:p>
    <w:p>
      <w:pPr>
        <w:jc w:val="both"/>
        <w:ind w:right="4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Obligations Representative</w:t>
      </w:r>
      <w:r>
        <w:rPr>
          <w:rFonts w:ascii="Times New Roman" w:cs="Times New Roman" w:eastAsia="Times New Roman" w:hAnsi="Times New Roman"/>
          <w:sz w:val="22"/>
          <w:szCs w:val="22"/>
          <w:color w:val="auto"/>
        </w:rPr>
        <w:t>” means each of the Second Lien Collateral Agent and each Other Second Lien Obligations Agent.</w:t>
      </w:r>
    </w:p>
    <w:p>
      <w:pPr>
        <w:spacing w:after="0" w:line="163" w:lineRule="exact"/>
        <w:rPr>
          <w:sz w:val="20"/>
          <w:szCs w:val="20"/>
          <w:color w:val="auto"/>
        </w:rPr>
      </w:pPr>
    </w:p>
    <w:p>
      <w:pPr>
        <w:jc w:val="both"/>
        <w:ind w:right="2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Lien Obligations Secured Parties</w:t>
      </w:r>
      <w:r>
        <w:rPr>
          <w:rFonts w:ascii="Times New Roman" w:cs="Times New Roman" w:eastAsia="Times New Roman" w:hAnsi="Times New Roman"/>
          <w:sz w:val="22"/>
          <w:szCs w:val="22"/>
          <w:color w:val="auto"/>
        </w:rPr>
        <w:t>” means, collectively, the Second Lien Facility Obligations Secured Parties and the Other Second Lien Obligations Secured Parties, or any of the foregoing.</w:t>
      </w:r>
    </w:p>
    <w:p>
      <w:pPr>
        <w:spacing w:after="0" w:line="163" w:lineRule="exact"/>
        <w:rPr>
          <w:sz w:val="20"/>
          <w:szCs w:val="20"/>
          <w:color w:val="auto"/>
        </w:rPr>
      </w:pPr>
    </w:p>
    <w:p>
      <w:pPr>
        <w:jc w:val="both"/>
        <w:ind w:right="2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Obligations</w:t>
      </w:r>
      <w:r>
        <w:rPr>
          <w:rFonts w:ascii="Times New Roman" w:cs="Times New Roman" w:eastAsia="Times New Roman" w:hAnsi="Times New Roman"/>
          <w:sz w:val="22"/>
          <w:szCs w:val="22"/>
          <w:color w:val="auto"/>
        </w:rPr>
        <w:t>” means, collectively, the ABL Obligations, the First Lien Facility Obligations, any Other First Lien Obligations, the Second Lien Facility Obligations and any Other Second Lien Obligations, or any of the foregoing.</w:t>
      </w:r>
    </w:p>
    <w:p>
      <w:pPr>
        <w:spacing w:after="0" w:line="162" w:lineRule="exact"/>
        <w:rPr>
          <w:sz w:val="20"/>
          <w:szCs w:val="20"/>
          <w:color w:val="auto"/>
        </w:rPr>
      </w:pPr>
    </w:p>
    <w:p>
      <w:pPr>
        <w:jc w:val="both"/>
        <w:ind w:right="4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Parties</w:t>
      </w:r>
      <w:r>
        <w:rPr>
          <w:rFonts w:ascii="Times New Roman" w:cs="Times New Roman" w:eastAsia="Times New Roman" w:hAnsi="Times New Roman"/>
          <w:sz w:val="22"/>
          <w:szCs w:val="22"/>
          <w:color w:val="auto"/>
        </w:rPr>
        <w:t>” means, collectively, the ABL Obligations Secured Parties, the First Lien Facility Obligations Secured Parties, any Other First Lien Obligations Secured Parties, the Second Lien Facility Obligations Secured Parties and any Other Second Lien Obligations Secured Parties, or any of the foregoing.</w:t>
      </w:r>
    </w:p>
    <w:p>
      <w:pPr>
        <w:spacing w:after="0" w:line="175" w:lineRule="exact"/>
        <w:rPr>
          <w:sz w:val="20"/>
          <w:szCs w:val="20"/>
          <w:color w:val="auto"/>
        </w:rPr>
      </w:pPr>
    </w:p>
    <w:p>
      <w:pPr>
        <w:jc w:val="both"/>
        <w:ind w:left="20" w:right="20" w:firstLine="1283"/>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Agent</w:t>
      </w:r>
      <w:r>
        <w:rPr>
          <w:rFonts w:ascii="Times New Roman" w:cs="Times New Roman" w:eastAsia="Times New Roman" w:hAnsi="Times New Roman"/>
          <w:sz w:val="22"/>
          <w:szCs w:val="22"/>
          <w:color w:val="auto"/>
        </w:rPr>
        <w:t>” means, (a) with respect to the Non-ABL Priority Collateral, each First Lien Obligations Representative and (b) with respect to the ABL Priority Collateral, the ABL Representative.</w:t>
      </w:r>
    </w:p>
    <w:p>
      <w:pPr>
        <w:spacing w:after="0" w:line="149" w:lineRule="exact"/>
        <w:rPr>
          <w:sz w:val="20"/>
          <w:szCs w:val="20"/>
          <w:color w:val="auto"/>
        </w:rPr>
      </w:pPr>
    </w:p>
    <w:p>
      <w:pPr>
        <w:jc w:val="both"/>
        <w:ind w:left="20" w:firstLine="1283"/>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Obligations</w:t>
      </w:r>
      <w:r>
        <w:rPr>
          <w:rFonts w:ascii="Times New Roman" w:cs="Times New Roman" w:eastAsia="Times New Roman" w:hAnsi="Times New Roman"/>
          <w:sz w:val="22"/>
          <w:szCs w:val="22"/>
          <w:color w:val="auto"/>
        </w:rPr>
        <w:t xml:space="preserve">” means, (a) with respect to the Non-ABL Priority Collateral, the Non-ABL Obligations, and (b) with respect to the ABL Priority Collateral, the ABL Obligations. The Non-ABL Obligations shall, collectively, constitute one “ </w:t>
      </w:r>
      <w:r>
        <w:rPr>
          <w:rFonts w:ascii="Times New Roman" w:cs="Times New Roman" w:eastAsia="Times New Roman" w:hAnsi="Times New Roman"/>
          <w:sz w:val="22"/>
          <w:szCs w:val="22"/>
          <w:b w:val="1"/>
          <w:bCs w:val="1"/>
          <w:color w:val="auto"/>
        </w:rPr>
        <w:t>Class</w:t>
      </w:r>
      <w:r>
        <w:rPr>
          <w:rFonts w:ascii="Times New Roman" w:cs="Times New Roman" w:eastAsia="Times New Roman" w:hAnsi="Times New Roman"/>
          <w:sz w:val="22"/>
          <w:szCs w:val="22"/>
          <w:color w:val="auto"/>
        </w:rPr>
        <w:t>” of Senior Secured Obligations and the ABL Obligations shall, collectively, constitute a separate “</w:t>
      </w:r>
      <w:r>
        <w:rPr>
          <w:rFonts w:ascii="Times New Roman" w:cs="Times New Roman" w:eastAsia="Times New Roman" w:hAnsi="Times New Roman"/>
          <w:sz w:val="22"/>
          <w:szCs w:val="22"/>
          <w:b w:val="1"/>
          <w:bCs w:val="1"/>
          <w:color w:val="auto"/>
        </w:rPr>
        <w:t>Class</w:t>
      </w:r>
      <w:r>
        <w:rPr>
          <w:rFonts w:ascii="Times New Roman" w:cs="Times New Roman" w:eastAsia="Times New Roman" w:hAnsi="Times New Roman"/>
          <w:sz w:val="22"/>
          <w:szCs w:val="22"/>
          <w:color w:val="auto"/>
        </w:rPr>
        <w:t>” of Senior Secured Obligations.</w:t>
      </w:r>
    </w:p>
    <w:p>
      <w:pPr>
        <w:spacing w:after="0" w:line="189" w:lineRule="exact"/>
        <w:rPr>
          <w:sz w:val="20"/>
          <w:szCs w:val="20"/>
          <w:color w:val="auto"/>
        </w:rPr>
      </w:pPr>
    </w:p>
    <w:p>
      <w:pPr>
        <w:jc w:val="both"/>
        <w:ind w:left="20" w:firstLine="129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Obligations Collateral</w:t>
      </w:r>
      <w:r>
        <w:rPr>
          <w:rFonts w:ascii="Times New Roman" w:cs="Times New Roman" w:eastAsia="Times New Roman" w:hAnsi="Times New Roman"/>
          <w:sz w:val="22"/>
          <w:szCs w:val="22"/>
          <w:color w:val="auto"/>
        </w:rPr>
        <w:t>” means, (a) with respect to the ABL Obligations, the ABL Priority Collateral, and (b) with respect to the Non-ABL Obligations, the Non-ABL Priority Collateral.</w:t>
      </w:r>
    </w:p>
    <w:p>
      <w:pPr>
        <w:spacing w:after="0" w:line="163" w:lineRule="exact"/>
        <w:rPr>
          <w:sz w:val="20"/>
          <w:szCs w:val="20"/>
          <w:color w:val="auto"/>
        </w:rPr>
      </w:pPr>
    </w:p>
    <w:p>
      <w:pPr>
        <w:jc w:val="both"/>
        <w:ind w:left="20" w:right="20" w:firstLine="129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Obligations Collateral Documents</w:t>
      </w:r>
      <w:r>
        <w:rPr>
          <w:rFonts w:ascii="Times New Roman" w:cs="Times New Roman" w:eastAsia="Times New Roman" w:hAnsi="Times New Roman"/>
          <w:sz w:val="22"/>
          <w:szCs w:val="22"/>
          <w:color w:val="auto"/>
        </w:rPr>
        <w:t>” means each Senior Secured Obligations Document pursuant to which a Lien is now or hereafter granted securing any Senior Secured Obligations or under which rights or remedies with respect to such Liens are at any time governed.</w:t>
      </w:r>
    </w:p>
    <w:p>
      <w:pPr>
        <w:sectPr>
          <w:pgSz w:w="11900" w:h="16838" w:orient="portrait"/>
          <w:cols w:equalWidth="0" w:num="1">
            <w:col w:w="10780"/>
          </w:cols>
          <w:pgMar w:left="580" w:top="1440" w:right="539" w:bottom="1440" w:gutter="0" w:footer="0" w:header="0"/>
        </w:sectPr>
      </w:pPr>
    </w:p>
    <w:bookmarkStart w:id="298" w:name="page299"/>
    <w:bookmarkEnd w:id="298"/>
    <w:p>
      <w:pPr>
        <w:spacing w:after="0" w:line="127" w:lineRule="exact"/>
        <w:rPr>
          <w:sz w:val="20"/>
          <w:szCs w:val="20"/>
          <w:color w:val="auto"/>
        </w:rPr>
      </w:pPr>
    </w:p>
    <w:p>
      <w:pPr>
        <w:jc w:val="both"/>
        <w:ind w:firstLine="1283"/>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Obligations Documents</w:t>
      </w:r>
      <w:r>
        <w:rPr>
          <w:rFonts w:ascii="Times New Roman" w:cs="Times New Roman" w:eastAsia="Times New Roman" w:hAnsi="Times New Roman"/>
          <w:sz w:val="22"/>
          <w:szCs w:val="22"/>
          <w:color w:val="auto"/>
        </w:rPr>
        <w:t>” means, (a) with respect to the Non- ABL Priority Collateral, the First Lien Obligations Documents and the Second Lien Obligations Documents and, (b) with respect to the ABL Priority Collateral, the ABL Obligations Documents.</w:t>
      </w:r>
    </w:p>
    <w:p>
      <w:pPr>
        <w:spacing w:after="0" w:line="153" w:lineRule="exact"/>
        <w:rPr>
          <w:sz w:val="20"/>
          <w:szCs w:val="20"/>
          <w:color w:val="auto"/>
        </w:rPr>
      </w:pPr>
    </w:p>
    <w:p>
      <w:pPr>
        <w:jc w:val="both"/>
        <w:ind w:right="40" w:firstLine="1283"/>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Obligations Secured Parties</w:t>
      </w:r>
      <w:r>
        <w:rPr>
          <w:rFonts w:ascii="Times New Roman" w:cs="Times New Roman" w:eastAsia="Times New Roman" w:hAnsi="Times New Roman"/>
          <w:sz w:val="22"/>
          <w:szCs w:val="22"/>
          <w:color w:val="auto"/>
        </w:rPr>
        <w:t>” means, (a) with respect to the Non-ABL Priority Collateral, the First Lien Obligations Secured Parties and the Second Lien Obligations Secured Parties and, (b) with respect to the ABL Priority Collateral, the ABL Obligations Secured Parties.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w:t>
      </w:r>
      <w:r>
        <w:rPr>
          <w:rFonts w:ascii="Times New Roman" w:cs="Times New Roman" w:eastAsia="Times New Roman" w:hAnsi="Times New Roman"/>
          <w:sz w:val="22"/>
          <w:szCs w:val="22"/>
          <w:color w:val="auto"/>
        </w:rPr>
        <w:t>” means, as applicable,</w:t>
      </w:r>
    </w:p>
    <w:p>
      <w:pPr>
        <w:spacing w:after="0" w:line="224" w:lineRule="exact"/>
        <w:rPr>
          <w:sz w:val="20"/>
          <w:szCs w:val="20"/>
          <w:color w:val="auto"/>
        </w:rPr>
      </w:pPr>
    </w:p>
    <w:p>
      <w:pPr>
        <w:ind w:left="2100" w:hanging="648"/>
        <w:spacing w:after="0"/>
        <w:tabs>
          <w:tab w:leader="none" w:pos="210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ABL Obligations;</w:t>
      </w:r>
    </w:p>
    <w:p>
      <w:pPr>
        <w:spacing w:after="0" w:line="233" w:lineRule="exact"/>
        <w:rPr>
          <w:rFonts w:ascii="Times New Roman" w:cs="Times New Roman" w:eastAsia="Times New Roman" w:hAnsi="Times New Roman"/>
          <w:sz w:val="22"/>
          <w:szCs w:val="22"/>
          <w:color w:val="auto"/>
        </w:rPr>
      </w:pPr>
    </w:p>
    <w:p>
      <w:pPr>
        <w:jc w:val="both"/>
        <w:ind w:left="160" w:right="40" w:firstLine="1292"/>
        <w:spacing w:after="0" w:line="256" w:lineRule="auto"/>
        <w:tabs>
          <w:tab w:leader="none" w:pos="2317"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First Lien Facility Obligations and each series of Other First Lien Obligations, each of which shall constitute a separate series of the Class of Secured Obligations constituting Non-ABL Obligations. The First Lien Obligations Secured Parties with respect to each series of First Lien Obligations shall constitute a separate series of First Lien Obligations Secured Parties; and</w:t>
      </w:r>
    </w:p>
    <w:p>
      <w:pPr>
        <w:spacing w:after="0" w:line="176" w:lineRule="exact"/>
        <w:rPr>
          <w:rFonts w:ascii="Times New Roman" w:cs="Times New Roman" w:eastAsia="Times New Roman" w:hAnsi="Times New Roman"/>
          <w:sz w:val="22"/>
          <w:szCs w:val="22"/>
          <w:color w:val="auto"/>
        </w:rPr>
      </w:pPr>
    </w:p>
    <w:p>
      <w:pPr>
        <w:jc w:val="both"/>
        <w:ind w:left="160" w:right="20" w:firstLine="1292"/>
        <w:spacing w:after="0" w:line="252" w:lineRule="auto"/>
        <w:tabs>
          <w:tab w:leader="none" w:pos="2318"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Second Lien Facility Obligations and each series of Other Second Lien Obligations, each of which shall constitute a separate series of the Class of Secured Obligations constituting Non-ABL Obligations. The Second Lien Obligations Secured Parties with respect to each series of Second Lien Obligations shall constitute a separate series of Second Lien Obligations Secured Parties;</w:t>
      </w:r>
    </w:p>
    <w:p>
      <w:pPr>
        <w:spacing w:after="0" w:line="17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all Series of First Lien Obligations and all Series of Second Lien Obligations shall collectively constitute a single Class vis-à-vis the ABL Obligations, and all First Lien Obligations Secured Parties and all Second Lien Obligations Secured Parties shall constitute a single Class vis-à-vis the ABL Obligations Secured Parties, in each case, for purposes of this Agreement.</w:t>
      </w:r>
    </w:p>
    <w:p>
      <w:pPr>
        <w:spacing w:after="0" w:line="159" w:lineRule="exact"/>
        <w:rPr>
          <w:sz w:val="20"/>
          <w:szCs w:val="20"/>
          <w:color w:val="auto"/>
        </w:rPr>
      </w:pPr>
    </w:p>
    <w:p>
      <w:pPr>
        <w:jc w:val="both"/>
        <w:ind w:right="60" w:firstLine="1283"/>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Shared Collateral</w:t>
      </w:r>
      <w:r>
        <w:rPr>
          <w:rFonts w:ascii="Times New Roman" w:cs="Times New Roman" w:eastAsia="Times New Roman" w:hAnsi="Times New Roman"/>
          <w:sz w:val="22"/>
          <w:szCs w:val="22"/>
          <w:color w:val="auto"/>
        </w:rPr>
        <w:t>’ means the portion of the Collateral granted or purported to be granted to secure both one or more Series of the ABL Obligations and one or more Series of the Non-ABL Obligations.</w:t>
      </w:r>
    </w:p>
    <w:p>
      <w:pPr>
        <w:spacing w:after="0" w:line="149" w:lineRule="exact"/>
        <w:rPr>
          <w:sz w:val="20"/>
          <w:szCs w:val="20"/>
          <w:color w:val="auto"/>
        </w:rPr>
      </w:pPr>
    </w:p>
    <w:p>
      <w:pPr>
        <w:jc w:val="both"/>
        <w:ind w:right="40" w:firstLine="1283"/>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(herein referred to as the “parent”), any corporation,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spacing w:after="0" w:line="175" w:lineRule="exact"/>
        <w:rPr>
          <w:sz w:val="20"/>
          <w:szCs w:val="20"/>
          <w:color w:val="auto"/>
        </w:rPr>
      </w:pPr>
    </w:p>
    <w:p>
      <w:pPr>
        <w:jc w:val="both"/>
        <w:ind w:right="2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Uniform Commercial Code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UCC</w:t>
      </w:r>
      <w:r>
        <w:rPr>
          <w:rFonts w:ascii="Times New Roman" w:cs="Times New Roman" w:eastAsia="Times New Roman" w:hAnsi="Times New Roman"/>
          <w:sz w:val="22"/>
          <w:szCs w:val="22"/>
          <w:color w:val="auto"/>
        </w:rPr>
        <w:t>” means the Uniform Commercial Code as from time to time in effect in the State of New York; provided, however, that, at any time, if by reason of mandatory provisions of law, any or all of the perfection or priority of any Representative’s or Secured Party’s security interest in any item or portion of the Collateral is</w:t>
      </w:r>
    </w:p>
    <w:p>
      <w:pPr>
        <w:sectPr>
          <w:pgSz w:w="11900" w:h="16838" w:orient="portrait"/>
          <w:cols w:equalWidth="0" w:num="1">
            <w:col w:w="10780"/>
          </w:cols>
          <w:pgMar w:left="600" w:top="1440" w:right="519" w:bottom="1440" w:gutter="0" w:footer="0" w:header="0"/>
        </w:sectPr>
      </w:pPr>
    </w:p>
    <w:bookmarkStart w:id="299" w:name="page300"/>
    <w:bookmarkEnd w:id="299"/>
    <w:p>
      <w:pPr>
        <w:spacing w:after="0" w:line="131" w:lineRule="exact"/>
        <w:rPr>
          <w:sz w:val="20"/>
          <w:szCs w:val="20"/>
          <w:color w:val="auto"/>
        </w:rPr>
      </w:pPr>
    </w:p>
    <w:p>
      <w:pPr>
        <w:jc w:val="both"/>
        <w:ind w:left="20" w:right="20"/>
        <w:spacing w:after="0" w:line="270" w:lineRule="auto"/>
        <w:rPr>
          <w:sz w:val="20"/>
          <w:szCs w:val="20"/>
          <w:color w:val="auto"/>
        </w:rPr>
      </w:pPr>
      <w:r>
        <w:rPr>
          <w:rFonts w:ascii="Times New Roman" w:cs="Times New Roman" w:eastAsia="Times New Roman" w:hAnsi="Times New Roman"/>
          <w:sz w:val="22"/>
          <w:szCs w:val="22"/>
          <w:color w:val="auto"/>
        </w:rPr>
        <w:t>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59" w:lineRule="exact"/>
        <w:rPr>
          <w:sz w:val="20"/>
          <w:szCs w:val="20"/>
          <w:color w:val="auto"/>
        </w:rPr>
      </w:pPr>
    </w:p>
    <w:p>
      <w:pPr>
        <w:ind w:left="1320"/>
        <w:spacing w:after="0"/>
        <w:tabs>
          <w:tab w:leader="none" w:pos="28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8"/>
        <w:spacing w:after="0" w:line="247" w:lineRule="auto"/>
        <w:rPr>
          <w:sz w:val="20"/>
          <w:szCs w:val="20"/>
          <w:color w:val="auto"/>
        </w:rPr>
      </w:pPr>
      <w:r>
        <w:rPr>
          <w:rFonts w:ascii="Times New Roman" w:cs="Times New Roman" w:eastAsia="Times New Roman" w:hAnsi="Times New Roman"/>
          <w:sz w:val="22"/>
          <w:szCs w:val="22"/>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other document, statute or regulation herein shall be construed as referring to such agreement, instrument, other document, statute or regulation as from time to time amended, supplemented or otherwise modified, (b) any reference herein to any person shall be construed to include such person’s successors and assigns, but shall not be deemed to include the subsidiaries of such person unless express reference is made to such subsidiaries, (c) the words “herein,” “hereof” and “hereunder,” and words of similar import, shall be construed to refer to this Agreement in its entirety and not to any particular provision hereof, (d) all references herein to Sections and Exhibits shall be construed to refer to Sections and Exhibits of this Agreement, (e) unless otherwise expressly qualified herein, the words “asset” and “property” shall be construed to have the same meaning and effect and to refer to any and all tangible and intangible assets and properties, including cash, securities, accounts and contract rights and (f) the term “or” is not exclusive.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Priorities and Agreements with Respect to Collateral.</w:t>
      </w:r>
    </w:p>
    <w:p>
      <w:pPr>
        <w:spacing w:after="0" w:line="224" w:lineRule="exact"/>
        <w:rPr>
          <w:sz w:val="20"/>
          <w:szCs w:val="20"/>
          <w:color w:val="auto"/>
        </w:rPr>
      </w:pPr>
    </w:p>
    <w:p>
      <w:pPr>
        <w:jc w:val="both"/>
        <w:ind w:left="20" w:right="20" w:firstLine="1298"/>
        <w:spacing w:after="0" w:line="25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Priority of Claims</w:t>
      </w:r>
      <w:r>
        <w:rPr>
          <w:rFonts w:ascii="Times New Roman" w:cs="Times New Roman" w:eastAsia="Times New Roman" w:hAnsi="Times New Roman"/>
          <w:sz w:val="22"/>
          <w:szCs w:val="22"/>
          <w:color w:val="auto"/>
        </w:rPr>
        <w:t>. (a) Anything contained herein or in any of the ABL Obligations Documents or Non-ABL Obligations Documents to the contrary notwithstanding, if an Event of Default has occurred and is continuing, and any Representative is taking action to exercise remedies in respect of any Shared Collateral (whether in an Insolvency or Liquidation Proceeding or otherwise), the proceeds of such Shared Collateral shall be applied as follows:</w:t>
      </w:r>
    </w:p>
    <w:p>
      <w:pPr>
        <w:spacing w:after="0" w:line="190" w:lineRule="exact"/>
        <w:rPr>
          <w:sz w:val="20"/>
          <w:szCs w:val="20"/>
          <w:color w:val="auto"/>
        </w:rPr>
      </w:pPr>
    </w:p>
    <w:p>
      <w:pPr>
        <w:ind w:left="1560"/>
        <w:spacing w:after="0"/>
        <w:tabs>
          <w:tab w:leader="none" w:pos="19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In the case of the Non-ABL Priority Collateral,</w:t>
      </w:r>
    </w:p>
    <w:p>
      <w:pPr>
        <w:spacing w:after="0" w:line="220" w:lineRule="exact"/>
        <w:rPr>
          <w:sz w:val="20"/>
          <w:szCs w:val="20"/>
          <w:color w:val="auto"/>
        </w:rPr>
      </w:pPr>
    </w:p>
    <w:p>
      <w:pPr>
        <w:jc w:val="both"/>
        <w:ind w:left="1960" w:right="660"/>
        <w:spacing w:after="0" w:line="250" w:lineRule="auto"/>
        <w:rPr>
          <w:sz w:val="20"/>
          <w:szCs w:val="20"/>
          <w:color w:val="auto"/>
        </w:rPr>
      </w:pPr>
      <w:r>
        <w:rPr>
          <w:rFonts w:ascii="Times New Roman" w:cs="Times New Roman" w:eastAsia="Times New Roman" w:hAnsi="Times New Roman"/>
          <w:sz w:val="22"/>
          <w:szCs w:val="22"/>
          <w:color w:val="auto"/>
        </w:rPr>
        <w:t>FIRST, with respect to the Non-ABL Obligations, until the Discharge of Non-ABL Obligations has occurred to the First Lien/Second Lien Intercreditor Representative for distribution in accordance with the First Lien/Second Lien Intercreditor Agreement or any</w:t>
      </w:r>
    </w:p>
    <w:p>
      <w:pPr>
        <w:spacing w:after="0" w:line="3" w:lineRule="exact"/>
        <w:rPr>
          <w:sz w:val="20"/>
          <w:szCs w:val="20"/>
          <w:color w:val="auto"/>
        </w:rPr>
      </w:pPr>
    </w:p>
    <w:p>
      <w:pPr>
        <w:jc w:val="both"/>
        <w:ind w:left="1960" w:right="660"/>
        <w:spacing w:after="0" w:line="248" w:lineRule="auto"/>
        <w:rPr>
          <w:sz w:val="20"/>
          <w:szCs w:val="20"/>
          <w:color w:val="auto"/>
        </w:rPr>
      </w:pPr>
      <w:r>
        <w:rPr>
          <w:rFonts w:ascii="Times New Roman" w:cs="Times New Roman" w:eastAsia="Times New Roman" w:hAnsi="Times New Roman"/>
          <w:sz w:val="22"/>
          <w:szCs w:val="22"/>
          <w:color w:val="auto"/>
        </w:rPr>
        <w:t>other applicable Non-ABL Obligations Documents until Discharge of Non-ABL Obligations;</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THEREAFTER, to the payment in full of the ABL Obligations in</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accordance with the ABL Facility Agreement until Discharge of ABL Obligations; and</w:t>
      </w:r>
    </w:p>
    <w:p>
      <w:pPr>
        <w:sectPr>
          <w:pgSz w:w="11900" w:h="16838" w:orient="portrait"/>
          <w:cols w:equalWidth="0" w:num="1">
            <w:col w:w="10780"/>
          </w:cols>
          <w:pgMar w:left="580" w:top="1440" w:right="539" w:bottom="1440" w:gutter="0" w:footer="0" w:header="0"/>
        </w:sectPr>
      </w:pPr>
    </w:p>
    <w:bookmarkStart w:id="300" w:name="page301"/>
    <w:bookmarkEnd w:id="300"/>
    <w:p>
      <w:pPr>
        <w:spacing w:after="0" w:line="144" w:lineRule="exact"/>
        <w:rPr>
          <w:sz w:val="20"/>
          <w:szCs w:val="20"/>
          <w:color w:val="auto"/>
        </w:rPr>
      </w:pPr>
    </w:p>
    <w:p>
      <w:pPr>
        <w:ind w:left="1080" w:right="680"/>
        <w:spacing w:after="0" w:line="271" w:lineRule="auto"/>
        <w:rPr>
          <w:sz w:val="20"/>
          <w:szCs w:val="20"/>
          <w:color w:val="auto"/>
        </w:rPr>
      </w:pPr>
      <w:r>
        <w:rPr>
          <w:rFonts w:ascii="Times New Roman" w:cs="Times New Roman" w:eastAsia="Times New Roman" w:hAnsi="Times New Roman"/>
          <w:sz w:val="22"/>
          <w:szCs w:val="22"/>
          <w:color w:val="auto"/>
        </w:rPr>
        <w:t>THEREAFTER, the balance, if any, to the Pledgors or as a court of competent jurisdiction may otherwise direct to be applied.</w:t>
      </w:r>
    </w:p>
    <w:p>
      <w:pPr>
        <w:spacing w:after="0" w:line="158" w:lineRule="exact"/>
        <w:rPr>
          <w:sz w:val="20"/>
          <w:szCs w:val="20"/>
          <w:color w:val="auto"/>
        </w:rPr>
      </w:pPr>
    </w:p>
    <w:p>
      <w:pPr>
        <w:ind w:left="1080" w:hanging="381"/>
        <w:spacing w:after="0"/>
        <w:tabs>
          <w:tab w:leader="none" w:pos="1080"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ABL Priority Collateral,</w:t>
      </w:r>
    </w:p>
    <w:p>
      <w:pPr>
        <w:spacing w:after="0" w:line="206" w:lineRule="exact"/>
        <w:rPr>
          <w:rFonts w:ascii="Times New Roman" w:cs="Times New Roman" w:eastAsia="Times New Roman" w:hAnsi="Times New Roman"/>
          <w:sz w:val="22"/>
          <w:szCs w:val="22"/>
          <w:color w:val="auto"/>
        </w:rPr>
      </w:pPr>
    </w:p>
    <w:p>
      <w:pPr>
        <w:ind w:left="1080" w:righ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the payment in full of the ABL Obligations in accordance with the ABL Facility Agreement until Discharge of ABL Obligations;</w:t>
      </w:r>
    </w:p>
    <w:p>
      <w:pPr>
        <w:spacing w:after="0" w:line="157" w:lineRule="exact"/>
        <w:rPr>
          <w:rFonts w:ascii="Times New Roman" w:cs="Times New Roman" w:eastAsia="Times New Roman" w:hAnsi="Times New Roman"/>
          <w:sz w:val="22"/>
          <w:szCs w:val="22"/>
          <w:color w:val="auto"/>
        </w:rPr>
      </w:pPr>
    </w:p>
    <w:p>
      <w:pPr>
        <w:jc w:val="both"/>
        <w:ind w:left="1080" w:right="660"/>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with respect to the Non-ABL Obligations, until the Discharge of Non-ABL Obligations has occurred to the First Lien/Second Lien Intercreditor Representative for distribution in accordance with the First Lien/Second Lien Intercreditor Agreement or any other applicable Non-ABL Obligations Documents until Discharge of Non-ABL Obligations; and</w:t>
      </w:r>
    </w:p>
    <w:p>
      <w:pPr>
        <w:spacing w:after="0" w:line="167" w:lineRule="exact"/>
        <w:rPr>
          <w:rFonts w:ascii="Times New Roman" w:cs="Times New Roman" w:eastAsia="Times New Roman" w:hAnsi="Times New Roman"/>
          <w:sz w:val="22"/>
          <w:szCs w:val="22"/>
          <w:color w:val="auto"/>
        </w:rPr>
      </w:pPr>
    </w:p>
    <w:p>
      <w:pPr>
        <w:ind w:left="1080" w:right="680"/>
        <w:spacing w:after="0" w:line="29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the balance, if any, to the Pledgors or as a court of competent jurisdiction may otherwise direct to be applied.</w:t>
      </w:r>
    </w:p>
    <w:p>
      <w:pPr>
        <w:spacing w:after="0" w:line="104" w:lineRule="exact"/>
        <w:rPr>
          <w:rFonts w:ascii="Times New Roman" w:cs="Times New Roman" w:eastAsia="Times New Roman" w:hAnsi="Times New Roman"/>
          <w:sz w:val="22"/>
          <w:szCs w:val="22"/>
          <w:color w:val="auto"/>
        </w:rPr>
      </w:pPr>
    </w:p>
    <w:p>
      <w:pPr>
        <w:jc w:val="both"/>
        <w:ind w:left="-700" w:firstLine="1298"/>
        <w:spacing w:after="0" w:line="249" w:lineRule="auto"/>
        <w:tabs>
          <w:tab w:leader="none" w:pos="1471"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acknowledged and agreed that (i) the aggregate amount of any Senior Secured Obligations may be Refinanced as contemplated by Section 2.12 from time to time, all without affecting the priorities set forth in this Section 2.1 or the provisions of this Agreement defining the relative rights of the ABL Obligations Secured Parties vis-a-vis the Non-ABL Obligations Secured Parties, and (ii) a portion of the Senior Secured Obligations consists or may consist of Indebtedness that is revolving in nature, and the amount thereof that may be outstanding at any time or from time to time may be increased or reduced and subsequently reborrowed. The priorities provided for herein shall not be altered or otherwise affected by any Refinancing of either the Junior Secured Obligations (or any part thereof) or the Senior Secured Obligations (or any part thereof), by the release of any Collateral or of any guarantees for any Senior Secured Obligations or any Junior Secured Obligations or by any action that any Representative or Secured Party may take or fail to take in respect of any Collateral.</w:t>
      </w:r>
    </w:p>
    <w:p>
      <w:pPr>
        <w:spacing w:after="0" w:line="196" w:lineRule="exact"/>
        <w:rPr>
          <w:rFonts w:ascii="Times New Roman" w:cs="Times New Roman" w:eastAsia="Times New Roman" w:hAnsi="Times New Roman"/>
          <w:sz w:val="22"/>
          <w:szCs w:val="22"/>
          <w:color w:val="auto"/>
        </w:rPr>
      </w:pPr>
    </w:p>
    <w:p>
      <w:pPr>
        <w:jc w:val="both"/>
        <w:ind w:left="-700" w:right="20" w:firstLine="1298"/>
        <w:spacing w:after="0" w:line="249" w:lineRule="auto"/>
        <w:tabs>
          <w:tab w:leader="none" w:pos="1472"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(u) the date, time, method, manner or order of filing or recordation of any document or instrument or grant, attachment or perfection (including any defect or deficiency or alleged defect or deficiency in any of the foregoing) of any Liens granted on the Shared Collateral to secure any ABL Obligations or any Non-ABL Obligations, as the case may be, (v) any provision of the UCC, any Bankruptcy Law or any other applicable law, (w) any provision of any ABL Obligations Documents or any Non-ABL Obligations Documents, (x) whether any Secured Party, either directly or through agents, holds possession of, or has control over, all or any part of the Shared Collateral, (y) the fact that any Liens granted to secure any ABL Obligations or any Non-ABL Obligations may be subordinated, voided, avoided, invalidated or lapsed or (z) any other circumstance of any kind or nature whatsoever:</w:t>
      </w:r>
    </w:p>
    <w:p>
      <w:pPr>
        <w:spacing w:after="0" w:line="182" w:lineRule="exact"/>
        <w:rPr>
          <w:sz w:val="20"/>
          <w:szCs w:val="20"/>
          <w:color w:val="auto"/>
        </w:rPr>
      </w:pPr>
    </w:p>
    <w:p>
      <w:pPr>
        <w:ind w:left="-700" w:firstLine="1298"/>
        <w:spacing w:after="0" w:line="284" w:lineRule="auto"/>
        <w:tabs>
          <w:tab w:leader="none" w:pos="855"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Liens on the Non-ABL Priority Collateral securing the Non-ABL Obligations will rank senior to any Liens on the Non-ABL Priority Collateral securing the ABL Obligations; and</w:t>
      </w:r>
    </w:p>
    <w:p>
      <w:pPr>
        <w:sectPr>
          <w:pgSz w:w="11900" w:h="16838" w:orient="portrait"/>
          <w:cols w:equalWidth="0" w:num="1">
            <w:col w:w="9920"/>
          </w:cols>
          <w:pgMar w:left="1440" w:top="1440" w:right="539" w:bottom="1440" w:gutter="0" w:footer="0" w:header="0"/>
        </w:sectPr>
      </w:pPr>
    </w:p>
    <w:bookmarkStart w:id="301" w:name="page302"/>
    <w:bookmarkEnd w:id="301"/>
    <w:p>
      <w:pPr>
        <w:spacing w:after="0" w:line="144" w:lineRule="exact"/>
        <w:rPr>
          <w:sz w:val="20"/>
          <w:szCs w:val="20"/>
          <w:color w:val="auto"/>
        </w:rPr>
      </w:pPr>
    </w:p>
    <w:p>
      <w:pPr>
        <w:ind w:left="140" w:firstLine="1298"/>
        <w:spacing w:after="0" w:line="271" w:lineRule="auto"/>
        <w:tabs>
          <w:tab w:leader="none" w:pos="1759"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Liens on the ABL Priority Collateral securing the ABL Obligations will rank senior to any Liens on the ABL Priority Collateral securing the Non-ABL Obligations.</w:t>
      </w:r>
    </w:p>
    <w:p>
      <w:pPr>
        <w:spacing w:after="0" w:line="158" w:lineRule="exact"/>
        <w:rPr>
          <w:sz w:val="20"/>
          <w:szCs w:val="20"/>
          <w:color w:val="auto"/>
        </w:rPr>
      </w:pPr>
    </w:p>
    <w:p>
      <w:pPr>
        <w:jc w:val="both"/>
        <w:ind w:left="140" w:firstLine="1298"/>
        <w:spacing w:after="0" w:line="248" w:lineRule="auto"/>
        <w:tabs>
          <w:tab w:leader="none" w:pos="1752"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Representative agrees that prior to an Enforcement Notice or commencement of an Insolvency or Liquidation Proceeding with respect to any Pledgor, any proceeds of Collateral, whether or not deposited in an account subject to an account control agreement, shall not (as between the ABL Obligations Secured Parties and the Non -ABL Obligations Secured Parties) be treated as proceeds of Collateral for purposes of determining the relative priorities in the Collateral. The parties further agree that notwithstanding anything herein to the contrary prior to an issuance of an Enforcement Notice from the First Lien/Second Lien Intercreditor Representative to the ABL Representative or commencement of an Insolvency or Liquidation Proceeding with respect to any Pledgor, all funds deposited in a deposit account or securities account that constitutes ABL Priority Collateral subject to an account control agreement and then applied to the ABL Obligations shall be treated as ABL Priority Collateral; provided that any such proceeds received after an issuance of an Enforcement Notice from the First Lien/Second Lien Intercreditor Representative to the ABL Representative or commencement of an Insolvency or Liquidation Proceeding with respect to any Pledgor shall be treated as Non-ABL Priority Collateral.</w:t>
      </w:r>
    </w:p>
    <w:p>
      <w:pPr>
        <w:spacing w:after="0" w:line="198" w:lineRule="exact"/>
        <w:rPr>
          <w:sz w:val="20"/>
          <w:szCs w:val="20"/>
          <w:color w:val="auto"/>
        </w:rPr>
      </w:pPr>
    </w:p>
    <w:p>
      <w:pPr>
        <w:ind w:left="980"/>
        <w:spacing w:after="0"/>
        <w:tabs>
          <w:tab w:leader="none" w:pos="17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Actions with Respect to Collateral; Prohibition on Contesting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2080" w:hanging="628"/>
        <w:spacing w:after="0"/>
        <w:tabs>
          <w:tab w:leader="none" w:pos="208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ABL Representative and the First Lien/Second Lien</w:t>
      </w:r>
    </w:p>
    <w:p>
      <w:pPr>
        <w:spacing w:after="0" w:line="28" w:lineRule="exact"/>
        <w:rPr>
          <w:sz w:val="20"/>
          <w:szCs w:val="20"/>
          <w:color w:val="auto"/>
        </w:rPr>
      </w:pPr>
    </w:p>
    <w:p>
      <w:pPr>
        <w:jc w:val="both"/>
        <w:ind w:left="160" w:right="20"/>
        <w:spacing w:after="0" w:line="235" w:lineRule="auto"/>
        <w:rPr>
          <w:sz w:val="20"/>
          <w:szCs w:val="20"/>
          <w:color w:val="auto"/>
        </w:rPr>
      </w:pPr>
      <w:r>
        <w:rPr>
          <w:rFonts w:ascii="Times New Roman" w:cs="Times New Roman" w:eastAsia="Times New Roman" w:hAnsi="Times New Roman"/>
          <w:sz w:val="22"/>
          <w:szCs w:val="22"/>
          <w:color w:val="auto"/>
        </w:rPr>
        <w:t>Intercreditor Representative, other Representatives and the Secured Parties, acknowledges and agrees that, until the Discharge of Senior Secured Obligations of a particular Class has occurred, (i) only the Applicable Senior Representative (or any person authorized by it) shall have the ability and option to act or refrain from acting with respect to the Senior Secured Obligations Collateral of such Class, (ii) no Representative shall follow any instructions with respect to such Senior Secured Obligations Collateral from the Applicable Junior Representative, any Junior Agent or any other Junior Secured Obligations Secured Party, (iii) the Applicable Junior Representative, the Junior Agents and the other Junior Secured Obligations Secured Parties shall not, and shall not instruct any Representative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 in or realize upon, or take any other action available to it in respect of, any Senior Secured Obligations Collateral, whether under any ABL Obligations Document, any Non-ABL Obligations Document, applicable law or otherwise, it being agreed that (A) only the Applicable Senior Representative (or any person authorized by it), acting in accordance with the ABL Obligations Collateral Documents or the First Lien Facility Collateral Documents, as applicable, shall be entitled to take any such actions or exercise any such remedies, or to cause any Representative to do so and (B) notwithstanding the foregoing, the Applicable Junior Representative, the Junior Agents and the other Junior Secured Obligations Secured Parties may take any Permitted Remedies, and (iv) each of the Applicable Junior Representative, the Junior Agents and the other Junior Secured Obligations Secured Parties, hereby waive any right of subrogation any of them may acquire as a result of any payment hereunder until the Discharge of the Senior Secured Obligations has occurred. The Applicable Senior Representative and each Senior Agent may deal with the Senior Secured</w:t>
      </w:r>
    </w:p>
    <w:p>
      <w:pPr>
        <w:sectPr>
          <w:pgSz w:w="11900" w:h="16838" w:orient="portrait"/>
          <w:cols w:equalWidth="0" w:num="1">
            <w:col w:w="10760"/>
          </w:cols>
          <w:pgMar w:left="600" w:top="1440" w:right="539" w:bottom="1440" w:gutter="0" w:footer="0" w:header="0"/>
        </w:sectPr>
      </w:pPr>
    </w:p>
    <w:bookmarkStart w:id="302" w:name="page303"/>
    <w:bookmarkEnd w:id="302"/>
    <w:p>
      <w:pPr>
        <w:jc w:val="both"/>
        <w:ind w:left="180" w:right="20"/>
        <w:spacing w:after="0" w:line="238" w:lineRule="auto"/>
        <w:rPr>
          <w:sz w:val="20"/>
          <w:szCs w:val="20"/>
          <w:color w:val="auto"/>
        </w:rPr>
      </w:pPr>
      <w:r>
        <w:rPr>
          <w:rFonts w:ascii="Times New Roman" w:cs="Times New Roman" w:eastAsia="Times New Roman" w:hAnsi="Times New Roman"/>
          <w:sz w:val="22"/>
          <w:szCs w:val="22"/>
          <w:color w:val="auto"/>
        </w:rPr>
        <w:t xml:space="preserve">Obligations Collateral as if they had a senior Lien on such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the First Lien/Second Lien Intercreditor Representative, the First Lien Collateral Agent or any Other First Lien Obligations Agent, the provisions of any First Lien/First Lien Intercreditor Agreement and the First Lien/Second Lien Intercreditor Agreement, in each case to the extent not in contravention of this Agreement, shall also be complied with. Furthermore, the Applicable Junior Representative, for itself and on behalf of the Junior Secured Obligations Secured Parties, acknowledges and agrees that it and they will not contest, protest or object to any foreclosure proceeding or action brought by the Applicable Senior Representative, any Senior Agent or any other Senior Secured Obligations Secured Party, or any other exercise by the Applicable Senior Representative, any Senior Agent or any other Senior Secured Obligations Secured Party of any rights and remedies relating to the Senior Secured Obligations Collateral.</w:t>
      </w:r>
    </w:p>
    <w:p>
      <w:pPr>
        <w:spacing w:after="0" w:line="213" w:lineRule="exact"/>
        <w:rPr>
          <w:sz w:val="20"/>
          <w:szCs w:val="20"/>
          <w:color w:val="auto"/>
        </w:rPr>
      </w:pPr>
    </w:p>
    <w:p>
      <w:pPr>
        <w:jc w:val="both"/>
        <w:ind w:left="160" w:firstLine="1298"/>
        <w:spacing w:after="0" w:line="251" w:lineRule="auto"/>
        <w:tabs>
          <w:tab w:leader="none" w:pos="2331"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First Lien/Second Lien Intercreditor Representative, for itself and on behalf of the Non-ABL Obligations Secured Parties, and any other Representative for itself and on behalf of any other Non-ABL Obligations Secured Party, agrees that it will not(and hereby waives any right to) contest or support any other person in contesting, in any proceeding (including any Insolvency or Liquidation Proceeding), the perfection, priority, validity or enforceability of a Lien held by or on behalf of any ABL Obligations Secured Party on all or any part of the Collateral, or the provisions of this Agreement.</w:t>
      </w:r>
    </w:p>
    <w:p>
      <w:pPr>
        <w:spacing w:after="0" w:line="167" w:lineRule="exact"/>
        <w:rPr>
          <w:rFonts w:ascii="Times New Roman" w:cs="Times New Roman" w:eastAsia="Times New Roman" w:hAnsi="Times New Roman"/>
          <w:sz w:val="22"/>
          <w:szCs w:val="22"/>
          <w:color w:val="auto"/>
        </w:rPr>
      </w:pPr>
    </w:p>
    <w:p>
      <w:pPr>
        <w:jc w:val="both"/>
        <w:ind w:firstLine="2595"/>
        <w:spacing w:after="0" w:line="247" w:lineRule="auto"/>
        <w:tabs>
          <w:tab w:leader="none" w:pos="2912"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ABL Representative, for itself and on behalf of the ABL Obligations Secured Parties agrees that it will not (and hereby waives any right to) contest or support any other person in contesting, in any proceeding(including any Insolvency or Liquidation Proceeding), the perfection, priority, validity or enforceability of a Lien held by or on behalf of any First Lien Obligations Secured Party or any Second Lien Obligations Secured Party on all or any part of the Collateral, or the provisions of this Agreement;</w:t>
      </w:r>
    </w:p>
    <w:p>
      <w:pPr>
        <w:spacing w:after="0" w:line="170"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nothing in this Agreement shall be construed to prevent or impair the rights of any ABL Obligations Secured Party, any First Lien Obligations Secured Party or any Second Lien Obligations Secured Party to enforce this Agreement.</w:t>
      </w:r>
    </w:p>
    <w:p>
      <w:pPr>
        <w:spacing w:after="0" w:line="175" w:lineRule="exact"/>
        <w:rPr>
          <w:sz w:val="20"/>
          <w:szCs w:val="20"/>
          <w:color w:val="auto"/>
        </w:rPr>
      </w:pPr>
    </w:p>
    <w:p>
      <w:pPr>
        <w:jc w:val="both"/>
        <w:ind w:left="160" w:firstLine="1298"/>
        <w:spacing w:after="0" w:line="265" w:lineRule="auto"/>
        <w:tabs>
          <w:tab w:leader="none" w:pos="2332"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agree to execute, acknowledge and deliver a memorandum of intercreditor agreement, together with such other documents in furtherance hereof or thereof, in each case, in proper form for recording in connection with any mortgages and in form and substance reasonably satisfactory to each of the Representatives, in those jurisdictions where such recording is reasonably recommended or requested by local real estate counsel and/or the title insurance company, or as otherwise deemed reasonably necessary or proper by the parties hereto.</w:t>
      </w:r>
    </w:p>
    <w:p>
      <w:pPr>
        <w:spacing w:after="0" w:line="152" w:lineRule="exact"/>
        <w:rPr>
          <w:sz w:val="20"/>
          <w:szCs w:val="20"/>
          <w:color w:val="auto"/>
        </w:rPr>
      </w:pPr>
    </w:p>
    <w:p>
      <w:pPr>
        <w:ind w:left="1360"/>
        <w:spacing w:after="0"/>
        <w:tabs>
          <w:tab w:leader="none" w:pos="18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Confirmation of Lien Priorities in Junior Secured Obligations Collateral Documents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17" w:lineRule="exact"/>
        <w:rPr>
          <w:sz w:val="20"/>
          <w:szCs w:val="20"/>
          <w:color w:val="auto"/>
        </w:rPr>
      </w:pPr>
    </w:p>
    <w:p>
      <w:pPr>
        <w:jc w:val="both"/>
        <w:ind w:right="20" w:firstLine="1298"/>
        <w:spacing w:after="0" w:line="263" w:lineRule="auto"/>
        <w:rPr>
          <w:sz w:val="20"/>
          <w:szCs w:val="20"/>
          <w:color w:val="auto"/>
        </w:rPr>
      </w:pPr>
      <w:r>
        <w:rPr>
          <w:rFonts w:ascii="Times New Roman" w:cs="Times New Roman" w:eastAsia="Times New Roman" w:hAnsi="Times New Roman"/>
          <w:sz w:val="22"/>
          <w:szCs w:val="22"/>
          <w:color w:val="auto"/>
        </w:rPr>
        <w:t>Each of the Applicable Junior Representative and the Junior Agents agrees that the Pledgors may cause (and the Pledgors agree to cause) each applicable Junior Secured Obligations Collateral Document entered into concurrently with or after this Agreement, unless</w:t>
      </w:r>
    </w:p>
    <w:p>
      <w:pPr>
        <w:sectPr>
          <w:pgSz w:w="11900" w:h="16838" w:orient="portrait"/>
          <w:cols w:equalWidth="0" w:num="1">
            <w:col w:w="10780"/>
          </w:cols>
          <w:pgMar w:left="580" w:top="1368" w:right="539" w:bottom="1440" w:gutter="0" w:footer="0" w:header="0"/>
        </w:sectPr>
      </w:pPr>
    </w:p>
    <w:bookmarkStart w:id="303" w:name="page304"/>
    <w:bookmarkEnd w:id="303"/>
    <w:p>
      <w:pPr>
        <w:ind w:right="40"/>
        <w:spacing w:after="0" w:line="271" w:lineRule="auto"/>
        <w:rPr>
          <w:sz w:val="20"/>
          <w:szCs w:val="20"/>
          <w:color w:val="auto"/>
        </w:rPr>
      </w:pPr>
      <w:r>
        <w:rPr>
          <w:rFonts w:ascii="Times New Roman" w:cs="Times New Roman" w:eastAsia="Times New Roman" w:hAnsi="Times New Roman"/>
          <w:sz w:val="22"/>
          <w:szCs w:val="22"/>
          <w:color w:val="auto"/>
        </w:rPr>
        <w:t>otherwise agreed to by the Applicable Senior Representative, to include the following language (or language to similar effect approved by the relevant Applicable Senior Representative):</w:t>
      </w:r>
    </w:p>
    <w:p>
      <w:pPr>
        <w:spacing w:after="0" w:line="158" w:lineRule="exact"/>
        <w:rPr>
          <w:sz w:val="20"/>
          <w:szCs w:val="20"/>
          <w:color w:val="auto"/>
        </w:rPr>
      </w:pPr>
    </w:p>
    <w:p>
      <w:pPr>
        <w:jc w:val="both"/>
        <w:ind w:left="1300" w:right="660"/>
        <w:spacing w:after="0" w:line="248" w:lineRule="auto"/>
        <w:rPr>
          <w:sz w:val="20"/>
          <w:szCs w:val="20"/>
          <w:color w:val="auto"/>
        </w:rPr>
      </w:pPr>
      <w:r>
        <w:rPr>
          <w:rFonts w:ascii="Times New Roman" w:cs="Times New Roman" w:eastAsia="Times New Roman" w:hAnsi="Times New Roman"/>
          <w:sz w:val="22"/>
          <w:szCs w:val="22"/>
          <w:color w:val="auto"/>
        </w:rPr>
        <w:t>“Notwithstanding anything herein to the contrary, (i) the liens and security interests granted to [applicable Junior Agent] for the benefit of the [applicable Junior Secured Obligations Secured Parties] pursuant to this Agreement and (ii) the exercise of any right or remedy by [applicable Junior Agent] hereunder or the application of proceeds (including insurance proceeds and condemnation proceeds) of any Shared Collateral, are subject to the provisions of that certain ABL Intercreditor Agreement dated as of [mm] [dd], [yyyy] (as amended, supplemented, restated, replaced, extended or otherwise modified from time to time, the “</w:t>
      </w:r>
      <w:r>
        <w:rPr>
          <w:rFonts w:ascii="Times New Roman" w:cs="Times New Roman" w:eastAsia="Times New Roman" w:hAnsi="Times New Roman"/>
          <w:sz w:val="22"/>
          <w:szCs w:val="22"/>
          <w:b w:val="1"/>
          <w:bCs w:val="1"/>
          <w:color w:val="auto"/>
        </w:rPr>
        <w:t>ABL Intercreditor Agreement</w:t>
      </w:r>
      <w:r>
        <w:rPr>
          <w:rFonts w:ascii="Times New Roman" w:cs="Times New Roman" w:eastAsia="Times New Roman" w:hAnsi="Times New Roman"/>
          <w:sz w:val="22"/>
          <w:szCs w:val="22"/>
          <w:color w:val="auto"/>
        </w:rPr>
        <w:t>”), between [ ], as the ABL Representative, JPMORGAN CHASE BANK, N.A., as the First Lien Collateral Agent, the Designated Senior Representative and the First Lien/Second Lien Intercreditor Representative, [ ], as the Second Lien Collateral Agent and the Designated Second Priority Representative, and SOTERA HEALTH COMPANY and certain of its subsidiaries. In the event of any conflict between the terms of the ABL Intercreditor Agreement and the terms of this Agreement, the terms of the ABL Intercreditor Agreement shall govern.”</w:t>
      </w:r>
    </w:p>
    <w:p>
      <w:pPr>
        <w:spacing w:after="0" w:line="193" w:lineRule="exact"/>
        <w:rPr>
          <w:sz w:val="20"/>
          <w:szCs w:val="20"/>
          <w:color w:val="auto"/>
        </w:rPr>
      </w:pPr>
    </w:p>
    <w:p>
      <w:pPr>
        <w:ind w:left="1000"/>
        <w:spacing w:after="0"/>
        <w:tabs>
          <w:tab w:leader="none" w:pos="16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No Duties of Senior Agents; Provision of Notice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80" w:right="20" w:firstLine="1292"/>
        <w:spacing w:after="0" w:line="271" w:lineRule="auto"/>
        <w:tabs>
          <w:tab w:leader="none" w:pos="2338"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Applicable Junior Representative, the Junior Agents and other Junior Secured Obligations Secured Parties acknowledges and agrees that:</w:t>
      </w:r>
    </w:p>
    <w:p>
      <w:pPr>
        <w:spacing w:after="0" w:line="157" w:lineRule="exact"/>
        <w:rPr>
          <w:rFonts w:ascii="Times New Roman" w:cs="Times New Roman" w:eastAsia="Times New Roman" w:hAnsi="Times New Roman"/>
          <w:sz w:val="22"/>
          <w:szCs w:val="22"/>
          <w:color w:val="auto"/>
        </w:rPr>
      </w:pPr>
    </w:p>
    <w:p>
      <w:pPr>
        <w:jc w:val="both"/>
        <w:ind w:left="660" w:firstLine="898"/>
        <w:spacing w:after="0" w:line="260" w:lineRule="auto"/>
        <w:tabs>
          <w:tab w:leader="none" w:pos="2324" w:val="left"/>
        </w:tabs>
        <w:numPr>
          <w:ilvl w:val="1"/>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Senior Representative, the Senior Agents and the other Senior Secured Obligations Secured Party shall not have any duties or other obligations to the Applicable Junior Representative, the Junior Agents or the other Junior Secured Obligations Secured Parties with respect to any Senior Secured Obligations Collateral, other than to transfer to the Applicable Junior Representative any proceeds of any such Collateral that constitutes Shared Collateral remaining in its possession following any Disposition of such Collateral (in each case, unless the Junior Secured Obligations have been Discharged prior to or concurrently with such Disposition, payment or satisfaction) and the Discharge of the Senior Secured Obligations secured thereby, or if any Senior Agent shall be in possession of all or any part of such Collateral after such payment and satisfaction in full and termination, such Collateral or any part thereof remaining, in each case without any representation or warranty on the part of such Senior Agent or any other Senior Secured Obligations Secured Party; and</w:t>
      </w:r>
    </w:p>
    <w:p>
      <w:pPr>
        <w:spacing w:after="0" w:line="178" w:lineRule="exact"/>
        <w:rPr>
          <w:rFonts w:ascii="Times New Roman" w:cs="Times New Roman" w:eastAsia="Times New Roman" w:hAnsi="Times New Roman"/>
          <w:sz w:val="21"/>
          <w:szCs w:val="21"/>
          <w:color w:val="auto"/>
        </w:rPr>
      </w:pPr>
    </w:p>
    <w:p>
      <w:pPr>
        <w:jc w:val="both"/>
        <w:ind w:left="660" w:firstLine="898"/>
        <w:spacing w:after="0" w:line="243" w:lineRule="auto"/>
        <w:tabs>
          <w:tab w:leader="none" w:pos="2330"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none of the Applicable Senior Representative, the Senior Agents or any other Senior Secured Obligations Secured Party shall have any duty or obligation first to marshal or realize upon any type of Senior Secured Obligations Collateral (or any other collateral securing the Senior Secured Obligations), or to Dispose of or otherwise liquidate all or any portion of such Collateral (or any other collateral securing the Senior Secured Obligations), in any manner that would maximize the return to the Junior Secured Obligations Secured Parties,</w:t>
      </w:r>
    </w:p>
    <w:p>
      <w:pPr>
        <w:sectPr>
          <w:pgSz w:w="11900" w:h="16838" w:orient="portrait"/>
          <w:cols w:equalWidth="0" w:num="1">
            <w:col w:w="10780"/>
          </w:cols>
          <w:pgMar w:left="580" w:top="1422" w:right="539" w:bottom="1440" w:gutter="0" w:footer="0" w:header="0"/>
        </w:sectPr>
      </w:pPr>
    </w:p>
    <w:bookmarkStart w:id="304" w:name="page305"/>
    <w:bookmarkEnd w:id="304"/>
    <w:p>
      <w:pPr>
        <w:spacing w:after="0" w:line="131" w:lineRule="exact"/>
        <w:rPr>
          <w:sz w:val="20"/>
          <w:szCs w:val="20"/>
          <w:color w:val="auto"/>
        </w:rPr>
      </w:pPr>
    </w:p>
    <w:p>
      <w:pPr>
        <w:jc w:val="both"/>
        <w:ind w:left="920"/>
        <w:spacing w:after="0" w:line="257" w:lineRule="auto"/>
        <w:rPr>
          <w:sz w:val="20"/>
          <w:szCs w:val="20"/>
          <w:color w:val="auto"/>
        </w:rPr>
      </w:pPr>
      <w:r>
        <w:rPr>
          <w:rFonts w:ascii="Times New Roman" w:cs="Times New Roman" w:eastAsia="Times New Roman" w:hAnsi="Times New Roman"/>
          <w:sz w:val="22"/>
          <w:szCs w:val="22"/>
          <w:color w:val="auto"/>
        </w:rPr>
        <w:t>notwithstanding that the order and timing of any such realization, Disposition or liquidation may affect the amount of proceeds actually received by the Junior Secured Obligations Secured Parties from such realization, Disposition or liquidation.</w:t>
      </w:r>
    </w:p>
    <w:p>
      <w:pPr>
        <w:spacing w:after="0" w:line="173" w:lineRule="exact"/>
        <w:rPr>
          <w:sz w:val="20"/>
          <w:szCs w:val="20"/>
          <w:color w:val="auto"/>
        </w:rPr>
      </w:pPr>
    </w:p>
    <w:p>
      <w:pPr>
        <w:jc w:val="both"/>
        <w:ind w:left="260" w:firstLine="1298"/>
        <w:spacing w:after="0" w:line="260" w:lineRule="auto"/>
        <w:rPr>
          <w:sz w:val="20"/>
          <w:szCs w:val="20"/>
          <w:color w:val="auto"/>
        </w:rPr>
      </w:pPr>
      <w:r>
        <w:rPr>
          <w:rFonts w:ascii="Times New Roman" w:cs="Times New Roman" w:eastAsia="Times New Roman" w:hAnsi="Times New Roman"/>
          <w:sz w:val="21"/>
          <w:szCs w:val="21"/>
          <w:color w:val="auto"/>
        </w:rPr>
        <w:t>Each of the Applicable Junior Representative, the Junior Agents and other Junior Secured Obligations Secured Parties waives any claim it or any other Junior Secured Obligations Secured Party may now or hereafter have against the Applicable Senior Representative, any Senior Agent or any other Senior Secured Obligations Secured Parties (or their Representatives) arising out of (x) any actions which the Applicable Senior Representative, such Senior Agent or any such other Senior Secured Obligations Secured Parties (or their Representatives) takes or omits to take (including actions with respect to the creation, perfection or continuation of Liens on any Collateral, actions with respect to the foreclosure upon, Disposition, release or depreciation of, or failure to realize upon, any of the Collateral and actions with respect to the collection of any claim for all or any part of the Senior Secured Obligations from any account debtor, guarantor or any other party) in accordance with the relevant Senior Secured Obligations Documents or any other agreement related thereto or to the collection of the Senior Secured Obligations or the valuation, use, protection or release of any security for the Senior Secured Obligations, (y) any election by the Applicable Senior Representative, any Senior Agent or any other Senior Secured Obligations Secured Parties (or their Representative), in any proceeding instituted under the Bankruptcy Code, of the application of Section 1111(b) of the Bankruptcy Code or (z) subject to Section 2.7 (Certain Agreements With Respect to Bankruptcy or Insolvency Proceedings), any borrowing by, or grant of a security interest or administrative expense priority under Section 364 of the Bankruptcy Code by, the Company or any of its subsidiaries, as debtor-in-possession.</w:t>
      </w:r>
    </w:p>
    <w:p>
      <w:pPr>
        <w:spacing w:after="0" w:line="166" w:lineRule="exact"/>
        <w:rPr>
          <w:sz w:val="20"/>
          <w:szCs w:val="20"/>
          <w:color w:val="auto"/>
        </w:rPr>
      </w:pPr>
    </w:p>
    <w:p>
      <w:pPr>
        <w:jc w:val="both"/>
        <w:ind w:left="420" w:right="20" w:firstLine="1298"/>
        <w:spacing w:after="0" w:line="252" w:lineRule="auto"/>
        <w:tabs>
          <w:tab w:leader="none" w:pos="2591"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Lien Collateral Agent shall, at the Company’s request, after it no longer is the First Lien/Second Lien Intercreditor Representative, notify the Company, the ABL Representative, each other First Lien Obligations Representative, the Designated Second Priority Representative and each other Second Lien Obligations Representative of the same.</w:t>
      </w:r>
    </w:p>
    <w:p>
      <w:pPr>
        <w:spacing w:after="0" w:line="166" w:lineRule="exact"/>
        <w:rPr>
          <w:sz w:val="20"/>
          <w:szCs w:val="20"/>
          <w:color w:val="auto"/>
        </w:rPr>
      </w:pPr>
    </w:p>
    <w:p>
      <w:pPr>
        <w:ind w:right="20" w:firstLine="1622"/>
        <w:spacing w:after="0" w:line="271"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No Interference; Payment Over; Avoidance Issues</w:t>
      </w:r>
      <w:r>
        <w:rPr>
          <w:rFonts w:ascii="Times New Roman" w:cs="Times New Roman" w:eastAsia="Times New Roman" w:hAnsi="Times New Roman"/>
          <w:sz w:val="22"/>
          <w:szCs w:val="22"/>
          <w:color w:val="auto"/>
        </w:rPr>
        <w:t>. (a) Each of the Applicable Junior Representative, the Junior Agents and any other Junior Secured Obligations Secured Parties agrees that:</w:t>
      </w:r>
    </w:p>
    <w:p>
      <w:pPr>
        <w:spacing w:after="0" w:line="158" w:lineRule="exact"/>
        <w:rPr>
          <w:sz w:val="20"/>
          <w:szCs w:val="20"/>
          <w:color w:val="auto"/>
        </w:rPr>
      </w:pPr>
    </w:p>
    <w:p>
      <w:pPr>
        <w:jc w:val="both"/>
        <w:ind w:left="920" w:firstLine="898"/>
        <w:spacing w:after="0" w:line="251" w:lineRule="auto"/>
        <w:tabs>
          <w:tab w:leader="none" w:pos="2584"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challenge or question in any proceeding (x) the validity or enforceability of any ABL Obligations Collateral Documents, any First Lien Obligations Collateral Documents or any Second Lien Obligations Collateral Documents, (y) the validity, attachment, perfection or priority of any Lien under the ABL Obligations Collateral Documents, any ABL Pari Obligations Collateral Documents, any First Lien Obligations Collateral Documents or any Second Lien Obligations Collateral Documents, or (z) the validity or enforceability of the priorities, rights or duties established by or other provisions of this Agreement;</w:t>
      </w:r>
    </w:p>
    <w:p>
      <w:pPr>
        <w:spacing w:after="0" w:line="6" w:lineRule="exact"/>
        <w:rPr>
          <w:sz w:val="20"/>
          <w:szCs w:val="20"/>
          <w:color w:val="auto"/>
        </w:rPr>
      </w:pPr>
    </w:p>
    <w:p>
      <w:pPr>
        <w:jc w:val="both"/>
        <w:ind w:left="920" w:right="20" w:firstLine="884"/>
        <w:spacing w:after="0" w:line="244" w:lineRule="auto"/>
        <w:tabs>
          <w:tab w:leader="none" w:pos="2604"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take or cause to be taken any action the purpose or intent of which is, or could be, to interfere, hinder or delay, in any manner, whether by judicial proceedings or otherwise, any sale, transfer or other Disposition of the Senior Secured Obligations Collateral by the Applicable Senior Representative, any Senior Agent or any other Senior Secured Obligations Secured Party;</w:t>
      </w:r>
    </w:p>
    <w:p>
      <w:pPr>
        <w:sectPr>
          <w:pgSz w:w="11900" w:h="16838" w:orient="portrait"/>
          <w:cols w:equalWidth="0" w:num="1">
            <w:col w:w="11040"/>
          </w:cols>
          <w:pgMar w:left="320" w:top="1440" w:right="539" w:bottom="1440" w:gutter="0" w:footer="0" w:header="0"/>
        </w:sectPr>
      </w:pPr>
    </w:p>
    <w:bookmarkStart w:id="305" w:name="page306"/>
    <w:bookmarkEnd w:id="305"/>
    <w:p>
      <w:pPr>
        <w:spacing w:after="0" w:line="158" w:lineRule="exact"/>
        <w:rPr>
          <w:sz w:val="20"/>
          <w:szCs w:val="20"/>
          <w:color w:val="auto"/>
        </w:rPr>
      </w:pPr>
    </w:p>
    <w:p>
      <w:pPr>
        <w:jc w:val="both"/>
        <w:ind w:left="-200" w:firstLine="899"/>
        <w:spacing w:after="0" w:line="253" w:lineRule="auto"/>
        <w:tabs>
          <w:tab w:leader="none" w:pos="1477"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not have any right to (A) direct the Applicable Senior Representative, any Senior Agent or any other Senior Secured Obligations Secured Party to exercise any right, remedy or power with respect to any Senior Secured Obligations Collateral or (B) consent to the exercise by the Applicable Senior Representative, any Senior Agent or any other Senior Secured Obligations Secured Party of any right, remedy or power with respect to any Senior Secured Obligations Collateral;</w:t>
      </w:r>
    </w:p>
    <w:p>
      <w:pPr>
        <w:spacing w:after="0" w:line="165" w:lineRule="exact"/>
        <w:rPr>
          <w:rFonts w:ascii="Times New Roman" w:cs="Times New Roman" w:eastAsia="Times New Roman" w:hAnsi="Times New Roman"/>
          <w:sz w:val="22"/>
          <w:szCs w:val="22"/>
          <w:color w:val="auto"/>
        </w:rPr>
      </w:pPr>
    </w:p>
    <w:p>
      <w:pPr>
        <w:jc w:val="both"/>
        <w:ind w:left="-200" w:firstLine="899"/>
        <w:spacing w:after="0" w:line="252" w:lineRule="auto"/>
        <w:tabs>
          <w:tab w:leader="none" w:pos="1479"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institute any suit or assert in any suit, bankruptcy, insolvency or other proceeding any claim against the Applicable Senior Representative, any Senior Agent or any other Senior Secured Obligations Secured Party seeking damages from or other relief by way of specific performance, instructions or otherwise with respect to, and none of the Applicable Senior Representative, any Senior Agent or any other Senior Secured Obligations Secured Party shall be liable for, any action taken or omitted to be taken by the Applicable Senior Representative, any Senior Agent or any other Senior Secured Obligations Secured Party with respect to any Senior Secured Obligations Collateral;</w:t>
      </w:r>
    </w:p>
    <w:p>
      <w:pPr>
        <w:spacing w:after="0" w:line="165" w:lineRule="exact"/>
        <w:rPr>
          <w:rFonts w:ascii="Times New Roman" w:cs="Times New Roman" w:eastAsia="Times New Roman" w:hAnsi="Times New Roman"/>
          <w:sz w:val="22"/>
          <w:szCs w:val="22"/>
          <w:color w:val="auto"/>
        </w:rPr>
      </w:pPr>
    </w:p>
    <w:p>
      <w:pPr>
        <w:ind w:left="-200" w:right="40" w:firstLine="899"/>
        <w:spacing w:after="0" w:line="271" w:lineRule="auto"/>
        <w:tabs>
          <w:tab w:leader="none" w:pos="1486"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seek, and hereby waives any right, to have any Senior Secured Obligations Collateral or any part thereof marshaled upon any foreclosure or other Disposition of such Collateral; and</w:t>
      </w:r>
    </w:p>
    <w:p>
      <w:pPr>
        <w:spacing w:after="0" w:line="157" w:lineRule="exact"/>
        <w:rPr>
          <w:rFonts w:ascii="Times New Roman" w:cs="Times New Roman" w:eastAsia="Times New Roman" w:hAnsi="Times New Roman"/>
          <w:sz w:val="22"/>
          <w:szCs w:val="22"/>
          <w:color w:val="auto"/>
        </w:rPr>
      </w:pPr>
    </w:p>
    <w:p>
      <w:pPr>
        <w:jc w:val="both"/>
        <w:ind w:left="-200" w:firstLine="898"/>
        <w:spacing w:after="0" w:line="272" w:lineRule="auto"/>
        <w:tabs>
          <w:tab w:leader="none" w:pos="1464" w:val="left"/>
        </w:tabs>
        <w:numPr>
          <w:ilvl w:val="1"/>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will not attempt, directly or indirectly, whether by judicial proceedings or otherwise, to challenge the enforceability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nothing in this Agreement shall be construed to prevent or impair the rights of any ABL Obligations Secured Party, any First Lien Obligations Secured Party or any Second Lien Obligations Secured Party to enforce this Agreement in accordance with its terms.</w:t>
      </w:r>
    </w:p>
    <w:p>
      <w:pPr>
        <w:spacing w:after="0" w:line="147" w:lineRule="exact"/>
        <w:rPr>
          <w:rFonts w:ascii="Times New Roman" w:cs="Times New Roman" w:eastAsia="Times New Roman" w:hAnsi="Times New Roman"/>
          <w:sz w:val="21"/>
          <w:szCs w:val="21"/>
          <w:color w:val="auto"/>
        </w:rPr>
      </w:pPr>
    </w:p>
    <w:p>
      <w:pPr>
        <w:jc w:val="both"/>
        <w:ind w:left="-680" w:firstLine="1292"/>
        <w:spacing w:after="0" w:line="248" w:lineRule="auto"/>
        <w:tabs>
          <w:tab w:leader="none" w:pos="1477"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Applicable Junior Representative, the Junior Agents and the other Junior Secured Obligations Secured Parties hereby agrees that if it shall obtain possession of any Senior Secured Obligations Collateral or shall realize any proceeds or payment in respect of any such Collateral, pursuant to its exercise of remedies with respect to such Collateral pursuant to any ABL Obligations Collateral Document, any First Lien Obligations Collateral Document or any Second Lien Obligations Collateral Document, or under applicable law or through any other exercise of remedies, at any time prior to the Discharge of the Senior Secured Obligations, then it shall hold such Collateral, proceeds or payment in trust for the Senior Secured Obligations Secured Parties and transfer such Collateral, proceeds or payment, as the case may be, to the Applicable Senior Representative reasonably promptly after obtaining actual knowledge (or notice from the Applicable Senior Representative) that it is in possession of such Collateral, proceeds or payment. Each of the Applicable Junior Representative, Junior Agents and other Junior Secured Obligations Secured Parties agrees that, if at any time it receives notice or obtains actual knowledge that all or part of any payment with respect to any Senior Secured Obligations previously made shall be rescinded for any reason whatsoever, it shall promptly pay over to the Applicable Senior Representative any such payment received by it and then in its possession or under its control in respect of any Senior Secured Obligations Collateral and shall promptly turn over any Senior Secured Obligations Collateral then held by it over to the Applicable Senior Representative, at</w:t>
      </w:r>
    </w:p>
    <w:p>
      <w:pPr>
        <w:sectPr>
          <w:pgSz w:w="11900" w:h="16838" w:orient="portrait"/>
          <w:cols w:equalWidth="0" w:num="1">
            <w:col w:w="9920"/>
          </w:cols>
          <w:pgMar w:left="1440" w:top="1440" w:right="539" w:bottom="1440" w:gutter="0" w:footer="0" w:header="0"/>
        </w:sectPr>
      </w:pPr>
    </w:p>
    <w:bookmarkStart w:id="306" w:name="page307"/>
    <w:bookmarkEnd w:id="306"/>
    <w:p>
      <w:pPr>
        <w:spacing w:after="0" w:line="144" w:lineRule="exact"/>
        <w:rPr>
          <w:sz w:val="20"/>
          <w:szCs w:val="20"/>
          <w:color w:val="auto"/>
        </w:rPr>
      </w:pPr>
    </w:p>
    <w:p>
      <w:pPr>
        <w:ind w:left="20" w:right="20"/>
        <w:spacing w:after="0" w:line="271" w:lineRule="auto"/>
        <w:rPr>
          <w:sz w:val="20"/>
          <w:szCs w:val="20"/>
          <w:color w:val="auto"/>
        </w:rPr>
      </w:pPr>
      <w:r>
        <w:rPr>
          <w:rFonts w:ascii="Times New Roman" w:cs="Times New Roman" w:eastAsia="Times New Roman" w:hAnsi="Times New Roman"/>
          <w:sz w:val="22"/>
          <w:szCs w:val="22"/>
          <w:color w:val="auto"/>
        </w:rPr>
        <w:t>the Company’s expense, and the provisions set forth in this Agreement shall be reinstated as if such payment had not been made, until the Discharge of the Senior Secured Obligations has occurred.</w:t>
      </w:r>
    </w:p>
    <w:p>
      <w:pPr>
        <w:spacing w:after="0" w:line="144" w:lineRule="exact"/>
        <w:rPr>
          <w:sz w:val="20"/>
          <w:szCs w:val="20"/>
          <w:color w:val="auto"/>
        </w:rPr>
      </w:pPr>
    </w:p>
    <w:p>
      <w:pPr>
        <w:jc w:val="both"/>
        <w:ind w:left="20" w:firstLine="1292"/>
        <w:spacing w:after="0" w:line="262" w:lineRule="auto"/>
        <w:tabs>
          <w:tab w:leader="none" w:pos="2178"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Senior Secured Obligations Secured Party is required in any Insolvency or Liquidation Proceeding or otherwise to turn over or otherwise pay to the estate of the Company or any other Pledgor (or any trustee, receiver or similar person therefor), because the payment of such amount was declared to be fraudulent or preferential in any respect or for any other reason, any amount (a “</w:t>
      </w:r>
      <w:r>
        <w:rPr>
          <w:rFonts w:ascii="Times New Roman" w:cs="Times New Roman" w:eastAsia="Times New Roman" w:hAnsi="Times New Roman"/>
          <w:sz w:val="21"/>
          <w:szCs w:val="21"/>
          <w:b w:val="1"/>
          <w:bCs w:val="1"/>
          <w:color w:val="auto"/>
        </w:rPr>
        <w:t>Recovery</w:t>
      </w:r>
      <w:r>
        <w:rPr>
          <w:rFonts w:ascii="Times New Roman" w:cs="Times New Roman" w:eastAsia="Times New Roman" w:hAnsi="Times New Roman"/>
          <w:sz w:val="21"/>
          <w:szCs w:val="21"/>
          <w:color w:val="auto"/>
        </w:rPr>
        <w:t>”), whether received as proceeds of security, enforcement of any right of setoff or otherwise, then as among the parties hereto, the relevant Senior Secured Obligations shall be deemed to be reinstated to the extent of such Recovery and to be outstanding as if such payment had not occurred and such Senior Secured Obligations Secured Parties shall be entitled to a Discharge of such Senior Secured Obligations with respect to all such Recovery and shall have all rights hereunder until such time. If this Agreement shall have been terminated prior to such Recovery, this Agreement shall be reinstated in full force and effect, and such prior termination shall not diminish, release, discharge, impair or otherwise affect the obligations of the parties hereto.</w:t>
      </w:r>
    </w:p>
    <w:p>
      <w:pPr>
        <w:spacing w:after="0" w:line="172" w:lineRule="exact"/>
        <w:rPr>
          <w:sz w:val="20"/>
          <w:szCs w:val="20"/>
          <w:color w:val="auto"/>
        </w:rPr>
      </w:pPr>
    </w:p>
    <w:p>
      <w:pPr>
        <w:jc w:val="both"/>
        <w:ind w:firstLine="1298"/>
        <w:spacing w:after="0" w:line="259" w:lineRule="auto"/>
        <w:rPr>
          <w:sz w:val="20"/>
          <w:szCs w:val="20"/>
          <w:color w:val="auto"/>
        </w:rPr>
      </w:pPr>
      <w:r>
        <w:rPr>
          <w:rFonts w:ascii="Times New Roman" w:cs="Times New Roman" w:eastAsia="Times New Roman" w:hAnsi="Times New Roman"/>
          <w:sz w:val="21"/>
          <w:szCs w:val="21"/>
          <w:u w:val="single" w:color="auto"/>
          <w:color w:val="auto"/>
        </w:rPr>
        <w:t>2.6 Automatic Release of Junior Liens</w:t>
      </w:r>
      <w:r>
        <w:rPr>
          <w:rFonts w:ascii="Times New Roman" w:cs="Times New Roman" w:eastAsia="Times New Roman" w:hAnsi="Times New Roman"/>
          <w:sz w:val="21"/>
          <w:szCs w:val="21"/>
          <w:color w:val="auto"/>
        </w:rPr>
        <w:t xml:space="preserve">. (a) The First Lien/Second Lien Intercreditor Representative, for itself and on behalf of the Non-ABL Obligations Secured Parties, agrees that in the event of a Disposition of any ABL Priority Collateral in connection with the foreclosure upon or other exercise of remedies with respect to such ABL Priority Collateral that results in the release of the Liens held by the ABL Representative and/or any other ABL Obligations Secured Party on such ABL Priority Collateral (regardless of whether or not an Event of Default has occurred and is continuing under any Non-ABL Obligations Document at the time of such Disposition), the Liens on such ABL Priority Collateral held by the applicable First Lien Obligations Representatives, the applicable Second Lien Obligations Representatives or any other Non-ABL Obligations Secured Party shall be automatically released;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the foregoing, (A) until the Discharge of the First Lien Obligations has occurred, the First Lien Obligations Secured Parties shall be entitled to a Lien on and any proceeds of a Disposition under this clause (a) that remain after Discharge of the ABL Obligations, (B) until the Discharge of the Second Lien Obligations has occurred, the Second Lien Obligations Secured Parties shall be entitled to a Lien on and any proceeds of a Disposition under this clause</w:t>
      </w:r>
    </w:p>
    <w:p>
      <w:pPr>
        <w:spacing w:after="0" w:line="2" w:lineRule="exact"/>
        <w:rPr>
          <w:sz w:val="20"/>
          <w:szCs w:val="20"/>
          <w:color w:val="auto"/>
        </w:rPr>
      </w:pPr>
    </w:p>
    <w:p>
      <w:pPr>
        <w:jc w:val="both"/>
        <w:spacing w:after="0" w:line="245" w:lineRule="auto"/>
        <w:tabs>
          <w:tab w:leader="none" w:pos="300"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remain after Discharge of the ABL Obligations and after Discharge of the First Lien Obligation and (C) the Liens on such remaining proceeds securing the Non-ABL Obligations shall not be automatically released pursuant to this Section 2.6(a).</w:t>
      </w:r>
    </w:p>
    <w:p>
      <w:pPr>
        <w:spacing w:after="0" w:line="186" w:lineRule="exact"/>
        <w:rPr>
          <w:rFonts w:ascii="Times New Roman" w:cs="Times New Roman" w:eastAsia="Times New Roman" w:hAnsi="Times New Roman"/>
          <w:sz w:val="22"/>
          <w:szCs w:val="22"/>
          <w:color w:val="auto"/>
        </w:rPr>
      </w:pPr>
    </w:p>
    <w:p>
      <w:pPr>
        <w:jc w:val="both"/>
        <w:ind w:firstLine="1298"/>
        <w:spacing w:after="0" w:line="249" w:lineRule="auto"/>
        <w:tabs>
          <w:tab w:leader="none" w:pos="2172"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ABL Representative, for itself and on behalf of the ABL Obligations Secured Parties, agrees that in the event of a Disposition of any Non-ABL Priority Collateral in connection with the foreclosure upon or other exercise of remedies with respect to such Non- ABL Priority Collateral that results in the release of the Liens on such Non -ABL Priority Collateral held by the Designated Senior Representative and/or any other First Lien Obligations Secured Party (regardless of whether or not an Event of Default has occurred and is continuing under any ABL Obligations Documents at the time of such Disposition), the Lien held by the ABL Representative and/or any other ABL Obligations Secured Party on such Non-ABL Priority Collateral shall be automatically released;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until the Discharge of the ABL Obligations has occurred, (A) the ABL Obligations</w:t>
      </w:r>
    </w:p>
    <w:p>
      <w:pPr>
        <w:sectPr>
          <w:pgSz w:w="11900" w:h="16838" w:orient="portrait"/>
          <w:cols w:equalWidth="0" w:num="1">
            <w:col w:w="10620"/>
          </w:cols>
          <w:pgMar w:left="740" w:top="1440" w:right="539" w:bottom="1440" w:gutter="0" w:footer="0" w:header="0"/>
        </w:sectPr>
      </w:pPr>
    </w:p>
    <w:bookmarkStart w:id="307" w:name="page308"/>
    <w:bookmarkEnd w:id="307"/>
    <w:p>
      <w:pPr>
        <w:spacing w:after="0" w:line="144" w:lineRule="exact"/>
        <w:rPr>
          <w:sz w:val="20"/>
          <w:szCs w:val="20"/>
          <w:color w:val="auto"/>
        </w:rPr>
      </w:pPr>
    </w:p>
    <w:p>
      <w:pPr>
        <w:jc w:val="both"/>
        <w:ind w:left="160" w:right="200"/>
        <w:spacing w:after="0" w:line="257" w:lineRule="auto"/>
        <w:rPr>
          <w:sz w:val="20"/>
          <w:szCs w:val="20"/>
          <w:color w:val="auto"/>
        </w:rPr>
      </w:pPr>
      <w:r>
        <w:rPr>
          <w:rFonts w:ascii="Times New Roman" w:cs="Times New Roman" w:eastAsia="Times New Roman" w:hAnsi="Times New Roman"/>
          <w:sz w:val="22"/>
          <w:szCs w:val="22"/>
          <w:color w:val="auto"/>
        </w:rPr>
        <w:t>Secured Parties shall be entitled to a Lien on and any proceeds of a Disposition under this clause (b) that remain after Discharge of the Non-ABL Obligations has occurred, and the (B) Liens on such remaining proceeds securing the ABL Obligations shall not be automatically released pursuant to this Section 2.6(b).</w:t>
      </w:r>
    </w:p>
    <w:p>
      <w:pPr>
        <w:spacing w:after="0" w:line="173" w:lineRule="exact"/>
        <w:rPr>
          <w:sz w:val="20"/>
          <w:szCs w:val="20"/>
          <w:color w:val="auto"/>
        </w:rPr>
      </w:pPr>
    </w:p>
    <w:p>
      <w:pPr>
        <w:jc w:val="both"/>
        <w:ind w:left="160" w:right="220" w:firstLine="1298"/>
        <w:spacing w:after="0" w:line="253" w:lineRule="auto"/>
        <w:tabs>
          <w:tab w:leader="none" w:pos="2331"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Applicable Junior Representative, the Junior Agents and the other Junior Secured Obligations Secured Parties agrees to execute and deliver (at the sole cost and expense of the Pledgors) all such authorizations and other instruments as shall reasonably be requested by the Applicable Senior Representative or any Senior Agent acting on behalf of the relevant Senior Secured Obligations Secured Parties to evidence and confirm any release of Junior Secured Obligations Collateral provided for in this Section 2.6.</w:t>
      </w:r>
    </w:p>
    <w:p>
      <w:pPr>
        <w:spacing w:after="0" w:line="192" w:lineRule="exact"/>
        <w:rPr>
          <w:sz w:val="20"/>
          <w:szCs w:val="20"/>
          <w:color w:val="auto"/>
        </w:rPr>
      </w:pPr>
    </w:p>
    <w:p>
      <w:pPr>
        <w:ind w:left="20" w:right="4020" w:firstLine="974"/>
        <w:spacing w:after="0" w:line="258"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Certain Agreements with Respect to Bankruptcy or Insolvency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2100" w:hanging="628"/>
        <w:spacing w:after="0"/>
        <w:tabs>
          <w:tab w:leader="none" w:pos="210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continue in full force and effect notwithstanding the</w:t>
      </w:r>
    </w:p>
    <w:p>
      <w:pPr>
        <w:spacing w:after="0" w:line="14" w:lineRule="exact"/>
        <w:rPr>
          <w:sz w:val="20"/>
          <w:szCs w:val="20"/>
          <w:color w:val="auto"/>
        </w:rPr>
      </w:pPr>
    </w:p>
    <w:p>
      <w:pPr>
        <w:jc w:val="both"/>
        <w:ind w:left="180" w:right="220"/>
        <w:spacing w:after="0" w:line="239" w:lineRule="auto"/>
        <w:rPr>
          <w:sz w:val="20"/>
          <w:szCs w:val="20"/>
          <w:color w:val="auto"/>
        </w:rPr>
      </w:pPr>
      <w:r>
        <w:rPr>
          <w:rFonts w:ascii="Times New Roman" w:cs="Times New Roman" w:eastAsia="Times New Roman" w:hAnsi="Times New Roman"/>
          <w:sz w:val="22"/>
          <w:szCs w:val="22"/>
          <w:color w:val="auto"/>
        </w:rPr>
        <w:t>commencement of any Insolvency or Liquidation Proceeding by or against the Company or any of its subsidiaries. Without limiting the generality of the foregoing, the provisions of this Agreement are intended to be and shall be enforceable as a “subordination agreement” under Section 510(a) of the Bankruptcy Code.</w:t>
      </w:r>
    </w:p>
    <w:p>
      <w:pPr>
        <w:spacing w:after="0" w:line="188" w:lineRule="exact"/>
        <w:rPr>
          <w:sz w:val="20"/>
          <w:szCs w:val="20"/>
          <w:color w:val="auto"/>
        </w:rPr>
      </w:pPr>
    </w:p>
    <w:p>
      <w:pPr>
        <w:ind w:left="180" w:right="220" w:firstLine="1292"/>
        <w:spacing w:after="0" w:line="287" w:lineRule="auto"/>
        <w:tabs>
          <w:tab w:leader="none" w:pos="2337"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or any of its subsidiaries shall become subject to a case (a “</w:t>
      </w:r>
      <w:r>
        <w:rPr>
          <w:rFonts w:ascii="Times New Roman" w:cs="Times New Roman" w:eastAsia="Times New Roman" w:hAnsi="Times New Roman"/>
          <w:sz w:val="22"/>
          <w:szCs w:val="22"/>
          <w:b w:val="1"/>
          <w:bCs w:val="1"/>
          <w:color w:val="auto"/>
        </w:rPr>
        <w:t>Bankruptcy Case</w:t>
      </w:r>
      <w:r>
        <w:rPr>
          <w:rFonts w:ascii="Times New Roman" w:cs="Times New Roman" w:eastAsia="Times New Roman" w:hAnsi="Times New Roman"/>
          <w:sz w:val="22"/>
          <w:szCs w:val="22"/>
          <w:color w:val="auto"/>
        </w:rPr>
        <w:t>”) under the Bankruptcy Code:</w:t>
      </w:r>
    </w:p>
    <w:p>
      <w:pPr>
        <w:spacing w:after="0" w:line="128" w:lineRule="exact"/>
        <w:rPr>
          <w:sz w:val="20"/>
          <w:szCs w:val="20"/>
          <w:color w:val="auto"/>
        </w:rPr>
      </w:pPr>
    </w:p>
    <w:p>
      <w:pPr>
        <w:jc w:val="both"/>
        <w:ind w:firstLine="649"/>
        <w:spacing w:after="0" w:line="247" w:lineRule="auto"/>
        <w:rPr>
          <w:sz w:val="20"/>
          <w:szCs w:val="20"/>
          <w:color w:val="auto"/>
        </w:rPr>
      </w:pPr>
      <w:r>
        <w:rPr>
          <w:rFonts w:ascii="Times New Roman" w:cs="Times New Roman" w:eastAsia="Times New Roman" w:hAnsi="Times New Roman"/>
          <w:sz w:val="22"/>
          <w:szCs w:val="22"/>
          <w:color w:val="auto"/>
        </w:rPr>
        <w:t>if the ABL Representative desires to permit the use of cash collateral or to permit the Company and/or any of its subsidiaries to obtain financing under Section 363 or Section 364 of the Bankruptcy Code or under any other similar law (“</w:t>
      </w:r>
      <w:r>
        <w:rPr>
          <w:rFonts w:ascii="Times New Roman" w:cs="Times New Roman" w:eastAsia="Times New Roman" w:hAnsi="Times New Roman"/>
          <w:sz w:val="22"/>
          <w:szCs w:val="22"/>
          <w:b w:val="1"/>
          <w:bCs w:val="1"/>
          <w:color w:val="auto"/>
        </w:rPr>
        <w:t>DIP Financing</w:t>
      </w:r>
      <w:r>
        <w:rPr>
          <w:rFonts w:ascii="Times New Roman" w:cs="Times New Roman" w:eastAsia="Times New Roman" w:hAnsi="Times New Roman"/>
          <w:sz w:val="22"/>
          <w:szCs w:val="22"/>
          <w:color w:val="auto"/>
        </w:rPr>
        <w:t>”) either secured by a Lien on, or constituting the proceeds of, the ABL Priority Collateral, then the First Lien/Second Lien Intercreditor Representative, for itself and on behalf of the Non-ABL Obligations Secured Parties, hereby agrees: (A) not to object to such use of cash collateral or DIP Financing or to request adequate protection (except as otherwise expressly permitted by the terms of this Agreement) or any other relief in connection therewith so long as the Non-ABL Obligations Secured Parties retain the benefit of their Liens on the ABL Priority Collateral, including proceeds thereof arising after the commencement of such Bankruptcy Case (to the extent provided for under applicable law), with the same priority vis-à-vis the ABL Obligations Secured Parties (other than with respect to any Liens granted thereto securing such DIP Financing) as existed prior to the commencement of such Bankruptcy Case and (B) to the extent the Liens on the ABL Priority Collateral securing the ABL Obligations are subordinated to, or pari passu with, such DIP Financing, to subordinate its Liens on the ABL Priority Collateral to the Liens granted to the lenders providing such DIP Financing (and all obligations relating thereto, including any “carve- out” from the ABL Priority Collateral granting administrative priority status or Lien priority to secure the payment of fees and expenses of the United States Trustee or professionals retained by any debtor or creditors’ committee agreed to by the ABL Representative or the other ABL Obligations Secured Parties) and to any adequate protection Liens granted to the ABL Representative or any other ABL Obligations Secured Party on the same basis as the Liens on such ABL Priority Collateral securing the ABL Obligations are subordinated to such DIP Financing or to confirm the priorities with respect to such ABL Priority Collateral as set forth herein, as applicable; and</w:t>
      </w:r>
    </w:p>
    <w:p>
      <w:pPr>
        <w:sectPr>
          <w:pgSz w:w="11900" w:h="16838" w:orient="portrait"/>
          <w:cols w:equalWidth="0" w:num="1">
            <w:col w:w="10980"/>
          </w:cols>
          <w:pgMar w:left="580" w:top="1440" w:right="339" w:bottom="1440" w:gutter="0" w:footer="0" w:header="0"/>
        </w:sectPr>
      </w:pPr>
    </w:p>
    <w:bookmarkStart w:id="308" w:name="page309"/>
    <w:bookmarkEnd w:id="308"/>
    <w:p>
      <w:pPr>
        <w:spacing w:after="0" w:line="158" w:lineRule="exact"/>
        <w:rPr>
          <w:sz w:val="20"/>
          <w:szCs w:val="20"/>
          <w:color w:val="auto"/>
        </w:rPr>
      </w:pPr>
    </w:p>
    <w:p>
      <w:pPr>
        <w:jc w:val="both"/>
        <w:ind w:left="500" w:firstLine="899"/>
        <w:spacing w:after="0" w:line="259" w:lineRule="auto"/>
        <w:tabs>
          <w:tab w:leader="none" w:pos="2179" w:val="left"/>
        </w:tabs>
        <w:numPr>
          <w:ilvl w:val="2"/>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First Lien/Second Lien Intercreditor Representative desires to permit the Company and/or any of its subsidiaries to obtain any DIP Financing secured by a Lien on, or constituting the proceeds of, Non-ABL Priority Collateral, then the ABL Representative, for itself and on behalf of the ABL Obligations Secured Parties, hereby agrees: (A) not to object to such use of cash collateral or DIP Financing or to request adequate protection (except as otherwise expressly permitted by the terms of this Agreement) or any other relief in connection therewith so long as the ABL Obligations Secured Parties retain the benefit of their Liens on the Non-ABL Priority Collateral, including proceeds thereof arising after the commencement of such Bankruptcy Case (to the extent provided for under applicable law), with the same priority vis-à-vis the First Lien Obligations Secured Parties and the Second Lien Obligations Secured Parties (other than with respect to any DIP Financing Liens granted thereto) as existed prior to the commencement of such Bankruptcy Case and (B) to the extent the Liens on Non -ABL Priority Collateral securing the First Lien Obligations and/or the Second Lien Obligations are subordinated to, or pari passu with, such DIP Financing, to subordinate its Liens on the Non-ABL Priority Collateral to the Liens granted to the lenders providing such DIP Financing (and all obligations relating thereto, including any “carve-out” from the Non-ABL Priority Collateral granting administrative priority status or Lien priority to secure the payment of fees and expenses of the United States Trustee or professionals retained by any debtor or creditors’ committee agreed to by the First Lien/Second Lien Intercreditor Representative or the other Non-ABL Obligations Secured Parties), to any adequate protection Liens granted to the Designated Senior Representative or any other First Lien Obligations Secured Party and to any adequate protection Liens granted to the Designated Second Priority Representative or any other Second Lien Obligations Secured Party, on the same basis as the Liens on such Non-ABL Priority Collateral securing the First Lien Obligations and the Liens on such Non-ABL Priority Collateral securing the Second Lien Obligations, respectively, are subordinated to such DIP Financing in each case, or to confirm the priorities with respect to such Non-ABL Priority Collateral as set forth herein, as applicable.</w:t>
      </w:r>
    </w:p>
    <w:p>
      <w:pPr>
        <w:spacing w:after="0" w:line="200" w:lineRule="exact"/>
        <w:rPr>
          <w:rFonts w:ascii="Times New Roman" w:cs="Times New Roman" w:eastAsia="Times New Roman" w:hAnsi="Times New Roman"/>
          <w:sz w:val="21"/>
          <w:szCs w:val="21"/>
          <w:color w:val="auto"/>
        </w:rPr>
      </w:pPr>
    </w:p>
    <w:p>
      <w:pPr>
        <w:spacing w:after="0" w:line="240" w:lineRule="exact"/>
        <w:rPr>
          <w:rFonts w:ascii="Times New Roman" w:cs="Times New Roman" w:eastAsia="Times New Roman" w:hAnsi="Times New Roman"/>
          <w:sz w:val="21"/>
          <w:szCs w:val="21"/>
          <w:color w:val="auto"/>
        </w:rPr>
      </w:pPr>
    </w:p>
    <w:p>
      <w:pPr>
        <w:jc w:val="both"/>
        <w:ind w:right="20" w:firstLine="1298"/>
        <w:spacing w:after="0" w:line="264" w:lineRule="auto"/>
        <w:tabs>
          <w:tab w:leader="none" w:pos="2172" w:val="left"/>
        </w:tabs>
        <w:numPr>
          <w:ilvl w:val="1"/>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Applicable Junior Representative, the Junior Agents and the other Junior Secured Obligations Secured Parties agrees that it will not object to and will not otherwise contest: (i) any motion for relief from the automatic stay or from any injunction against foreclosure or enforcement in respect of the Senior Secured Obligations made by the Applicable Senior Representative, any Senior Agent or any other Senior Secured Obligations Secured Party;</w:t>
      </w:r>
    </w:p>
    <w:p>
      <w:pPr>
        <w:jc w:val="both"/>
        <w:ind w:right="20"/>
        <w:spacing w:after="0" w:line="246" w:lineRule="auto"/>
        <w:tabs>
          <w:tab w:leader="none" w:pos="319"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lawful exercise by any holder of claims in respect of any Senior Secured Obligations of the right to credit bid such claims under Section 363(k) of the Bankruptcy Code or any other applicable provision of the Bankruptcy Code or in any sale in foreclosure of Collateral that is Senior Secured Obligations Collateral with respect to such claims; (iii) any other request for judicial relief made in any court by the Applicable Senior Representative, any Senior Agent or any other Senior Secured Obligations Secured Party relating to the lawful enforcement of any Lien on the Senior Secured Obligations Collateral; or (iv) any Disposition of any Senior Secured Obligations Collateral (or any portion thereof) under Section 363 of the Bankruptcy Code or any other applicable provision of the Bankruptcy Code if the Senior Secured Obligations Secured Parties of any Series (or the relevant Senior Agent acting on their behalf) shall have consented to such Disposition of such Senior Secured Obligations Collateral and the applicable order approving such Disposition provides that, to the extent the Disposition</w:t>
      </w:r>
    </w:p>
    <w:p>
      <w:pPr>
        <w:sectPr>
          <w:pgSz w:w="11900" w:h="16838" w:orient="portrait"/>
          <w:cols w:equalWidth="0" w:num="1">
            <w:col w:w="10640"/>
          </w:cols>
          <w:pgMar w:left="740" w:top="1440" w:right="519" w:bottom="1440" w:gutter="0" w:footer="0" w:header="0"/>
        </w:sectPr>
      </w:pPr>
    </w:p>
    <w:bookmarkStart w:id="309" w:name="page310"/>
    <w:bookmarkEnd w:id="309"/>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is to be free and clear of Liens, the Liens securing the Senior Secured Obligations and the Junior Secured Obligations will attach to the proceeds of the Disposition on the same basis of priority as the Liens securing such Obligations on the assets being Disposed of, in accordance with this Agreement.</w:t>
      </w:r>
    </w:p>
    <w:p>
      <w:pPr>
        <w:spacing w:after="0" w:line="181" w:lineRule="exact"/>
        <w:rPr>
          <w:sz w:val="20"/>
          <w:szCs w:val="20"/>
          <w:color w:val="auto"/>
        </w:rPr>
      </w:pPr>
    </w:p>
    <w:p>
      <w:pPr>
        <w:jc w:val="both"/>
        <w:ind w:right="20" w:firstLine="1298"/>
        <w:spacing w:after="0" w:line="252" w:lineRule="auto"/>
        <w:tabs>
          <w:tab w:leader="none" w:pos="2171"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Applicable Junior Representative, the Junior Agents and the other Junior Secured Obligations Secured Parties agree that it will not seek relief from the automatic stay or any other stay in any Insolvency or Liquidation Proceeding with respect to Senior Secured Obligations Collateral without the prior consent of the Applicable Senior Representative.</w:t>
      </w:r>
    </w:p>
    <w:p>
      <w:pPr>
        <w:spacing w:after="0" w:line="165" w:lineRule="exact"/>
        <w:rPr>
          <w:rFonts w:ascii="Times New Roman" w:cs="Times New Roman" w:eastAsia="Times New Roman" w:hAnsi="Times New Roman"/>
          <w:sz w:val="22"/>
          <w:szCs w:val="22"/>
          <w:color w:val="auto"/>
        </w:rPr>
      </w:pPr>
    </w:p>
    <w:p>
      <w:pPr>
        <w:jc w:val="both"/>
        <w:ind w:firstLine="1298"/>
        <w:spacing w:after="0" w:line="250" w:lineRule="auto"/>
        <w:tabs>
          <w:tab w:leader="none" w:pos="2172"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Applicable Junior Representative, the Junior Agents and the other Junior Secured Obligations Secured Parties hereby agrees that it will not object to and will not otherwise contest (or support any other person contesting):</w:t>
      </w:r>
    </w:p>
    <w:p>
      <w:pPr>
        <w:spacing w:after="0" w:line="181" w:lineRule="exact"/>
        <w:rPr>
          <w:rFonts w:ascii="Times New Roman" w:cs="Times New Roman" w:eastAsia="Times New Roman" w:hAnsi="Times New Roman"/>
          <w:sz w:val="22"/>
          <w:szCs w:val="22"/>
          <w:color w:val="auto"/>
        </w:rPr>
      </w:pPr>
    </w:p>
    <w:p>
      <w:pPr>
        <w:jc w:val="both"/>
        <w:ind w:left="500" w:right="20" w:firstLine="898"/>
        <w:spacing w:after="0" w:line="250" w:lineRule="auto"/>
        <w:tabs>
          <w:tab w:leader="none" w:pos="2164"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by the Applicable Senior Representative or any Senior Secured Obligations Secured Party (or any Senior Agent acting on its behalf) for adequate protection in any form with respect to the applicable Senior Secured Obligations Collateral, or</w:t>
      </w:r>
    </w:p>
    <w:p>
      <w:pPr>
        <w:spacing w:after="0" w:line="194" w:lineRule="exact"/>
        <w:rPr>
          <w:rFonts w:ascii="Times New Roman" w:cs="Times New Roman" w:eastAsia="Times New Roman" w:hAnsi="Times New Roman"/>
          <w:sz w:val="22"/>
          <w:szCs w:val="22"/>
          <w:color w:val="auto"/>
        </w:rPr>
      </w:pPr>
    </w:p>
    <w:p>
      <w:pPr>
        <w:jc w:val="both"/>
        <w:ind w:left="500" w:right="20" w:firstLine="898"/>
        <w:spacing w:after="0" w:line="253" w:lineRule="auto"/>
        <w:tabs>
          <w:tab w:leader="none" w:pos="2170"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objection by the Applicable Senior Representative or any Senior Secured Obligations Secured Party (or any Senior Agent acting on its behalf) to any motion, relief, action or proceeding based on the Applicable Senior Representative or any Senior Secured Obligations Secured Party (or any Senior Agent acting on its behalf) claiming a lack of adequate protection with respect to the applicable Senior Secured Obligations Collateral.</w:t>
      </w:r>
    </w:p>
    <w:p>
      <w:pPr>
        <w:spacing w:after="0" w:line="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Notwithstanding the foregoing, in any Insolvency or Liquidation Proceeding: (I)(x) if the Senior Secured</w:t>
      </w:r>
    </w:p>
    <w:p>
      <w:pPr>
        <w:spacing w:after="0" w:line="20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Obligations Secured Parties (or any</w:t>
      </w:r>
    </w:p>
    <w:p>
      <w:pPr>
        <w:spacing w:after="0" w:line="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subset thereof) are granted adequate protection with respect to the applicable Senior</w:t>
      </w:r>
    </w:p>
    <w:p>
      <w:pPr>
        <w:spacing w:after="0" w:line="1" w:lineRule="exact"/>
        <w:rPr>
          <w:sz w:val="20"/>
          <w:szCs w:val="20"/>
          <w:color w:val="auto"/>
        </w:rPr>
      </w:pPr>
    </w:p>
    <w:p>
      <w:pPr>
        <w:jc w:val="both"/>
        <w:ind w:left="1140"/>
        <w:spacing w:after="0" w:line="259" w:lineRule="auto"/>
        <w:rPr>
          <w:sz w:val="20"/>
          <w:szCs w:val="20"/>
          <w:color w:val="auto"/>
        </w:rPr>
      </w:pPr>
      <w:r>
        <w:rPr>
          <w:rFonts w:ascii="Times New Roman" w:cs="Times New Roman" w:eastAsia="Times New Roman" w:hAnsi="Times New Roman"/>
          <w:sz w:val="21"/>
          <w:szCs w:val="21"/>
          <w:color w:val="auto"/>
        </w:rPr>
        <w:t>Secured Obligations Collateral in the form of a Lien on additional or replacement collateral, then the Applicable Junior Representative may seek or request adequate protection with respect to such applicable Senior Secured Obligations Collateral in the form of a Lien on such additional or replacement collateral, so long as, with respect to the Senior Secured Obligations Collateral, such Lien is subordinated to the adequate protection Lien granted to the applicable Senior Secured Obligations Secured Parties, on the same basis as the other Liens securing the Junior Secured Obligations on the Senior Secured Obligations Collateral are subordinated to the Liens on the Senior Secured Obligations Collateral securing the Senior Secured Obligations under this Agreement and (y) each of the Applicable Junior Representative, the Junior Agents and the other Junior Secured Obligations Secured Parties hereby agrees that in the event the Applicable Junior Representative is granted adequate protection with respect to the applicable Senior Secured Obligations Collateral in the form of a Lien on additional or replacement collateral, then the Senior Secured Obligations Secured Parties (or the Applicable Senior Representative or the relevant Senior Agents acting on their behalf) shall also be granted a Lien on such additional or replacement collateral as adequate</w:t>
      </w:r>
    </w:p>
    <w:p>
      <w:pPr>
        <w:sectPr>
          <w:pgSz w:w="11900" w:h="16838" w:orient="portrait"/>
          <w:cols w:equalWidth="0" w:num="1">
            <w:col w:w="10620"/>
          </w:cols>
          <w:pgMar w:left="740" w:top="1440" w:right="539" w:bottom="1440" w:gutter="0" w:footer="0" w:header="0"/>
        </w:sectPr>
      </w:pPr>
    </w:p>
    <w:bookmarkStart w:id="310" w:name="page311"/>
    <w:bookmarkEnd w:id="310"/>
    <w:p>
      <w:pPr>
        <w:jc w:val="both"/>
        <w:ind w:left="440"/>
        <w:spacing w:after="0" w:line="250" w:lineRule="auto"/>
        <w:rPr>
          <w:sz w:val="20"/>
          <w:szCs w:val="20"/>
          <w:color w:val="auto"/>
        </w:rPr>
      </w:pPr>
      <w:r>
        <w:rPr>
          <w:rFonts w:ascii="Times New Roman" w:cs="Times New Roman" w:eastAsia="Times New Roman" w:hAnsi="Times New Roman"/>
          <w:sz w:val="22"/>
          <w:szCs w:val="22"/>
          <w:color w:val="auto"/>
        </w:rPr>
        <w:t>protection for the Senior Secured Obligations and that any adequate protection Lien on such additional or replacement collateral that constitutes Senior Secured Obligations Collateral securing the Junior Secured Obligations shall be subordinated to the adequate protection Liens on such collateral granted to the relevant Senior Secured Obligations Secured Parties and any other Liens on the Senior Secured Obligations Collateral granted to the Senior Secured Obligations Secured Parties on the same basis as the Liens securing the Junior Secured Obligations are so subordinated to the Liens securing the Senior Secured Obligations under this Agreement, and</w:t>
      </w:r>
    </w:p>
    <w:p>
      <w:pPr>
        <w:spacing w:after="0" w:line="194" w:lineRule="exact"/>
        <w:rPr>
          <w:sz w:val="20"/>
          <w:szCs w:val="20"/>
          <w:color w:val="auto"/>
        </w:rPr>
      </w:pPr>
    </w:p>
    <w:p>
      <w:pPr>
        <w:jc w:val="both"/>
        <w:ind w:left="440" w:firstLine="1297"/>
        <w:spacing w:after="0" w:line="247" w:lineRule="auto"/>
        <w:rPr>
          <w:sz w:val="20"/>
          <w:szCs w:val="20"/>
          <w:color w:val="auto"/>
        </w:rPr>
      </w:pPr>
      <w:r>
        <w:rPr>
          <w:rFonts w:ascii="Times New Roman" w:cs="Times New Roman" w:eastAsia="Times New Roman" w:hAnsi="Times New Roman"/>
          <w:sz w:val="22"/>
          <w:szCs w:val="22"/>
          <w:color w:val="auto"/>
        </w:rPr>
        <w:t>(II)(x) if the Senior Secured Obligations Secured Parties (or any subset thereof) are granted adequate protection with respect to the applicable Senior Secured Obligations Collateral in the form of a superpriority administrative claim, then the Applicable Junior Representative may seek or request adequate protection with respect to such applicable Senior Secured Obligations Collateral in the form of a superpriority administrative claim, so long as such claim is subordinated to the adequate protection superpriority claim granted to the applicable Senior Secured Obligations Secured Parties on the same basis as the other claims with respect to the Junior Secured Obligations are subordinated to the claims with respect to the Senior Secured Obligations under this Agreement and (y) each of the Applicable Junior Representative, the Junior Agents and the other Junior Secured Obligations Secured Parties hereby agrees that in the event that the Applicable Junior Representative is granted adequate protection with respect to the applicable Senior Secured Obligations Collateral in the form of a superpriority administrative claim, then the Senior Secured Obligations Secured Parties (or the Applicable Senior Representative or the relevant Senior Agents acting on their behalf) shall also be granted a superpriority administrative claim with respect to such applicable Senior Secured Obligations Collateral and that any claim granted with respect to the Junior Secured Obligations shall be subordinated to the superpriority administrative claim granted with respect to the Senior Secured Obligations as adequate protection on the same basis as the claims with respect to the Junior Secured Obligations are so subordinated to the claims with respect to the Senior Secured Obligations under this Agreement.</w:t>
      </w:r>
    </w:p>
    <w:p>
      <w:pPr>
        <w:spacing w:after="0" w:line="255" w:lineRule="exact"/>
        <w:rPr>
          <w:sz w:val="20"/>
          <w:szCs w:val="20"/>
          <w:color w:val="auto"/>
        </w:rPr>
      </w:pPr>
    </w:p>
    <w:p>
      <w:pPr>
        <w:jc w:val="both"/>
        <w:ind w:left="-700" w:right="20" w:firstLine="1298"/>
        <w:spacing w:after="0" w:line="239" w:lineRule="auto"/>
        <w:tabs>
          <w:tab w:leader="none" w:pos="94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Applicable Junior Representative, the Junior Agents and the other Junior Secured Obligations Secured Parties hereby agrees that (i) it will not oppose or seek to challenge any claim by the Applicable Senior Representative, any Senior Agent or any other Senior Secured Obligations Secured Party for allowance of the Senior Secured Obligations consisting of post-petition interest, fees or expenses to the extent of the value of the Applicable Senior Representative’s Lien on the Senior Secured Obligations Collateral, without regard to the existence of the Lien of the Junior Secured Obligations Secured Parties on the Senior Secured Obligations Collateral; and (ii) until the Discharge of Senior Secured Obligations has occurred, the Applicable Junior Representative, the Junior Agents and the other Junior Secured Obligations Secured Parties will not assert or enforce any claim under Section 506(c) of the Bankruptcy Code senior to or on a parity with the Liens on the Senior Secured Obligations Collateral securing the Senior Secured Obligations for costs or expenses of preserving or disposing of any Collateral.</w:t>
      </w:r>
    </w:p>
    <w:p>
      <w:pPr>
        <w:sectPr>
          <w:pgSz w:w="11900" w:h="16838" w:orient="portrait"/>
          <w:cols w:equalWidth="0" w:num="1">
            <w:col w:w="9920"/>
          </w:cols>
          <w:pgMar w:left="1440" w:top="1368" w:right="539" w:bottom="1440" w:gutter="0" w:footer="0" w:header="0"/>
        </w:sectPr>
      </w:pPr>
    </w:p>
    <w:bookmarkStart w:id="311" w:name="page312"/>
    <w:bookmarkEnd w:id="311"/>
    <w:p>
      <w:pPr>
        <w:spacing w:after="0" w:line="144" w:lineRule="exact"/>
        <w:rPr>
          <w:sz w:val="20"/>
          <w:szCs w:val="20"/>
          <w:color w:val="auto"/>
        </w:rPr>
      </w:pPr>
    </w:p>
    <w:p>
      <w:pPr>
        <w:jc w:val="both"/>
        <w:ind w:firstLine="1298"/>
        <w:spacing w:after="0" w:line="246" w:lineRule="auto"/>
        <w:tabs>
          <w:tab w:leader="none" w:pos="2171"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Lien/Second Lien Intercreditor Representative, for itself and on behalf of the Non-ABL Obligations Secured Parties, and the ABL Representative, for itself and on behalf of the ABL Obligations Secured Parties, acknowledge and intend that: the grants of Liens pursuant to the First Lien Obligations Collateral Documents and the Second Lien Obligations Collateral Documents, on the one hand, and the ABL Obligations Collateral Documents, on the other hand, constitute separate and distinct grants of Liens, and because of, among other things, their differing rights in the Collateral, the ABL Obligations are fundamentally different from the First Lien Obligations and the Second Lien Obligations and must be separately classified in any Plan of Reorganization proposed or confirmed(or approved) in an Insolvency or Liquidation Proceeding. To further effectuate the intent of the parties as provided in the immediately preceding sentence, if it is held that the claims of the ABL Obligations Secured Parties and the claims of the Non-ABL Obligations Secured Parties in respect of any Collateral constitute claims in the same class (rather than separate classes of secured claims), then the ABL Obligations Secured Parties and the Non-ABL Obligations Secured Parties hereby acknowledge and agree that all distributions from the Shared Collateral shall be made as if there were separate classes of ABL Obligations and Non-ABL Obligations against the Pledgors (with the effect being that, to the extent that the aggregate value of the ABL Priority Collateral or the Non-ABL Priority Collateral is sufficient (for this purpose ignoring all claims held by the other Class of Secured Parties for whom such Collateral is Junior Secured Obligations Collateral), the ABL Obligations Secured Parties or the Non-ABL Obligations Secured Parties, respectively, shall be entitled to receive, in addition to amounts distributed to them in respect of principal, pre-petition interest and other claims, all amounts owing in respect of Post-Petition Claims that are available from the applicable Senior Secured Obligations Collateral for each of the ABL Obligations Secured Parties and the Non-ABL Obligations Secured Parties (regardless of whether any such Post-Petition Claims may or may not be allowed or allowable in whole or in part as against the Company or any of the other Pledgors in the applicable Insolvency or Liquidation Proceeding(s) pursuant to Section 506(b) of the Bankruptcy Code or otherwise), respectively, before any distribution is made in respect of any claims in respect of the Junior Secured Obligations from, or with respect to, such applicable Senior Secured Obligations Collateral, with the holder of such claims hereby acknowledging and agreeing to turn over to the respective other Secured Parties amounts otherwise received or receivable by them from, or with respect to, such applicable Senior Secured Obligations Collateral to the extent necessary to effectuate the intent of this sentence, even if such turnover has the effect of reducing their aggregate recoveries.</w:t>
      </w:r>
    </w:p>
    <w:p>
      <w:pPr>
        <w:spacing w:after="0" w:line="221" w:lineRule="exact"/>
        <w:rPr>
          <w:rFonts w:ascii="Times New Roman" w:cs="Times New Roman" w:eastAsia="Times New Roman" w:hAnsi="Times New Roman"/>
          <w:sz w:val="22"/>
          <w:szCs w:val="22"/>
          <w:color w:val="auto"/>
        </w:rPr>
      </w:pPr>
    </w:p>
    <w:p>
      <w:pPr>
        <w:jc w:val="both"/>
        <w:ind w:firstLine="1298"/>
        <w:spacing w:after="0" w:line="250" w:lineRule="auto"/>
        <w:tabs>
          <w:tab w:leader="none" w:pos="2171"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any Insolvency or Liquidation Proceeding, debt obligations of the reorganized debtor secured by Liens upon any property of the reorganized debtor are distributed pursuant to a Plan of Reorganization or similar dispositive restructuring plan, both on account of the ABL Obligations and on account of the Non-ABL Obligations, then, to the extent the debt obligations distributed on account of the ABL Obligations and on account of the Non -ABL Obligations are secured by Liens upon the Shared Collateral, the provisions of this Agreement will survive the distribution of such debt obligations pursuant to such plan and will apply with like effect to the debt obligations so distributed, to the Liens securing such debt obligations and the distribution of proceeds thereof.</w:t>
      </w:r>
    </w:p>
    <w:p>
      <w:pPr>
        <w:spacing w:after="0" w:line="207" w:lineRule="exact"/>
        <w:rPr>
          <w:sz w:val="20"/>
          <w:szCs w:val="20"/>
          <w:color w:val="auto"/>
        </w:rPr>
      </w:pPr>
    </w:p>
    <w:p>
      <w:pPr>
        <w:ind w:firstLine="1298"/>
        <w:spacing w:after="0" w:line="27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If, at any time after the Discharge of ABL Obligations or the Discharge of Non-ABL Obligations has occurred, the Company incurs or</w:t>
      </w:r>
    </w:p>
    <w:p>
      <w:pPr>
        <w:sectPr>
          <w:pgSz w:w="11900" w:h="16838" w:orient="portrait"/>
          <w:cols w:equalWidth="0" w:num="1">
            <w:col w:w="10620"/>
          </w:cols>
          <w:pgMar w:left="740" w:top="1440" w:right="539" w:bottom="1440" w:gutter="0" w:footer="0" w:header="0"/>
        </w:sectPr>
      </w:pPr>
    </w:p>
    <w:bookmarkStart w:id="312" w:name="page313"/>
    <w:bookmarkEnd w:id="312"/>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designates in writing pursuant to and in accordance with Section 4.13 any ABL Obligations or any Non-ABL Obligations, then, at the Company’s election, such Discharge of ABL Obligations or such Discharge of Non-ABL Obligations shall automatically be deemed not to have occurred for all purposes of this Agreement (other than with respect to any actions taken prior to the date of such incurrence or designation as a result of the occurrence of such first Discharge), and the applicable agreement governing such ABL Obligations or such Non-ABL Obligations shall automatically be treated as the ABL Facility Agreement or the First Lien Obligations Credit Document, as the case may be, for all purposes of this Agreement, including for purposes of the Lien priorities and rights in respect of the Shared Collateral set forth herein. Upon receipt of notice of such designation (including the identity of any new Representative), each Representative shall promptly (i) enter into such documents and agreements, including amendments or supplements to this Agreement, as the Company or such new Representative shall reasonably request in writing in order to provide to such new Representative the rights contemplated hereby and (ii) to the extent then held by the Applicable Junior Agents or any Junior Secured Obligations Secured Parties, deliver to such new Representative any Pledged Collateral that is Shared Collateral, together with any necessary endorsements (or otherwise allow such new Representative to obtain possession or control of such Pledged Collateral), it being understood that all reasonable and documented out- of-pocket expenses incurred by any Secured Parties (and their respective representatives) in connection with the execution and delivery of such documents and instruments shall be borne by the Pledgors.</w:t>
      </w:r>
    </w:p>
    <w:p>
      <w:pPr>
        <w:spacing w:after="0" w:line="222" w:lineRule="exact"/>
        <w:rPr>
          <w:sz w:val="20"/>
          <w:szCs w:val="20"/>
          <w:color w:val="auto"/>
        </w:rPr>
      </w:pPr>
    </w:p>
    <w:p>
      <w:pPr>
        <w:jc w:val="both"/>
        <w:ind w:firstLine="1298"/>
        <w:spacing w:after="0" w:line="259"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u w:val="single" w:color="auto"/>
          <w:color w:val="auto"/>
        </w:rPr>
        <w:t>Entry Upon Premises by the ABL Representative</w:t>
      </w:r>
      <w:r>
        <w:rPr>
          <w:rFonts w:ascii="Times New Roman" w:cs="Times New Roman" w:eastAsia="Times New Roman" w:hAnsi="Times New Roman"/>
          <w:sz w:val="21"/>
          <w:szCs w:val="21"/>
          <w:color w:val="auto"/>
        </w:rPr>
        <w:t xml:space="preserve">. (a) If the ABL Representative takes any enforcement action with respect to the ABL Priority Collateral, the Non- ABL Obligations Secured Parties shall permit and direct each First Lien Obligations Representative and each Second Lien Obligations Representative to permit the ABL Representative (and its employees, agents, advisers and representatives), at the sole cost and expense of the ABL Obligations Secured Parties and upon reasonable advance notice, to enter upon and use the Non-ABL Priority Collateral (including (x) equipment, processors, computers and other machinery related to the storage or processing of records, documents or files and (y) intellectual property), for a period not to exceed 120 days after the taking of such enforcement action, for purposes of (A) assembling and storing the ABL Priority Collateral and completing the processing of and turning into finished goods of any ABL Priority Collateral consisting of work- in-process, (B) disposing of any or all of the ABL Priority Collateral located on premises constituting Non-ABL Priority Collateral, whether in bulk, in lots or to customers in the ordinary course of business or otherwise, (C) removing any or all of the ABL Priority Collateral located on premises constituting Non-ABL Priority Collateral, or (D) taking reasonable actions to protect, secure, and otherwise enforce the rights of the ABL Representative and the other ABL Obligations Secured Parties in and to the ABL Priority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contained in this Agreement shall restrict the rights of the First Lien/Second Lien Intercreditor Representative or any other First Lien Obligations Representative or, if applicable, any Second Lien Obligations Representative from disposing of any Non-ABL Priority Collateral prior to the expiration of such 120-day period if the purchaser, assignee or transferee thereof agrees to be bound by the provisions of this Section 2.9. If any stay or other order prohibiting the exercise of remedies with respect to the ABL Priority Collateral has been entered by a court of competent jurisdiction, such 120-day period shall be tolled during the pendency of any such stay or other order. If the ABL Representative conducts a public auction or private sale of the ABL Priority Collateral at any of the real</w:t>
      </w:r>
    </w:p>
    <w:p>
      <w:pPr>
        <w:sectPr>
          <w:pgSz w:w="11900" w:h="16838" w:orient="portrait"/>
          <w:cols w:equalWidth="0" w:num="1">
            <w:col w:w="10620"/>
          </w:cols>
          <w:pgMar w:left="740" w:top="1440" w:right="539" w:bottom="1440" w:gutter="0" w:footer="0" w:header="0"/>
        </w:sectPr>
      </w:pPr>
    </w:p>
    <w:bookmarkStart w:id="313" w:name="page314"/>
    <w:bookmarkEnd w:id="313"/>
    <w:p>
      <w:pPr>
        <w:spacing w:after="0" w:line="15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property that constitute Non-ABL Priority Collateral, the ABL Representative shall use reasonable efforts to hold such auction or sale in a manner which would not unduly disrupt the use of such real property by the First Lien/Second Lien Intercreditor Representative, any other First Lien Obligations Representative or any Second Lien Obligations Representative for the benefit of the Non-ABL Obligations Secured Parties.</w:t>
      </w:r>
    </w:p>
    <w:p>
      <w:pPr>
        <w:spacing w:after="0" w:line="176" w:lineRule="exact"/>
        <w:rPr>
          <w:sz w:val="20"/>
          <w:szCs w:val="20"/>
          <w:color w:val="auto"/>
        </w:rPr>
      </w:pPr>
    </w:p>
    <w:p>
      <w:pPr>
        <w:jc w:val="both"/>
        <w:ind w:firstLine="1298"/>
        <w:spacing w:after="0" w:line="258" w:lineRule="auto"/>
        <w:tabs>
          <w:tab w:leader="none" w:pos="2171"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of actual occupation, use or control by the ABL Representative or the ABL Obligations Secured Parties of any Non-ABL Priority Collateral, the ABL Obligations Secured Parties shall be obligated to repair at their expense any physical damage to such Non-ABL Priority Collateral or other assets or property resulting from such occupancy, use or control, and to leave such Non-ABL Priority Collateral or other assets or property in substantially the same condition as it was at the commencement of such occupancy, use or control, ordinary wear and tear excepted. The ABL Representative and the ABL Obligations Secured Parties shall (to the extent that there are sufficient available proceeds of ABL Priority Collateral for the purposes of paying such indemnity) indemnify and hold harmless the First Lien Collateral Agent, First Lien Obligations Secured Parties, Second Lien Collateral Agent and the Second Lien Obligations Secured Parties for any injury or damage to persons or property caused by the acts or omissions of persons under its control. Notwithstanding the foregoing, in no event shall the ABL Obligations Secured Parties have any liability to the Non- ABL Obligations Secured Parties pursuant to this Section 2 .9 as a result of any condition (including any environmental condition, claim or liability) on or with respect to the Non-ABL Priority Collateral existing prior to the date of the exercise by the ABL Obligations Secured Parties (or their agents or representatives) of their rights under this Section 2.9 and the ABL Obligations Secured Parties shall have no duty or liability to maintain the Non-ABL Priority Collateral in a condition or manner better than that in which it was maintained prior to the use thereof by the ABL Obligations Secured Parties (or their agents or representatives), or for any diminution in the value of the Non-ABL Priority Collateral that results solely from ordinary wear and tear resulting from the use of the Non-ABL Priority Collateral by the ABL Obligations Secured Parties (or their agents or representatives) in the manner and for the time periods specified under this Section 2.9. Without limiting the rights granted in this paragraph, the ABL Obligations Secured Parties shall cooperate with the First Lien/Second Lien Intercreditor Representative in connection with any efforts made by the First Lien/Second Lien Intercreditor Representative to cause the Non-ABL Priority Collateral to be sold.</w:t>
      </w:r>
    </w:p>
    <w:p>
      <w:pPr>
        <w:spacing w:after="0" w:line="205" w:lineRule="exact"/>
        <w:rPr>
          <w:rFonts w:ascii="Times New Roman" w:cs="Times New Roman" w:eastAsia="Times New Roman" w:hAnsi="Times New Roman"/>
          <w:sz w:val="21"/>
          <w:szCs w:val="21"/>
          <w:color w:val="auto"/>
        </w:rPr>
      </w:pPr>
    </w:p>
    <w:p>
      <w:pPr>
        <w:jc w:val="both"/>
        <w:ind w:right="40" w:firstLine="1298"/>
        <w:spacing w:after="0" w:line="252" w:lineRule="auto"/>
        <w:tabs>
          <w:tab w:leader="none" w:pos="2172"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First Lien Obligations Secured Parties, the Second Lien Obligations Secured Parties and their respective Representatives hereby grant the ABL Representative and the other ABL Obligations Secured Parties a non-exclusive worldwide license or right to use, to the maximum extent permitted by applicable law and to the extent of their interest therein, exercisable without payment of royalty or other compensation, any of the Non-ABL Priority Collateral consisting of intellectual property in connection with the liquidation, collection, Disposition or other realization upon the ABL Priority Collateral pursuant to any enforcement action by the ABL Representative and the other ABL Obligations Secured Parties.</w:t>
      </w:r>
    </w:p>
    <w:p>
      <w:pPr>
        <w:spacing w:after="0" w:line="193" w:lineRule="exact"/>
        <w:rPr>
          <w:sz w:val="20"/>
          <w:szCs w:val="20"/>
          <w:color w:val="auto"/>
        </w:rPr>
      </w:pPr>
    </w:p>
    <w:p>
      <w:pPr>
        <w:ind w:right="20" w:firstLine="1298"/>
        <w:spacing w:after="0" w:line="271"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As between the ABL Representative, on the one hand, and the First Lien/Second Lien Intercreditor Representative, any other First Lien</w:t>
      </w:r>
    </w:p>
    <w:p>
      <w:pPr>
        <w:sectPr>
          <w:pgSz w:w="11900" w:h="16838" w:orient="portrait"/>
          <w:cols w:equalWidth="0" w:num="1">
            <w:col w:w="10640"/>
          </w:cols>
          <w:pgMar w:left="740" w:top="1440" w:right="519" w:bottom="1440" w:gutter="0" w:footer="0" w:header="0"/>
        </w:sectPr>
      </w:pPr>
    </w:p>
    <w:bookmarkStart w:id="314" w:name="page315"/>
    <w:bookmarkEnd w:id="314"/>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Obligations Representative and any Second Lien Obligations Representative, on the other hand, until the Discharge of the Senior Secured Obligations has occurred and following an Event of Default, only the Applicable Senior Representative will have the right (subject to the rights of the Pledgors under the ABL Obligations Documents and the Non-ABL Obligations Documents) to adjust or settle any insurance policy or claim covering or constituting Senior Secured Obligations Collateral in the event of any loss thereunder and to approve any award granted in any condemnation or similar proceeding affecting Senior Secured Obligations. To the extent that an insured loss covers or constitutes ABL Priority Collateral and Non-ABL Priority Collateral, then the ABL Representative and the First Lien/Second Lien Intercreditor Representative will work jointly and in good faith to collect, adjust or settle (subject to the rights of the Pledgors under the First Lien Obligations Documents, the ABL Facility Documents, the Second Lien Facility Documents, Other First Lien Obligations Documents or Other Second Lien Obligations Documents) under the relevant insurance policy.</w:t>
      </w:r>
    </w:p>
    <w:p>
      <w:pPr>
        <w:spacing w:after="0" w:line="216" w:lineRule="exact"/>
        <w:rPr>
          <w:sz w:val="20"/>
          <w:szCs w:val="20"/>
          <w:color w:val="auto"/>
        </w:rPr>
      </w:pPr>
    </w:p>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Amendments to Security Documents</w:t>
      </w:r>
      <w:r>
        <w:rPr>
          <w:rFonts w:ascii="Times New Roman" w:cs="Times New Roman" w:eastAsia="Times New Roman" w:hAnsi="Times New Roman"/>
          <w:sz w:val="22"/>
          <w:szCs w:val="22"/>
          <w:color w:val="auto"/>
        </w:rPr>
        <w:t>. So long as the Discharge of Senior Secured Obligations has not occurred, without the prior written consent of the Applicable Senior Representative, no Junior Secured Obligations Collateral Document may be amended, supplemented or otherwise modified or entered into to the extent that any provisions therein as so amended, supplemented or modified, or the terms of any new Junior Secured Obligations Collateral Document, would be prohibited by any of the terms of this Agreement</w:t>
      </w:r>
      <w:r>
        <w:rPr>
          <w:rFonts w:ascii="Arial" w:cs="Arial" w:eastAsia="Arial" w:hAnsi="Arial"/>
          <w:sz w:val="22"/>
          <w:szCs w:val="22"/>
          <w:color w:val="auto"/>
        </w:rPr>
        <w:t>.</w:t>
      </w:r>
    </w:p>
    <w:p>
      <w:pPr>
        <w:spacing w:after="0" w:line="207" w:lineRule="exact"/>
        <w:rPr>
          <w:sz w:val="20"/>
          <w:szCs w:val="20"/>
          <w:color w:val="auto"/>
        </w:rPr>
      </w:pPr>
    </w:p>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Refinancings</w:t>
      </w:r>
      <w:r>
        <w:rPr>
          <w:rFonts w:ascii="Times New Roman" w:cs="Times New Roman" w:eastAsia="Times New Roman" w:hAnsi="Times New Roman"/>
          <w:sz w:val="22"/>
          <w:szCs w:val="22"/>
          <w:color w:val="auto"/>
        </w:rPr>
        <w:t xml:space="preserve">. Any Series of Secured Obligations may be Refinanced with Indebtedness constituting a Series of Secured Obligations of the same Class or another Class, in each case, without notice to or the consent (except to the extent a consent is otherwise required to permit the Refinancing transaction under any applicable Document) of any Secured Party, all without affecting the priorities provided for herein or the other provisions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requirements set forth in Section 4.13 shall have been satisfied.</w:t>
      </w:r>
    </w:p>
    <w:p>
      <w:pPr>
        <w:spacing w:after="0" w:line="208" w:lineRule="exact"/>
        <w:rPr>
          <w:sz w:val="20"/>
          <w:szCs w:val="20"/>
          <w:color w:val="auto"/>
        </w:rPr>
      </w:pPr>
    </w:p>
    <w:p>
      <w:pPr>
        <w:jc w:val="both"/>
        <w:ind w:firstLine="1298"/>
        <w:spacing w:after="0" w:line="260" w:lineRule="auto"/>
        <w:rPr>
          <w:sz w:val="20"/>
          <w:szCs w:val="20"/>
          <w:color w:val="auto"/>
        </w:rPr>
      </w:pPr>
      <w:r>
        <w:rPr>
          <w:rFonts w:ascii="Times New Roman" w:cs="Times New Roman" w:eastAsia="Times New Roman" w:hAnsi="Times New Roman"/>
          <w:sz w:val="21"/>
          <w:szCs w:val="21"/>
          <w:color w:val="auto"/>
        </w:rPr>
        <w:t xml:space="preserve">2.13 </w:t>
      </w:r>
      <w:r>
        <w:rPr>
          <w:rFonts w:ascii="Times New Roman" w:cs="Times New Roman" w:eastAsia="Times New Roman" w:hAnsi="Times New Roman"/>
          <w:sz w:val="21"/>
          <w:szCs w:val="21"/>
          <w:u w:val="single" w:color="auto"/>
          <w:color w:val="auto"/>
        </w:rPr>
        <w:t>Pledged Collateral Agent as Gratuitous Bailee/Gratuitous Agent for Perfection</w:t>
      </w:r>
      <w:r>
        <w:rPr>
          <w:rFonts w:ascii="Times New Roman" w:cs="Times New Roman" w:eastAsia="Times New Roman" w:hAnsi="Times New Roman"/>
          <w:sz w:val="21"/>
          <w:szCs w:val="21"/>
          <w:color w:val="auto"/>
        </w:rPr>
        <w:t>. (a) Each of the ABL Representative and the First Lien/Second Lien Intercreditor Representative, for itself and on behalf of the relevant Secured Parties, hereby agrees that: (i) each Pledged Collateral Agent shall hold the Pledged Collateral that is in its possession or control (or in the possession or control of its agents or bailees) as gratuitous bailee and/or gratuitous agent for the benefit of and on behalf of each Secured Party and any assignee solely for the purpose of perfecting the security interest granted in such Pledged Collateral, if any, pursuant to the relevant ABL Obligations Collateral Documents, First Lien Obligations Collateral Documents, or Second Lien Obligations Collateral Documents, as applicable, subject to the terms and conditions of this Section 2.13 (such bailment and/or agency being intended, among other things, to satisfy the requirements of Sections 8-106(d)(3), 8-301(a)(2), 9-104(a)(2) and 9-313(c) of the UCC); (ii) to the extent any Pledged Collateral is possessed by or is under the control of a Representative (either directly or through its agents or bailees) other than the Applicable Pledged Collateral Agent, such Representative shall deliver such Pledged Collateral to (or shall cause such Pledged Collateral to be delivered to) the Applicable Pledged Collateral Agent and shall take all actions reasonably requested in writing by the Applicable Pledged Collateral Agent to cause the Applicable Pledged Collateral Agent to have possession or control of same; and (iii) pending such delivery to the Applicable Pledged Collateral Agent,</w:t>
      </w:r>
    </w:p>
    <w:p>
      <w:pPr>
        <w:sectPr>
          <w:pgSz w:w="11900" w:h="16838" w:orient="portrait"/>
          <w:cols w:equalWidth="0" w:num="1">
            <w:col w:w="10620"/>
          </w:cols>
          <w:pgMar w:left="740" w:top="1440" w:right="539" w:bottom="1440" w:gutter="0" w:footer="0" w:header="0"/>
        </w:sectPr>
      </w:pPr>
    </w:p>
    <w:bookmarkStart w:id="315" w:name="page316"/>
    <w:bookmarkEnd w:id="315"/>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each other Representative shall hold any Pledged Collateral as gratuitous bailee and/or gratuitous agent for the benefit of and on behalf of each other Secured Party and any assignee, solely for the purpose of perfecting the security interest granted in such Pledged Collateral, if any, pursuant to the relevant ABL Obligations Collateral Documents or First Lien Obligations Collateral Documents, as applicable and in each case, subject to the terms and conditions of this Section 2.13 (such bailment and/or agency being intended, among other things, to satisfy the requirements of Sections 8-106(d)(3), 8-301(a)(2), 9-104(a)(2) and 9-313(c) of the UCC).</w:t>
      </w:r>
    </w:p>
    <w:p>
      <w:pPr>
        <w:spacing w:after="0" w:line="168" w:lineRule="exact"/>
        <w:rPr>
          <w:sz w:val="20"/>
          <w:szCs w:val="20"/>
          <w:color w:val="auto"/>
        </w:rPr>
      </w:pPr>
    </w:p>
    <w:p>
      <w:pPr>
        <w:jc w:val="both"/>
        <w:ind w:right="20" w:firstLine="1298"/>
        <w:spacing w:after="0" w:line="248" w:lineRule="auto"/>
        <w:tabs>
          <w:tab w:leader="none" w:pos="2171"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or responsibilities of the Pledged Collateral Agent and each other Representative under this Section 2.13 shall be limited solely to holding the Pledged Collateral as gratuitous bailee and/or gratuitous agent for the benefit of each Secured Party for purposes of perfecting the security interest held by the Secured Parties in the Pledged Collateral.</w:t>
      </w:r>
    </w:p>
    <w:p>
      <w:pPr>
        <w:spacing w:after="0" w:line="182" w:lineRule="exact"/>
        <w:rPr>
          <w:rFonts w:ascii="Times New Roman" w:cs="Times New Roman" w:eastAsia="Times New Roman" w:hAnsi="Times New Roman"/>
          <w:sz w:val="22"/>
          <w:szCs w:val="22"/>
          <w:color w:val="auto"/>
        </w:rPr>
      </w:pPr>
    </w:p>
    <w:p>
      <w:pPr>
        <w:jc w:val="both"/>
        <w:ind w:firstLine="1298"/>
        <w:spacing w:after="0" w:line="250" w:lineRule="auto"/>
        <w:tabs>
          <w:tab w:leader="none" w:pos="2172"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Discharge of Non-ABL Obligations, the First Lien/Second Lien Intercreditor Representative shall deliver to the ABL Representative, to the extent that it is legally permitted to do so and at the expense of the Company, the remaining Pledged Collateral (if any) held by it, together with any necessary endorsements (or otherwise allow the ABL Representative to obtain control of such Pledged Collateral) or as a court of competent jurisdiction may otherwise direct. The ABL Representative shall make any reasonable requests to the Company to take such further action as is required to effectuate the transfer contemplated hereby. No First Lien Obligations Representative and no Second Lien Obligations Representative shall be obligated to follow instructions from the ABL Representative in contravention of this Agreement.</w:t>
      </w:r>
    </w:p>
    <w:p>
      <w:pPr>
        <w:spacing w:after="0" w:line="200" w:lineRule="exact"/>
        <w:rPr>
          <w:rFonts w:ascii="Times New Roman" w:cs="Times New Roman" w:eastAsia="Times New Roman" w:hAnsi="Times New Roman"/>
          <w:sz w:val="22"/>
          <w:szCs w:val="22"/>
          <w:color w:val="auto"/>
        </w:rPr>
      </w:pPr>
    </w:p>
    <w:p>
      <w:pPr>
        <w:jc w:val="both"/>
        <w:ind w:left="20" w:firstLine="1292"/>
        <w:spacing w:after="0" w:line="248" w:lineRule="auto"/>
        <w:tabs>
          <w:tab w:leader="none" w:pos="2177"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Discharge of ABL Obligations, the ABL Representative shall deliver to the First Lien/Second Lien Intercreditor Representative, to the extent that it is legally permitted to do so and at the expense of the Company, the remaining Pledged Collateral (if any) held by it, together with any necessary endorsements (or otherwise allow the Designated Senior Representative or the Designated Second Priority Representative, as the case may be, to obtain control of such Pledged Collateral) or as a court of competent jurisdiction may otherwise direct. The First Lien/Second Lien Intercreditor Representative shall make any reasonable requests to the Company to take such further action as is required to effectuate the transfer contemplated hereby. The ABL Representative shall not be obligated to follow instructions from the Designated Senior Representative or the Designated Second Priority Representative, as the case may be, in contravention of this Agreement.</w:t>
      </w:r>
    </w:p>
    <w:p>
      <w:pPr>
        <w:spacing w:after="0" w:line="19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u w:val="single" w:color="auto"/>
          <w:color w:val="auto"/>
        </w:rPr>
        <w:t>Rights as Unsecured Creditors</w:t>
      </w:r>
      <w:r>
        <w:rPr>
          <w:rFonts w:ascii="Times New Roman" w:cs="Times New Roman" w:eastAsia="Times New Roman" w:hAnsi="Times New Roman"/>
          <w:sz w:val="21"/>
          <w:szCs w:val="21"/>
          <w:color w:val="auto"/>
        </w:rPr>
        <w:t>.</w:t>
      </w:r>
    </w:p>
    <w:p>
      <w:pPr>
        <w:spacing w:after="0" w:line="314" w:lineRule="exact"/>
        <w:rPr>
          <w:sz w:val="20"/>
          <w:szCs w:val="20"/>
          <w:color w:val="auto"/>
        </w:rPr>
      </w:pPr>
    </w:p>
    <w:p>
      <w:pPr>
        <w:jc w:val="both"/>
        <w:ind w:firstLine="1298"/>
        <w:spacing w:after="0" w:line="250" w:lineRule="auto"/>
        <w:tabs>
          <w:tab w:leader="none" w:pos="2172"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set forth in this Agreement, the ABL Obligations Secured Parties may exercise rights and remedies as unsecured creditors against the Company or any other Pledgor in accordance with the terms of the ABL Obligations Documents to which such ABL Obligations Secured Parties are party and applicable law, in each case to the extent not inconsistent with the provisions of this Agreement. Except as otherwise set forth in this Agreement, nothing in this Agreement shall prohibit the receipt by the ABL Obligations Secured Parties of the required payments of interest, principal and other amounts in respect of the ABL Obligations so long as such receipt is not the direct or indirect</w:t>
      </w:r>
    </w:p>
    <w:p>
      <w:pPr>
        <w:sectPr>
          <w:pgSz w:w="11900" w:h="16838" w:orient="portrait"/>
          <w:cols w:equalWidth="0" w:num="1">
            <w:col w:w="10620"/>
          </w:cols>
          <w:pgMar w:left="740" w:top="1440" w:right="539" w:bottom="1440" w:gutter="0" w:footer="0" w:header="0"/>
        </w:sectPr>
      </w:pPr>
    </w:p>
    <w:bookmarkStart w:id="316" w:name="page317"/>
    <w:bookmarkEnd w:id="316"/>
    <w:p>
      <w:pPr>
        <w:jc w:val="both"/>
        <w:ind w:left="160" w:right="20"/>
        <w:spacing w:after="0" w:line="250" w:lineRule="auto"/>
        <w:rPr>
          <w:sz w:val="20"/>
          <w:szCs w:val="20"/>
          <w:color w:val="auto"/>
        </w:rPr>
      </w:pPr>
      <w:r>
        <w:rPr>
          <w:rFonts w:ascii="Times New Roman" w:cs="Times New Roman" w:eastAsia="Times New Roman" w:hAnsi="Times New Roman"/>
          <w:sz w:val="22"/>
          <w:szCs w:val="22"/>
          <w:color w:val="auto"/>
        </w:rPr>
        <w:t>result of the exercise by any ABL Obligations Secured Party of rights or remedies as a secured creditor (including set off) in respect of the Non-ABL Priority Collateral in contravention of this Agreement or enforcement in contravention of this Agreement of any Lien held by any of them. In the event any ABL Obligations Secured Party becomes a judgment lien creditor in respect of Non-ABL Priority Collateral as a result of its enforcement of its rights as an unsecured creditor, such judgment lien shall be subordinated to the Liens securing Non-ABL Obligations, in each case, on the same basis as the other Liens on the Non-ABL Priority Collateral securing the ABL Obligations are so subordinated to such Non-ABL Obligations under this Agreement.</w:t>
      </w:r>
    </w:p>
    <w:p>
      <w:pPr>
        <w:spacing w:after="0" w:line="180" w:lineRule="exact"/>
        <w:rPr>
          <w:sz w:val="20"/>
          <w:szCs w:val="20"/>
          <w:color w:val="auto"/>
        </w:rPr>
      </w:pPr>
    </w:p>
    <w:p>
      <w:pPr>
        <w:jc w:val="both"/>
        <w:ind w:left="160" w:firstLine="1298"/>
        <w:spacing w:after="0" w:line="247" w:lineRule="auto"/>
        <w:tabs>
          <w:tab w:leader="none" w:pos="2331"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set forth in this Agreement, the Non-ABL Obligations Secured Parties may exercise rights and remedies as unsecured creditors against the Company or any other Pledgor in accordance with the terms of the Non-ABL Obligations Documents to which such Non-ABL Obligations Secured Parties are party and applicable law, in each case to the extent not inconsistent with the provisions of this Agreement. Except as otherwise set forth in this Agreement, nothing in this Agreement shall prohibit the receipt by the Non-ABL Obligations Secured Parties of the required payments of interest, principal and other amounts in respect of the Non-ABL Obligations so long as such receipt is not the direct or indirect result of the exercise by any Non-ABL Obligations Secured Party of rights or remedies as a secured creditor (including set off) in respect of the ABL Priority Collateral in contravention of this Agreement or enforcement in contravention of this Agreement of any Lien held by any of them. In the event any Non-ABL Obligations Secured Party becomes a judgment lien creditor in respect of ABL Priority Collateral as a result of its enforcement of its rights as an unsecured creditor, such judgment lien shall be subordinated to the Liens securing ABL Obligations, in each case, on the same basis as the other Liens on the ABL Priority Collateral securing the Non- ABL Obligations are so subordinated to such ABL Obligations under this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Existence and Amounts of Liens and Obligations.</w:t>
      </w:r>
    </w:p>
    <w:p>
      <w:pPr>
        <w:spacing w:after="0" w:line="237" w:lineRule="exact"/>
        <w:rPr>
          <w:sz w:val="20"/>
          <w:szCs w:val="20"/>
          <w:color w:val="auto"/>
        </w:rPr>
      </w:pPr>
    </w:p>
    <w:p>
      <w:pPr>
        <w:jc w:val="both"/>
        <w:ind w:right="20" w:firstLine="1298"/>
        <w:spacing w:after="0" w:line="248" w:lineRule="auto"/>
        <w:rPr>
          <w:sz w:val="20"/>
          <w:szCs w:val="20"/>
          <w:color w:val="auto"/>
        </w:rPr>
      </w:pPr>
      <w:r>
        <w:rPr>
          <w:rFonts w:ascii="Times New Roman" w:cs="Times New Roman" w:eastAsia="Times New Roman" w:hAnsi="Times New Roman"/>
          <w:sz w:val="22"/>
          <w:szCs w:val="22"/>
          <w:color w:val="auto"/>
        </w:rPr>
        <w:t xml:space="preserve">Whenever a Representative shall be required, in connection with the exercise of its rights or the performance of its obligations hereunder, to determine the existence or amount of any Senior Secured Obligations (or the existence of any commitment to extend credit that would constitute Senior Secured Obligations) or Junior Secured Obligations, (or the existence of any commitment to extend credit that would constitute Junior Secured Obligations), or the Collateral subject to any such Lien, it may request that such information be furnished to it in writing by the other Representatives and shall be entitled to make such determination on the basis of the information so furnished;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Representative shall fail or refuse reasonably promptly to provide the requested information, the requesting Representative shall be entitled to make any such determination by such method as it may, in the exercise of its good faith judgment, determine, including by reliance upon a certificate of the Company. Each Representative may rely conclusively, and shall be fully protected in so relying, on any determination made by it in accordance with the provisions of the preceding sentence (or as otherwise directed by a court of competent jurisdiction) and shall have no liability to the Company or any of its subsidiaries, any Secured Party or any other person as a result of such determination.</w:t>
      </w:r>
    </w:p>
    <w:p>
      <w:pPr>
        <w:sectPr>
          <w:pgSz w:w="11900" w:h="16838" w:orient="portrait"/>
          <w:cols w:equalWidth="0" w:num="1">
            <w:col w:w="10800"/>
          </w:cols>
          <w:pgMar w:left="580" w:top="1422" w:right="519" w:bottom="1440" w:gutter="0" w:footer="0" w:header="0"/>
        </w:sectPr>
      </w:pPr>
    </w:p>
    <w:bookmarkStart w:id="317" w:name="page318"/>
    <w:bookmarkEnd w:id="317"/>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SECTION 4. Miscellaneous.</w:t>
      </w:r>
    </w:p>
    <w:p>
      <w:pPr>
        <w:spacing w:after="0" w:line="48" w:lineRule="exact"/>
        <w:rPr>
          <w:sz w:val="20"/>
          <w:szCs w:val="20"/>
          <w:color w:val="auto"/>
        </w:rPr>
      </w:pPr>
    </w:p>
    <w:p>
      <w:pPr>
        <w:jc w:val="both"/>
        <w:ind w:left="320" w:firstLine="1298"/>
        <w:spacing w:after="0" w:line="24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provided for herein shall be in writing and shall be delivered by hand or overnight courier service, mailed by certified or registered mail, sent by facsimile, or sent to the e-mail address of the applicable recipient specified below (or the email address of a representative of the applicable recipient designated by such recipient from time to time to the parties hereto), as follows:</w:t>
      </w:r>
    </w:p>
    <w:p>
      <w:pPr>
        <w:spacing w:after="0" w:line="186" w:lineRule="exact"/>
        <w:rPr>
          <w:sz w:val="20"/>
          <w:szCs w:val="20"/>
          <w:color w:val="auto"/>
        </w:rPr>
      </w:pPr>
    </w:p>
    <w:p>
      <w:pPr>
        <w:ind w:left="1620"/>
        <w:spacing w:after="0"/>
        <w:tabs>
          <w:tab w:leader="none" w:pos="2240" w:val="left"/>
          <w:tab w:leader="none" w:pos="5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if to the ABL Representative, to it at [</w:t>
        <w:tab/>
        <w:t>];</w:t>
      </w:r>
    </w:p>
    <w:p>
      <w:pPr>
        <w:spacing w:after="0" w:line="233" w:lineRule="exact"/>
        <w:rPr>
          <w:sz w:val="20"/>
          <w:szCs w:val="20"/>
          <w:color w:val="auto"/>
        </w:rPr>
      </w:pPr>
    </w:p>
    <w:p>
      <w:pPr>
        <w:ind w:left="2500" w:hanging="882"/>
        <w:spacing w:after="0"/>
        <w:tabs>
          <w:tab w:leader="none" w:pos="2500"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First  Lien/Second  Lien  Intercreditor  Representative,  the  Designated  Senior</w:t>
      </w:r>
    </w:p>
    <w:p>
      <w:pPr>
        <w:spacing w:after="0" w:line="14" w:lineRule="exact"/>
        <w:rPr>
          <w:sz w:val="20"/>
          <w:szCs w:val="20"/>
          <w:color w:val="auto"/>
        </w:rPr>
      </w:pPr>
    </w:p>
    <w:p>
      <w:pPr>
        <w:ind w:left="320"/>
        <w:spacing w:after="0"/>
        <w:tabs>
          <w:tab w:leader="none" w:pos="7680" w:val="left"/>
        </w:tabs>
        <w:rPr>
          <w:sz w:val="20"/>
          <w:szCs w:val="20"/>
          <w:color w:val="auto"/>
        </w:rPr>
      </w:pPr>
      <w:r>
        <w:rPr>
          <w:rFonts w:ascii="Times New Roman" w:cs="Times New Roman" w:eastAsia="Times New Roman" w:hAnsi="Times New Roman"/>
          <w:sz w:val="22"/>
          <w:szCs w:val="22"/>
          <w:color w:val="auto"/>
        </w:rPr>
        <w:t>Representative and the First Lien Collateral Agent as of the date hereof, to it at [</w:t>
      </w:r>
      <w:r>
        <w:rPr>
          <w:sz w:val="20"/>
          <w:szCs w:val="20"/>
          <w:color w:val="auto"/>
        </w:rPr>
        <w:tab/>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2500" w:hanging="882"/>
        <w:spacing w:after="0"/>
        <w:tabs>
          <w:tab w:leader="none" w:pos="2500"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Designated Second Priority Representative and the Second Lien Collateral Agent as of</w:t>
      </w:r>
    </w:p>
    <w:p>
      <w:pPr>
        <w:spacing w:after="0" w:line="29" w:lineRule="exact"/>
        <w:rPr>
          <w:sz w:val="20"/>
          <w:szCs w:val="20"/>
          <w:color w:val="auto"/>
        </w:rPr>
      </w:pPr>
    </w:p>
    <w:p>
      <w:pPr>
        <w:ind w:left="320"/>
        <w:spacing w:after="0"/>
        <w:tabs>
          <w:tab w:leader="none" w:pos="2580" w:val="left"/>
        </w:tabs>
        <w:rPr>
          <w:sz w:val="20"/>
          <w:szCs w:val="20"/>
          <w:color w:val="auto"/>
        </w:rPr>
      </w:pPr>
      <w:r>
        <w:rPr>
          <w:rFonts w:ascii="Times New Roman" w:cs="Times New Roman" w:eastAsia="Times New Roman" w:hAnsi="Times New Roman"/>
          <w:sz w:val="22"/>
          <w:szCs w:val="22"/>
          <w:color w:val="auto"/>
        </w:rPr>
        <w:t>the date hereof, to it at [</w:t>
        <w:tab/>
        <w:t>];</w:t>
      </w:r>
    </w:p>
    <w:p>
      <w:pPr>
        <w:spacing w:after="0" w:line="180" w:lineRule="exact"/>
        <w:rPr>
          <w:sz w:val="20"/>
          <w:szCs w:val="20"/>
          <w:color w:val="auto"/>
        </w:rPr>
      </w:pPr>
    </w:p>
    <w:p>
      <w:pPr>
        <w:ind w:left="320" w:right="20" w:firstLine="1298"/>
        <w:spacing w:after="0" w:line="258" w:lineRule="auto"/>
        <w:tabs>
          <w:tab w:leader="none" w:pos="2491"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First Lien Obligations Agent or Other First Lien Obligations Agent, to it at the address provided in the relevant Consent and Acknowledgment;</w:t>
      </w:r>
    </w:p>
    <w:p>
      <w:pPr>
        <w:spacing w:after="0" w:line="172" w:lineRule="exact"/>
        <w:rPr>
          <w:sz w:val="20"/>
          <w:szCs w:val="20"/>
          <w:color w:val="auto"/>
        </w:rPr>
      </w:pPr>
    </w:p>
    <w:p>
      <w:pPr>
        <w:ind w:left="1620"/>
        <w:spacing w:after="0"/>
        <w:tabs>
          <w:tab w:leader="none" w:pos="2240" w:val="left"/>
          <w:tab w:leader="none" w:pos="48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if to the Company, to it at [</w:t>
      </w:r>
      <w:r>
        <w:rPr>
          <w:sz w:val="20"/>
          <w:szCs w:val="20"/>
          <w:color w:val="auto"/>
        </w:rPr>
        <w:tab/>
      </w:r>
      <w:r>
        <w:rPr>
          <w:rFonts w:ascii="Times New Roman" w:cs="Times New Roman" w:eastAsia="Times New Roman" w:hAnsi="Times New Roman"/>
          <w:sz w:val="21"/>
          <w:szCs w:val="21"/>
          <w:color w:val="auto"/>
        </w:rPr>
        <w:t>]; and</w:t>
      </w:r>
    </w:p>
    <w:p>
      <w:pPr>
        <w:spacing w:after="0" w:line="233" w:lineRule="exact"/>
        <w:rPr>
          <w:sz w:val="20"/>
          <w:szCs w:val="20"/>
          <w:color w:val="auto"/>
        </w:rPr>
      </w:pPr>
    </w:p>
    <w:p>
      <w:pPr>
        <w:ind w:left="2260" w:hanging="642"/>
        <w:spacing w:after="0"/>
        <w:tabs>
          <w:tab w:leader="none" w:pos="226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Pledgor, to it in care of the Company as provided in clause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above.</w:t>
      </w:r>
    </w:p>
    <w:p>
      <w:pPr>
        <w:spacing w:after="0" w:line="196" w:lineRule="exact"/>
        <w:rPr>
          <w:sz w:val="20"/>
          <w:szCs w:val="20"/>
          <w:color w:val="auto"/>
        </w:rPr>
      </w:pPr>
    </w:p>
    <w:p>
      <w:pPr>
        <w:jc w:val="both"/>
        <w:ind w:left="160"/>
        <w:spacing w:after="0" w:line="249" w:lineRule="auto"/>
        <w:rPr>
          <w:sz w:val="20"/>
          <w:szCs w:val="20"/>
          <w:color w:val="auto"/>
        </w:rPr>
      </w:pPr>
      <w:r>
        <w:rPr>
          <w:rFonts w:ascii="Times New Roman" w:cs="Times New Roman" w:eastAsia="Times New Roman" w:hAnsi="Times New Roman"/>
          <w:sz w:val="22"/>
          <w:szCs w:val="22"/>
          <w:color w:val="auto"/>
        </w:rPr>
        <w:t>Any party hereto may change its address or facsimile number for notices and other communications hereunder by notice to the other parties hereto (and for this purpose a notice to the Company shall be deemed to be a notice to each Pledgor).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facsimile or e-mail or on the date that is five (5) Business Days after dispatch by certified or registered mail if mailed, in each case delivered, sent or mailed (properly addressed) to such party as provided in this Section 4.1 or in accordance with the latest unrevoked direction from such party given in accordance with this Section 4.1.</w:t>
      </w:r>
    </w:p>
    <w:p>
      <w:pPr>
        <w:spacing w:after="0" w:line="195" w:lineRule="exact"/>
        <w:rPr>
          <w:sz w:val="20"/>
          <w:szCs w:val="20"/>
          <w:color w:val="auto"/>
        </w:rPr>
      </w:pPr>
    </w:p>
    <w:p>
      <w:pPr>
        <w:jc w:val="both"/>
        <w:ind w:left="320" w:firstLine="1298"/>
        <w:spacing w:after="0" w:line="250"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(a) 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Section 4.2(b),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ectPr>
          <w:pgSz w:w="11900" w:h="16838" w:orient="portrait"/>
          <w:cols w:equalWidth="0" w:num="1">
            <w:col w:w="10940"/>
          </w:cols>
          <w:pgMar w:left="420" w:top="1440" w:right="539" w:bottom="1440" w:gutter="0" w:footer="0" w:header="0"/>
        </w:sectPr>
      </w:pPr>
    </w:p>
    <w:bookmarkStart w:id="318" w:name="page319"/>
    <w:bookmarkEnd w:id="318"/>
    <w:p>
      <w:pPr>
        <w:spacing w:after="0" w:line="104" w:lineRule="exact"/>
        <w:rPr>
          <w:sz w:val="20"/>
          <w:szCs w:val="20"/>
          <w:color w:val="auto"/>
        </w:rPr>
      </w:pPr>
    </w:p>
    <w:p>
      <w:pPr>
        <w:jc w:val="both"/>
        <w:ind w:left="-140" w:firstLine="1942"/>
        <w:spacing w:after="0" w:line="250" w:lineRule="auto"/>
        <w:tabs>
          <w:tab w:leader="none" w:pos="2125"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4.13 hereof, neither this Agreement nor any provision hereof may be waived, amended or modified except pursuant to an agreement or agreements in writing entered into by (i) the ABL Representative, the Representative of each Series of First Lien Obligations and each Series of Second Lien Obligations and (ii) to the extent such amendment, waiver or modification by the term of this Agreement requires the Company’s consent or which adversely affects the Company or any other Pledgor, the Company and the applicable Pledgor.</w:t>
      </w:r>
    </w:p>
    <w:p>
      <w:pPr>
        <w:spacing w:after="0" w:line="208" w:lineRule="exact"/>
        <w:rPr>
          <w:sz w:val="20"/>
          <w:szCs w:val="20"/>
          <w:color w:val="auto"/>
        </w:rPr>
      </w:pPr>
    </w:p>
    <w:p>
      <w:pPr>
        <w:jc w:val="both"/>
        <w:ind w:firstLine="1298"/>
        <w:spacing w:after="0" w:line="25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Parties in Interest</w:t>
      </w:r>
      <w:r>
        <w:rPr>
          <w:rFonts w:ascii="Times New Roman" w:cs="Times New Roman" w:eastAsia="Times New Roman" w:hAnsi="Times New Roman"/>
          <w:sz w:val="22"/>
          <w:szCs w:val="22"/>
          <w:color w:val="auto"/>
        </w:rPr>
        <w:t>. This Agreement and the rights and benefits hereof shall inure to the benefit of, and be binding upon, each of the parties hereto and their respective successors and assigns and shall inure to the benefit of each of, and be binding upon, the ABL Obligations Secured Parties, the First Lien Obligations Secured Parties and the Second Lien Obligations Secured Parties. No other person (including the Company, Pledgors, or any trustee, receiver, debtor-in-possession or bankruptcy estate in a bankruptcy or like proceeding) shall have or be entitled to assert rights or benefits hereunder except for the Company and the Pledgors with respect to their rights under Section 4.2(b).</w:t>
      </w:r>
    </w:p>
    <w:p>
      <w:pPr>
        <w:spacing w:after="0" w:line="195" w:lineRule="exact"/>
        <w:rPr>
          <w:sz w:val="20"/>
          <w:szCs w:val="20"/>
          <w:color w:val="auto"/>
        </w:rPr>
      </w:pPr>
    </w:p>
    <w:p>
      <w:pPr>
        <w:jc w:val="both"/>
        <w:ind w:firstLine="1298"/>
        <w:spacing w:after="0" w:line="281"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Effectiveness of Agreement</w:t>
      </w:r>
      <w:r>
        <w:rPr>
          <w:rFonts w:ascii="Times New Roman" w:cs="Times New Roman" w:eastAsia="Times New Roman" w:hAnsi="Times New Roman"/>
          <w:sz w:val="21"/>
          <w:szCs w:val="21"/>
          <w:color w:val="auto"/>
        </w:rPr>
        <w:t>. This Agreement shall become effective when executed and delivered by the parties hereto. All references to the Company or any other Pledgor shall include the Company or any other Pledgor as debtor and debtor-in-possession and any receiver or trustee for such person in any Insolvency or Liquidation Proceeding.</w:t>
      </w:r>
    </w:p>
    <w:p>
      <w:pPr>
        <w:spacing w:after="0" w:line="164" w:lineRule="exact"/>
        <w:rPr>
          <w:sz w:val="20"/>
          <w:szCs w:val="20"/>
          <w:color w:val="auto"/>
        </w:rPr>
      </w:pPr>
    </w:p>
    <w:p>
      <w:pPr>
        <w:jc w:val="both"/>
        <w:ind w:firstLine="1298"/>
        <w:spacing w:after="0" w:line="256"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constitute an original but all of which when taken together shall constitute a single contract. Delivery of an executed signature page to this Agreement by electronic or facsimile transmission shall be as effective as delivery of a manually signed counterpart of this Agreement.</w:t>
      </w:r>
    </w:p>
    <w:p>
      <w:pPr>
        <w:spacing w:after="0" w:line="190"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Continuing Nature of This Agreement; Severability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 w:firstLine="1292"/>
        <w:spacing w:after="0" w:line="251" w:lineRule="auto"/>
        <w:tabs>
          <w:tab w:leader="none" w:pos="2178"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Sections 2.5(c) (Avoidance Issues) and 2.8 (Reinstatement), this Agreement shall continue to be effective until the earlier to occur of the Discharge of ABL Obligations or the Discharge of Non-ABL Obligations. This is a continuing agreement of lien subordination and the Senior Secured Obligations Secured Parties may continue, at any time and without notice to the Applicable Junior Representative or any other Junior Secured Obligations Secured Party, to extend credit and other financial accommodations and lend monies to or for the benefit of the Company or any other Pledgor constituting Senior Secured Obligations in reliance hereon.</w:t>
      </w:r>
    </w:p>
    <w:p>
      <w:pPr>
        <w:spacing w:after="0" w:line="181" w:lineRule="exact"/>
        <w:rPr>
          <w:rFonts w:ascii="Times New Roman" w:cs="Times New Roman" w:eastAsia="Times New Roman" w:hAnsi="Times New Roman"/>
          <w:sz w:val="22"/>
          <w:szCs w:val="22"/>
          <w:color w:val="auto"/>
        </w:rPr>
      </w:pPr>
    </w:p>
    <w:p>
      <w:pPr>
        <w:jc w:val="both"/>
        <w:ind w:left="20" w:firstLine="1292"/>
        <w:spacing w:after="0" w:line="251" w:lineRule="auto"/>
        <w:tabs>
          <w:tab w:leader="none" w:pos="2177"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Discharge of First Lien Obligations, the Second Lien Obligations shall be deemed to be “First Lien Obligations” for all purposes of this Agreement and the Second Lien Obligations Secured Parties shall succeed to the rights and obligations of the First Lien Obligations Secured Parties hereunder as if they were First Lien Obligations Secured Parties, and their Obligations constituted First Lien Obligations as of the date hereof, whereupon all provisions herein relating to, or in respect of, the First Lien Obligations or the First Lien Obligations Secured Parties (and any of their Representatives) shall apply, mutatis</w:t>
      </w:r>
    </w:p>
    <w:p>
      <w:pPr>
        <w:sectPr>
          <w:pgSz w:w="11900" w:h="16838" w:orient="portrait"/>
          <w:cols w:equalWidth="0" w:num="1">
            <w:col w:w="10620"/>
          </w:cols>
          <w:pgMar w:left="740" w:top="1440" w:right="539" w:bottom="1440" w:gutter="0" w:footer="0" w:header="0"/>
        </w:sectPr>
      </w:pPr>
    </w:p>
    <w:bookmarkStart w:id="319" w:name="page320"/>
    <w:bookmarkEnd w:id="319"/>
    <w:p>
      <w:pPr>
        <w:spacing w:after="0" w:line="144"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22"/>
          <w:szCs w:val="22"/>
          <w:color w:val="auto"/>
        </w:rPr>
        <w:t>mutandis, to the Second Lien Obligations and the Second Lien Obligations Secured Parties (and any of their Representatives), and any other provisions relating to, or in respect of, the Second Lien Obligations or the Second Lien Obligations Secured Parties (and any of their Representatives) shall cease to be in force and effect.</w:t>
      </w:r>
    </w:p>
    <w:p>
      <w:pPr>
        <w:spacing w:after="0" w:line="5" w:lineRule="exact"/>
        <w:rPr>
          <w:sz w:val="20"/>
          <w:szCs w:val="20"/>
          <w:color w:val="auto"/>
        </w:rPr>
      </w:pPr>
    </w:p>
    <w:p>
      <w:pPr>
        <w:jc w:val="both"/>
        <w:ind w:firstLine="1298"/>
        <w:spacing w:after="0" w:line="251" w:lineRule="auto"/>
        <w:tabs>
          <w:tab w:leader="none" w:pos="2172"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that is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68" w:lineRule="exact"/>
        <w:rPr>
          <w:sz w:val="20"/>
          <w:szCs w:val="20"/>
          <w:color w:val="auto"/>
        </w:rPr>
      </w:pPr>
    </w:p>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Governing Law; Jurisdiction; Consent to Service of Process; Waivers</w:t>
      </w:r>
      <w:r>
        <w:rPr>
          <w:rFonts w:ascii="Times New Roman" w:cs="Times New Roman" w:eastAsia="Times New Roman" w:hAnsi="Times New Roman"/>
          <w:sz w:val="22"/>
          <w:szCs w:val="22"/>
          <w:color w:val="auto"/>
        </w:rPr>
        <w:t>. (a) THIS AGREEMENT SHALL BE CONSTRUED IN ACCORDANCE WITH AND GOVERNED BY THE LAWS OF THE STATE OF NEW YORK.</w:t>
      </w:r>
    </w:p>
    <w:p>
      <w:pPr>
        <w:spacing w:after="0" w:line="195" w:lineRule="exact"/>
        <w:rPr>
          <w:sz w:val="20"/>
          <w:szCs w:val="20"/>
          <w:color w:val="auto"/>
        </w:rPr>
      </w:pPr>
    </w:p>
    <w:p>
      <w:pPr>
        <w:jc w:val="both"/>
        <w:ind w:left="-80" w:firstLine="1867"/>
        <w:spacing w:after="0" w:line="261" w:lineRule="auto"/>
        <w:tabs>
          <w:tab w:leader="none" w:pos="2099"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against any Pledgor or its respective properties in the courts of any jurisdiction. (c) Each party hereto hereby irrevocably and unconditionally waives, to the fullest extent it may legally and do so, any objection that it may now or hereafter have to the laying of venue of any suit, action or proceeding arising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7" w:lineRule="exact"/>
        <w:rPr>
          <w:rFonts w:ascii="Times New Roman" w:cs="Times New Roman" w:eastAsia="Times New Roman" w:hAnsi="Times New Roman"/>
          <w:sz w:val="21"/>
          <w:szCs w:val="21"/>
          <w:color w:val="auto"/>
        </w:rPr>
      </w:pPr>
    </w:p>
    <w:p>
      <w:pPr>
        <w:jc w:val="both"/>
        <w:ind w:left="-60" w:right="20" w:firstLine="1862"/>
        <w:spacing w:after="0" w:line="257" w:lineRule="auto"/>
        <w:tabs>
          <w:tab w:leader="none" w:pos="2173" w:val="left"/>
        </w:tabs>
        <w:numPr>
          <w:ilvl w:val="1"/>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consents to service of process in the manner for notices in Section 4.1. Nothing in this Agreement will affect the right of any party to this Agreement to serve process in any other manner permitted by law.</w:t>
      </w:r>
    </w:p>
    <w:p>
      <w:pPr>
        <w:spacing w:after="0" w:line="159" w:lineRule="exact"/>
        <w:rPr>
          <w:rFonts w:ascii="Times New Roman" w:cs="Times New Roman" w:eastAsia="Times New Roman" w:hAnsi="Times New Roman"/>
          <w:sz w:val="22"/>
          <w:szCs w:val="22"/>
          <w:color w:val="auto"/>
        </w:rPr>
      </w:pPr>
    </w:p>
    <w:p>
      <w:pPr>
        <w:jc w:val="both"/>
        <w:ind w:left="-60" w:right="20" w:firstLine="1862"/>
        <w:spacing w:after="0" w:line="250" w:lineRule="auto"/>
        <w:tabs>
          <w:tab w:leader="none" w:pos="2174" w:val="left"/>
        </w:tabs>
        <w:numPr>
          <w:ilvl w:val="1"/>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waives, to the maximum extent not prohibited by law, any right it may have to claim or recover in any legal action or referred to in this Section 4.7 any special, exemplary, punitive or consequential damages.</w:t>
      </w:r>
    </w:p>
    <w:p>
      <w:pPr>
        <w:spacing w:after="0" w:line="200" w:lineRule="exact"/>
        <w:rPr>
          <w:sz w:val="20"/>
          <w:szCs w:val="20"/>
          <w:color w:val="auto"/>
        </w:rPr>
      </w:pPr>
    </w:p>
    <w:p>
      <w:pPr>
        <w:spacing w:after="0" w:line="265" w:lineRule="exact"/>
        <w:rPr>
          <w:sz w:val="20"/>
          <w:szCs w:val="20"/>
          <w:color w:val="auto"/>
        </w:rPr>
      </w:pPr>
    </w:p>
    <w:p>
      <w:pPr>
        <w:jc w:val="both"/>
        <w:ind w:firstLine="1298"/>
        <w:spacing w:after="0" w:line="257"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w:t>
      </w:r>
    </w:p>
    <w:p>
      <w:pPr>
        <w:sectPr>
          <w:pgSz w:w="11900" w:h="16838" w:orient="portrait"/>
          <w:cols w:equalWidth="0" w:num="1">
            <w:col w:w="10620"/>
          </w:cols>
          <w:pgMar w:left="740" w:top="1440" w:right="539" w:bottom="1440" w:gutter="0" w:footer="0" w:header="0"/>
        </w:sectPr>
      </w:pPr>
    </w:p>
    <w:bookmarkStart w:id="320" w:name="page321"/>
    <w:bookmarkEnd w:id="320"/>
    <w:p>
      <w:pPr>
        <w:jc w:val="both"/>
        <w:spacing w:after="0" w:line="250" w:lineRule="auto"/>
        <w:rPr>
          <w:sz w:val="20"/>
          <w:szCs w:val="20"/>
          <w:color w:val="auto"/>
        </w:rPr>
      </w:pPr>
      <w:r>
        <w:rPr>
          <w:rFonts w:ascii="Times New Roman" w:cs="Times New Roman" w:eastAsia="Times New Roman" w:hAnsi="Times New Roman"/>
          <w:sz w:val="22"/>
          <w:szCs w:val="22"/>
          <w:color w:val="auto"/>
        </w:rPr>
        <w:t>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4.8.</w:t>
      </w:r>
    </w:p>
    <w:p>
      <w:pPr>
        <w:spacing w:after="0" w:line="200" w:lineRule="exact"/>
        <w:rPr>
          <w:sz w:val="20"/>
          <w:szCs w:val="20"/>
          <w:color w:val="auto"/>
        </w:rPr>
      </w:pPr>
    </w:p>
    <w:p>
      <w:pPr>
        <w:jc w:val="both"/>
        <w:ind w:firstLine="1298"/>
        <w:spacing w:after="0" w:line="257"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and Exhibits headings used herein are for convenience of reference only, are not part of this Agreement and are not to affect the construction of, or to be taken into consideration in interpreting, this Agreement.</w:t>
      </w:r>
    </w:p>
    <w:p>
      <w:pPr>
        <w:spacing w:after="0" w:line="200" w:lineRule="exact"/>
        <w:rPr>
          <w:sz w:val="20"/>
          <w:szCs w:val="20"/>
          <w:color w:val="auto"/>
        </w:rPr>
      </w:pPr>
    </w:p>
    <w:p>
      <w:pPr>
        <w:jc w:val="both"/>
        <w:ind w:firstLine="1298"/>
        <w:spacing w:after="0" w:line="257"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Conflicts</w:t>
      </w:r>
      <w:r>
        <w:rPr>
          <w:rFonts w:ascii="Times New Roman" w:cs="Times New Roman" w:eastAsia="Times New Roman" w:hAnsi="Times New Roman"/>
          <w:sz w:val="22"/>
          <w:szCs w:val="22"/>
          <w:color w:val="auto"/>
        </w:rPr>
        <w:t>. In the event of any conflict or inconsistency between the provisions of this Agreement and the provisions of any of the ABL Obligations Documents or the Non-ABL Obligations Documents, the provisions of this Agreement shall control.</w:t>
      </w:r>
    </w:p>
    <w:p>
      <w:pPr>
        <w:spacing w:after="0" w:line="186" w:lineRule="exact"/>
        <w:rPr>
          <w:sz w:val="20"/>
          <w:szCs w:val="20"/>
          <w:color w:val="auto"/>
        </w:rPr>
      </w:pPr>
    </w:p>
    <w:p>
      <w:pPr>
        <w:jc w:val="both"/>
        <w:ind w:firstLine="1298"/>
        <w:spacing w:after="0" w:line="248"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Relative Rights</w:t>
      </w:r>
      <w:r>
        <w:rPr>
          <w:rFonts w:ascii="Times New Roman" w:cs="Times New Roman" w:eastAsia="Times New Roman" w:hAnsi="Times New Roman"/>
          <w:sz w:val="22"/>
          <w:szCs w:val="22"/>
          <w:color w:val="auto"/>
        </w:rPr>
        <w:t>. The provisions of this Agreement are and are intended solely for the purpose of defining the relative rights of the ABL Obligations Secured Parties and the Non-ABL Obligations Secured Parties in relation to one another. None of the Company, any other Pledgor or any other creditor thereof shall have any rights or obligations hereunder, except as expressly provided in this Agreement. Nothing in this Agreement is intended to or shall impair the obligations of the Company or any other Pledgor, which are absolute and unconditional, to pay the Secured Obligations as and when the same shall become due and payable in accordance with their terms. Notwithstanding anything to the contrary herein or in any ABL Obligations Document, any First Lien Obligations Document or any Second Lien Obligations Document, the Pledgors shall not be required to act or refrain from acting ( a) pursuant to this Agreement, any First Lien Obligations Document or any Second Lien Obligations Document, as the case may be, with respect to any ABL Priority Collateral in any manner that would cause a default under any ABL Obligations Document, (b) pursuant to this Agreement, any ABL Obligations Document or any Second Lien Obligations Document, as the case may be, with respect to any Non-ABL Priority Collateral in any manner that would cause a default under any First Lien Obligations Document, or (c) pursuant to this Agreement, any ABL Obligations Document or any First Lien Obligations Document, as the case may be, with respect to any Non -ABL Priority Collateral in any manner that would cause a default under any Second Lien Obligations Document.</w:t>
      </w:r>
    </w:p>
    <w:p>
      <w:pPr>
        <w:spacing w:after="0" w:line="196" w:lineRule="exact"/>
        <w:rPr>
          <w:sz w:val="20"/>
          <w:szCs w:val="20"/>
          <w:color w:val="auto"/>
        </w:rPr>
      </w:pPr>
    </w:p>
    <w:p>
      <w:pPr>
        <w:jc w:val="both"/>
        <w:ind w:firstLine="1298"/>
        <w:spacing w:after="0" w:line="252"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Agent Capacities</w:t>
      </w:r>
      <w:r>
        <w:rPr>
          <w:rFonts w:ascii="Times New Roman" w:cs="Times New Roman" w:eastAsia="Times New Roman" w:hAnsi="Times New Roman"/>
          <w:sz w:val="22"/>
          <w:szCs w:val="22"/>
          <w:color w:val="auto"/>
        </w:rPr>
        <w:t>. Except as expressly set forth herein, the ABL Representative, the First Lien Collateral Agent, the Second Lien Collateral Agent, the Other First Lien Obligations Agents and the Other Second Lien Obligations Agents shall not have any duties or obligations in respect of any of the Collateral, all of such duties and obligations, if any, being subject to and governed by the applicable ABL Obligations Documents, First Lien Obligations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Documents or Second Lien Obligations Documents, as the case may be. It is understood and agreed that (i) [ ] is entering into this Agreement in its capacity as administrative agent and collateral agent under the ABL Facility</w:t>
      </w:r>
    </w:p>
    <w:p>
      <w:pPr>
        <w:sectPr>
          <w:pgSz w:w="11900" w:h="16838" w:orient="portrait"/>
          <w:cols w:equalWidth="0" w:num="1">
            <w:col w:w="10620"/>
          </w:cols>
          <w:pgMar w:left="740" w:top="1422" w:right="539" w:bottom="1440" w:gutter="0" w:footer="0" w:header="0"/>
        </w:sectPr>
      </w:pPr>
    </w:p>
    <w:bookmarkStart w:id="321" w:name="page322"/>
    <w:bookmarkEnd w:id="321"/>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Agreement, and the ABL Facility Agreement applicable to [ ] as administrative agent and collateral agent thereunder (including its rights, privileges, immunities and indemnities) shall also apply to [ ] as the ABL Representative hereunder,</w:t>
      </w:r>
    </w:p>
    <w:p>
      <w:pPr>
        <w:spacing w:after="0" w:line="1" w:lineRule="exact"/>
        <w:rPr>
          <w:sz w:val="20"/>
          <w:szCs w:val="20"/>
          <w:color w:val="auto"/>
        </w:rPr>
      </w:pPr>
    </w:p>
    <w:p>
      <w:pPr>
        <w:jc w:val="both"/>
        <w:spacing w:after="0" w:line="246" w:lineRule="auto"/>
        <w:tabs>
          <w:tab w:leader="none" w:pos="336"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JPMorgan is entering into this Agreement in its capacity as administrative agent and collateral agent under the First Lien Credit Agreements and the provisions of the First Lien Credit Agreements applicable to JPMorgan as administrative agent and collateral agent thereunder (including its rights, privileges, immunities and indemnities) shall also apply to JPMorgan hereunder and (iii) [ ] is entering into this Agreement in its capacity as trustee and Second Lien Collateral Agent under the Second Lien [Credit Agreement][Indenture] and the provisions of the Second Lien [Credit Agreement] [Indenture] applicable to [ ] as [administrative agent][trustee] and Second Lien Collateral Agent thereunder (including its rights, privileges, immunities and indemnities) shall also apply to [ ] hereunder. The First Lien Collateral Agent on behalf of the First Lien Facility Obligations Secured Parties, the Second Lien Collateral Agent on behalf of the Second Lien Facility Obligations Secured Parties, each Other First Lien Obligations Agent on behalf of the Other First Lien Obligations Secured Parties and each Other Second Lien Obligations Agent on behalf of the Other Second Lien Obligations Secured Parties hereby irrevocably designate and appoint the First Lien/Second Lien Intercreditor Representative under this Agreement to exercise such powers and perform such duties as are expressly delegated to the First Lien/Second Lien Intercreditor Representative, together with such powers as are reasonably incidental thereto. The provisions of the First Lien Credit Agreements applicable to JPMorgan as administrative agent and collateral agent thereunder shall also apply to JPMorgan as First Lien/Second Lien Intercreditor Representative and the provisions of the Second Lien [Credit Agreement][Indenture] applicable to [ ] as [administrative agent][trustee] and Second Lien Collateral Agent thereunder shall also apply to [ ] as First Lien/Second Lien Intercreditor Representative.</w:t>
      </w:r>
    </w:p>
    <w:p>
      <w:pPr>
        <w:spacing w:after="0" w:line="185"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4.13</w:t>
      </w:r>
      <w:r>
        <w:rPr>
          <w:sz w:val="20"/>
          <w:szCs w:val="20"/>
          <w:color w:val="auto"/>
        </w:rPr>
        <w:tab/>
      </w:r>
      <w:r>
        <w:rPr>
          <w:rFonts w:ascii="Times New Roman" w:cs="Times New Roman" w:eastAsia="Times New Roman" w:hAnsi="Times New Roman"/>
          <w:sz w:val="21"/>
          <w:szCs w:val="21"/>
          <w:u w:val="single" w:color="auto"/>
          <w:color w:val="auto"/>
        </w:rPr>
        <w:t>Requirements for Additional Obligations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20" w:firstLine="1292"/>
        <w:spacing w:after="0" w:line="253" w:lineRule="auto"/>
        <w:tabs>
          <w:tab w:leader="none" w:pos="2178" w:val="left"/>
        </w:tabs>
        <w:numPr>
          <w:ilvl w:val="1"/>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designate hereunder in writing obligations as an ABL Facility Agreement, a First Lien Facility, a Second Lien Facility, Other First Lien Obligations or Other Second Lien Obligations, and may specify that any such obligations constitute a Refinancing of any existing Series of Secured Obligations, if the incurrence of such obligations and related Liens (including the priority thereof) is not prohibited under each of the ABL Obligations Documents, First Lien Obligations Documents, Second Lien Obligations Documents and this Agreement.</w:t>
      </w:r>
    </w:p>
    <w:p>
      <w:pPr>
        <w:spacing w:after="0" w:line="165" w:lineRule="exact"/>
        <w:rPr>
          <w:rFonts w:ascii="Times New Roman" w:cs="Times New Roman" w:eastAsia="Times New Roman" w:hAnsi="Times New Roman"/>
          <w:sz w:val="22"/>
          <w:szCs w:val="22"/>
          <w:color w:val="auto"/>
        </w:rPr>
      </w:pPr>
    </w:p>
    <w:p>
      <w:pPr>
        <w:jc w:val="both"/>
        <w:ind w:right="20" w:firstLine="1298"/>
        <w:spacing w:after="0" w:line="266" w:lineRule="auto"/>
        <w:tabs>
          <w:tab w:leader="none" w:pos="2171" w:val="left"/>
        </w:tabs>
        <w:numPr>
          <w:ilvl w:val="1"/>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not so prohibited and if the Company wishes to so designate, the Company shall (i) notify each Representative in writing of such designation certifying that such designation is permitted by the applicable Documents,</w:t>
      </w:r>
    </w:p>
    <w:p>
      <w:pPr>
        <w:spacing w:after="0" w:line="1" w:lineRule="exact"/>
        <w:rPr>
          <w:rFonts w:ascii="Times New Roman" w:cs="Times New Roman" w:eastAsia="Times New Roman" w:hAnsi="Times New Roman"/>
          <w:sz w:val="21"/>
          <w:szCs w:val="21"/>
          <w:color w:val="auto"/>
        </w:rPr>
      </w:pPr>
    </w:p>
    <w:p>
      <w:pPr>
        <w:jc w:val="both"/>
        <w:ind w:right="20"/>
        <w:spacing w:after="0" w:line="247" w:lineRule="auto"/>
        <w:tabs>
          <w:tab w:leader="none" w:pos="31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applicable agent for any such additional obligations that are designated as ABL Obligations, Other First Lien Obligations or Other Second Lien Obligations, as applicable, to execute and deliver an applicable Consent and Acknowledgment and (iii) if applicable, cause such agent to indicate in such Consent and Acknowledgment that such ABL Obligations, Other First Lien Obligations or Other Second Lien Obligations constitute a Refinancing of a specified existing Series of Secured Obligations.</w:t>
      </w:r>
    </w:p>
    <w:p>
      <w:pPr>
        <w:sectPr>
          <w:pgSz w:w="11900" w:h="16838" w:orient="portrait"/>
          <w:cols w:equalWidth="0" w:num="1">
            <w:col w:w="10620"/>
          </w:cols>
          <w:pgMar w:left="740" w:top="1440" w:right="539" w:bottom="1440" w:gutter="0" w:footer="0" w:header="0"/>
        </w:sectPr>
      </w:pPr>
    </w:p>
    <w:bookmarkStart w:id="322" w:name="page323"/>
    <w:bookmarkEnd w:id="322"/>
    <w:p>
      <w:pPr>
        <w:jc w:val="both"/>
        <w:ind w:left="140" w:firstLine="1298"/>
        <w:spacing w:after="0"/>
        <w:tabs>
          <w:tab w:leader="none" w:pos="2312"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this Section 4.13 or in Section 4.2 (Amendments; Waivers) hereof, each Representative shall, at the request and expense of the Company, without the consent of any Secured Parties, execute and deliver the acknowledgement and confirmation of the applicable Consent and Acknowledgment and/or enter into an amendment, an amendment and restatement or a supplement of this Agreement to facilitate the designation of an ABL Facility Agreement, a First Lien Facility, a Second Lien Facility, Other First Lien Obligations or Other Second Lien Obligations, if the incurrence of such obligations and related Liens (including the priority thereof) is not prohibited under each of the ABL Obligations Documents, First Lien Obligations Documents, Second Lien Obligations Documents and this Agreement. Any such amendment may, among other things:</w:t>
      </w:r>
    </w:p>
    <w:p>
      <w:pPr>
        <w:spacing w:after="0" w:line="176" w:lineRule="exact"/>
        <w:rPr>
          <w:rFonts w:ascii="Times New Roman" w:cs="Times New Roman" w:eastAsia="Times New Roman" w:hAnsi="Times New Roman"/>
          <w:sz w:val="22"/>
          <w:szCs w:val="22"/>
          <w:color w:val="auto"/>
        </w:rPr>
      </w:pPr>
    </w:p>
    <w:p>
      <w:pPr>
        <w:jc w:val="both"/>
        <w:ind w:left="640" w:right="40" w:firstLine="899"/>
        <w:spacing w:after="0" w:line="257" w:lineRule="auto"/>
        <w:tabs>
          <w:tab w:leader="none" w:pos="2319" w:val="left"/>
        </w:tabs>
        <w:numPr>
          <w:ilvl w:val="2"/>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other parties holding ABL Obligations, First Lien Facility Obligations, Second Lien Facility Obligations, Other First Lien Obligations or Other Second Lien Obligations (or any agent or trustee therefor), as the case may be, to the extent such Indebtedness is not prohibited by the applicable Documents;</w:t>
      </w:r>
    </w:p>
    <w:p>
      <w:pPr>
        <w:spacing w:after="0" w:line="172" w:lineRule="exact"/>
        <w:rPr>
          <w:rFonts w:ascii="Times New Roman" w:cs="Times New Roman" w:eastAsia="Times New Roman" w:hAnsi="Times New Roman"/>
          <w:sz w:val="22"/>
          <w:szCs w:val="22"/>
          <w:color w:val="auto"/>
        </w:rPr>
      </w:pPr>
    </w:p>
    <w:p>
      <w:pPr>
        <w:jc w:val="both"/>
        <w:ind w:left="640" w:firstLine="899"/>
        <w:spacing w:after="0" w:line="250" w:lineRule="auto"/>
        <w:tabs>
          <w:tab w:leader="none" w:pos="2325" w:val="left"/>
        </w:tabs>
        <w:numPr>
          <w:ilvl w:val="2"/>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additional Secured Obligations that are Junior Secured Obligations, (A) establish that the Liens on the Shared Collateral securing such Junior Secured Obligations shall be junior and subordinate in all respects to all Liens on the Shared Collateral securing any present or future Senior Secured Obligations, and (B) provide to holders of such Junior Secured Obligations (or any agent or trustee thereof) the comparable rights and benefits (including any improved rights and benefits that have been consented to by the Applicable Senior Representative or the Senior Agents) as are provided to the Junior Secured Obligations Secured Parties under this Agreement; and</w:t>
      </w:r>
    </w:p>
    <w:p>
      <w:pPr>
        <w:spacing w:after="0" w:line="180" w:lineRule="exact"/>
        <w:rPr>
          <w:rFonts w:ascii="Times New Roman" w:cs="Times New Roman" w:eastAsia="Times New Roman" w:hAnsi="Times New Roman"/>
          <w:sz w:val="22"/>
          <w:szCs w:val="22"/>
          <w:color w:val="auto"/>
        </w:rPr>
      </w:pPr>
    </w:p>
    <w:p>
      <w:pPr>
        <w:ind w:left="1920" w:hanging="367"/>
        <w:spacing w:after="0"/>
        <w:tabs>
          <w:tab w:leader="none" w:pos="1920" w:val="left"/>
        </w:tabs>
        <w:numPr>
          <w:ilvl w:val="3"/>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additional Obligations that are Senior Secured Obligations,</w:t>
      </w:r>
    </w:p>
    <w:p>
      <w:pPr>
        <w:spacing w:after="0" w:line="29" w:lineRule="exact"/>
        <w:rPr>
          <w:rFonts w:ascii="Times New Roman" w:cs="Times New Roman" w:eastAsia="Times New Roman" w:hAnsi="Times New Roman"/>
          <w:sz w:val="22"/>
          <w:szCs w:val="22"/>
          <w:color w:val="auto"/>
        </w:rPr>
      </w:pPr>
    </w:p>
    <w:p>
      <w:pPr>
        <w:jc w:val="both"/>
        <w:ind w:left="640" w:firstLine="5"/>
        <w:spacing w:after="0" w:line="268" w:lineRule="auto"/>
        <w:tabs>
          <w:tab w:leader="none" w:pos="1000" w:val="left"/>
        </w:tabs>
        <w:numPr>
          <w:ilvl w:val="0"/>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that the Liens on the Shared Collateral securing such Senior Secured Obligations shall be superior and prior in all respects to all Liens on the Shared Collateral securing any present or future Junior Secured Obligations, and (b) provide to the holders of such Senior Secured Obligations (or any agent or trustee thereof) the comparable rights and benefits as are provided to the Senior Secured Obligations Secured Parties under this Agreement.</w:t>
      </w:r>
    </w:p>
    <w:p>
      <w:pPr>
        <w:spacing w:after="0" w:line="164" w:lineRule="exact"/>
        <w:rPr>
          <w:rFonts w:ascii="Times New Roman" w:cs="Times New Roman" w:eastAsia="Times New Roman" w:hAnsi="Times New Roman"/>
          <w:sz w:val="21"/>
          <w:szCs w:val="21"/>
          <w:color w:val="auto"/>
        </w:rPr>
      </w:pPr>
    </w:p>
    <w:p>
      <w:pPr>
        <w:jc w:val="both"/>
        <w:ind w:left="140" w:right="20" w:firstLine="1298"/>
        <w:spacing w:after="0" w:line="250" w:lineRule="auto"/>
        <w:tabs>
          <w:tab w:leader="none" w:pos="2311"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such additional party as described in clause (c) above, each Senior Agent and each Junior Agent shall be entitled to rely on the determination of officers of the Company that such modifications do not violate any applicable Documents, if such determination is set forth in an officer’s certificate delivered by the Company at the request of such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determination will not affect whether or not the Company has complied with its undertakings in such Documents.</w:t>
      </w:r>
    </w:p>
    <w:p>
      <w:pPr>
        <w:spacing w:after="0" w:line="194" w:lineRule="exact"/>
        <w:rPr>
          <w:sz w:val="20"/>
          <w:szCs w:val="20"/>
          <w:color w:val="auto"/>
        </w:rPr>
      </w:pPr>
    </w:p>
    <w:p>
      <w:pPr>
        <w:ind w:left="1440"/>
        <w:spacing w:after="0"/>
        <w:tabs>
          <w:tab w:leader="none" w:pos="2020" w:val="left"/>
        </w:tabs>
        <w:rPr>
          <w:sz w:val="20"/>
          <w:szCs w:val="20"/>
          <w:color w:val="auto"/>
        </w:rPr>
      </w:pPr>
      <w:r>
        <w:rPr>
          <w:rFonts w:ascii="Times New Roman" w:cs="Times New Roman" w:eastAsia="Times New Roman" w:hAnsi="Times New Roman"/>
          <w:sz w:val="22"/>
          <w:szCs w:val="22"/>
          <w:color w:val="auto"/>
        </w:rPr>
        <w:t>4.14</w:t>
      </w:r>
      <w:r>
        <w:rPr>
          <w:sz w:val="20"/>
          <w:szCs w:val="20"/>
          <w:color w:val="auto"/>
        </w:rPr>
        <w:tab/>
      </w:r>
      <w:r>
        <w:rPr>
          <w:rFonts w:ascii="Times New Roman" w:cs="Times New Roman" w:eastAsia="Times New Roman" w:hAnsi="Times New Roman"/>
          <w:sz w:val="21"/>
          <w:szCs w:val="21"/>
          <w:u w:val="single" w:color="auto"/>
          <w:color w:val="auto"/>
        </w:rPr>
        <w:t>Intercreditor Agreements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8"/>
        <w:spacing w:after="0" w:line="253"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each party hereto agrees that the First Lien Obligations Secured Parties (as among themselves) and the Second Lien Obligations Secured Parties (as among themselves) may each enter into intercreditor agreements (or similar arrangements) in respect of any or all of the Shared Collateral, the First Lien Facility Collateral Documents, any Other First Lien Obligations Collateral Documents, the Second Lien Facility Collateral Documents and any Other Second</w:t>
      </w:r>
    </w:p>
    <w:p>
      <w:pPr>
        <w:sectPr>
          <w:pgSz w:w="11900" w:h="16838" w:orient="portrait"/>
          <w:cols w:equalWidth="0" w:num="1">
            <w:col w:w="10760"/>
          </w:cols>
          <w:pgMar w:left="600" w:top="1408" w:right="539" w:bottom="1440" w:gutter="0" w:footer="0" w:header="0"/>
        </w:sectPr>
      </w:pPr>
    </w:p>
    <w:bookmarkStart w:id="323" w:name="page324"/>
    <w:bookmarkEnd w:id="323"/>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Lien Obligations Collateral Documents, as the case may be, including as to the application of proceeds of any Shared Collateral, voting rights, control of any Shared Collateral and waivers with respect to any Shared Collateral, in each case so long as the terms thereof do not violate or conflict with the provisions of this Agreement, any First Lien Obligations Collateral Documents or any Second Lien Obligations Collateral Documents, as the case may be. In any event, if a respective intercreditor agreement (or similar arrangement) exists, the provisions thereof shall not be (or be construed to be) an amendment, modification or other change to this Agreement and the provisions of this Agreement shall remain in full force and effect in accordance with the terms hereof and thereof (as such provisions may be amended, supplemented or otherwise modified from time to time in accordance with the terms thereof, including to give effect to any such intercreditor agreement (or similar arrangement)).</w:t>
      </w:r>
    </w:p>
    <w:p>
      <w:pPr>
        <w:spacing w:after="0" w:line="212" w:lineRule="exact"/>
        <w:rPr>
          <w:sz w:val="20"/>
          <w:szCs w:val="20"/>
          <w:color w:val="auto"/>
        </w:rPr>
      </w:pPr>
    </w:p>
    <w:p>
      <w:pPr>
        <w:jc w:val="both"/>
        <w:ind w:left="140" w:firstLine="1298"/>
        <w:spacing w:after="0" w:line="259" w:lineRule="auto"/>
        <w:rPr>
          <w:sz w:val="20"/>
          <w:szCs w:val="20"/>
          <w:color w:val="auto"/>
        </w:rPr>
      </w:pPr>
      <w:r>
        <w:rPr>
          <w:rFonts w:ascii="Times New Roman" w:cs="Times New Roman" w:eastAsia="Times New Roman" w:hAnsi="Times New Roman"/>
          <w:sz w:val="21"/>
          <w:szCs w:val="21"/>
          <w:color w:val="auto"/>
        </w:rPr>
        <w:t xml:space="preserve">4.15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Each of the ABL Representative, each other ABL Obligations Secured Party, each First Lien Obligations Representative, each other First Lien Obligations Secured Party and, Second Lien Obligations Representative and each other Second Lien Obligations Secured Party, agrees that it and they shall take such further action and shall execute and deliver, at the sole cost and expense of the Company, to the other Applicable Senior Representative and the Secured Parties of the other Class such additional documents and instruments (in recordable form, if requested) as such Applicable Senior Representative or the Company may reasonably request to effectuate the terms of, and the Lien priorities contemplated by, this Agreement, including, entering into such supplemental agreements (which may each take the form of an amendment, a restatement or a supplement of this Agreement) to facilitate a designation by the Company of</w:t>
      </w:r>
    </w:p>
    <w:p>
      <w:pPr>
        <w:spacing w:after="0" w:line="5" w:lineRule="exact"/>
        <w:rPr>
          <w:sz w:val="20"/>
          <w:szCs w:val="20"/>
          <w:color w:val="auto"/>
        </w:rPr>
      </w:pPr>
    </w:p>
    <w:p>
      <w:pPr>
        <w:jc w:val="both"/>
        <w:ind w:left="140"/>
        <w:spacing w:after="0" w:line="246" w:lineRule="auto"/>
        <w:tabs>
          <w:tab w:leader="none" w:pos="412"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First Lien Facility, (ii) a Second Lien Facility, (iii) an ABL Facility Agreement, (iv) additional obligations as Other First Lien Obligations or (v) additional obligations as Other Second Lien Obligations (including in each case of the foregoing in respect of a reinstatement contemplated by Section 2.8 or a Refinancing contemplated by Section 2.12). The Company in connection with a designation indicated in the foregoing sentence, the Company agrees to pay all reasonable and documented expenses and attorney’s fees incurred by such Representatives in connection with such actions and/or the execution and delivery of such additional documents and instruments pursuant to this Section 4.15.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0760"/>
          </w:cols>
          <w:pgMar w:left="600" w:top="1440" w:right="539" w:bottom="1440" w:gutter="0" w:footer="0" w:header="0"/>
        </w:sectPr>
      </w:pPr>
    </w:p>
    <w:bookmarkStart w:id="324" w:name="page325"/>
    <w:bookmarkEnd w:id="324"/>
    <w:p>
      <w:pPr>
        <w:spacing w:after="0" w:line="212" w:lineRule="exact"/>
        <w:rPr>
          <w:sz w:val="20"/>
          <w:szCs w:val="20"/>
          <w:color w:val="auto"/>
        </w:rPr>
      </w:pPr>
    </w:p>
    <w:p>
      <w:pPr>
        <w:ind w:right="260" w:firstLine="129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date first above written.</w:t>
      </w:r>
    </w:p>
    <w:p>
      <w:pPr>
        <w:spacing w:after="0" w:line="158" w:lineRule="exact"/>
        <w:rPr>
          <w:sz w:val="20"/>
          <w:szCs w:val="20"/>
          <w:color w:val="auto"/>
        </w:rPr>
      </w:pPr>
    </w:p>
    <w:p>
      <w:pPr>
        <w:ind w:left="4180" w:hanging="286"/>
        <w:spacing w:after="0"/>
        <w:tabs>
          <w:tab w:leader="none" w:pos="4180"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 its capacity as ABL Representative</w:t>
      </w:r>
    </w:p>
    <w:p>
      <w:pPr>
        <w:spacing w:after="0" w:line="200" w:lineRule="exact"/>
        <w:rPr>
          <w:sz w:val="20"/>
          <w:szCs w:val="20"/>
          <w:color w:val="auto"/>
        </w:rPr>
      </w:pPr>
    </w:p>
    <w:p>
      <w:pPr>
        <w:spacing w:after="0" w:line="209" w:lineRule="exact"/>
        <w:rPr>
          <w:sz w:val="20"/>
          <w:szCs w:val="20"/>
          <w:color w:val="auto"/>
        </w:rPr>
      </w:pPr>
    </w:p>
    <w:p>
      <w:pPr>
        <w:ind w:left="3900"/>
        <w:spacing w:after="0"/>
        <w:tabs>
          <w:tab w:leader="none" w:pos="4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-13970</wp:posOffset>
            </wp:positionV>
            <wp:extent cx="274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JPMORGAN CHASE BANK, N.A., in its</w:t>
      </w:r>
    </w:p>
    <w:p>
      <w:pPr>
        <w:spacing w:after="0" w:line="14" w:lineRule="exact"/>
        <w:rPr>
          <w:sz w:val="20"/>
          <w:szCs w:val="20"/>
          <w:color w:val="auto"/>
        </w:rPr>
      </w:pPr>
    </w:p>
    <w:p>
      <w:pPr>
        <w:ind w:left="3900"/>
        <w:spacing w:after="0" w:line="248" w:lineRule="auto"/>
        <w:rPr>
          <w:sz w:val="20"/>
          <w:szCs w:val="20"/>
          <w:color w:val="auto"/>
        </w:rPr>
      </w:pPr>
      <w:r>
        <w:rPr>
          <w:rFonts w:ascii="Times New Roman" w:cs="Times New Roman" w:eastAsia="Times New Roman" w:hAnsi="Times New Roman"/>
          <w:sz w:val="22"/>
          <w:szCs w:val="22"/>
          <w:color w:val="auto"/>
        </w:rPr>
        <w:t>capacities as First Lien Collateral Agent, Designated Senior Representative and First Lien/Second Lien Intercreditor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tabs>
          <w:tab w:leader="none" w:pos="4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-13970</wp:posOffset>
            </wp:positionV>
            <wp:extent cx="274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385" w:lineRule="exact"/>
        <w:rPr>
          <w:sz w:val="20"/>
          <w:szCs w:val="20"/>
          <w:color w:val="auto"/>
        </w:rPr>
      </w:pPr>
    </w:p>
    <w:p>
      <w:pPr>
        <w:ind w:left="3900" w:right="100" w:hanging="6"/>
        <w:spacing w:after="0" w:line="258" w:lineRule="auto"/>
        <w:tabs>
          <w:tab w:leader="none" w:pos="4188"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solely in its capacity as Second Lien Collateral Agent, as Designated Second Priority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900"/>
        <w:spacing w:after="0"/>
        <w:tabs>
          <w:tab w:leader="none" w:pos="4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-13970</wp:posOffset>
            </wp:positionV>
            <wp:extent cx="274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400"/>
          </w:cols>
          <w:pgMar w:left="580" w:top="1440" w:right="919" w:bottom="1440" w:gutter="0" w:footer="0" w:header="0"/>
        </w:sectPr>
      </w:pPr>
    </w:p>
    <w:bookmarkStart w:id="325" w:name="page326"/>
    <w:bookmarkEnd w:id="325"/>
    <w:p>
      <w:pPr>
        <w:spacing w:after="0" w:line="221"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21"/>
          <w:szCs w:val="21"/>
          <w:b w:val="1"/>
          <w:bCs w:val="1"/>
          <w:color w:val="auto"/>
        </w:rPr>
        <w:t>EXHIBIT A-1</w:t>
      </w:r>
    </w:p>
    <w:p>
      <w:pPr>
        <w:spacing w:after="0" w:line="218" w:lineRule="exact"/>
        <w:rPr>
          <w:sz w:val="20"/>
          <w:szCs w:val="20"/>
          <w:color w:val="auto"/>
        </w:rPr>
      </w:pPr>
    </w:p>
    <w:p>
      <w:pPr>
        <w:jc w:val="center"/>
        <w:ind w:right="6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ACKNOWLEDGEMENT OF AND CONSENT TO THE ABL INTERCREDITOR AGREEMENT </w:t>
      </w:r>
      <w:r>
        <w:rPr>
          <w:rFonts w:ascii="Times New Roman" w:cs="Times New Roman" w:eastAsia="Times New Roman" w:hAnsi="Times New Roman"/>
          <w:sz w:val="22"/>
          <w:szCs w:val="22"/>
          <w:color w:val="auto"/>
        </w:rPr>
        <w:t>(Company And The Other Pledgors)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Each of the Company and the other Pledgors has read the ABL Intercreditor Agreement, dated as of [mm]</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[dd], [yyyy], between [ ]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in its capacity as ABL Representative, JPMORGAN CHASE BANK, N.A. (“</w:t>
      </w:r>
      <w:r>
        <w:rPr>
          <w:rFonts w:ascii="Times New Roman" w:cs="Times New Roman" w:eastAsia="Times New Roman" w:hAnsi="Times New Roman"/>
          <w:sz w:val="22"/>
          <w:szCs w:val="22"/>
          <w:b w:val="1"/>
          <w:bCs w:val="1"/>
          <w:color w:val="auto"/>
        </w:rPr>
        <w:t>JPMorgan</w:t>
      </w:r>
      <w:r>
        <w:rPr>
          <w:rFonts w:ascii="Times New Roman" w:cs="Times New Roman" w:eastAsia="Times New Roman" w:hAnsi="Times New Roman"/>
          <w:sz w:val="22"/>
          <w:szCs w:val="22"/>
          <w:color w:val="auto"/>
        </w:rPr>
        <w:t>”), in its capacities as First Lien Collateral Agent, Designated Senior Representative, and First Lien/Second Lien Intercreditor Representative and [ ] (“[ ]”) solely in its capacity as Second Lien Collateral Agent, as Designated Second Priority Representative (as amended, renewed, extended, supplemented, restated, replaced or otherwise modified from time to time, the “</w:t>
      </w:r>
      <w:r>
        <w:rPr>
          <w:rFonts w:ascii="Times New Roman" w:cs="Times New Roman" w:eastAsia="Times New Roman" w:hAnsi="Times New Roman"/>
          <w:sz w:val="22"/>
          <w:szCs w:val="22"/>
          <w:b w:val="1"/>
          <w:bCs w:val="1"/>
          <w:color w:val="auto"/>
        </w:rPr>
        <w:t>ABL Intercreditor Agreement</w:t>
      </w:r>
      <w:r>
        <w:rPr>
          <w:rFonts w:ascii="Times New Roman" w:cs="Times New Roman" w:eastAsia="Times New Roman" w:hAnsi="Times New Roman"/>
          <w:sz w:val="22"/>
          <w:szCs w:val="22"/>
          <w:color w:val="auto"/>
        </w:rPr>
        <w:t>”). Capitalized terms used but not defined herein shall have the meanings assigned to such terms in the ABL Intercreditor Agreement.</w:t>
      </w:r>
    </w:p>
    <w:p>
      <w:pPr>
        <w:spacing w:after="0" w:line="189" w:lineRule="exact"/>
        <w:rPr>
          <w:sz w:val="20"/>
          <w:szCs w:val="20"/>
          <w:color w:val="auto"/>
        </w:rPr>
      </w:pPr>
    </w:p>
    <w:p>
      <w:pPr>
        <w:jc w:val="both"/>
        <w:ind w:firstLine="1298"/>
        <w:spacing w:after="0" w:line="249" w:lineRule="auto"/>
        <w:tabs>
          <w:tab w:leader="none" w:pos="168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other Pledgors executes and delivers this instrument to evidence its acknowledgment of and consent to the ABL Intercreditor Agreement (such instrument, the “</w:t>
      </w:r>
      <w:r>
        <w:rPr>
          <w:rFonts w:ascii="Times New Roman" w:cs="Times New Roman" w:eastAsia="Times New Roman" w:hAnsi="Times New Roman"/>
          <w:sz w:val="22"/>
          <w:szCs w:val="22"/>
          <w:b w:val="1"/>
          <w:bCs w:val="1"/>
          <w:color w:val="auto"/>
        </w:rPr>
        <w:t>Company Consent</w:t>
      </w:r>
      <w:r>
        <w:rPr>
          <w:rFonts w:ascii="Times New Roman" w:cs="Times New Roman" w:eastAsia="Times New Roman" w:hAnsi="Times New Roman"/>
          <w:sz w:val="22"/>
          <w:szCs w:val="22"/>
          <w:color w:val="auto"/>
        </w:rPr>
        <w:t>”). Each of the Company and the other Pledgors agrees that, except with respect to those provisions of which the Company or any other Pledgor is an intended third party beneficiary, no Secured Party shall have any liability to the Pledgors for acting in accordance with the provisions of the ABL Intercreditor Agreement and the other Documents referred to therein. Each of the Company and the other Pledgors understands that neither the Company nor any Pledgor is an intended beneficiary or third party beneficiary of the ABL Intercreditor Agreement except that it is an intended beneficiary and third party beneficiary thereof with the right and power to enforce with respect to the applicable provisions set forth in Section 4.3 (Parties in Interest) and as otherwise provided in the ABL Intercreditor Agreement or otherwise to the extent its rights are affected.</w:t>
      </w:r>
    </w:p>
    <w:p>
      <w:pPr>
        <w:spacing w:after="0" w:line="183" w:lineRule="exact"/>
        <w:rPr>
          <w:rFonts w:ascii="Times New Roman" w:cs="Times New Roman" w:eastAsia="Times New Roman" w:hAnsi="Times New Roman"/>
          <w:sz w:val="22"/>
          <w:szCs w:val="22"/>
          <w:color w:val="auto"/>
        </w:rPr>
      </w:pPr>
    </w:p>
    <w:p>
      <w:pPr>
        <w:jc w:val="both"/>
        <w:ind w:left="20" w:firstLine="1294"/>
        <w:spacing w:after="0" w:line="250" w:lineRule="auto"/>
        <w:tabs>
          <w:tab w:leader="none" w:pos="1696"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ABL Intercreditor Agreement or provided herein, each of the undersigned acknowledges that neither the Pledgors nor the Company shall have any right to consent to or approve any amendment, renewal, extension, supplement, modification or waiver of any provision of the ABL Intercreditor Agreement except to the extent such amendment, waiver or modification reduces the rights or increases the obligations of any Pledgor, the Company, and the applicable Pledgor.</w:t>
      </w:r>
    </w:p>
    <w:p>
      <w:pPr>
        <w:spacing w:after="0" w:line="181" w:lineRule="exact"/>
        <w:rPr>
          <w:sz w:val="20"/>
          <w:szCs w:val="20"/>
          <w:color w:val="auto"/>
        </w:rPr>
      </w:pPr>
    </w:p>
    <w:p>
      <w:pPr>
        <w:ind w:right="20" w:firstLine="1298"/>
        <w:spacing w:after="0" w:line="271" w:lineRule="auto"/>
        <w:tabs>
          <w:tab w:leader="none" w:pos="1689"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COMPANY CONSENT SHALL BE CONSTRUED IN ACCORDANCE WITH AND GOVERNED BY THE LAWS OF THE STATE OF NEW YORK.</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0780"/>
          </w:cols>
          <w:pgMar w:left="580" w:top="1440" w:right="539" w:bottom="1440" w:gutter="0" w:footer="0" w:header="0"/>
        </w:sectPr>
      </w:pPr>
    </w:p>
    <w:bookmarkStart w:id="326" w:name="page327"/>
    <w:bookmarkEnd w:id="326"/>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00" w:lineRule="exact"/>
        <w:rPr>
          <w:sz w:val="20"/>
          <w:szCs w:val="20"/>
          <w:color w:val="auto"/>
        </w:rPr>
      </w:pPr>
    </w:p>
    <w:p>
      <w:pPr>
        <w:spacing w:after="0" w:line="226" w:lineRule="exact"/>
        <w:rPr>
          <w:sz w:val="20"/>
          <w:szCs w:val="20"/>
          <w:color w:val="auto"/>
        </w:rPr>
      </w:pPr>
    </w:p>
    <w:p>
      <w:pPr>
        <w:ind w:left="3040"/>
        <w:spacing w:after="0"/>
        <w:tabs>
          <w:tab w:leader="none" w:pos="3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-13970</wp:posOffset>
            </wp:positionV>
            <wp:extent cx="274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SOTERA HEALTH HOLDINGS, LLC</w:t>
      </w:r>
    </w:p>
    <w:p>
      <w:pPr>
        <w:spacing w:after="0" w:line="200" w:lineRule="exact"/>
        <w:rPr>
          <w:sz w:val="20"/>
          <w:szCs w:val="20"/>
          <w:color w:val="auto"/>
        </w:rPr>
      </w:pPr>
    </w:p>
    <w:p>
      <w:pPr>
        <w:spacing w:after="0" w:line="213" w:lineRule="exact"/>
        <w:rPr>
          <w:sz w:val="20"/>
          <w:szCs w:val="20"/>
          <w:color w:val="auto"/>
        </w:rPr>
      </w:pPr>
    </w:p>
    <w:p>
      <w:pPr>
        <w:jc w:val="center"/>
        <w:ind w:right="519"/>
        <w:spacing w:after="0"/>
        <w:tabs>
          <w:tab w:leader="none" w:pos="300" w:val="left"/>
        </w:tabs>
        <w:rPr>
          <w:sz w:val="20"/>
          <w:szCs w:val="20"/>
          <w:color w:val="auto"/>
        </w:rPr>
      </w:pPr>
      <w:r>
        <w:rPr>
          <w:rFonts w:ascii="Times New Roman" w:cs="Times New Roman" w:eastAsia="Times New Roman" w:hAnsi="Times New Roman"/>
          <w:sz w:val="22"/>
          <w:szCs w:val="22"/>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-13970</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[PLEDGORS]</w:t>
      </w:r>
    </w:p>
    <w:p>
      <w:pPr>
        <w:spacing w:after="0" w:line="200" w:lineRule="exact"/>
        <w:rPr>
          <w:sz w:val="20"/>
          <w:szCs w:val="20"/>
          <w:color w:val="auto"/>
        </w:rPr>
      </w:pPr>
    </w:p>
    <w:p>
      <w:pPr>
        <w:spacing w:after="0" w:line="226" w:lineRule="exact"/>
        <w:rPr>
          <w:sz w:val="20"/>
          <w:szCs w:val="20"/>
          <w:color w:val="auto"/>
        </w:rPr>
      </w:pPr>
    </w:p>
    <w:p>
      <w:pPr>
        <w:ind w:left="3040"/>
        <w:spacing w:after="0"/>
        <w:tabs>
          <w:tab w:leader="none" w:pos="3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-13970</wp:posOffset>
            </wp:positionV>
            <wp:extent cx="274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ABL Intercreditor Agreement (Company Consent)]</w:t>
      </w:r>
    </w:p>
    <w:p>
      <w:pPr>
        <w:sectPr>
          <w:pgSz w:w="11900" w:h="16838" w:orient="portrait"/>
          <w:cols w:equalWidth="0" w:num="1">
            <w:col w:w="9019"/>
          </w:cols>
          <w:pgMar w:left="1440" w:top="1440" w:right="1440" w:bottom="1440" w:gutter="0" w:footer="0" w:header="0"/>
        </w:sectPr>
      </w:pPr>
    </w:p>
    <w:bookmarkStart w:id="327" w:name="page328"/>
    <w:bookmarkEnd w:id="327"/>
    <w:p>
      <w:pPr>
        <w:ind w:left="9460"/>
        <w:spacing w:after="0"/>
        <w:rPr>
          <w:sz w:val="20"/>
          <w:szCs w:val="20"/>
          <w:color w:val="auto"/>
        </w:rPr>
      </w:pPr>
      <w:r>
        <w:rPr>
          <w:rFonts w:ascii="Times New Roman" w:cs="Times New Roman" w:eastAsia="Times New Roman" w:hAnsi="Times New Roman"/>
          <w:sz w:val="21"/>
          <w:szCs w:val="21"/>
          <w:b w:val="1"/>
          <w:bCs w:val="1"/>
          <w:color w:val="auto"/>
        </w:rPr>
        <w:t>EXHIBIT A-2</w:t>
      </w: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CONSENT AND ACKNOWLEDGMENT</w:t>
      </w:r>
    </w:p>
    <w:p>
      <w:pPr>
        <w:spacing w:after="0" w:line="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(ABL Obligations)</w:t>
      </w:r>
    </w:p>
    <w:p>
      <w:pPr>
        <w:spacing w:after="0" w:line="203" w:lineRule="exact"/>
        <w:rPr>
          <w:sz w:val="20"/>
          <w:szCs w:val="20"/>
          <w:color w:val="auto"/>
        </w:rPr>
      </w:pPr>
    </w:p>
    <w:p>
      <w:pPr>
        <w:jc w:val="both"/>
        <w:ind w:left="20" w:firstLine="1298"/>
        <w:spacing w:after="0" w:line="241" w:lineRule="auto"/>
        <w:rPr>
          <w:sz w:val="20"/>
          <w:szCs w:val="20"/>
          <w:color w:val="auto"/>
        </w:rPr>
      </w:pPr>
      <w:r>
        <w:rPr>
          <w:rFonts w:ascii="Times New Roman" w:cs="Times New Roman" w:eastAsia="Times New Roman" w:hAnsi="Times New Roman"/>
          <w:sz w:val="22"/>
          <w:szCs w:val="22"/>
          <w:color w:val="auto"/>
        </w:rPr>
        <w:t>This CONSENT AND ACKNOWLEDGMENT (this “</w:t>
      </w:r>
      <w:r>
        <w:rPr>
          <w:rFonts w:ascii="Times New Roman" w:cs="Times New Roman" w:eastAsia="Times New Roman" w:hAnsi="Times New Roman"/>
          <w:sz w:val="22"/>
          <w:szCs w:val="22"/>
          <w:b w:val="1"/>
          <w:bCs w:val="1"/>
          <w:color w:val="auto"/>
        </w:rPr>
        <w:t>Consent</w:t>
      </w:r>
      <w:r>
        <w:rPr>
          <w:rFonts w:ascii="Times New Roman" w:cs="Times New Roman" w:eastAsia="Times New Roman" w:hAnsi="Times New Roman"/>
          <w:sz w:val="22"/>
          <w:szCs w:val="22"/>
          <w:color w:val="auto"/>
        </w:rPr>
        <w:t>”) dated as of [mm] [dd], [yyyy], is executed by [ ], as a new ABL Representative (together with its successors and permitted assigns, the “</w:t>
      </w:r>
      <w:r>
        <w:rPr>
          <w:rFonts w:ascii="Times New Roman" w:cs="Times New Roman" w:eastAsia="Times New Roman" w:hAnsi="Times New Roman"/>
          <w:sz w:val="22"/>
          <w:szCs w:val="22"/>
          <w:b w:val="1"/>
          <w:bCs w:val="1"/>
          <w:color w:val="auto"/>
        </w:rPr>
        <w:t>New Agent</w:t>
      </w:r>
      <w:r>
        <w:rPr>
          <w:rFonts w:ascii="Times New Roman" w:cs="Times New Roman" w:eastAsia="Times New Roman" w:hAnsi="Times New Roman"/>
          <w:sz w:val="22"/>
          <w:szCs w:val="22"/>
          <w:color w:val="auto"/>
        </w:rPr>
        <w:t>”), and acknowledged by JPMORGAN CHASE BANK, N.A. (“</w:t>
      </w:r>
      <w:r>
        <w:rPr>
          <w:rFonts w:ascii="Times New Roman" w:cs="Times New Roman" w:eastAsia="Times New Roman" w:hAnsi="Times New Roman"/>
          <w:sz w:val="22"/>
          <w:szCs w:val="22"/>
          <w:b w:val="1"/>
          <w:bCs w:val="1"/>
          <w:color w:val="auto"/>
        </w:rPr>
        <w:t>JPMorgan</w:t>
      </w:r>
      <w:r>
        <w:rPr>
          <w:rFonts w:ascii="Times New Roman" w:cs="Times New Roman" w:eastAsia="Times New Roman" w:hAnsi="Times New Roman"/>
          <w:sz w:val="22"/>
          <w:szCs w:val="22"/>
          <w:color w:val="auto"/>
        </w:rPr>
        <w:t>”), as the First Lien/Second Lien Intercreditor Representative, and SOTERA HEALTH HOLDINGS,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(for itself and on behalf of the Subsidiary Pledgors).</w:t>
      </w:r>
    </w:p>
    <w:p>
      <w:pPr>
        <w:spacing w:after="0" w:line="165" w:lineRule="exact"/>
        <w:rPr>
          <w:sz w:val="20"/>
          <w:szCs w:val="20"/>
          <w:color w:val="auto"/>
        </w:rPr>
      </w:pPr>
    </w:p>
    <w:p>
      <w:pPr>
        <w:jc w:val="both"/>
        <w:ind w:left="20" w:firstLine="1298"/>
        <w:spacing w:after="0" w:line="252" w:lineRule="auto"/>
        <w:rPr>
          <w:sz w:val="20"/>
          <w:szCs w:val="20"/>
          <w:color w:val="auto"/>
        </w:rPr>
      </w:pPr>
      <w:r>
        <w:rPr>
          <w:rFonts w:ascii="Times New Roman" w:cs="Times New Roman" w:eastAsia="Times New Roman" w:hAnsi="Times New Roman"/>
          <w:sz w:val="22"/>
          <w:szCs w:val="22"/>
          <w:color w:val="auto"/>
        </w:rPr>
        <w:t>This Consent is with respect to that certain ABL Intercreditor Agreement, dated as of [mm] [dd], [yyyy] (as amended, renewed, extended, supplemented, restated, replaced or otherwise modified from time to time, the “</w:t>
      </w:r>
      <w:r>
        <w:rPr>
          <w:rFonts w:ascii="Times New Roman" w:cs="Times New Roman" w:eastAsia="Times New Roman" w:hAnsi="Times New Roman"/>
          <w:sz w:val="22"/>
          <w:szCs w:val="22"/>
          <w:b w:val="1"/>
          <w:bCs w:val="1"/>
          <w:color w:val="auto"/>
        </w:rPr>
        <w:t>ABL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by [ ], in its capacity as ABL Representative, JPMorgan, in its capacities as First Lien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Collateral Agent, Designated Senior Representative and First Lien/Second Lien Intercreditor Representative and [</w:t>
      </w:r>
    </w:p>
    <w:p>
      <w:pPr>
        <w:spacing w:after="0" w:line="1" w:lineRule="exact"/>
        <w:rPr>
          <w:sz w:val="20"/>
          <w:szCs w:val="20"/>
          <w:color w:val="auto"/>
        </w:rPr>
      </w:pPr>
    </w:p>
    <w:p>
      <w:pPr>
        <w:jc w:val="both"/>
        <w:ind w:left="20" w:right="20" w:hanging="4"/>
        <w:spacing w:after="0" w:line="246" w:lineRule="auto"/>
        <w:tabs>
          <w:tab w:leader="none" w:pos="200"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solely in its capacity as Second Lien Collateral Agent, as Designated Second Priority Representative; and acknowledged and consented to (a) by the Company for itself and on behalf of the Pledgors, (b) by each Other First Lien Obligations Agent, for itself and on behalf of such Other First Lien Obligations Secured Parties, that has executed and delivered an applicable Consent and Acknowledgment, and (c) by each Other Second Lien Obligations Agent, for itself and on behalf of such Other Second Lien Obligations Secured Parties, that has executed and delivered an applicable Consent and Acknowledgement. Capitalized terms used but not defined herein shall have the meanings assigned thereto in the ABL Intercreditor Agreement.</w:t>
      </w:r>
    </w:p>
    <w:p>
      <w:pPr>
        <w:spacing w:after="0" w:line="145" w:lineRule="exact"/>
        <w:rPr>
          <w:sz w:val="20"/>
          <w:szCs w:val="20"/>
          <w:color w:val="auto"/>
        </w:rPr>
      </w:pPr>
    </w:p>
    <w:p>
      <w:pPr>
        <w:jc w:val="both"/>
        <w:ind w:left="20" w:right="20" w:firstLine="1298"/>
        <w:spacing w:after="0" w:line="271" w:lineRule="auto"/>
        <w:rPr>
          <w:sz w:val="20"/>
          <w:szCs w:val="20"/>
          <w:color w:val="auto"/>
        </w:rPr>
      </w:pPr>
      <w:r>
        <w:rPr>
          <w:rFonts w:ascii="Times New Roman" w:cs="Times New Roman" w:eastAsia="Times New Roman" w:hAnsi="Times New Roman"/>
          <w:sz w:val="22"/>
          <w:szCs w:val="22"/>
          <w:color w:val="auto"/>
        </w:rPr>
        <w:t>Reference is made to [describe new Indebtedness] with respect to which the New Agent is acting as [trustee/collateral agent/authorized representative].</w:t>
      </w:r>
    </w:p>
    <w:p>
      <w:pPr>
        <w:spacing w:after="0" w:line="131" w:lineRule="exact"/>
        <w:rPr>
          <w:sz w:val="20"/>
          <w:szCs w:val="20"/>
          <w:color w:val="auto"/>
        </w:rPr>
      </w:pPr>
    </w:p>
    <w:p>
      <w:pPr>
        <w:jc w:val="both"/>
        <w:ind w:left="20" w:right="20" w:firstLine="1298"/>
        <w:spacing w:after="0" w:line="252" w:lineRule="auto"/>
        <w:rPr>
          <w:sz w:val="20"/>
          <w:szCs w:val="20"/>
          <w:color w:val="auto"/>
        </w:rPr>
      </w:pPr>
      <w:r>
        <w:rPr>
          <w:rFonts w:ascii="Times New Roman" w:cs="Times New Roman" w:eastAsia="Times New Roman" w:hAnsi="Times New Roman"/>
          <w:sz w:val="22"/>
          <w:szCs w:val="22"/>
          <w:color w:val="auto"/>
        </w:rPr>
        <w:t>The New Agent hereby (a) represents that it is acting in the capacity of an ABL Representative for the [“Secured Parties”] as defined in and under [ ], and (b) agrees, for itself and on behalf of such Secured Parties, to be bound by the terms of the ABL Intercreditor Agreement as if it were the ABL Representative, and such Secured Parties were ABL Obligations Secured Parties, as of the date of the ABL Intercreditor Agreement.</w:t>
      </w:r>
    </w:p>
    <w:p>
      <w:pPr>
        <w:spacing w:after="0" w:line="1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The address of the New Agent for purposes of all notices and other communications hereunder and under the</w:t>
      </w:r>
    </w:p>
    <w:tbl>
      <w:tblPr>
        <w:tblLayout w:type="fixed"/>
        <w:tblInd w:w="0" w:type="dxa"/>
        <w:tblCellMar>
          <w:top w:w="0" w:type="dxa"/>
          <w:left w:w="0" w:type="dxa"/>
          <w:bottom w:w="0" w:type="dxa"/>
          <w:right w:w="0" w:type="dxa"/>
        </w:tblCellMar>
      </w:tblPr>
      <w:tr>
        <w:trPr>
          <w:trHeight w:val="231"/>
        </w:trPr>
        <w:tc>
          <w:tcPr>
            <w:tcW w:w="3280" w:type="dxa"/>
            <w:vAlign w:val="bottom"/>
            <w:gridSpan w:val="7"/>
          </w:tcPr>
          <w:p>
            <w:pPr>
              <w:ind w:left="20"/>
              <w:spacing w:after="0" w:line="231" w:lineRule="exact"/>
              <w:rPr>
                <w:sz w:val="20"/>
                <w:szCs w:val="20"/>
                <w:color w:val="auto"/>
              </w:rPr>
            </w:pPr>
            <w:r>
              <w:rPr>
                <w:rFonts w:ascii="Times New Roman" w:cs="Times New Roman" w:eastAsia="Times New Roman" w:hAnsi="Times New Roman"/>
                <w:sz w:val="22"/>
                <w:szCs w:val="22"/>
                <w:color w:val="auto"/>
              </w:rPr>
              <w:t>ABL Intercreditor Agreement is   ,</w:t>
            </w:r>
          </w:p>
        </w:tc>
        <w:tc>
          <w:tcPr>
            <w:tcW w:w="126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22"/>
                <w:szCs w:val="22"/>
                <w:color w:val="auto"/>
              </w:rPr>
              <w:t>, Attention of</w:t>
            </w:r>
          </w:p>
        </w:tc>
      </w:tr>
      <w:tr>
        <w:trPr>
          <w:trHeight w:val="20"/>
        </w:trPr>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06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auto"/>
              </w:rPr>
              <w:t>(Facsimile No.   , E-mail address:</w:t>
            </w:r>
          </w:p>
        </w:tc>
        <w:tc>
          <w:tcPr>
            <w:tcW w:w="1260" w:type="dxa"/>
            <w:vAlign w:val="bottom"/>
            <w:gridSpan w:val="3"/>
          </w:tcPr>
          <w:p>
            <w:pPr>
              <w:jc w:val="right"/>
              <w:ind w:right="92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2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1298"/>
        <w:spacing w:after="0" w:line="258" w:lineRule="auto"/>
        <w:rPr>
          <w:sz w:val="20"/>
          <w:szCs w:val="20"/>
          <w:color w:val="auto"/>
        </w:rPr>
      </w:pPr>
      <w:r>
        <w:rPr>
          <w:rFonts w:ascii="Times New Roman" w:cs="Times New Roman" w:eastAsia="Times New Roman" w:hAnsi="Times New Roman"/>
          <w:sz w:val="22"/>
          <w:szCs w:val="22"/>
          <w:color w:val="auto"/>
        </w:rPr>
        <w:t>THIS CONSENT SHALL BE CONSTRUED IN ACCORDANCE WITH AND GOVERNED BY THE LAWS OF THE STATE OF NEW YORK.</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0780"/>
          </w:cols>
          <w:pgMar w:left="580" w:top="1296" w:right="539" w:bottom="1440" w:gutter="0" w:footer="0" w:header="0"/>
        </w:sectPr>
      </w:pPr>
    </w:p>
    <w:bookmarkStart w:id="328" w:name="page329"/>
    <w:bookmarkEnd w:id="328"/>
    <w:p>
      <w:pPr>
        <w:ind w:left="20" w:firstLine="129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hereto has caused this Consent to be duly executed by its authorized officer as of the day and year first above written.</w:t>
      </w:r>
    </w:p>
    <w:p>
      <w:pPr>
        <w:spacing w:after="0" w:line="15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AGENT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ind w:left="3900"/>
        <w:spacing w:after="0"/>
        <w:tabs>
          <w:tab w:leader="none" w:pos="4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-13970</wp:posOffset>
            </wp:positionV>
            <wp:extent cx="274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Acknowledged and Confirmed by, for purposes of the ABL Intercreditor Agreement: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 as First Lien/Second Lien Intercreditor Representative</w:t>
      </w:r>
    </w:p>
    <w:p>
      <w:pPr>
        <w:spacing w:after="0" w:line="200" w:lineRule="exact"/>
        <w:rPr>
          <w:sz w:val="20"/>
          <w:szCs w:val="20"/>
          <w:color w:val="auto"/>
        </w:rPr>
      </w:pPr>
    </w:p>
    <w:p>
      <w:pPr>
        <w:spacing w:after="0" w:line="24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-13970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SOTERA HEALTH HOLDINGS, LLC</w:t>
      </w:r>
      <w:r>
        <w:rPr>
          <w:rFonts w:ascii="Times New Roman" w:cs="Times New Roman" w:eastAsia="Times New Roman" w:hAnsi="Times New Roman"/>
          <w:sz w:val="22"/>
          <w:szCs w:val="22"/>
          <w:color w:val="auto"/>
        </w:rPr>
        <w:t>, for itself and on behalf of the Pledgors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-13970</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0060"/>
          </w:cols>
          <w:pgMar w:left="580" w:top="1408" w:right="1259" w:bottom="1440" w:gutter="0" w:footer="0" w:header="0"/>
        </w:sectPr>
      </w:pPr>
    </w:p>
    <w:bookmarkStart w:id="329" w:name="page330"/>
    <w:bookmarkEnd w:id="329"/>
    <w:p>
      <w:pPr>
        <w:ind w:left="9444"/>
        <w:spacing w:after="0"/>
        <w:rPr>
          <w:sz w:val="20"/>
          <w:szCs w:val="20"/>
          <w:color w:val="auto"/>
        </w:rPr>
      </w:pPr>
      <w:r>
        <w:rPr>
          <w:rFonts w:ascii="Times New Roman" w:cs="Times New Roman" w:eastAsia="Times New Roman" w:hAnsi="Times New Roman"/>
          <w:sz w:val="21"/>
          <w:szCs w:val="21"/>
          <w:b w:val="1"/>
          <w:bCs w:val="1"/>
          <w:color w:val="auto"/>
        </w:rPr>
        <w:t>EXHIBIT A-3</w:t>
      </w:r>
    </w:p>
    <w:p>
      <w:pPr>
        <w:spacing w:after="0" w:line="222"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2"/>
          <w:szCs w:val="22"/>
          <w:color w:val="auto"/>
        </w:rPr>
        <w:t>CONSENT AND ACKNOWLEDGMENT</w:t>
      </w:r>
    </w:p>
    <w:p>
      <w:pPr>
        <w:spacing w:after="0" w:line="14"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2"/>
          <w:szCs w:val="22"/>
          <w:color w:val="auto"/>
        </w:rPr>
        <w:t>(Other First Lien Obligations)</w:t>
      </w:r>
    </w:p>
    <w:p>
      <w:pPr>
        <w:spacing w:after="0" w:line="192" w:lineRule="exact"/>
        <w:rPr>
          <w:sz w:val="20"/>
          <w:szCs w:val="20"/>
          <w:color w:val="auto"/>
        </w:rPr>
      </w:pPr>
    </w:p>
    <w:p>
      <w:pPr>
        <w:jc w:val="both"/>
        <w:ind w:left="4" w:firstLine="1298"/>
        <w:spacing w:after="0" w:line="243" w:lineRule="auto"/>
        <w:rPr>
          <w:sz w:val="20"/>
          <w:szCs w:val="20"/>
          <w:color w:val="auto"/>
        </w:rPr>
      </w:pPr>
      <w:r>
        <w:rPr>
          <w:rFonts w:ascii="Times New Roman" w:cs="Times New Roman" w:eastAsia="Times New Roman" w:hAnsi="Times New Roman"/>
          <w:sz w:val="22"/>
          <w:szCs w:val="22"/>
          <w:color w:val="auto"/>
        </w:rPr>
        <w:t>This CONSENT AND ACKNOWLEDGMENT (this “</w:t>
      </w:r>
      <w:r>
        <w:rPr>
          <w:rFonts w:ascii="Times New Roman" w:cs="Times New Roman" w:eastAsia="Times New Roman" w:hAnsi="Times New Roman"/>
          <w:sz w:val="22"/>
          <w:szCs w:val="22"/>
          <w:b w:val="1"/>
          <w:bCs w:val="1"/>
          <w:color w:val="auto"/>
        </w:rPr>
        <w:t>Consent</w:t>
      </w:r>
      <w:r>
        <w:rPr>
          <w:rFonts w:ascii="Times New Roman" w:cs="Times New Roman" w:eastAsia="Times New Roman" w:hAnsi="Times New Roman"/>
          <w:sz w:val="22"/>
          <w:szCs w:val="22"/>
          <w:color w:val="auto"/>
        </w:rPr>
        <w:t>”) dated as of [mm] [dd], [yyyy], is executed by[ ], as an Other First Lien Obligations Agent (together with its successors and permitted assigns, the “</w:t>
      </w:r>
      <w:r>
        <w:rPr>
          <w:rFonts w:ascii="Times New Roman" w:cs="Times New Roman" w:eastAsia="Times New Roman" w:hAnsi="Times New Roman"/>
          <w:sz w:val="22"/>
          <w:szCs w:val="22"/>
          <w:b w:val="1"/>
          <w:bCs w:val="1"/>
          <w:color w:val="auto"/>
        </w:rPr>
        <w:t>New Agent</w:t>
      </w:r>
      <w:r>
        <w:rPr>
          <w:rFonts w:ascii="Times New Roman" w:cs="Times New Roman" w:eastAsia="Times New Roman" w:hAnsi="Times New Roman"/>
          <w:sz w:val="22"/>
          <w:szCs w:val="22"/>
          <w:color w:val="auto"/>
        </w:rPr>
        <w:t xml:space="preserve">”), and acknowledged by [ ] (“ </w:t>
      </w:r>
      <w:r>
        <w:rPr>
          <w:rFonts w:ascii="Times New Roman" w:cs="Times New Roman" w:eastAsia="Times New Roman" w:hAnsi="Times New Roman"/>
          <w:sz w:val="22"/>
          <w:szCs w:val="22"/>
          <w:b w:val="1"/>
          <w:bCs w:val="1"/>
          <w:color w:val="auto"/>
        </w:rPr>
        <w:t>[</w:t>
      </w:r>
    </w:p>
    <w:p>
      <w:pPr>
        <w:spacing w:after="0" w:line="2" w:lineRule="exact"/>
        <w:rPr>
          <w:sz w:val="20"/>
          <w:szCs w:val="20"/>
          <w:color w:val="auto"/>
        </w:rPr>
      </w:pPr>
    </w:p>
    <w:p>
      <w:pPr>
        <w:jc w:val="both"/>
        <w:ind w:left="4" w:right="20"/>
        <w:spacing w:after="0" w:line="24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 the ABL Representative, JPMORGAN CHASE BANK, N.A. (“</w:t>
      </w:r>
      <w:r>
        <w:rPr>
          <w:rFonts w:ascii="Times New Roman" w:cs="Times New Roman" w:eastAsia="Times New Roman" w:hAnsi="Times New Roman"/>
          <w:sz w:val="22"/>
          <w:szCs w:val="22"/>
          <w:b w:val="1"/>
          <w:bCs w:val="1"/>
          <w:color w:val="auto"/>
        </w:rPr>
        <w:t>JPMorgan</w:t>
      </w:r>
      <w:r>
        <w:rPr>
          <w:rFonts w:ascii="Times New Roman" w:cs="Times New Roman" w:eastAsia="Times New Roman" w:hAnsi="Times New Roman"/>
          <w:sz w:val="22"/>
          <w:szCs w:val="22"/>
          <w:color w:val="auto"/>
        </w:rPr>
        <w:t>”), as the First Lien/Second Lien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Intercreditor Representative, and SOTERA HEALTH HOLDINGS,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(for itself and on behalf of the Subsidiary Pledgors).</w:t>
      </w:r>
    </w:p>
    <w:p>
      <w:pPr>
        <w:spacing w:after="0" w:line="160" w:lineRule="exact"/>
        <w:rPr>
          <w:sz w:val="20"/>
          <w:szCs w:val="20"/>
          <w:color w:val="auto"/>
        </w:rPr>
      </w:pPr>
    </w:p>
    <w:p>
      <w:pPr>
        <w:jc w:val="both"/>
        <w:ind w:left="4" w:firstLine="1298"/>
        <w:spacing w:after="0" w:line="249" w:lineRule="auto"/>
        <w:rPr>
          <w:sz w:val="20"/>
          <w:szCs w:val="20"/>
          <w:color w:val="auto"/>
        </w:rPr>
      </w:pPr>
      <w:r>
        <w:rPr>
          <w:rFonts w:ascii="Times New Roman" w:cs="Times New Roman" w:eastAsia="Times New Roman" w:hAnsi="Times New Roman"/>
          <w:sz w:val="22"/>
          <w:szCs w:val="22"/>
          <w:color w:val="auto"/>
        </w:rPr>
        <w:t>This Consent is with respect to that certain ABL Intercreditor Agreement, dated as of [mm] [dd], [yyyy] (as amended, renewed, extended, supplemented, restated, replaced or otherwise modified from time to time, the “</w:t>
      </w:r>
      <w:r>
        <w:rPr>
          <w:rFonts w:ascii="Times New Roman" w:cs="Times New Roman" w:eastAsia="Times New Roman" w:hAnsi="Times New Roman"/>
          <w:sz w:val="22"/>
          <w:szCs w:val="22"/>
          <w:b w:val="1"/>
          <w:bCs w:val="1"/>
          <w:color w:val="auto"/>
        </w:rPr>
        <w:t>ABL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by [ ], in its capacity as ABL Representative, JPMorgan, in its capacities as First Lien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Collateral Agent, Designated Senior Representative and First Lien/Second Lien Intercreditor Representative, and [</w:t>
      </w:r>
    </w:p>
    <w:p>
      <w:pPr>
        <w:jc w:val="both"/>
        <w:ind w:left="4" w:right="20" w:hanging="4"/>
        <w:spacing w:after="0" w:line="248" w:lineRule="auto"/>
        <w:tabs>
          <w:tab w:leader="none" w:pos="16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solely in its capacity as Second Lien Collateral Agent, as the Designated Second Priority Representative; and acknowledged and consented to (a) by the Company for itself and on behalf of the Pledgors, (b) by each Other First Lien Obligations Agent, for itself and on behalf of such Other First Lien Obligations Secured Parties, that has executed and delivered an applicable Consent and Acknowledgment, and (c) by each Other Second Lien Obligations Agent, for itself and on behalf of such Other Second Lien Obligations Secured Parties, that has executed and delivered an applicable Consent and Acknowledgement. Capitalized terms used but not defined herein shall have the meanings assigned thereto in the ABL Intercreditor Agreement.</w:t>
      </w:r>
    </w:p>
    <w:p>
      <w:pPr>
        <w:spacing w:after="0" w:line="144" w:lineRule="exact"/>
        <w:rPr>
          <w:sz w:val="20"/>
          <w:szCs w:val="20"/>
          <w:color w:val="auto"/>
        </w:rPr>
      </w:pPr>
    </w:p>
    <w:p>
      <w:pPr>
        <w:jc w:val="both"/>
        <w:ind w:left="4" w:right="20" w:firstLine="1298"/>
        <w:spacing w:after="0" w:line="271" w:lineRule="auto"/>
        <w:rPr>
          <w:sz w:val="20"/>
          <w:szCs w:val="20"/>
          <w:color w:val="auto"/>
        </w:rPr>
      </w:pPr>
      <w:r>
        <w:rPr>
          <w:rFonts w:ascii="Times New Roman" w:cs="Times New Roman" w:eastAsia="Times New Roman" w:hAnsi="Times New Roman"/>
          <w:sz w:val="22"/>
          <w:szCs w:val="22"/>
          <w:color w:val="auto"/>
        </w:rPr>
        <w:t>Reference is made to [describe new Indebtedness] with respect to which the New Agent is acting as [trustee/collateral agent/authorized representative].</w:t>
      </w:r>
    </w:p>
    <w:p>
      <w:pPr>
        <w:spacing w:after="0" w:line="90" w:lineRule="exact"/>
        <w:rPr>
          <w:sz w:val="20"/>
          <w:szCs w:val="20"/>
          <w:color w:val="auto"/>
        </w:rPr>
      </w:pPr>
    </w:p>
    <w:p>
      <w:pPr>
        <w:jc w:val="both"/>
        <w:ind w:left="4" w:firstLine="1298"/>
        <w:spacing w:after="0" w:line="264" w:lineRule="auto"/>
        <w:rPr>
          <w:sz w:val="20"/>
          <w:szCs w:val="20"/>
          <w:color w:val="auto"/>
        </w:rPr>
      </w:pPr>
      <w:r>
        <w:rPr>
          <w:rFonts w:ascii="Times New Roman" w:cs="Times New Roman" w:eastAsia="Times New Roman" w:hAnsi="Times New Roman"/>
          <w:sz w:val="21"/>
          <w:szCs w:val="21"/>
          <w:color w:val="auto"/>
        </w:rPr>
        <w:t>The New Agent hereby (a) represents that it is acting in the capacity of an Other First Lien Obligations Agent for the [“Secured Parties”] as defined in and under [ ], (b) agrees, for itself and on behalf of such Secured Parties, to be bound by the terms of the ABL Intercreditor Agreement as if it were an Other First Lien Obligations Agent, and such Secured Parties were Other First Lien Obligations Secured Parties, as of the date of the ABL Intercreditor Agreement and</w:t>
      </w:r>
    </w:p>
    <w:p>
      <w:pPr>
        <w:spacing w:after="0" w:line="1" w:lineRule="exact"/>
        <w:rPr>
          <w:sz w:val="20"/>
          <w:szCs w:val="20"/>
          <w:color w:val="auto"/>
        </w:rPr>
      </w:pPr>
    </w:p>
    <w:p>
      <w:pPr>
        <w:ind w:left="4" w:hanging="4"/>
        <w:spacing w:after="0" w:line="248" w:lineRule="auto"/>
        <w:tabs>
          <w:tab w:leader="none" w:pos="368"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appoints and authorizes the First Lien Collateral Agent to act as First Lien/Second Lien Intercreditor Representative, together with all such powers as are reasonable incidental thereto.</w:t>
      </w:r>
    </w:p>
    <w:p>
      <w:pPr>
        <w:spacing w:after="0" w:line="15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1"/>
          <w:szCs w:val="21"/>
          <w:color w:val="auto"/>
        </w:rPr>
        <w:t>The address of the New Agent for purposes of all notices and other communications hereunder and under the</w:t>
      </w:r>
    </w:p>
    <w:tbl>
      <w:tblPr>
        <w:tblLayout w:type="fixed"/>
        <w:tblInd w:w="4" w:type="dxa"/>
        <w:tblCellMar>
          <w:top w:w="0" w:type="dxa"/>
          <w:left w:w="0" w:type="dxa"/>
          <w:bottom w:w="0" w:type="dxa"/>
          <w:right w:w="0" w:type="dxa"/>
        </w:tblCellMar>
      </w:tblPr>
      <w:tr>
        <w:trPr>
          <w:trHeight w:val="245"/>
        </w:trPr>
        <w:tc>
          <w:tcPr>
            <w:tcW w:w="3280" w:type="dxa"/>
            <w:vAlign w:val="bottom"/>
            <w:gridSpan w:val="7"/>
          </w:tcPr>
          <w:p>
            <w:pPr>
              <w:spacing w:after="0" w:line="245" w:lineRule="exact"/>
              <w:rPr>
                <w:sz w:val="20"/>
                <w:szCs w:val="20"/>
                <w:color w:val="auto"/>
              </w:rPr>
            </w:pPr>
            <w:r>
              <w:rPr>
                <w:rFonts w:ascii="Times New Roman" w:cs="Times New Roman" w:eastAsia="Times New Roman" w:hAnsi="Times New Roman"/>
                <w:sz w:val="22"/>
                <w:szCs w:val="22"/>
                <w:color w:val="auto"/>
              </w:rPr>
              <w:t>ABL Intercreditor Agreement is   ,</w:t>
            </w:r>
          </w:p>
        </w:tc>
        <w:tc>
          <w:tcPr>
            <w:tcW w:w="1240" w:type="dxa"/>
            <w:vAlign w:val="bottom"/>
            <w:gridSpan w:val="3"/>
          </w:tcPr>
          <w:p>
            <w:pPr>
              <w:jc w:val="right"/>
              <w:spacing w:after="0" w:line="245" w:lineRule="exact"/>
              <w:rPr>
                <w:sz w:val="20"/>
                <w:szCs w:val="20"/>
                <w:color w:val="auto"/>
              </w:rPr>
            </w:pPr>
            <w:r>
              <w:rPr>
                <w:rFonts w:ascii="Times New Roman" w:cs="Times New Roman" w:eastAsia="Times New Roman" w:hAnsi="Times New Roman"/>
                <w:sz w:val="22"/>
                <w:szCs w:val="22"/>
                <w:color w:val="auto"/>
              </w:rPr>
              <w:t>, Attention of</w:t>
            </w:r>
          </w:p>
        </w:tc>
      </w:tr>
      <w:tr>
        <w:trPr>
          <w:trHeight w:val="20"/>
        </w:trPr>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306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color w:val="auto"/>
              </w:rPr>
              <w:t>(Facsimile No.   , E-mail address:</w:t>
            </w:r>
          </w:p>
        </w:tc>
        <w:tc>
          <w:tcPr>
            <w:tcW w:w="1240" w:type="dxa"/>
            <w:vAlign w:val="bottom"/>
            <w:gridSpan w:val="3"/>
          </w:tcPr>
          <w:p>
            <w:pPr>
              <w:jc w:val="right"/>
              <w:ind w:right="900"/>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2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9" w:lineRule="exact"/>
        <w:rPr>
          <w:sz w:val="20"/>
          <w:szCs w:val="20"/>
          <w:color w:val="auto"/>
        </w:rPr>
      </w:pPr>
    </w:p>
    <w:p>
      <w:pPr>
        <w:ind w:left="4" w:right="20" w:firstLine="1298"/>
        <w:spacing w:after="0" w:line="258" w:lineRule="auto"/>
        <w:rPr>
          <w:sz w:val="20"/>
          <w:szCs w:val="20"/>
          <w:color w:val="auto"/>
        </w:rPr>
      </w:pPr>
      <w:r>
        <w:rPr>
          <w:rFonts w:ascii="Times New Roman" w:cs="Times New Roman" w:eastAsia="Times New Roman" w:hAnsi="Times New Roman"/>
          <w:sz w:val="22"/>
          <w:szCs w:val="22"/>
          <w:color w:val="auto"/>
        </w:rPr>
        <w:t>THIS CONSENT SHALL BE CONSTRUED IN ACCORDANCE WITH AND GOVERNED BY THE LAWS OF THE STATE OF NEW YORK.</w:t>
      </w:r>
    </w:p>
    <w:p>
      <w:pPr>
        <w:spacing w:after="0" w:line="158"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0764"/>
          </w:cols>
          <w:pgMar w:left="596" w:top="1296" w:right="539" w:bottom="1440" w:gutter="0" w:footer="0" w:header="0"/>
        </w:sectPr>
      </w:pPr>
    </w:p>
    <w:bookmarkStart w:id="330" w:name="page331"/>
    <w:bookmarkEnd w:id="330"/>
    <w:p>
      <w:pPr>
        <w:ind w:left="20" w:firstLine="129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hereto has caused this Consent to be duly executed by its authorized officer as of the day and year first above written.</w:t>
      </w:r>
    </w:p>
    <w:p>
      <w:pPr>
        <w:spacing w:after="0" w:line="15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AGENT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ind w:left="3900"/>
        <w:spacing w:after="0"/>
        <w:tabs>
          <w:tab w:leader="none" w:pos="4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-13970</wp:posOffset>
            </wp:positionV>
            <wp:extent cx="274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7680" w:val="left"/>
        </w:tabs>
        <w:rPr>
          <w:sz w:val="20"/>
          <w:szCs w:val="20"/>
          <w:color w:val="auto"/>
        </w:rPr>
      </w:pPr>
      <w:r>
        <w:rPr>
          <w:rFonts w:ascii="Times New Roman" w:cs="Times New Roman" w:eastAsia="Times New Roman" w:hAnsi="Times New Roman"/>
          <w:sz w:val="22"/>
          <w:szCs w:val="22"/>
          <w:color w:val="auto"/>
        </w:rPr>
        <w:t>Acknowledged and Confirmed by, for purposes of the ABL Intercreditor Agreement: [</w:t>
      </w:r>
      <w:r>
        <w:rPr>
          <w:sz w:val="20"/>
          <w:szCs w:val="20"/>
          <w:color w:val="auto"/>
        </w:rPr>
        <w:tab/>
      </w:r>
      <w:r>
        <w:rPr>
          <w:rFonts w:ascii="Times New Roman" w:cs="Times New Roman" w:eastAsia="Times New Roman" w:hAnsi="Times New Roman"/>
          <w:sz w:val="21"/>
          <w:szCs w:val="21"/>
          <w:color w:val="auto"/>
        </w:rPr>
        <w:t>], as ABL Representative</w:t>
      </w:r>
    </w:p>
    <w:p>
      <w:pPr>
        <w:spacing w:after="0" w:line="328"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-13970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 as First Lien/Second Lien Intercreditor Representative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5348605</wp:posOffset>
            </wp:positionH>
            <wp:positionV relativeFrom="paragraph">
              <wp:posOffset>-11430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SOTERA HEALTH HOLDINGS, LLC</w:t>
      </w:r>
      <w:r>
        <w:rPr>
          <w:rFonts w:ascii="Times New Roman" w:cs="Times New Roman" w:eastAsia="Times New Roman" w:hAnsi="Times New Roman"/>
          <w:sz w:val="22"/>
          <w:szCs w:val="22"/>
          <w:color w:val="auto"/>
        </w:rPr>
        <w:t>, for itself and on behalf of the Pledgors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-11430</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Name:</w:t>
      </w:r>
    </w:p>
    <w:p>
      <w:pPr>
        <w:sectPr>
          <w:pgSz w:w="11900" w:h="16838" w:orient="portrait"/>
          <w:cols w:equalWidth="0" w:num="1">
            <w:col w:w="10060"/>
          </w:cols>
          <w:pgMar w:left="580" w:top="1408" w:right="1259" w:bottom="1440" w:gutter="0" w:footer="0" w:header="0"/>
        </w:sectPr>
      </w:pPr>
    </w:p>
    <w:bookmarkStart w:id="331" w:name="page332"/>
    <w:bookmarkEnd w:id="331"/>
    <w:p>
      <w:pPr>
        <w:ind w:left="9460"/>
        <w:spacing w:after="0"/>
        <w:rPr>
          <w:sz w:val="20"/>
          <w:szCs w:val="20"/>
          <w:color w:val="auto"/>
        </w:rPr>
      </w:pPr>
      <w:r>
        <w:rPr>
          <w:rFonts w:ascii="Times New Roman" w:cs="Times New Roman" w:eastAsia="Times New Roman" w:hAnsi="Times New Roman"/>
          <w:sz w:val="21"/>
          <w:szCs w:val="21"/>
          <w:b w:val="1"/>
          <w:bCs w:val="1"/>
          <w:color w:val="auto"/>
        </w:rPr>
        <w:t>EXHIBIT A-4</w:t>
      </w:r>
    </w:p>
    <w:p>
      <w:pPr>
        <w:spacing w:after="0" w:line="2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CONSENT AND ACKNOWLEDGEMENT</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(Other Second Lien Obligations)</w:t>
      </w:r>
    </w:p>
    <w:p>
      <w:pPr>
        <w:spacing w:after="0" w:line="205" w:lineRule="exact"/>
        <w:rPr>
          <w:sz w:val="20"/>
          <w:szCs w:val="20"/>
          <w:color w:val="auto"/>
        </w:rPr>
      </w:pPr>
    </w:p>
    <w:p>
      <w:pPr>
        <w:jc w:val="both"/>
        <w:ind w:left="20" w:firstLine="1298"/>
        <w:spacing w:after="0" w:line="243" w:lineRule="auto"/>
        <w:rPr>
          <w:sz w:val="20"/>
          <w:szCs w:val="20"/>
          <w:color w:val="auto"/>
        </w:rPr>
      </w:pPr>
      <w:r>
        <w:rPr>
          <w:rFonts w:ascii="Times New Roman" w:cs="Times New Roman" w:eastAsia="Times New Roman" w:hAnsi="Times New Roman"/>
          <w:sz w:val="22"/>
          <w:szCs w:val="22"/>
          <w:color w:val="auto"/>
        </w:rPr>
        <w:t>This CONSENT AND ACKNOWLEDGMENT (this “</w:t>
      </w:r>
      <w:r>
        <w:rPr>
          <w:rFonts w:ascii="Times New Roman" w:cs="Times New Roman" w:eastAsia="Times New Roman" w:hAnsi="Times New Roman"/>
          <w:sz w:val="22"/>
          <w:szCs w:val="22"/>
          <w:b w:val="1"/>
          <w:bCs w:val="1"/>
          <w:color w:val="auto"/>
        </w:rPr>
        <w:t>Consent</w:t>
      </w:r>
      <w:r>
        <w:rPr>
          <w:rFonts w:ascii="Times New Roman" w:cs="Times New Roman" w:eastAsia="Times New Roman" w:hAnsi="Times New Roman"/>
          <w:sz w:val="22"/>
          <w:szCs w:val="22"/>
          <w:color w:val="auto"/>
        </w:rPr>
        <w:t>”) dated as of [mm] [dd], [yyyy], is executed by [ ], as an Other Second Lien Obligations Agent (together with its successors and permitted assigns, the “</w:t>
      </w:r>
      <w:r>
        <w:rPr>
          <w:rFonts w:ascii="Times New Roman" w:cs="Times New Roman" w:eastAsia="Times New Roman" w:hAnsi="Times New Roman"/>
          <w:sz w:val="22"/>
          <w:szCs w:val="22"/>
          <w:b w:val="1"/>
          <w:bCs w:val="1"/>
          <w:color w:val="auto"/>
        </w:rPr>
        <w:t>New Agent</w:t>
      </w:r>
      <w:r>
        <w:rPr>
          <w:rFonts w:ascii="Times New Roman" w:cs="Times New Roman" w:eastAsia="Times New Roman" w:hAnsi="Times New Roman"/>
          <w:sz w:val="22"/>
          <w:szCs w:val="22"/>
          <w:color w:val="auto"/>
        </w:rPr>
        <w:t>”), and acknowledged by [ ] (“</w:t>
      </w:r>
      <w:r>
        <w:rPr>
          <w:rFonts w:ascii="Times New Roman" w:cs="Times New Roman" w:eastAsia="Times New Roman" w:hAnsi="Times New Roman"/>
          <w:sz w:val="22"/>
          <w:szCs w:val="22"/>
          <w:b w:val="1"/>
          <w:bCs w:val="1"/>
          <w:color w:val="auto"/>
        </w:rPr>
        <w:t>[</w:t>
      </w:r>
    </w:p>
    <w:p>
      <w:pPr>
        <w:spacing w:after="0" w:line="2" w:lineRule="exact"/>
        <w:rPr>
          <w:sz w:val="20"/>
          <w:szCs w:val="20"/>
          <w:color w:val="auto"/>
        </w:rPr>
      </w:pPr>
    </w:p>
    <w:p>
      <w:pPr>
        <w:jc w:val="both"/>
        <w:ind w:left="20" w:right="20" w:hanging="13"/>
        <w:spacing w:after="0" w:line="24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 the ABL Representative, JPMORGAN CHASE BANK, N.A. (“</w:t>
      </w:r>
      <w:r>
        <w:rPr>
          <w:rFonts w:ascii="Times New Roman" w:cs="Times New Roman" w:eastAsia="Times New Roman" w:hAnsi="Times New Roman"/>
          <w:sz w:val="22"/>
          <w:szCs w:val="22"/>
          <w:b w:val="1"/>
          <w:bCs w:val="1"/>
          <w:color w:val="auto"/>
        </w:rPr>
        <w:t>JPMorgan</w:t>
      </w:r>
      <w:r>
        <w:rPr>
          <w:rFonts w:ascii="Times New Roman" w:cs="Times New Roman" w:eastAsia="Times New Roman" w:hAnsi="Times New Roman"/>
          <w:sz w:val="22"/>
          <w:szCs w:val="22"/>
          <w:color w:val="auto"/>
        </w:rPr>
        <w:t>”), as the First Lien/Second Lien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Intercreditor Representative, and SOTERA HEALTH HOLDINGS,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(for itself and on behalf of the Pledgors).</w:t>
      </w:r>
    </w:p>
    <w:p>
      <w:pPr>
        <w:spacing w:after="0" w:line="173" w:lineRule="exact"/>
        <w:rPr>
          <w:sz w:val="20"/>
          <w:szCs w:val="20"/>
          <w:color w:val="auto"/>
        </w:rPr>
      </w:pPr>
    </w:p>
    <w:p>
      <w:pPr>
        <w:jc w:val="both"/>
        <w:ind w:left="20" w:firstLine="1298"/>
        <w:spacing w:after="0" w:line="248" w:lineRule="auto"/>
        <w:rPr>
          <w:sz w:val="20"/>
          <w:szCs w:val="20"/>
          <w:color w:val="auto"/>
        </w:rPr>
      </w:pPr>
      <w:r>
        <w:rPr>
          <w:rFonts w:ascii="Times New Roman" w:cs="Times New Roman" w:eastAsia="Times New Roman" w:hAnsi="Times New Roman"/>
          <w:sz w:val="22"/>
          <w:szCs w:val="22"/>
          <w:color w:val="auto"/>
        </w:rPr>
        <w:t>This Consent is with respect to that certain ABL Intercreditor Agreement, dated as of [mm] [dd], [yyyy] (as amended, renewed, extended, supplemented, restated, replaced or otherwise modified from time to time, the “</w:t>
      </w:r>
      <w:r>
        <w:rPr>
          <w:rFonts w:ascii="Times New Roman" w:cs="Times New Roman" w:eastAsia="Times New Roman" w:hAnsi="Times New Roman"/>
          <w:sz w:val="22"/>
          <w:szCs w:val="22"/>
          <w:b w:val="1"/>
          <w:bCs w:val="1"/>
          <w:color w:val="auto"/>
        </w:rPr>
        <w:t>ABL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by [ ], in its capacity as ABL Representative, and JPMorgan, in its capacities as First Lien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Collateral Agent, Designated Senior Representative and First Lien/Second Lien Intercreditor Representative, and [ ] (“[ ]”), solely in its capacity as Second Lien Collateral Agent, as the Designated Second Priority Representative; and acknowledged and consented to (a) by the Company for itself and on behalf of the Pledgors, (b) by each Other First Lien Obligations Agent, for itself and on behalf of such Other First Lien Obligations Secured Parties, that has executed and delivered an applicable Consent and Acknowledgment, and (c) by each Other Second Lien Obligations Agent, for itself and on behalf of such Other Second Lien Obligations Secured Parties, that has executed and delivered an applicable Consent and Acknowledgement. Capitalized terms used but not defined herein shall have the meanings assigned thereto in the ABL Intercreditor Agreement.</w:t>
      </w:r>
    </w:p>
    <w:p>
      <w:pPr>
        <w:spacing w:after="0" w:line="189" w:lineRule="exact"/>
        <w:rPr>
          <w:sz w:val="20"/>
          <w:szCs w:val="20"/>
          <w:color w:val="auto"/>
        </w:rPr>
      </w:pPr>
    </w:p>
    <w:p>
      <w:pPr>
        <w:jc w:val="both"/>
        <w:ind w:left="20" w:right="20" w:firstLine="1298"/>
        <w:spacing w:after="0" w:line="284" w:lineRule="auto"/>
        <w:rPr>
          <w:sz w:val="20"/>
          <w:szCs w:val="20"/>
          <w:color w:val="auto"/>
        </w:rPr>
      </w:pPr>
      <w:r>
        <w:rPr>
          <w:rFonts w:ascii="Times New Roman" w:cs="Times New Roman" w:eastAsia="Times New Roman" w:hAnsi="Times New Roman"/>
          <w:sz w:val="22"/>
          <w:szCs w:val="22"/>
          <w:color w:val="auto"/>
        </w:rPr>
        <w:t>Reference is made to [describe new Indebtedness] with respect to which the New Agent is acting as [trustee/collateral agent/authorized representative].</w:t>
      </w:r>
    </w:p>
    <w:p>
      <w:pPr>
        <w:spacing w:after="0" w:line="117" w:lineRule="exact"/>
        <w:rPr>
          <w:sz w:val="20"/>
          <w:szCs w:val="20"/>
          <w:color w:val="auto"/>
        </w:rPr>
      </w:pPr>
    </w:p>
    <w:p>
      <w:pPr>
        <w:jc w:val="both"/>
        <w:ind w:left="20" w:firstLine="1298"/>
        <w:spacing w:after="0" w:line="264" w:lineRule="auto"/>
        <w:rPr>
          <w:sz w:val="20"/>
          <w:szCs w:val="20"/>
          <w:color w:val="auto"/>
        </w:rPr>
      </w:pPr>
      <w:r>
        <w:rPr>
          <w:rFonts w:ascii="Times New Roman" w:cs="Times New Roman" w:eastAsia="Times New Roman" w:hAnsi="Times New Roman"/>
          <w:sz w:val="21"/>
          <w:szCs w:val="21"/>
          <w:color w:val="auto"/>
        </w:rPr>
        <w:t>The New Agent hereby (a) represents that it is acting in the capacity of an Other Second Lien Obligations Agent for the [“Secured Parties”] as defined in and under [ ], (b) agrees, for itself and on behalf of such Secured Parties, to be bound by the terms of the ABL Intercreditor Agreement as if it were an Other Second Lien Obligations Agent, and such Secured Parties were Other Second Lien Obligations Secured Parties, as of the date of the ABL Intercreditor Agreement and</w:t>
      </w:r>
    </w:p>
    <w:p>
      <w:pPr>
        <w:spacing w:after="0" w:line="1" w:lineRule="exact"/>
        <w:rPr>
          <w:sz w:val="20"/>
          <w:szCs w:val="20"/>
          <w:color w:val="auto"/>
        </w:rPr>
      </w:pPr>
    </w:p>
    <w:p>
      <w:pPr>
        <w:ind w:left="20" w:hanging="4"/>
        <w:spacing w:after="0" w:line="248" w:lineRule="auto"/>
        <w:tabs>
          <w:tab w:leader="none" w:pos="385"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appoints and authorizes the First Lien Collateral Agent to act as First Lien/Second Lien Intercreditor Representative, together with all such powers as are reasonable incidental thereto.</w:t>
      </w:r>
    </w:p>
    <w:p>
      <w:pPr>
        <w:spacing w:after="0" w:line="1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The address of the New Agent for purposes of all notices and other communications hereunder and under the</w:t>
      </w:r>
    </w:p>
    <w:tbl>
      <w:tblPr>
        <w:tblLayout w:type="fixed"/>
        <w:tblInd w:w="20" w:type="dxa"/>
        <w:tblCellMar>
          <w:top w:w="0" w:type="dxa"/>
          <w:left w:w="0" w:type="dxa"/>
          <w:bottom w:w="0" w:type="dxa"/>
          <w:right w:w="0" w:type="dxa"/>
        </w:tblCellMar>
      </w:tblPr>
      <w:tr>
        <w:trPr>
          <w:trHeight w:val="231"/>
        </w:trPr>
        <w:tc>
          <w:tcPr>
            <w:tcW w:w="3280" w:type="dxa"/>
            <w:vAlign w:val="bottom"/>
            <w:gridSpan w:val="7"/>
          </w:tcPr>
          <w:p>
            <w:pPr>
              <w:spacing w:after="0" w:line="231" w:lineRule="exact"/>
              <w:rPr>
                <w:sz w:val="20"/>
                <w:szCs w:val="20"/>
                <w:color w:val="auto"/>
              </w:rPr>
            </w:pPr>
            <w:r>
              <w:rPr>
                <w:rFonts w:ascii="Times New Roman" w:cs="Times New Roman" w:eastAsia="Times New Roman" w:hAnsi="Times New Roman"/>
                <w:sz w:val="22"/>
                <w:szCs w:val="22"/>
                <w:color w:val="auto"/>
              </w:rPr>
              <w:t>ABL Intercreditor Agreement is   ,</w:t>
            </w:r>
          </w:p>
        </w:tc>
        <w:tc>
          <w:tcPr>
            <w:tcW w:w="124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22"/>
                <w:szCs w:val="22"/>
                <w:color w:val="auto"/>
              </w:rPr>
              <w:t>, Attention of</w:t>
            </w:r>
          </w:p>
        </w:tc>
      </w:tr>
      <w:tr>
        <w:trPr>
          <w:trHeight w:val="20"/>
        </w:trPr>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306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color w:val="auto"/>
              </w:rPr>
              <w:t>(Facsimile No.   , E-mail address:</w:t>
            </w:r>
          </w:p>
        </w:tc>
        <w:tc>
          <w:tcPr>
            <w:tcW w:w="1240" w:type="dxa"/>
            <w:vAlign w:val="bottom"/>
            <w:gridSpan w:val="3"/>
          </w:tcPr>
          <w:p>
            <w:pPr>
              <w:jc w:val="right"/>
              <w:ind w:right="900"/>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2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43" w:lineRule="exact"/>
        <w:rPr>
          <w:sz w:val="20"/>
          <w:szCs w:val="20"/>
          <w:color w:val="auto"/>
        </w:rPr>
      </w:pPr>
    </w:p>
    <w:p>
      <w:pPr>
        <w:ind w:right="40" w:firstLine="1298"/>
        <w:spacing w:after="0" w:line="258" w:lineRule="auto"/>
        <w:rPr>
          <w:sz w:val="20"/>
          <w:szCs w:val="20"/>
          <w:color w:val="auto"/>
        </w:rPr>
      </w:pPr>
      <w:r>
        <w:rPr>
          <w:rFonts w:ascii="Times New Roman" w:cs="Times New Roman" w:eastAsia="Times New Roman" w:hAnsi="Times New Roman"/>
          <w:sz w:val="22"/>
          <w:szCs w:val="22"/>
          <w:color w:val="auto"/>
        </w:rPr>
        <w:t>THIS CONSENT SHALL BE CONSTRUED IN ACCORDANCE WITH AND GOVERNED BY THE LAWS OF THE STATE OF NEW YORK.</w:t>
      </w:r>
    </w:p>
    <w:p>
      <w:pPr>
        <w:sectPr>
          <w:pgSz w:w="11900" w:h="16838" w:orient="portrait"/>
          <w:cols w:equalWidth="0" w:num="1">
            <w:col w:w="10780"/>
          </w:cols>
          <w:pgMar w:left="580" w:top="1418" w:right="539" w:bottom="1440" w:gutter="0" w:footer="0" w:header="0"/>
        </w:sectPr>
      </w:pPr>
    </w:p>
    <w:bookmarkStart w:id="332" w:name="page333"/>
    <w:bookmarkEnd w:id="332"/>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[Remainder of this page intentionally left blank.]</w:t>
      </w:r>
    </w:p>
    <w:p>
      <w:pPr>
        <w:sectPr>
          <w:pgSz w:w="11900" w:h="16838" w:orient="portrait"/>
          <w:cols w:equalWidth="0" w:num="1">
            <w:col w:w="9019"/>
          </w:cols>
          <w:pgMar w:left="1440" w:top="1440" w:right="1440" w:bottom="1440" w:gutter="0" w:footer="0" w:header="0"/>
        </w:sectPr>
      </w:pPr>
    </w:p>
    <w:bookmarkStart w:id="333" w:name="page334"/>
    <w:bookmarkEnd w:id="333"/>
    <w:p>
      <w:pPr>
        <w:spacing w:after="0" w:line="212" w:lineRule="exact"/>
        <w:rPr>
          <w:sz w:val="20"/>
          <w:szCs w:val="20"/>
          <w:color w:val="auto"/>
        </w:rPr>
      </w:pPr>
    </w:p>
    <w:p>
      <w:pPr>
        <w:ind w:left="20" w:firstLine="129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hereto has caused this Consent to be duly executed by its authorized officer as of the day and year first above written.</w:t>
      </w:r>
    </w:p>
    <w:p>
      <w:pPr>
        <w:spacing w:after="0" w:line="1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[NEW AGENT]</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-13970</wp:posOffset>
            </wp:positionV>
            <wp:extent cx="274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7680" w:val="left"/>
        </w:tabs>
        <w:rPr>
          <w:sz w:val="20"/>
          <w:szCs w:val="20"/>
          <w:color w:val="auto"/>
        </w:rPr>
      </w:pPr>
      <w:r>
        <w:rPr>
          <w:rFonts w:ascii="Times New Roman" w:cs="Times New Roman" w:eastAsia="Times New Roman" w:hAnsi="Times New Roman"/>
          <w:sz w:val="22"/>
          <w:szCs w:val="22"/>
          <w:color w:val="auto"/>
        </w:rPr>
        <w:t>Acknowledged and Confirmed by, for purposes of the ABL Intercreditor Agreement: [</w:t>
      </w:r>
      <w:r>
        <w:rPr>
          <w:sz w:val="20"/>
          <w:szCs w:val="20"/>
          <w:color w:val="auto"/>
        </w:rPr>
        <w:tab/>
      </w:r>
      <w:r>
        <w:rPr>
          <w:rFonts w:ascii="Times New Roman" w:cs="Times New Roman" w:eastAsia="Times New Roman" w:hAnsi="Times New Roman"/>
          <w:sz w:val="21"/>
          <w:szCs w:val="21"/>
          <w:color w:val="auto"/>
        </w:rPr>
        <w:t>], as ABL Representative</w:t>
      </w:r>
    </w:p>
    <w:p>
      <w:pPr>
        <w:spacing w:after="0" w:line="328"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-13970</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 as First Lien/Second Lien Intercreditor Representative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5348605</wp:posOffset>
            </wp:positionH>
            <wp:positionV relativeFrom="paragraph">
              <wp:posOffset>-11430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SOTERA HEALTH HOLDINGS, LLC</w:t>
      </w:r>
      <w:r>
        <w:rPr>
          <w:rFonts w:ascii="Times New Roman" w:cs="Times New Roman" w:eastAsia="Times New Roman" w:hAnsi="Times New Roman"/>
          <w:sz w:val="22"/>
          <w:szCs w:val="22"/>
          <w:color w:val="auto"/>
        </w:rPr>
        <w:t>, for itself and on behalf of the Pledgors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-11430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Name:</w:t>
      </w:r>
    </w:p>
    <w:p>
      <w:pPr>
        <w:sectPr>
          <w:pgSz w:w="11900" w:h="16838" w:orient="portrait"/>
          <w:cols w:equalWidth="0" w:num="1">
            <w:col w:w="10060"/>
          </w:cols>
          <w:pgMar w:left="580" w:top="1440" w:right="1259" w:bottom="1440" w:gutter="0" w:footer="0" w:header="0"/>
        </w:sectPr>
      </w:pPr>
    </w:p>
    <w:bookmarkStart w:id="334" w:name="page335"/>
    <w:bookmarkEnd w:id="334"/>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G</w:t>
      </w:r>
    </w:p>
    <w:p>
      <w:pPr>
        <w:spacing w:after="0" w:line="200" w:lineRule="exact"/>
        <w:rPr>
          <w:sz w:val="20"/>
          <w:szCs w:val="20"/>
          <w:color w:val="auto"/>
        </w:rPr>
      </w:pPr>
    </w:p>
    <w:p>
      <w:pPr>
        <w:spacing w:after="0" w:line="23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[See attached.]</w:t>
      </w:r>
    </w:p>
    <w:p>
      <w:pPr>
        <w:sectPr>
          <w:pgSz w:w="11900" w:h="16838" w:orient="portrait"/>
          <w:cols w:equalWidth="0" w:num="1">
            <w:col w:w="9940"/>
          </w:cols>
          <w:pgMar w:left="1440" w:top="1440" w:right="51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9"/>
          <w:szCs w:val="19"/>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FIRST/SECOND LIEN INTERCREDITOR AGREEMENT</w:t>
      </w:r>
    </w:p>
    <w:p>
      <w:pPr>
        <w:spacing w:after="0" w:line="3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dated as of [mm] [dd], [yyyy] among</w:t>
      </w:r>
    </w:p>
    <w:p>
      <w:pPr>
        <w:spacing w:after="0" w:line="22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SOTERA HEALTH COMPANY, SOTERA HEALTH</w:t>
      </w:r>
    </w:p>
    <w:p>
      <w:pPr>
        <w:spacing w:after="0" w:line="20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HOLDINGS, LLC,</w:t>
      </w:r>
    </w:p>
    <w:p>
      <w:pPr>
        <w:spacing w:after="0" w:line="11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THE OTHER GRANTORS PARTY HERETO,</w:t>
      </w:r>
    </w:p>
    <w:p>
      <w:pPr>
        <w:spacing w:after="0" w:line="200" w:lineRule="exact"/>
        <w:rPr>
          <w:sz w:val="20"/>
          <w:szCs w:val="20"/>
          <w:color w:val="auto"/>
        </w:rPr>
      </w:pPr>
    </w:p>
    <w:p>
      <w:pPr>
        <w:spacing w:after="0" w:line="20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1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as First Lien Collateral Agent and</w:t>
      </w:r>
    </w:p>
    <w:p>
      <w:pPr>
        <w:spacing w:after="0" w:line="9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 ],</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as the Initial Second Priority Representative</w:t>
      </w:r>
    </w:p>
    <w:p>
      <w:pPr>
        <w:sectPr>
          <w:pgSz w:w="11900" w:h="16838" w:orient="portrait"/>
          <w:cols w:equalWidth="0" w:num="1">
            <w:col w:w="9940"/>
          </w:cols>
          <w:pgMar w:left="1440" w:top="1423" w:right="519" w:bottom="1440" w:gutter="0" w:footer="0" w:header="0"/>
        </w:sectPr>
      </w:pPr>
    </w:p>
    <w:bookmarkStart w:id="336" w:name="page337"/>
    <w:bookmarkEnd w:id="336"/>
    <w:p>
      <w:pPr>
        <w:jc w:val="center"/>
        <w:ind w:right="60"/>
        <w:spacing w:after="0"/>
        <w:rPr>
          <w:sz w:val="20"/>
          <w:szCs w:val="20"/>
          <w:color w:val="auto"/>
        </w:rPr>
      </w:pPr>
      <w:r>
        <w:rPr>
          <w:rFonts w:ascii="Times New Roman" w:cs="Times New Roman" w:eastAsia="Times New Roman" w:hAnsi="Times New Roman"/>
          <w:sz w:val="22"/>
          <w:szCs w:val="22"/>
          <w:color w:val="auto"/>
        </w:rPr>
        <w:t>FIRST/SECOND LIEN INTERCREDITOR AGREEMENT dated as of [mm] [dd],</w:t>
      </w:r>
    </w:p>
    <w:p>
      <w:pPr>
        <w:spacing w:after="0" w:line="28" w:lineRule="exact"/>
        <w:rPr>
          <w:sz w:val="20"/>
          <w:szCs w:val="20"/>
          <w:color w:val="auto"/>
        </w:rPr>
      </w:pPr>
    </w:p>
    <w:p>
      <w:pPr>
        <w:jc w:val="both"/>
        <w:ind w:firstLine="1"/>
        <w:spacing w:after="0" w:line="247" w:lineRule="auto"/>
        <w:tabs>
          <w:tab w:leader="none" w:pos="698"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amended, restated, amended and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SOTERA HEALTH COMPANY,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SOTERA HEALTH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other Grantors (as defined below) from time to time party hereto, JPMORGAN CHASE BANK, N.A. (“</w:t>
      </w:r>
      <w:r>
        <w:rPr>
          <w:rFonts w:ascii="Times New Roman" w:cs="Times New Roman" w:eastAsia="Times New Roman" w:hAnsi="Times New Roman"/>
          <w:sz w:val="22"/>
          <w:szCs w:val="22"/>
          <w:u w:val="single" w:color="auto"/>
          <w:color w:val="auto"/>
        </w:rPr>
        <w:t>JPMorgan</w:t>
      </w:r>
      <w:r>
        <w:rPr>
          <w:rFonts w:ascii="Times New Roman" w:cs="Times New Roman" w:eastAsia="Times New Roman" w:hAnsi="Times New Roman"/>
          <w:sz w:val="22"/>
          <w:szCs w:val="22"/>
          <w:color w:val="auto"/>
        </w:rPr>
        <w:t>”), as administrative agent and collateral agent under the First Lien Credit Agreement (in such capacity and together with its successors in such capacity, the “</w:t>
      </w:r>
      <w:r>
        <w:rPr>
          <w:rFonts w:ascii="Times New Roman" w:cs="Times New Roman" w:eastAsia="Times New Roman" w:hAnsi="Times New Roman"/>
          <w:sz w:val="22"/>
          <w:szCs w:val="22"/>
          <w:u w:val="single" w:color="auto"/>
          <w:color w:val="auto"/>
        </w:rPr>
        <w:t>First Lien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 ] (“[]”), solely in its capacity as second lien collateral agent under the Second Lien [Credit Agreement] [Indenture] (in such capacity and together with its successors in such capacity, the “</w:t>
      </w:r>
      <w:r>
        <w:rPr>
          <w:rFonts w:ascii="Times New Roman" w:cs="Times New Roman" w:eastAsia="Times New Roman" w:hAnsi="Times New Roman"/>
          <w:sz w:val="22"/>
          <w:szCs w:val="22"/>
          <w:u w:val="single" w:color="auto"/>
          <w:color w:val="auto"/>
        </w:rPr>
        <w:t>Initial Second Priority Representative</w:t>
      </w:r>
      <w:r>
        <w:rPr>
          <w:rFonts w:ascii="Times New Roman" w:cs="Times New Roman" w:eastAsia="Times New Roman" w:hAnsi="Times New Roman"/>
          <w:sz w:val="22"/>
          <w:szCs w:val="22"/>
          <w:color w:val="auto"/>
        </w:rPr>
        <w:t>”), and each additional Second Priority Representative and Senior Representative that from time to time becomes a party hereto pursuant to Section 8.09.</w:t>
      </w:r>
    </w:p>
    <w:p>
      <w:pPr>
        <w:spacing w:after="0" w:line="198" w:lineRule="exact"/>
        <w:rPr>
          <w:sz w:val="20"/>
          <w:szCs w:val="20"/>
          <w:color w:val="auto"/>
        </w:rPr>
      </w:pPr>
    </w:p>
    <w:p>
      <w:pPr>
        <w:jc w:val="both"/>
        <w:ind w:firstLine="1298"/>
        <w:spacing w:after="0" w:line="265" w:lineRule="auto"/>
        <w:rPr>
          <w:sz w:val="20"/>
          <w:szCs w:val="20"/>
          <w:color w:val="auto"/>
        </w:rPr>
      </w:pPr>
      <w:r>
        <w:rPr>
          <w:rFonts w:ascii="Times New Roman" w:cs="Times New Roman" w:eastAsia="Times New Roman" w:hAnsi="Times New Roman"/>
          <w:sz w:val="21"/>
          <w:szCs w:val="21"/>
          <w:color w:val="auto"/>
        </w:rPr>
        <w:t>In consideration of the mutual agreements herein contained and other good and valuable consideration, the receipt and sufficiency of which are hereby acknowledged, the First Lien Collateral Agent (for itself and on behalf of the First Lien Credit Agreement Secured Parties), the Initial Second Priority Representative for itself and on behalf of the Initial Second Priority Debt Parties and each additional Senior Representative (for itself and on behalf of the Additional Senior Debt Parties under the applicable Additional Senior Debt Facility) and each additional Second Priority Representative (for itself and on behalf of the Second Priority Debt Parties under the applicable Second Priority Debt Facility) agree as follows:</w:t>
      </w:r>
    </w:p>
    <w:p>
      <w:pPr>
        <w:spacing w:after="0" w:line="1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w:t>
      </w: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20" w:lineRule="exact"/>
        <w:rPr>
          <w:sz w:val="20"/>
          <w:szCs w:val="20"/>
          <w:color w:val="auto"/>
        </w:rPr>
      </w:pPr>
    </w:p>
    <w:p>
      <w:pPr>
        <w:jc w:val="both"/>
        <w:ind w:left="20"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Capitalized terms used but not otherwise defined herein have the meanings set forth in the First Lien Credit Agreement or, if defined in the New York UCC, the meanings specified therein. As used in this Agreement, the following terms have the meanings specified below:</w:t>
      </w:r>
    </w:p>
    <w:p>
      <w:pPr>
        <w:spacing w:after="0" w:line="195" w:lineRule="exact"/>
        <w:rPr>
          <w:sz w:val="20"/>
          <w:szCs w:val="20"/>
          <w:color w:val="auto"/>
        </w:rPr>
      </w:pPr>
    </w:p>
    <w:p>
      <w:pPr>
        <w:jc w:val="both"/>
        <w:ind w:left="20" w:firstLine="129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Debt</w:t>
      </w:r>
      <w:r>
        <w:rPr>
          <w:rFonts w:ascii="Times New Roman" w:cs="Times New Roman" w:eastAsia="Times New Roman" w:hAnsi="Times New Roman"/>
          <w:sz w:val="22"/>
          <w:szCs w:val="22"/>
          <w:color w:val="auto"/>
        </w:rPr>
        <w:t xml:space="preserve">” means any Indebtedness that is issued or guaranteed by the Company and/or any Guarantor (other than Indebtedness constituting First Lien Credit Agreement Obligations) which Indebtedness and Guarantees are secured by the Senior Collateral (or a portion thereof) on a basis senior to the Second Priority Debt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such Indebtedness is permitted to be incurred, secured and guaranteed on such basis by each then extant Senior Debt Document and not prohibited by any then extant Second Priority Debt Document and (ii) the Representative for the holders of such Indebtedness shall have become party to (A) this Agreement pursuant to, and by satisfying the conditions set forth in, Section 8.09 hereof, and (B) the First Lien Pari Passu Intercreditor Agreement pursuant to, and by satisfying the conditions set forth in, Article VI thereof;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such Indebtedness will be the initial Additional Senior Debt incurred by the Company, then the Guarantors, the First Lien Collateral Agent and the Representative for such Indebtedness shall have executed and delivered the First Lien Pari Passu Intercreditor Agreement. Additional Senior Debt shall include any Registered Equivalent Notes and Guarantees thereof by the Guarantors issued in exchange therefor.</w:t>
      </w:r>
    </w:p>
    <w:p>
      <w:pPr>
        <w:sectPr>
          <w:pgSz w:w="11900" w:h="16838" w:orient="portrait"/>
          <w:cols w:equalWidth="0" w:num="1">
            <w:col w:w="10780"/>
          </w:cols>
          <w:pgMar w:left="580" w:top="1408" w:right="539" w:bottom="1440" w:gutter="0" w:footer="0" w:header="0"/>
        </w:sectPr>
      </w:pPr>
    </w:p>
    <w:bookmarkStart w:id="337" w:name="page338"/>
    <w:bookmarkEnd w:id="337"/>
    <w:p>
      <w:pPr>
        <w:jc w:val="both"/>
        <w:ind w:right="140" w:firstLine="1283"/>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Debt Documents</w:t>
      </w:r>
      <w:r>
        <w:rPr>
          <w:rFonts w:ascii="Times New Roman" w:cs="Times New Roman" w:eastAsia="Times New Roman" w:hAnsi="Times New Roman"/>
          <w:sz w:val="22"/>
          <w:szCs w:val="22"/>
          <w:color w:val="auto"/>
        </w:rPr>
        <w:t>” means, with respect to any series, issue or class of Additional Senior Debt, the promissory notes, credit agreements, indentures, Collateral Documents or other operative agreements evidencing or governing such Indebtedness, including the Senior Collateral Documents.</w:t>
      </w:r>
    </w:p>
    <w:p>
      <w:pPr>
        <w:spacing w:after="0" w:line="159" w:lineRule="exact"/>
        <w:rPr>
          <w:sz w:val="20"/>
          <w:szCs w:val="20"/>
          <w:color w:val="auto"/>
        </w:rPr>
      </w:pPr>
    </w:p>
    <w:p>
      <w:pPr>
        <w:jc w:val="both"/>
        <w:ind w:right="16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Debt Facility</w:t>
      </w:r>
      <w:r>
        <w:rPr>
          <w:rFonts w:ascii="Times New Roman" w:cs="Times New Roman" w:eastAsia="Times New Roman" w:hAnsi="Times New Roman"/>
          <w:sz w:val="22"/>
          <w:szCs w:val="22"/>
          <w:color w:val="auto"/>
        </w:rPr>
        <w:t>” means each credit agreement, indenture or other governing agreement with respect to any Additional Senior Debt.</w:t>
      </w:r>
    </w:p>
    <w:p>
      <w:pPr>
        <w:spacing w:after="0" w:line="172" w:lineRule="exact"/>
        <w:rPr>
          <w:sz w:val="20"/>
          <w:szCs w:val="20"/>
          <w:color w:val="auto"/>
        </w:rPr>
      </w:pPr>
    </w:p>
    <w:p>
      <w:pPr>
        <w:jc w:val="both"/>
        <w:ind w:right="160" w:firstLine="129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Debt Obligations</w:t>
      </w:r>
      <w:r>
        <w:rPr>
          <w:rFonts w:ascii="Times New Roman" w:cs="Times New Roman" w:eastAsia="Times New Roman" w:hAnsi="Times New Roman"/>
          <w:sz w:val="22"/>
          <w:szCs w:val="22"/>
          <w:color w:val="auto"/>
        </w:rPr>
        <w:t>” means, with respect to any series, issue or class of Additional Senior Debt, (a) all principal of, and interest payable with respect to, such Additional Senior Debt, (b) all other amounts payable to the related Additional Senior Debt Parties under the related Additional Senior Debt Documents and (c) any renewals or extensions of the foregoing, including, in each case, without limitation, any interest, fees, expenses and other amounts which accrue after the commencement of any Insolvency or Liquidation Proceeding, whether or not allowed or allowable as a claim in any such proceeding.</w:t>
      </w:r>
    </w:p>
    <w:p>
      <w:pPr>
        <w:spacing w:after="0" w:line="195" w:lineRule="exact"/>
        <w:rPr>
          <w:sz w:val="20"/>
          <w:szCs w:val="20"/>
          <w:color w:val="auto"/>
        </w:rPr>
      </w:pPr>
    </w:p>
    <w:p>
      <w:pPr>
        <w:jc w:val="both"/>
        <w:ind w:right="16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Senior Debt Parties</w:t>
      </w:r>
      <w:r>
        <w:rPr>
          <w:rFonts w:ascii="Times New Roman" w:cs="Times New Roman" w:eastAsia="Times New Roman" w:hAnsi="Times New Roman"/>
          <w:sz w:val="22"/>
          <w:szCs w:val="22"/>
          <w:color w:val="auto"/>
        </w:rPr>
        <w:t>” means, with respect to any series, issue or class of Additional Senior Debt Obligations, the holders of such obligations, the Representative with respect thereto, any trustee or agent therefor under any related Additional Senior Debt Documents and the beneficiaries of each indemnification obligation undertaken by the Company or any Guarantor under any related Additional Senior Debt Documents.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as amended. “</w:t>
      </w:r>
      <w:r>
        <w:rPr>
          <w:rFonts w:ascii="Times New Roman" w:cs="Times New Roman" w:eastAsia="Times New Roman" w:hAnsi="Times New Roman"/>
          <w:sz w:val="22"/>
          <w:szCs w:val="22"/>
          <w:u w:val="single" w:color="auto"/>
          <w:color w:val="auto"/>
        </w:rPr>
        <w:t>Bankruptcy Law</w:t>
      </w:r>
      <w:r>
        <w:rPr>
          <w:rFonts w:ascii="Times New Roman" w:cs="Times New Roman" w:eastAsia="Times New Roman" w:hAnsi="Times New Roman"/>
          <w:sz w:val="22"/>
          <w:szCs w:val="22"/>
          <w:color w:val="auto"/>
        </w:rPr>
        <w:t>” means the</w:t>
      </w:r>
    </w:p>
    <w:p>
      <w:pPr>
        <w:spacing w:after="0" w:line="220" w:lineRule="exact"/>
        <w:rPr>
          <w:sz w:val="20"/>
          <w:szCs w:val="20"/>
          <w:color w:val="auto"/>
        </w:rPr>
      </w:pPr>
    </w:p>
    <w:p>
      <w:pPr>
        <w:ind w:right="5320" w:firstLine="1298"/>
        <w:spacing w:after="0" w:line="335" w:lineRule="auto"/>
        <w:rPr>
          <w:sz w:val="20"/>
          <w:szCs w:val="20"/>
          <w:color w:val="auto"/>
        </w:rPr>
      </w:pPr>
      <w:r>
        <w:rPr>
          <w:rFonts w:ascii="Times New Roman" w:cs="Times New Roman" w:eastAsia="Times New Roman" w:hAnsi="Times New Roman"/>
          <w:sz w:val="22"/>
          <w:szCs w:val="22"/>
          <w:color w:val="auto"/>
        </w:rPr>
        <w:t>Bankruptcy Code and any similar federal, state or foreign law for the relief of debtors.</w:t>
      </w:r>
    </w:p>
    <w:p>
      <w:pPr>
        <w:spacing w:after="0" w:line="63" w:lineRule="exact"/>
        <w:rPr>
          <w:sz w:val="20"/>
          <w:szCs w:val="20"/>
          <w:color w:val="auto"/>
        </w:rPr>
      </w:pPr>
    </w:p>
    <w:p>
      <w:pPr>
        <w:ind w:right="20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day on which banks in New York City are authorized or required by law to close.</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Debt</w:t>
      </w:r>
      <w:r>
        <w:rPr>
          <w:rFonts w:ascii="Times New Roman" w:cs="Times New Roman" w:eastAsia="Times New Roman" w:hAnsi="Times New Roman"/>
          <w:sz w:val="22"/>
          <w:szCs w:val="22"/>
          <w:color w:val="auto"/>
        </w:rPr>
        <w:t>” has the meaning assigned to such term in Section 8.09. “</w:t>
      </w:r>
      <w:r>
        <w:rPr>
          <w:rFonts w:ascii="Times New Roman" w:cs="Times New Roman" w:eastAsia="Times New Roman" w:hAnsi="Times New Roman"/>
          <w:sz w:val="22"/>
          <w:szCs w:val="22"/>
          <w:u w:val="single" w:color="auto"/>
          <w:color w:val="auto"/>
        </w:rPr>
        <w:t>Class Debt Parties</w:t>
      </w:r>
      <w:r>
        <w:rPr>
          <w:rFonts w:ascii="Times New Roman" w:cs="Times New Roman" w:eastAsia="Times New Roman" w:hAnsi="Times New Roman"/>
          <w:sz w:val="22"/>
          <w:szCs w:val="22"/>
          <w:color w:val="auto"/>
        </w:rPr>
        <w:t>” has the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meaning assigned to such term in Section 8.09.</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Debt Representatives</w:t>
      </w:r>
      <w:r>
        <w:rPr>
          <w:rFonts w:ascii="Times New Roman" w:cs="Times New Roman" w:eastAsia="Times New Roman" w:hAnsi="Times New Roman"/>
          <w:sz w:val="22"/>
          <w:szCs w:val="22"/>
          <w:color w:val="auto"/>
        </w:rPr>
        <w:t>” has the meaning assigned to such term in Section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8.09.</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means the Senior Collateral and the Second Priority Collateral. “</w:t>
      </w:r>
      <w:r>
        <w:rPr>
          <w:rFonts w:ascii="Times New Roman" w:cs="Times New Roman" w:eastAsia="Times New Roman" w:hAnsi="Times New Roman"/>
          <w:sz w:val="21"/>
          <w:szCs w:val="21"/>
          <w:u w:val="single" w:color="auto"/>
          <w:color w:val="auto"/>
        </w:rPr>
        <w:t>Collateral Documents</w:t>
      </w:r>
      <w:r>
        <w:rPr>
          <w:rFonts w:ascii="Times New Roman" w:cs="Times New Roman" w:eastAsia="Times New Roman" w:hAnsi="Times New Roman"/>
          <w:sz w:val="21"/>
          <w:szCs w:val="21"/>
          <w:color w:val="auto"/>
        </w:rPr>
        <w:t>” means the</w:t>
      </w:r>
    </w:p>
    <w:p>
      <w:pPr>
        <w:spacing w:after="0" w:line="2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Senior Collateral Documents and the Second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Collateral Documents.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58" w:lineRule="exact"/>
        <w:rPr>
          <w:sz w:val="20"/>
          <w:szCs w:val="20"/>
          <w:color w:val="auto"/>
        </w:rPr>
      </w:pPr>
    </w:p>
    <w:p>
      <w:pPr>
        <w:ind w:right="160" w:firstLine="1283"/>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w:t>
      </w:r>
    </w:p>
    <w:p>
      <w:pPr>
        <w:sectPr>
          <w:pgSz w:w="11900" w:h="16838" w:orient="portrait"/>
          <w:cols w:equalWidth="0" w:num="1">
            <w:col w:w="10900"/>
          </w:cols>
          <w:pgMar w:left="600" w:top="1408" w:right="399" w:bottom="1440" w:gutter="0" w:footer="0" w:header="0"/>
        </w:sectPr>
      </w:pPr>
    </w:p>
    <w:bookmarkStart w:id="338" w:name="page339"/>
    <w:bookmarkEnd w:id="338"/>
    <w:p>
      <w:pPr>
        <w:ind w:left="4"/>
        <w:spacing w:after="0"/>
        <w:rPr>
          <w:sz w:val="20"/>
          <w:szCs w:val="20"/>
          <w:color w:val="auto"/>
        </w:rPr>
      </w:pPr>
      <w:r>
        <w:rPr>
          <w:rFonts w:ascii="Times New Roman" w:cs="Times New Roman" w:eastAsia="Times New Roman" w:hAnsi="Times New Roman"/>
          <w:sz w:val="22"/>
          <w:szCs w:val="22"/>
          <w:color w:val="auto"/>
        </w:rPr>
        <w:t>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22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Collateral</w:t>
      </w:r>
      <w:r>
        <w:rPr>
          <w:rFonts w:ascii="Times New Roman" w:cs="Times New Roman" w:eastAsia="Times New Roman" w:hAnsi="Times New Roman"/>
          <w:sz w:val="22"/>
          <w:szCs w:val="22"/>
          <w:color w:val="auto"/>
        </w:rPr>
        <w:t>” has the meaning assigned to such term in Section 5.06(a).</w:t>
      </w:r>
    </w:p>
    <w:p>
      <w:pPr>
        <w:spacing w:after="0" w:line="206" w:lineRule="exact"/>
        <w:rPr>
          <w:sz w:val="20"/>
          <w:szCs w:val="20"/>
          <w:color w:val="auto"/>
        </w:rPr>
      </w:pPr>
    </w:p>
    <w:p>
      <w:pPr>
        <w:ind w:left="4" w:right="2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 Loan Documents</w:t>
      </w:r>
      <w:r>
        <w:rPr>
          <w:rFonts w:ascii="Times New Roman" w:cs="Times New Roman" w:eastAsia="Times New Roman" w:hAnsi="Times New Roman"/>
          <w:sz w:val="22"/>
          <w:szCs w:val="22"/>
          <w:color w:val="auto"/>
        </w:rPr>
        <w:t>” means the First Lien Credit Agreement and the other “First Lien Loan Documents” as defined in the First Lien Credit Agreement.</w:t>
      </w:r>
    </w:p>
    <w:p>
      <w:pPr>
        <w:spacing w:after="0" w:line="38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Facility</w:t>
      </w:r>
      <w:r>
        <w:rPr>
          <w:rFonts w:ascii="Times New Roman" w:cs="Times New Roman" w:eastAsia="Times New Roman" w:hAnsi="Times New Roman"/>
          <w:sz w:val="22"/>
          <w:szCs w:val="22"/>
          <w:color w:val="auto"/>
        </w:rPr>
        <w:t>” means any Senior Facility and any Second Priority Debt Facility.</w:t>
      </w:r>
    </w:p>
    <w:p>
      <w:pPr>
        <w:spacing w:after="0" w:line="200" w:lineRule="exact"/>
        <w:rPr>
          <w:sz w:val="20"/>
          <w:szCs w:val="20"/>
          <w:color w:val="auto"/>
        </w:rPr>
      </w:pPr>
    </w:p>
    <w:p>
      <w:pPr>
        <w:spacing w:after="0" w:line="249" w:lineRule="exact"/>
        <w:rPr>
          <w:sz w:val="20"/>
          <w:szCs w:val="20"/>
          <w:color w:val="auto"/>
        </w:rPr>
      </w:pPr>
    </w:p>
    <w:p>
      <w:pPr>
        <w:jc w:val="both"/>
        <w:ind w:left="4" w:firstLine="129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Second Priority Representative</w:t>
      </w:r>
      <w:r>
        <w:rPr>
          <w:rFonts w:ascii="Times New Roman" w:cs="Times New Roman" w:eastAsia="Times New Roman" w:hAnsi="Times New Roman"/>
          <w:sz w:val="22"/>
          <w:szCs w:val="22"/>
          <w:color w:val="auto"/>
        </w:rPr>
        <w:t>” means (i) the Initial Second Priority Representative, until such time as the Second Priority Debt Facility under the Initial Second Priority Debt Documents ceases to be the only Second Priority Debt Facility under this Agreement and (ii) at any time when clause (i) does not apply, the Applicable Collateral Agent (as defined in the Second Lien Pari Passu Intercreditor Agreement) at such time and set forth in a written notice to the Designated Senior Representative and the Company.</w:t>
      </w:r>
    </w:p>
    <w:p>
      <w:pPr>
        <w:spacing w:after="0" w:line="170" w:lineRule="exact"/>
        <w:rPr>
          <w:sz w:val="20"/>
          <w:szCs w:val="20"/>
          <w:color w:val="auto"/>
        </w:rPr>
      </w:pPr>
    </w:p>
    <w:p>
      <w:pPr>
        <w:jc w:val="both"/>
        <w:ind w:left="4" w:firstLine="129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Senior Representative</w:t>
      </w:r>
      <w:r>
        <w:rPr>
          <w:rFonts w:ascii="Times New Roman" w:cs="Times New Roman" w:eastAsia="Times New Roman" w:hAnsi="Times New Roman"/>
          <w:sz w:val="21"/>
          <w:szCs w:val="21"/>
          <w:color w:val="auto"/>
        </w:rPr>
        <w:t>” means (i) if at any time there is only one Senior Representative for a Senior Facility with respect to which the Discharge of Senior Obligations has not occurred, such Senior Representative, and</w:t>
      </w:r>
    </w:p>
    <w:p>
      <w:pPr>
        <w:spacing w:after="0" w:line="2" w:lineRule="exact"/>
        <w:rPr>
          <w:sz w:val="20"/>
          <w:szCs w:val="20"/>
          <w:color w:val="auto"/>
        </w:rPr>
      </w:pPr>
    </w:p>
    <w:p>
      <w:pPr>
        <w:jc w:val="both"/>
        <w:ind w:left="4" w:hanging="4"/>
        <w:spacing w:after="0" w:line="239" w:lineRule="auto"/>
        <w:tabs>
          <w:tab w:leader="none" w:pos="348"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when clause (i) does not apply, the Applicable Collateral Agent (as defined in the First Lien Pari Passu Intercreditor Agreement) at such time and set forth in a written notice to the Designated Second Priority Representative and the Company.</w:t>
      </w:r>
    </w:p>
    <w:p>
      <w:pPr>
        <w:spacing w:after="0" w:line="192" w:lineRule="exact"/>
        <w:rPr>
          <w:sz w:val="20"/>
          <w:szCs w:val="20"/>
          <w:color w:val="auto"/>
        </w:rPr>
      </w:pPr>
    </w:p>
    <w:p>
      <w:pPr>
        <w:ind w:left="4" w:right="120" w:firstLine="129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DIP Financing</w:t>
      </w:r>
      <w:r>
        <w:rPr>
          <w:rFonts w:ascii="Times New Roman" w:cs="Times New Roman" w:eastAsia="Times New Roman" w:hAnsi="Times New Roman"/>
          <w:sz w:val="22"/>
          <w:szCs w:val="22"/>
          <w:color w:val="auto"/>
        </w:rPr>
        <w:t>” has the meaning assigned to such term in Section 6.01. “</w:t>
      </w:r>
      <w:r>
        <w:rPr>
          <w:rFonts w:ascii="Times New Roman" w:cs="Times New Roman" w:eastAsia="Times New Roman" w:hAnsi="Times New Roman"/>
          <w:sz w:val="22"/>
          <w:szCs w:val="22"/>
          <w:u w:val="single" w:color="auto"/>
          <w:color w:val="auto"/>
        </w:rPr>
        <w:t>Discharge</w:t>
      </w:r>
      <w:r>
        <w:rPr>
          <w:rFonts w:ascii="Times New Roman" w:cs="Times New Roman" w:eastAsia="Times New Roman" w:hAnsi="Times New Roman"/>
          <w:sz w:val="22"/>
          <w:szCs w:val="22"/>
          <w:color w:val="auto"/>
        </w:rPr>
        <w:t>” means, with respect to any Debt Facility, the date on which such Debt Facility and the Senior Obligations or Second Priority Debt Obligations thereunder, as the case may be, are no longer secured by any Shared Collateral pursuant to the terms of the documentation governing such Debt Facility. The term “</w:t>
      </w:r>
      <w:r>
        <w:rPr>
          <w:rFonts w:ascii="Times New Roman" w:cs="Times New Roman" w:eastAsia="Times New Roman" w:hAnsi="Times New Roman"/>
          <w:sz w:val="22"/>
          <w:szCs w:val="22"/>
          <w:u w:val="single" w:color="auto"/>
          <w:color w:val="auto"/>
        </w:rPr>
        <w:t>Discharged</w:t>
      </w:r>
      <w:r>
        <w:rPr>
          <w:rFonts w:ascii="Times New Roman" w:cs="Times New Roman" w:eastAsia="Times New Roman" w:hAnsi="Times New Roman"/>
          <w:sz w:val="22"/>
          <w:szCs w:val="22"/>
          <w:color w:val="auto"/>
        </w:rPr>
        <w:t>” shall have a corresponding meaning.</w:t>
      </w:r>
    </w:p>
    <w:p>
      <w:pPr>
        <w:spacing w:after="0" w:line="183" w:lineRule="exact"/>
        <w:rPr>
          <w:sz w:val="20"/>
          <w:szCs w:val="20"/>
          <w:color w:val="auto"/>
        </w:rPr>
      </w:pPr>
    </w:p>
    <w:p>
      <w:pPr>
        <w:jc w:val="both"/>
        <w:ind w:left="4" w:firstLine="129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 of First Lien Credit Agreement Obligations</w:t>
      </w:r>
      <w:r>
        <w:rPr>
          <w:rFonts w:ascii="Times New Roman" w:cs="Times New Roman" w:eastAsia="Times New Roman" w:hAnsi="Times New Roman"/>
          <w:sz w:val="22"/>
          <w:szCs w:val="22"/>
          <w:color w:val="auto"/>
        </w:rPr>
        <w:t xml:space="preserve">” means the date on which the Discharge of the First Lien Credit Agreement Obligations occurs with respect to all the Shared Collateral for such Senior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Discharge of First Lien Credit Agreement Obligations shall not be deemed to have occurred in connection with a Refinancing of such First Lien Credit Agreement Obligations with an Additional Senior Debt Facility secured by the Shared Collateral under one or more Additional Senior Debt Documents which has been designated in writing by the Senior Representative (under the First Lien Credit Agreement so Refinanced) to the Designated Senior Representative as the “First Lien Credit Agreement” for purposes of this Agreement.</w:t>
      </w:r>
    </w:p>
    <w:p>
      <w:pPr>
        <w:spacing w:after="0" w:line="180" w:lineRule="exact"/>
        <w:rPr>
          <w:sz w:val="20"/>
          <w:szCs w:val="20"/>
          <w:color w:val="auto"/>
        </w:rPr>
      </w:pPr>
    </w:p>
    <w:p>
      <w:pPr>
        <w:jc w:val="both"/>
        <w:ind w:left="4" w:firstLine="129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 of Senior Obligations</w:t>
      </w:r>
      <w:r>
        <w:rPr>
          <w:rFonts w:ascii="Times New Roman" w:cs="Times New Roman" w:eastAsia="Times New Roman" w:hAnsi="Times New Roman"/>
          <w:sz w:val="22"/>
          <w:szCs w:val="22"/>
          <w:color w:val="auto"/>
        </w:rPr>
        <w:t>” means the date on which the Discharge of First Lien Credit Agreement Obligations and the Discharge of each Additional Senior Debt Facility has occurred (other than in respect of any Excluded Senior Obligations).</w:t>
      </w:r>
    </w:p>
    <w:p>
      <w:pPr>
        <w:spacing w:after="0" w:line="168"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has the meaning assigned to such term in Section 5.01(a).</w:t>
      </w:r>
    </w:p>
    <w:p>
      <w:pPr>
        <w:sectPr>
          <w:pgSz w:w="11900" w:h="16838" w:orient="portrait"/>
          <w:cols w:equalWidth="0" w:num="1">
            <w:col w:w="10764"/>
          </w:cols>
          <w:pgMar w:left="596" w:top="1408" w:right="539" w:bottom="1440" w:gutter="0" w:footer="0" w:header="0"/>
        </w:sectPr>
      </w:pPr>
    </w:p>
    <w:bookmarkStart w:id="339" w:name="page340"/>
    <w:bookmarkEnd w:id="339"/>
    <w:p>
      <w:pPr>
        <w:jc w:val="both"/>
        <w:ind w:left="280" w:right="20" w:firstLine="1283"/>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Senior Obligations</w:t>
      </w:r>
      <w:r>
        <w:rPr>
          <w:rFonts w:ascii="Times New Roman" w:cs="Times New Roman" w:eastAsia="Times New Roman" w:hAnsi="Times New Roman"/>
          <w:sz w:val="22"/>
          <w:szCs w:val="22"/>
          <w:color w:val="auto"/>
        </w:rPr>
        <w:t>” means obligations in respect of principal of Indebtedness under loans and notes outstanding under the Senior Debt Documents (excluding any Secured Cash Management Obligations and Secured Swap Obligations) the amount of which is in excess of the Maximum Senior Principal Amount, together with any interest, fees, prepayment penalties, make-whole, termination fees or other premiums accrued on or with respect to such excess amount.</w:t>
      </w:r>
    </w:p>
    <w:p>
      <w:pPr>
        <w:spacing w:after="0" w:line="179" w:lineRule="exact"/>
        <w:rPr>
          <w:sz w:val="20"/>
          <w:szCs w:val="20"/>
          <w:color w:val="auto"/>
        </w:rPr>
      </w:pPr>
    </w:p>
    <w:p>
      <w:pPr>
        <w:jc w:val="both"/>
        <w:ind w:left="280" w:right="20" w:firstLine="129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Collateral Agent</w:t>
      </w:r>
      <w:r>
        <w:rPr>
          <w:rFonts w:ascii="Times New Roman" w:cs="Times New Roman" w:eastAsia="Times New Roman" w:hAnsi="Times New Roman"/>
          <w:sz w:val="22"/>
          <w:szCs w:val="22"/>
          <w:color w:val="auto"/>
        </w:rPr>
        <w:t>” has the meaning assigned to such term in the introductory paragraph of this Agreement and shall include any successor administrative agent and collateral agent as provided in Article VIII of the First Lien Credit Agreement.</w:t>
      </w:r>
    </w:p>
    <w:p>
      <w:pPr>
        <w:spacing w:after="0" w:line="132" w:lineRule="exact"/>
        <w:rPr>
          <w:sz w:val="20"/>
          <w:szCs w:val="20"/>
          <w:color w:val="auto"/>
        </w:rPr>
      </w:pPr>
    </w:p>
    <w:p>
      <w:pPr>
        <w:jc w:val="both"/>
        <w:ind w:left="280" w:firstLine="129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Collateral Agreement</w:t>
      </w:r>
      <w:r>
        <w:rPr>
          <w:rFonts w:ascii="Times New Roman" w:cs="Times New Roman" w:eastAsia="Times New Roman" w:hAnsi="Times New Roman"/>
          <w:sz w:val="22"/>
          <w:szCs w:val="22"/>
          <w:color w:val="auto"/>
        </w:rPr>
        <w:t>” means that certain First Lien Collateral Agreement, dated as of the date hereof, among Holdings, the Company, the other Grantors party thereto and the First Lien Collateral Agent, as amended, restated, amended and restated, extended, supplemented or otherwise modified from time to time.</w:t>
      </w:r>
    </w:p>
    <w:p>
      <w:pPr>
        <w:spacing w:after="0" w:line="173" w:lineRule="exact"/>
        <w:rPr>
          <w:sz w:val="20"/>
          <w:szCs w:val="20"/>
          <w:color w:val="auto"/>
        </w:rPr>
      </w:pPr>
    </w:p>
    <w:p>
      <w:pPr>
        <w:jc w:val="both"/>
        <w:ind w:left="280" w:firstLine="129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Credit Agreement</w:t>
      </w:r>
      <w:r>
        <w:rPr>
          <w:rFonts w:ascii="Times New Roman" w:cs="Times New Roman" w:eastAsia="Times New Roman" w:hAnsi="Times New Roman"/>
          <w:sz w:val="22"/>
          <w:szCs w:val="22"/>
          <w:color w:val="auto"/>
        </w:rPr>
        <w:t>” means that certain First Lien Credit Agreement</w:t>
      </w:r>
      <w:r>
        <w:rPr>
          <w:rFonts w:ascii="Times New Roman" w:cs="Times New Roman" w:eastAsia="Times New Roman" w:hAnsi="Times New Roman"/>
          <w:sz w:val="12"/>
          <w:szCs w:val="12"/>
          <w:color w:val="auto"/>
        </w:rPr>
        <w:t>1</w:t>
      </w:r>
      <w:r>
        <w:rPr>
          <w:rFonts w:ascii="Times New Roman" w:cs="Times New Roman" w:eastAsia="Times New Roman" w:hAnsi="Times New Roman"/>
          <w:sz w:val="22"/>
          <w:szCs w:val="22"/>
          <w:color w:val="auto"/>
        </w:rPr>
        <w:t>, dated as of [], among Holdings, the Company, the lenders and issuing banks from time to time party thereto, JPMorgan, as first lien administrative agent and first lien collateral agent, and the other parties thereto, as amended, restated, amended and restated, extended, supplemented or otherwise modified from time to time.</w:t>
      </w:r>
    </w:p>
    <w:p>
      <w:pPr>
        <w:spacing w:after="0" w:line="176" w:lineRule="exact"/>
        <w:rPr>
          <w:sz w:val="20"/>
          <w:szCs w:val="20"/>
          <w:color w:val="auto"/>
        </w:rPr>
      </w:pPr>
    </w:p>
    <w:p>
      <w:pPr>
        <w:jc w:val="both"/>
        <w:ind w:left="280" w:right="2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Credit Agreement Obligations</w:t>
      </w:r>
      <w:r>
        <w:rPr>
          <w:rFonts w:ascii="Times New Roman" w:cs="Times New Roman" w:eastAsia="Times New Roman" w:hAnsi="Times New Roman"/>
          <w:sz w:val="22"/>
          <w:szCs w:val="22"/>
          <w:color w:val="auto"/>
        </w:rPr>
        <w:t>” means the “Secured Obligations” as defined in the First Lien Credit Agreement.</w:t>
      </w:r>
    </w:p>
    <w:p>
      <w:pPr>
        <w:spacing w:after="0" w:line="131" w:lineRule="exact"/>
        <w:rPr>
          <w:sz w:val="20"/>
          <w:szCs w:val="20"/>
          <w:color w:val="auto"/>
        </w:rPr>
      </w:pPr>
    </w:p>
    <w:p>
      <w:pPr>
        <w:jc w:val="both"/>
        <w:ind w:left="280" w:right="2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Credit Agreement Secured Parties</w:t>
      </w:r>
      <w:r>
        <w:rPr>
          <w:rFonts w:ascii="Times New Roman" w:cs="Times New Roman" w:eastAsia="Times New Roman" w:hAnsi="Times New Roman"/>
          <w:sz w:val="22"/>
          <w:szCs w:val="22"/>
          <w:color w:val="auto"/>
        </w:rPr>
        <w:t>” means the “Secured Parties” as defined in the First Lien Collateral Agreement.</w:t>
      </w:r>
    </w:p>
    <w:p>
      <w:pPr>
        <w:spacing w:after="0" w:line="144" w:lineRule="exact"/>
        <w:rPr>
          <w:sz w:val="20"/>
          <w:szCs w:val="20"/>
          <w:color w:val="auto"/>
        </w:rPr>
      </w:pPr>
    </w:p>
    <w:p>
      <w:pPr>
        <w:jc w:val="both"/>
        <w:ind w:left="280" w:right="4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Pari Passu Intercreditor Agreement</w:t>
      </w:r>
      <w:r>
        <w:rPr>
          <w:rFonts w:ascii="Times New Roman" w:cs="Times New Roman" w:eastAsia="Times New Roman" w:hAnsi="Times New Roman"/>
          <w:sz w:val="22"/>
          <w:szCs w:val="22"/>
          <w:color w:val="auto"/>
        </w:rPr>
        <w:t>” has the meaning assigned to such term in the First Lien Credit Agreement.</w:t>
      </w:r>
    </w:p>
    <w:p>
      <w:pPr>
        <w:spacing w:after="0" w:line="158" w:lineRule="exact"/>
        <w:rPr>
          <w:sz w:val="20"/>
          <w:szCs w:val="20"/>
          <w:color w:val="auto"/>
        </w:rPr>
      </w:pPr>
    </w:p>
    <w:p>
      <w:pPr>
        <w:jc w:val="both"/>
        <w:ind w:left="280" w:firstLine="129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Grantors</w:t>
      </w:r>
      <w:r>
        <w:rPr>
          <w:rFonts w:ascii="Times New Roman" w:cs="Times New Roman" w:eastAsia="Times New Roman" w:hAnsi="Times New Roman"/>
          <w:sz w:val="22"/>
          <w:szCs w:val="22"/>
          <w:color w:val="auto"/>
        </w:rPr>
        <w:t>” means Holdings, the Company, each Intermediate Parent and each Subsidiary of the Company or direct or indirect parent company of the Company which has granted a security interest pursuant to any Collateral Document to secure any Secured Obligations.</w:t>
      </w:r>
    </w:p>
    <w:p>
      <w:pPr>
        <w:spacing w:after="0" w:line="1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means the “Loan Guarantors” as defined in the First Lien Credit</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280" w:right="230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09" w:lineRule="exact"/>
        <w:rPr>
          <w:sz w:val="20"/>
          <w:szCs w:val="20"/>
          <w:color w:val="auto"/>
        </w:rPr>
      </w:pPr>
    </w:p>
    <w:p>
      <w:pPr>
        <w:jc w:val="both"/>
        <w:ind w:left="600" w:right="20" w:hanging="331"/>
        <w:spacing w:after="0" w:line="258" w:lineRule="auto"/>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8"/>
          <w:szCs w:val="18"/>
          <w:color w:val="auto"/>
        </w:rPr>
        <w:t>Note to Draft: To be determined at time of execution, when Second Lien debt incurred. If, at that time, the Credit Agreement (as defined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8"/>
          <w:szCs w:val="18"/>
          <w:color w:val="auto"/>
        </w:rPr>
        <w:t>the First Lien Pari Passu Intercreditor Agreement) is still in effect, then that agreement shall be the "First Lien Credit Agreement" and the Initial Additional First Lien Agreement (as defined in the First Lien Pari Passu Intercreditor Agreement) shall be "Additional Senior Debt". If the Credit Agreement has been terminated, then "First Lien Credit Agreement" shall mean the Initial Additional First Lien Agreement.</w:t>
      </w:r>
    </w:p>
    <w:p>
      <w:pPr>
        <w:sectPr>
          <w:pgSz w:w="11900" w:h="16838" w:orient="portrait"/>
          <w:cols w:equalWidth="0" w:num="1">
            <w:col w:w="11040"/>
          </w:cols>
          <w:pgMar w:left="320" w:top="1422" w:right="539" w:bottom="1440" w:gutter="0" w:footer="0" w:header="0"/>
        </w:sectPr>
      </w:pPr>
    </w:p>
    <w:bookmarkStart w:id="340" w:name="page341"/>
    <w:bookmarkEnd w:id="340"/>
    <w:p>
      <w:pPr>
        <w:ind w:right="40" w:firstLine="1283"/>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Second Priority Debt</w:t>
      </w:r>
      <w:r>
        <w:rPr>
          <w:rFonts w:ascii="Times New Roman" w:cs="Times New Roman" w:eastAsia="Times New Roman" w:hAnsi="Times New Roman"/>
          <w:sz w:val="22"/>
          <w:szCs w:val="22"/>
          <w:color w:val="auto"/>
        </w:rPr>
        <w:t>” means the Indebtedness of the Company and any other Grantor incurred pursuant to the Initial Second Priority Debt Documents.</w:t>
      </w:r>
    </w:p>
    <w:p>
      <w:pPr>
        <w:spacing w:after="0" w:line="144" w:lineRule="exact"/>
        <w:rPr>
          <w:sz w:val="20"/>
          <w:szCs w:val="20"/>
          <w:color w:val="auto"/>
        </w:rPr>
      </w:pPr>
    </w:p>
    <w:p>
      <w:pPr>
        <w:ind w:right="2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Second Priority Debt Documents</w:t>
      </w:r>
      <w:r>
        <w:rPr>
          <w:rFonts w:ascii="Times New Roman" w:cs="Times New Roman" w:eastAsia="Times New Roman" w:hAnsi="Times New Roman"/>
          <w:sz w:val="22"/>
          <w:szCs w:val="22"/>
          <w:color w:val="auto"/>
        </w:rPr>
        <w:t>” means the Second Lien [Credit Agreement][Indenture] and the other “[Loan][Notes] Documents” as defined in the Second Lien [Credit Agreement][Indenture].</w:t>
      </w:r>
    </w:p>
    <w:p>
      <w:pPr>
        <w:spacing w:after="0" w:line="144" w:lineRule="exact"/>
        <w:rPr>
          <w:sz w:val="20"/>
          <w:szCs w:val="20"/>
          <w:color w:val="auto"/>
        </w:rPr>
      </w:pPr>
    </w:p>
    <w:p>
      <w:pPr>
        <w:ind w:right="2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Second Priority Debt Obligations</w:t>
      </w:r>
      <w:r>
        <w:rPr>
          <w:rFonts w:ascii="Times New Roman" w:cs="Times New Roman" w:eastAsia="Times New Roman" w:hAnsi="Times New Roman"/>
          <w:sz w:val="22"/>
          <w:szCs w:val="22"/>
          <w:color w:val="auto"/>
        </w:rPr>
        <w:t>” means the “[Loan][Notes] Obligations” as defined in the Second Lien [Credit Agreement][Indenture].</w:t>
      </w:r>
    </w:p>
    <w:p>
      <w:pPr>
        <w:spacing w:after="0" w:line="185" w:lineRule="exact"/>
        <w:rPr>
          <w:sz w:val="20"/>
          <w:szCs w:val="20"/>
          <w:color w:val="auto"/>
        </w:rPr>
      </w:pPr>
    </w:p>
    <w:p>
      <w:pPr>
        <w:ind w:right="4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Second Priority Debt Parties</w:t>
      </w:r>
      <w:r>
        <w:rPr>
          <w:rFonts w:ascii="Times New Roman" w:cs="Times New Roman" w:eastAsia="Times New Roman" w:hAnsi="Times New Roman"/>
          <w:sz w:val="22"/>
          <w:szCs w:val="22"/>
          <w:color w:val="auto"/>
        </w:rPr>
        <w:t>” means the “[Secured Parties]” as defined in the Second Lien [Credit Agreement][Indenture].</w:t>
      </w:r>
    </w:p>
    <w:p>
      <w:pPr>
        <w:spacing w:after="0" w:line="158" w:lineRule="exact"/>
        <w:rPr>
          <w:sz w:val="20"/>
          <w:szCs w:val="20"/>
          <w:color w:val="auto"/>
        </w:rPr>
      </w:pPr>
    </w:p>
    <w:p>
      <w:pPr>
        <w:ind w:right="2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Second Priority Representative</w:t>
      </w:r>
      <w:r>
        <w:rPr>
          <w:rFonts w:ascii="Times New Roman" w:cs="Times New Roman" w:eastAsia="Times New Roman" w:hAnsi="Times New Roman"/>
          <w:sz w:val="22"/>
          <w:szCs w:val="22"/>
          <w:color w:val="auto"/>
        </w:rPr>
        <w:t>” has the meaning assigned to such term in the introductory paragraph of this Agreement and shall include any successor collateral agent.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or Liquidation Proceeding</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40" w:right="20" w:firstLine="654"/>
        <w:spacing w:after="0" w:line="253" w:lineRule="auto"/>
        <w:tabs>
          <w:tab w:leader="none" w:pos="1662"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case or proceeding commenced by or against the Company or any other Grantor under any Bankruptcy Law, any other proceeding for the reorganization, 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w:t>
      </w:r>
    </w:p>
    <w:p>
      <w:pPr>
        <w:spacing w:after="0" w:line="151" w:lineRule="exact"/>
        <w:rPr>
          <w:rFonts w:ascii="Times New Roman" w:cs="Times New Roman" w:eastAsia="Times New Roman" w:hAnsi="Times New Roman"/>
          <w:sz w:val="22"/>
          <w:szCs w:val="22"/>
          <w:color w:val="auto"/>
        </w:rPr>
      </w:pPr>
    </w:p>
    <w:p>
      <w:pPr>
        <w:jc w:val="both"/>
        <w:ind w:left="640" w:firstLine="654"/>
        <w:spacing w:after="0" w:line="257" w:lineRule="auto"/>
        <w:tabs>
          <w:tab w:leader="none" w:pos="1662"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liquidation, dissolution, marshalling of assets or liabilities or other winding up of or relating to the Company or any other Grantor, in each case whether or not voluntary and whether or not involving bankruptcy or insolvency; or</w:t>
      </w:r>
    </w:p>
    <w:p>
      <w:pPr>
        <w:spacing w:after="0" w:line="159" w:lineRule="exact"/>
        <w:rPr>
          <w:rFonts w:ascii="Times New Roman" w:cs="Times New Roman" w:eastAsia="Times New Roman" w:hAnsi="Times New Roman"/>
          <w:sz w:val="22"/>
          <w:szCs w:val="22"/>
          <w:color w:val="auto"/>
        </w:rPr>
      </w:pPr>
    </w:p>
    <w:p>
      <w:pPr>
        <w:ind w:left="640" w:firstLine="654"/>
        <w:spacing w:after="0" w:line="295" w:lineRule="auto"/>
        <w:tabs>
          <w:tab w:leader="none" w:pos="1662" w:val="left"/>
        </w:tabs>
        <w:numPr>
          <w:ilvl w:val="0"/>
          <w:numId w:val="4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proceeding of any type or nature in which substantially all claims of creditors of the Company or any other Grantor are determined and any payment or distribution is or may be made on account of such claims.</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has the meaning assigned to such term in the First Lien Collateral Agreement.</w:t>
      </w:r>
    </w:p>
    <w:p>
      <w:pPr>
        <w:spacing w:after="0" w:line="220" w:lineRule="exact"/>
        <w:rPr>
          <w:sz w:val="20"/>
          <w:szCs w:val="20"/>
          <w:color w:val="auto"/>
        </w:rPr>
      </w:pPr>
    </w:p>
    <w:p>
      <w:pPr>
        <w:jc w:val="both"/>
        <w:ind w:firstLine="129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means a supplement to this Agreement in the form of Annex II or Annex III hereof required to be delivered by a Representative to the Designated Senior Representative or the Designated Second Priority Representative, as the case may be, pursuant to Section 8.09 hereof in order to include an additional Debt Facility hereunder and to become the Representative hereunder for the Senior Secured Parties or Second Priority Debt Parties, as the case may be, under such Debt Facility.</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JPMorgan</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71" w:lineRule="exact"/>
        <w:rPr>
          <w:sz w:val="20"/>
          <w:szCs w:val="20"/>
          <w:color w:val="auto"/>
        </w:rPr>
      </w:pPr>
    </w:p>
    <w:p>
      <w:pPr>
        <w:jc w:val="both"/>
        <w:ind w:right="20" w:firstLine="1283"/>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 any mortgage, deed of trust, lien, pledge, hypothecation, encumbrance, charge or security interest in, on or of such asset and (b) the interest of a vendor or a lessor under any conditional sale agreement, capital lease or title</w:t>
      </w:r>
    </w:p>
    <w:p>
      <w:pPr>
        <w:sectPr>
          <w:pgSz w:w="11900" w:h="16838" w:orient="portrait"/>
          <w:cols w:equalWidth="0" w:num="1">
            <w:col w:w="10760"/>
          </w:cols>
          <w:pgMar w:left="600" w:top="1408" w:right="539" w:bottom="1440" w:gutter="0" w:footer="0" w:header="0"/>
        </w:sectPr>
      </w:pPr>
    </w:p>
    <w:bookmarkStart w:id="341" w:name="page342"/>
    <w:bookmarkEnd w:id="341"/>
    <w:p>
      <w:pPr>
        <w:ind w:right="20"/>
        <w:spacing w:after="0" w:line="271" w:lineRule="auto"/>
        <w:rPr>
          <w:sz w:val="20"/>
          <w:szCs w:val="20"/>
          <w:color w:val="auto"/>
        </w:rPr>
      </w:pPr>
      <w:r>
        <w:rPr>
          <w:rFonts w:ascii="Times New Roman" w:cs="Times New Roman" w:eastAsia="Times New Roman" w:hAnsi="Times New Roman"/>
          <w:sz w:val="22"/>
          <w:szCs w:val="22"/>
          <w:color w:val="auto"/>
        </w:rPr>
        <w:t>retention agreement (or any financing lease having substantially the same economic effect as any of the foregoing) relating to such asset.</w:t>
      </w:r>
    </w:p>
    <w:p>
      <w:pPr>
        <w:spacing w:after="0" w:line="158" w:lineRule="exact"/>
        <w:rPr>
          <w:sz w:val="20"/>
          <w:szCs w:val="20"/>
          <w:color w:val="auto"/>
        </w:rPr>
      </w:pPr>
    </w:p>
    <w:p>
      <w:pPr>
        <w:ind w:right="80" w:firstLine="129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Senior Principal Amount</w:t>
      </w:r>
      <w:r>
        <w:rPr>
          <w:rFonts w:ascii="Times New Roman" w:cs="Times New Roman" w:eastAsia="Times New Roman" w:hAnsi="Times New Roman"/>
          <w:sz w:val="22"/>
          <w:szCs w:val="22"/>
          <w:color w:val="auto"/>
        </w:rPr>
        <w:t xml:space="preserve">” means, at any time, (a) $2,442,500,000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an aggregate principal amount equal to the amount of any incremental facilities (or First Lien Incremental Equivalent Debt in lieu thereof) and any other secured Indebtedness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or senior</w:t>
      </w:r>
      <w:r>
        <w:rPr>
          <w:rFonts w:ascii="Times New Roman" w:cs="Times New Roman" w:eastAsia="Times New Roman" w:hAnsi="Times New Roman"/>
          <w:sz w:val="22"/>
          <w:szCs w:val="22"/>
          <w:color w:val="auto"/>
        </w:rPr>
        <w:t xml:space="preserve"> to the Senior Obligations that would, at the time of incurrence, be permitted to be incurred and secured on a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basis with </w:t>
      </w:r>
      <w:r>
        <w:rPr>
          <w:rFonts w:ascii="Times New Roman" w:cs="Times New Roman" w:eastAsia="Times New Roman" w:hAnsi="Times New Roman"/>
          <w:sz w:val="22"/>
          <w:szCs w:val="22"/>
          <w:b w:val="1"/>
          <w:bCs w:val="1"/>
          <w:u w:val="single" w:color="auto"/>
          <w:color w:val="auto"/>
        </w:rPr>
        <w:t>or senior to</w:t>
      </w:r>
      <w:r>
        <w:rPr>
          <w:rFonts w:ascii="Times New Roman" w:cs="Times New Roman" w:eastAsia="Times New Roman" w:hAnsi="Times New Roman"/>
          <w:sz w:val="22"/>
          <w:szCs w:val="22"/>
          <w:color w:val="auto"/>
        </w:rPr>
        <w:t xml:space="preserve"> the Senior Obligations under the terms of the First Lien Credit Agreement (as in effect on the date hereof or as amended pursuant to an amendment not prohibited by the Second Priority Debt Documents)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any additional principal amount of Indebtedness in connection with any refinancing of the foregoing to the extent permitted under the First Lien Credit Agreement (as in effect on the date hereof or as amended pursuant to an amendment not prohibited by the Second Priority Debt Documents), but only to the extent the amount of such refinancing exceeds the refinanced Indebtedness. For the avoidance of doubt, Secured Cash Management Obligations and Secured Swap Obligations shall not be included in any calculations of the Maximum Senior Principal Amount and shall at all times remain Senior Obligations.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York UCC</w:t>
      </w:r>
      <w:r>
        <w:rPr>
          <w:rFonts w:ascii="Times New Roman" w:cs="Times New Roman" w:eastAsia="Times New Roman" w:hAnsi="Times New Roman"/>
          <w:sz w:val="22"/>
          <w:szCs w:val="22"/>
          <w:color w:val="auto"/>
        </w:rPr>
        <w:t>” means the Uniform Commercial Code as from time to time in effect in the State of New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York.</w:t>
      </w:r>
    </w:p>
    <w:p>
      <w:pPr>
        <w:spacing w:after="0" w:line="290" w:lineRule="exact"/>
        <w:rPr>
          <w:sz w:val="20"/>
          <w:szCs w:val="20"/>
          <w:color w:val="auto"/>
        </w:rPr>
      </w:pPr>
    </w:p>
    <w:p>
      <w:pPr>
        <w:ind w:left="1300" w:right="50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has the meaning assigned to such term in Section 8.08.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has the meaning assigned to such term in the definition of “Subsidiary.”</w:t>
      </w:r>
    </w:p>
    <w:p>
      <w:pPr>
        <w:ind w:right="24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Collateral</w:t>
      </w:r>
      <w:r>
        <w:rPr>
          <w:rFonts w:ascii="Times New Roman" w:cs="Times New Roman" w:eastAsia="Times New Roman" w:hAnsi="Times New Roman"/>
          <w:sz w:val="22"/>
          <w:szCs w:val="22"/>
          <w:color w:val="auto"/>
        </w:rPr>
        <w:t>” has the meaning assigned to such term in Section 5.06(a).</w:t>
      </w:r>
    </w:p>
    <w:p>
      <w:pPr>
        <w:spacing w:after="0" w:line="233" w:lineRule="exact"/>
        <w:rPr>
          <w:sz w:val="20"/>
          <w:szCs w:val="20"/>
          <w:color w:val="auto"/>
        </w:rPr>
      </w:pPr>
    </w:p>
    <w:p>
      <w:pPr>
        <w:ind w:right="180" w:firstLine="129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Proceeds</w:t>
      </w:r>
      <w:r>
        <w:rPr>
          <w:rFonts w:ascii="Times New Roman" w:cs="Times New Roman" w:eastAsia="Times New Roman" w:hAnsi="Times New Roman"/>
          <w:sz w:val="22"/>
          <w:szCs w:val="22"/>
          <w:color w:val="auto"/>
        </w:rPr>
        <w:t>” means the proceeds of any sale, collection or other liquidation of Shared Collateral and any payment or distribution made in respect of Shared Collateral in an Insolvency or Liquidation Proceeding and any amounts received by any Senior Representative or any Senior Secured Party from a Second Priority Debt Party in respect of Shared Collateral pursuant to this Agreement.</w:t>
      </w:r>
    </w:p>
    <w:p>
      <w:pPr>
        <w:spacing w:after="0" w:line="287" w:lineRule="exact"/>
        <w:rPr>
          <w:sz w:val="20"/>
          <w:szCs w:val="20"/>
          <w:color w:val="auto"/>
        </w:rPr>
      </w:pPr>
    </w:p>
    <w:p>
      <w:pPr>
        <w:ind w:left="1300" w:right="580"/>
        <w:spacing w:after="0" w:line="397" w:lineRule="auto"/>
        <w:rPr>
          <w:sz w:val="20"/>
          <w:szCs w:val="20"/>
          <w:color w:val="auto"/>
        </w:rPr>
      </w:pPr>
      <w:r>
        <w:rPr>
          <w:rFonts w:ascii="Times New Roman" w:cs="Times New Roman" w:eastAsia="Times New Roman" w:hAnsi="Times New Roman"/>
          <w:sz w:val="22"/>
          <w:szCs w:val="22"/>
          <w:u w:val="single" w:color="auto"/>
          <w:color w:val="auto"/>
        </w:rPr>
        <w:t>“Purchase Event</w:t>
      </w:r>
      <w:r>
        <w:rPr>
          <w:rFonts w:ascii="Times New Roman" w:cs="Times New Roman" w:eastAsia="Times New Roman" w:hAnsi="Times New Roman"/>
          <w:sz w:val="22"/>
          <w:szCs w:val="22"/>
          <w:color w:val="auto"/>
        </w:rPr>
        <w:t>” has the meaning assigned to such term in Section 5.08. “</w:t>
      </w:r>
      <w:r>
        <w:rPr>
          <w:rFonts w:ascii="Times New Roman" w:cs="Times New Roman" w:eastAsia="Times New Roman" w:hAnsi="Times New Roman"/>
          <w:sz w:val="22"/>
          <w:szCs w:val="22"/>
          <w:u w:val="single" w:color="auto"/>
          <w:color w:val="auto"/>
        </w:rPr>
        <w:t>Recovery</w:t>
      </w:r>
      <w:r>
        <w:rPr>
          <w:rFonts w:ascii="Times New Roman" w:cs="Times New Roman" w:eastAsia="Times New Roman" w:hAnsi="Times New Roman"/>
          <w:sz w:val="22"/>
          <w:szCs w:val="22"/>
          <w:color w:val="auto"/>
        </w:rPr>
        <w:t>” has the meaning assigned to such term in Section 6.04.</w:t>
      </w:r>
    </w:p>
    <w:p>
      <w:pPr>
        <w:jc w:val="both"/>
        <w:ind w:firstLine="129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means, in respect of any indebtedness, to refinance, extend, renew, defease, amend, increase, modify, supplement, restructure, refund, replace or repay, or to issue other indebtedness or enter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w:t>
      </w:r>
      <w:r>
        <w:rPr>
          <w:rFonts w:ascii="Times New Roman" w:cs="Times New Roman" w:eastAsia="Times New Roman" w:hAnsi="Times New Roman"/>
          <w:sz w:val="22"/>
          <w:szCs w:val="22"/>
          <w:u w:val="single" w:color="auto"/>
          <w:color w:val="auto"/>
        </w:rPr>
        <w:t>Refinanced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have correlative meanings.</w:t>
      </w:r>
    </w:p>
    <w:p>
      <w:pPr>
        <w:sectPr>
          <w:pgSz w:w="11900" w:h="16838" w:orient="portrait"/>
          <w:cols w:equalWidth="0" w:num="1">
            <w:col w:w="10760"/>
          </w:cols>
          <w:pgMar w:left="600" w:top="1422" w:right="539" w:bottom="1440" w:gutter="0" w:footer="0" w:header="0"/>
        </w:sectPr>
      </w:pPr>
    </w:p>
    <w:bookmarkStart w:id="342" w:name="page343"/>
    <w:bookmarkEnd w:id="342"/>
    <w:p>
      <w:pPr>
        <w:spacing w:after="0" w:line="144" w:lineRule="exact"/>
        <w:rPr>
          <w:sz w:val="20"/>
          <w:szCs w:val="20"/>
          <w:color w:val="auto"/>
        </w:rPr>
      </w:pPr>
    </w:p>
    <w:p>
      <w:pPr>
        <w:jc w:val="both"/>
        <w:ind w:right="20" w:firstLine="129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Equivalent Notes</w:t>
      </w:r>
      <w:r>
        <w:rPr>
          <w:rFonts w:ascii="Times New Roman" w:cs="Times New Roman" w:eastAsia="Times New Roman" w:hAnsi="Times New Roman"/>
          <w:sz w:val="22"/>
          <w:szCs w:val="22"/>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the Senior Representatives and the Second Priority Representatives.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 and any successor agency thereto.</w:t>
      </w:r>
    </w:p>
    <w:p>
      <w:pPr>
        <w:spacing w:after="0" w:line="233" w:lineRule="exact"/>
        <w:rPr>
          <w:sz w:val="20"/>
          <w:szCs w:val="20"/>
          <w:color w:val="auto"/>
        </w:rPr>
      </w:pPr>
    </w:p>
    <w:p>
      <w:pPr>
        <w:jc w:val="both"/>
        <w:ind w:firstLine="129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[Credit Agreement][Indenture]</w:t>
      </w:r>
      <w:r>
        <w:rPr>
          <w:rFonts w:ascii="Times New Roman" w:cs="Times New Roman" w:eastAsia="Times New Roman" w:hAnsi="Times New Roman"/>
          <w:sz w:val="22"/>
          <w:szCs w:val="22"/>
          <w:color w:val="auto"/>
        </w:rPr>
        <w:t>” means that certain [Credit Agreement][Indenture] dated as of the date hereof, among Holdings, the Company, as the issuer, [ ], as trustee and as second lien collateral agent, and the other parties thereto, as amended, restated, amended and restated, extended,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-352425</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6" w:lineRule="exact"/>
        <w:rPr>
          <w:sz w:val="20"/>
          <w:szCs w:val="20"/>
          <w:color w:val="auto"/>
        </w:rPr>
      </w:pPr>
    </w:p>
    <w:p>
      <w:pPr>
        <w:ind w:right="4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Pari Passu Intercreditor Agreement</w:t>
      </w:r>
      <w:r>
        <w:rPr>
          <w:rFonts w:ascii="Times New Roman" w:cs="Times New Roman" w:eastAsia="Times New Roman" w:hAnsi="Times New Roman"/>
          <w:sz w:val="22"/>
          <w:szCs w:val="22"/>
          <w:color w:val="auto"/>
        </w:rPr>
        <w:t>” has the meaning assigned to such term in the Second Lien [Credit Agreement][Indenture].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Class Debt</w:t>
      </w:r>
      <w:r>
        <w:rPr>
          <w:rFonts w:ascii="Times New Roman" w:cs="Times New Roman" w:eastAsia="Times New Roman" w:hAnsi="Times New Roman"/>
          <w:sz w:val="22"/>
          <w:szCs w:val="22"/>
          <w:color w:val="auto"/>
        </w:rPr>
        <w:t>” has the meaning assigned to such term in Section 8.09.</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Class Debt Parties</w:t>
      </w:r>
      <w:r>
        <w:rPr>
          <w:rFonts w:ascii="Times New Roman" w:cs="Times New Roman" w:eastAsia="Times New Roman" w:hAnsi="Times New Roman"/>
          <w:sz w:val="22"/>
          <w:szCs w:val="22"/>
          <w:color w:val="auto"/>
        </w:rPr>
        <w:t>” has the meaning assigned to such term in Section 8.09.</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Class Debt Representative</w:t>
      </w:r>
      <w:r>
        <w:rPr>
          <w:rFonts w:ascii="Times New Roman" w:cs="Times New Roman" w:eastAsia="Times New Roman" w:hAnsi="Times New Roman"/>
          <w:sz w:val="22"/>
          <w:szCs w:val="22"/>
          <w:color w:val="auto"/>
        </w:rPr>
        <w:t>” has the meaning assigned to such term in Section 8.09.</w:t>
      </w:r>
    </w:p>
    <w:p>
      <w:pPr>
        <w:spacing w:after="0" w:line="233" w:lineRule="exact"/>
        <w:rPr>
          <w:sz w:val="20"/>
          <w:szCs w:val="20"/>
          <w:color w:val="auto"/>
        </w:rPr>
      </w:pPr>
    </w:p>
    <w:p>
      <w:pPr>
        <w:jc w:val="both"/>
        <w:ind w:firstLine="129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Collateral</w:t>
      </w:r>
      <w:r>
        <w:rPr>
          <w:rFonts w:ascii="Times New Roman" w:cs="Times New Roman" w:eastAsia="Times New Roman" w:hAnsi="Times New Roman"/>
          <w:sz w:val="22"/>
          <w:szCs w:val="22"/>
          <w:color w:val="auto"/>
        </w:rPr>
        <w:t>” means any “Collateral” (or equivalent term) as defined in any Second Priority Debt Document or any other assets of the Company or any other Grantor with respect to which a Lien is granted or purported to be granted pursuant to a Second Priority Collateral Document as security for any Second Priority Debt Obligation.</w:t>
      </w:r>
    </w:p>
    <w:p>
      <w:pPr>
        <w:spacing w:after="0" w:line="200" w:lineRule="exact"/>
        <w:rPr>
          <w:sz w:val="20"/>
          <w:szCs w:val="20"/>
          <w:color w:val="auto"/>
        </w:rPr>
      </w:pPr>
    </w:p>
    <w:p>
      <w:pPr>
        <w:jc w:val="both"/>
        <w:ind w:firstLine="129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Collateral Documents</w:t>
      </w:r>
      <w:r>
        <w:rPr>
          <w:rFonts w:ascii="Times New Roman" w:cs="Times New Roman" w:eastAsia="Times New Roman" w:hAnsi="Times New Roman"/>
          <w:sz w:val="22"/>
          <w:szCs w:val="22"/>
          <w:color w:val="auto"/>
        </w:rPr>
        <w:t>” means the “Security Documents” as defined in the Second Lien [Credit Agreement][Indenture], the Second Lien Pari Passu Intercreditor Agreement (upon and after the initial execution and delivery thereof by the initial parties thereto) and each of the collateral agreements, security agreements and other instruments and documents executed and delivered by the Company or any Grantor for purposes of providing collateral security for any Second Priority Debt Obligation.</w:t>
      </w:r>
    </w:p>
    <w:p>
      <w:pPr>
        <w:spacing w:after="0" w:line="152" w:lineRule="exact"/>
        <w:rPr>
          <w:sz w:val="20"/>
          <w:szCs w:val="20"/>
          <w:color w:val="auto"/>
        </w:rPr>
      </w:pPr>
    </w:p>
    <w:p>
      <w:pPr>
        <w:jc w:val="both"/>
        <w:ind w:firstLine="129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Priority Debt</w:t>
      </w:r>
      <w:r>
        <w:rPr>
          <w:rFonts w:ascii="Times New Roman" w:cs="Times New Roman" w:eastAsia="Times New Roman" w:hAnsi="Times New Roman"/>
          <w:sz w:val="21"/>
          <w:szCs w:val="21"/>
          <w:color w:val="auto"/>
        </w:rPr>
        <w:t xml:space="preserve">” means (a) the Initial Second Priority Debt and (b) any other Indebtedness of the Company or any other Grantor guaranteed by the Guarantors (and not guaranteed by any Subsidiary that is not a Guarantor), which Indebtedness and guarantees are secured by the Second Priority Collateral on a basis junior to the Senior Obligations and the applicable Second Priority Debt Documents with respect to which provide that such Indebtedness and guarantees are to be secured by such Second Priority Collateral on a subordinate basis to the Senior Debt Obligations (and which is not secured by Liens on any assets of the Company or any other Grantor other than the Second Priority Collateral or which are not included in the Senior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such Indebtedness is permitted to be incurred, secured and guaranteed on such basis by each then extant Senior Debt Document and Second Priority</w:t>
      </w:r>
    </w:p>
    <w:p>
      <w:pPr>
        <w:sectPr>
          <w:pgSz w:w="11900" w:h="16838" w:orient="portrait"/>
          <w:cols w:equalWidth="0" w:num="1">
            <w:col w:w="10760"/>
          </w:cols>
          <w:pgMar w:left="600" w:top="1440" w:right="539" w:bottom="1440" w:gutter="0" w:footer="0" w:header="0"/>
        </w:sectPr>
      </w:pPr>
    </w:p>
    <w:bookmarkStart w:id="343" w:name="page344"/>
    <w:bookmarkEnd w:id="343"/>
    <w:p>
      <w:pPr>
        <w:spacing w:after="0" w:line="131" w:lineRule="exact"/>
        <w:rPr>
          <w:sz w:val="20"/>
          <w:szCs w:val="20"/>
          <w:color w:val="auto"/>
        </w:rPr>
      </w:pPr>
    </w:p>
    <w:p>
      <w:pPr>
        <w:jc w:val="both"/>
        <w:ind w:left="20"/>
        <w:spacing w:after="0" w:line="243" w:lineRule="auto"/>
        <w:rPr>
          <w:sz w:val="20"/>
          <w:szCs w:val="20"/>
          <w:color w:val="auto"/>
        </w:rPr>
      </w:pPr>
      <w:r>
        <w:rPr>
          <w:rFonts w:ascii="Times New Roman" w:cs="Times New Roman" w:eastAsia="Times New Roman" w:hAnsi="Times New Roman"/>
          <w:sz w:val="22"/>
          <w:szCs w:val="22"/>
          <w:color w:val="auto"/>
        </w:rPr>
        <w:t xml:space="preserve">Debt Document and (ii) the Representative for the holders of such Indebtedness shall have become party to this Agreement pursuant to, and by satisfying the conditions set forth in, Section 8.09 hereof;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such Indebtedness will be the initial Additional Second Priority Debt incurred by the Company after the date hereof, then the Guarantors, the Initial Second Priority Representative and the Representative for such Indebtedness shall have executed and delivered the Second Lien Pari Passu Intercreditor Agreement. Second Priority Debt shall include any Registered Equivalent Notes and Guarantees thereof by the Guarantors issued in exchange therefor.</w:t>
      </w:r>
    </w:p>
    <w:p>
      <w:pPr>
        <w:spacing w:after="0" w:line="191" w:lineRule="exact"/>
        <w:rPr>
          <w:sz w:val="20"/>
          <w:szCs w:val="20"/>
          <w:color w:val="auto"/>
        </w:rPr>
      </w:pPr>
    </w:p>
    <w:p>
      <w:pPr>
        <w:jc w:val="both"/>
        <w:ind w:left="20" w:firstLine="129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Debt Documents</w:t>
      </w:r>
      <w:r>
        <w:rPr>
          <w:rFonts w:ascii="Times New Roman" w:cs="Times New Roman" w:eastAsia="Times New Roman" w:hAnsi="Times New Roman"/>
          <w:sz w:val="22"/>
          <w:szCs w:val="22"/>
          <w:color w:val="auto"/>
        </w:rPr>
        <w:t>” means the Initial Second Lien Priority Debt Documents and, with respect to any series, issue or class of Second Priority Debt, the credit agreements, promissory notes, indentures, collateral documents or other operative agreements evidencing or governing such Indebtedness, including the Second Priority Collateral Documents.</w:t>
      </w:r>
    </w:p>
    <w:p>
      <w:pPr>
        <w:spacing w:after="0" w:line="169" w:lineRule="exact"/>
        <w:rPr>
          <w:sz w:val="20"/>
          <w:szCs w:val="20"/>
          <w:color w:val="auto"/>
        </w:rPr>
      </w:pPr>
    </w:p>
    <w:p>
      <w:pPr>
        <w:jc w:val="both"/>
        <w:ind w:left="2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Debt Facility</w:t>
      </w:r>
      <w:r>
        <w:rPr>
          <w:rFonts w:ascii="Times New Roman" w:cs="Times New Roman" w:eastAsia="Times New Roman" w:hAnsi="Times New Roman"/>
          <w:sz w:val="22"/>
          <w:szCs w:val="22"/>
          <w:color w:val="auto"/>
        </w:rPr>
        <w:t>” means each of the Second Lien [Credit Agreement][Indenture] and each indenture or other governing agreement with respect to any other Second Priority Debt.</w:t>
      </w:r>
    </w:p>
    <w:p>
      <w:pPr>
        <w:spacing w:after="0" w:line="158" w:lineRule="exact"/>
        <w:rPr>
          <w:sz w:val="20"/>
          <w:szCs w:val="20"/>
          <w:color w:val="auto"/>
        </w:rPr>
      </w:pPr>
    </w:p>
    <w:p>
      <w:pPr>
        <w:jc w:val="both"/>
        <w:ind w:firstLine="129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Debt Obligations</w:t>
      </w:r>
      <w:r>
        <w:rPr>
          <w:rFonts w:ascii="Times New Roman" w:cs="Times New Roman" w:eastAsia="Times New Roman" w:hAnsi="Times New Roman"/>
          <w:sz w:val="22"/>
          <w:szCs w:val="22"/>
          <w:color w:val="auto"/>
        </w:rPr>
        <w:t>” means the Initial Second Priority Debt Obligations and, with respect to any series, issue or class of Second Priority Debt, (a) all principal of, and interest payable with respect to, such Second Priority Debt, (b) all other amounts payable to the related Second Priority Debt Parties under the related Second Priority Debt Documents and (c) any renewals or extensions of the foregoing, including, without limitation, in each case, any interest, fees, expenses and other amounts which accrue after the commencement of any Insolvency or Liquidation Proceeding, whether or not allowed or allowable as a claim in any such proceeding.</w:t>
      </w:r>
    </w:p>
    <w:p>
      <w:pPr>
        <w:spacing w:after="0" w:line="159" w:lineRule="exact"/>
        <w:rPr>
          <w:sz w:val="20"/>
          <w:szCs w:val="20"/>
          <w:color w:val="auto"/>
        </w:rPr>
      </w:pPr>
    </w:p>
    <w:p>
      <w:pPr>
        <w:jc w:val="both"/>
        <w:ind w:left="20" w:right="20" w:firstLine="129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Priority Debt Parties</w:t>
      </w:r>
      <w:r>
        <w:rPr>
          <w:rFonts w:ascii="Times New Roman" w:cs="Times New Roman" w:eastAsia="Times New Roman" w:hAnsi="Times New Roman"/>
          <w:sz w:val="21"/>
          <w:szCs w:val="21"/>
          <w:color w:val="auto"/>
        </w:rPr>
        <w:t>” means the Initial Second Priority Debt Parties and with respect to any series, issue or class of Second Priority Debt, the holders of such Indebtedness, the Representative with respect thereto, any trustee or agent therefor under any related Second Priority Debt Documents and the beneficiaries of each indemnification obligation undertaken by the Company or any other Grantor under any related Second Priority Debt Documents.</w:t>
      </w:r>
    </w:p>
    <w:p>
      <w:pPr>
        <w:spacing w:after="0" w:line="186" w:lineRule="exact"/>
        <w:rPr>
          <w:sz w:val="20"/>
          <w:szCs w:val="20"/>
          <w:color w:val="auto"/>
        </w:rPr>
      </w:pPr>
    </w:p>
    <w:p>
      <w:pPr>
        <w:jc w:val="both"/>
        <w:ind w:left="20" w:right="20"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Lien</w:t>
      </w:r>
      <w:r>
        <w:rPr>
          <w:rFonts w:ascii="Times New Roman" w:cs="Times New Roman" w:eastAsia="Times New Roman" w:hAnsi="Times New Roman"/>
          <w:sz w:val="22"/>
          <w:szCs w:val="22"/>
          <w:color w:val="auto"/>
        </w:rPr>
        <w:t>” means the Liens on the Second Priority Collateral in favor of Second Priority Debt Parties under Second Priority Collateral Documents.</w:t>
      </w:r>
    </w:p>
    <w:p>
      <w:pPr>
        <w:spacing w:after="0" w:line="158" w:lineRule="exact"/>
        <w:rPr>
          <w:sz w:val="20"/>
          <w:szCs w:val="20"/>
          <w:color w:val="auto"/>
        </w:rPr>
      </w:pPr>
    </w:p>
    <w:p>
      <w:pPr>
        <w:jc w:val="both"/>
        <w:ind w:firstLine="129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Representative</w:t>
      </w:r>
      <w:r>
        <w:rPr>
          <w:rFonts w:ascii="Times New Roman" w:cs="Times New Roman" w:eastAsia="Times New Roman" w:hAnsi="Times New Roman"/>
          <w:sz w:val="22"/>
          <w:szCs w:val="22"/>
          <w:color w:val="auto"/>
        </w:rPr>
        <w:t>” means (i) in the case of the Second Lien [Credit Agreement][Indenture], the Initial Second Priority Representative, and (ii) in the case of any other Second Priority Debt Facility and the Second Priority Debt Parties thereunder the trustee, administrative agent, collateral agent, security agent or similar agent under such Second Priority Debt Facility that is named as the representative in respect of such Second Priority Debt Facility in the applicable Joinder Agreement.</w:t>
      </w:r>
    </w:p>
    <w:p>
      <w:pPr>
        <w:spacing w:after="0" w:line="1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Priority Standstill Period</w:t>
      </w:r>
      <w:r>
        <w:rPr>
          <w:rFonts w:ascii="Times New Roman" w:cs="Times New Roman" w:eastAsia="Times New Roman" w:hAnsi="Times New Roman"/>
          <w:sz w:val="22"/>
          <w:szCs w:val="22"/>
          <w:color w:val="auto"/>
        </w:rPr>
        <w:t>” has the meaning assigned to such term in Section 3.01(a).</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means the Senior Obligations and the Second Priority Debt</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Obligations.</w:t>
      </w:r>
    </w:p>
    <w:p>
      <w:pPr>
        <w:sectPr>
          <w:pgSz w:w="11900" w:h="16838" w:orient="portrait"/>
          <w:cols w:equalWidth="0" w:num="1">
            <w:col w:w="10780"/>
          </w:cols>
          <w:pgMar w:left="580" w:top="1440" w:right="539" w:bottom="1440" w:gutter="0" w:footer="0" w:header="0"/>
        </w:sectPr>
      </w:pPr>
    </w:p>
    <w:bookmarkStart w:id="344" w:name="page345"/>
    <w:bookmarkEnd w:id="344"/>
    <w:p>
      <w:pPr>
        <w:spacing w:after="0" w:line="374" w:lineRule="exact"/>
        <w:rPr>
          <w:sz w:val="20"/>
          <w:szCs w:val="20"/>
          <w:color w:val="auto"/>
        </w:rPr>
      </w:pPr>
    </w:p>
    <w:p>
      <w:pPr>
        <w:ind w:left="4" w:right="36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the Senior Secured Parties and the Second Priority Debt and the Second Priority Debt Obligations.</w:t>
      </w:r>
    </w:p>
    <w:p>
      <w:pPr>
        <w:spacing w:after="0" w:line="171"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Class Debt</w:t>
      </w:r>
      <w:r>
        <w:rPr>
          <w:rFonts w:ascii="Times New Roman" w:cs="Times New Roman" w:eastAsia="Times New Roman" w:hAnsi="Times New Roman"/>
          <w:sz w:val="22"/>
          <w:szCs w:val="22"/>
          <w:color w:val="auto"/>
        </w:rPr>
        <w:t>” has the meaning assigned to such term in Section 8.09.</w:t>
      </w:r>
    </w:p>
    <w:p>
      <w:pPr>
        <w:spacing w:after="0" w:line="22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Class Debt Parties</w:t>
      </w:r>
      <w:r>
        <w:rPr>
          <w:rFonts w:ascii="Times New Roman" w:cs="Times New Roman" w:eastAsia="Times New Roman" w:hAnsi="Times New Roman"/>
          <w:sz w:val="22"/>
          <w:szCs w:val="22"/>
          <w:color w:val="auto"/>
        </w:rPr>
        <w:t>” has the meaning assigned to such term in Section 8.09.</w:t>
      </w:r>
    </w:p>
    <w:p>
      <w:pPr>
        <w:spacing w:after="0" w:line="206"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Class Debt Representative</w:t>
      </w:r>
      <w:r>
        <w:rPr>
          <w:rFonts w:ascii="Times New Roman" w:cs="Times New Roman" w:eastAsia="Times New Roman" w:hAnsi="Times New Roman"/>
          <w:sz w:val="22"/>
          <w:szCs w:val="22"/>
          <w:color w:val="auto"/>
        </w:rPr>
        <w:t>” has the meaning assigned to such term in Section 8.09.</w:t>
      </w:r>
    </w:p>
    <w:p>
      <w:pPr>
        <w:spacing w:after="0" w:line="220" w:lineRule="exact"/>
        <w:rPr>
          <w:sz w:val="20"/>
          <w:szCs w:val="20"/>
          <w:color w:val="auto"/>
        </w:rPr>
      </w:pPr>
    </w:p>
    <w:p>
      <w:pPr>
        <w:jc w:val="both"/>
        <w:ind w:left="4" w:right="40" w:firstLine="129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Collateral</w:t>
      </w:r>
      <w:r>
        <w:rPr>
          <w:rFonts w:ascii="Times New Roman" w:cs="Times New Roman" w:eastAsia="Times New Roman" w:hAnsi="Times New Roman"/>
          <w:sz w:val="21"/>
          <w:szCs w:val="21"/>
          <w:color w:val="auto"/>
        </w:rPr>
        <w:t>” means any “Collateral” (or equivalent term) as defined in any First Lien Loan Document or any other Senior Debt Document or any other assets of the Company or any other Grantor with respect to which a Lien is granted or purported to be granted pursuant to a Senior Collateral Document as security for any Senior Obligations.</w:t>
      </w:r>
    </w:p>
    <w:p>
      <w:pPr>
        <w:spacing w:after="0" w:line="163" w:lineRule="exact"/>
        <w:rPr>
          <w:sz w:val="20"/>
          <w:szCs w:val="20"/>
          <w:color w:val="auto"/>
        </w:rPr>
      </w:pPr>
    </w:p>
    <w:p>
      <w:pPr>
        <w:jc w:val="both"/>
        <w:ind w:left="4" w:right="20" w:firstLine="129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Collateral Documents</w:t>
      </w:r>
      <w:r>
        <w:rPr>
          <w:rFonts w:ascii="Times New Roman" w:cs="Times New Roman" w:eastAsia="Times New Roman" w:hAnsi="Times New Roman"/>
          <w:sz w:val="22"/>
          <w:szCs w:val="22"/>
          <w:color w:val="auto"/>
        </w:rPr>
        <w:t>” means the First Lien Collateral Agreement and the other “Security Documents” as defined in the First Lien Credit Agreement, the First Lien Pari Passu Intercreditor Agreement (upon and after the initial execution and delivery thereof by the initial parties thereto) and each of the collateral agreements, security agreements and other instruments and documents executed and delivered by Holdings, the Company or any other Grantor for purposes of providing collateral security for any Senior Obligation.</w:t>
      </w:r>
    </w:p>
    <w:p>
      <w:pPr>
        <w:spacing w:after="0" w:line="165" w:lineRule="exact"/>
        <w:rPr>
          <w:sz w:val="20"/>
          <w:szCs w:val="20"/>
          <w:color w:val="auto"/>
        </w:rPr>
      </w:pPr>
    </w:p>
    <w:p>
      <w:pPr>
        <w:ind w:left="4" w:right="2480" w:firstLine="129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Debt Documents</w:t>
      </w:r>
      <w:r>
        <w:rPr>
          <w:rFonts w:ascii="Times New Roman" w:cs="Times New Roman" w:eastAsia="Times New Roman" w:hAnsi="Times New Roman"/>
          <w:sz w:val="22"/>
          <w:szCs w:val="22"/>
          <w:color w:val="auto"/>
        </w:rPr>
        <w:t>” means (a) the Credit Agreement Loan Documents and (b) any Additional Senior Debt Documents.</w:t>
      </w:r>
    </w:p>
    <w:p>
      <w:pPr>
        <w:spacing w:after="0" w:line="13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Facilities</w:t>
      </w:r>
      <w:r>
        <w:rPr>
          <w:rFonts w:ascii="Times New Roman" w:cs="Times New Roman" w:eastAsia="Times New Roman" w:hAnsi="Times New Roman"/>
          <w:sz w:val="22"/>
          <w:szCs w:val="22"/>
          <w:color w:val="auto"/>
        </w:rPr>
        <w:t>” means the First Lien Credit Agreement and any Additional Senior Debt Facilities.</w:t>
      </w:r>
    </w:p>
    <w:p>
      <w:pPr>
        <w:spacing w:after="0" w:line="220" w:lineRule="exact"/>
        <w:rPr>
          <w:sz w:val="20"/>
          <w:szCs w:val="20"/>
          <w:color w:val="auto"/>
        </w:rPr>
      </w:pPr>
    </w:p>
    <w:p>
      <w:pPr>
        <w:jc w:val="both"/>
        <w:ind w:left="4" w:firstLine="12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Lien</w:t>
      </w:r>
      <w:r>
        <w:rPr>
          <w:rFonts w:ascii="Times New Roman" w:cs="Times New Roman" w:eastAsia="Times New Roman" w:hAnsi="Times New Roman"/>
          <w:sz w:val="22"/>
          <w:szCs w:val="22"/>
          <w:color w:val="auto"/>
        </w:rPr>
        <w:t>” means the Liens on the Senior Collateral in favor of the Senior Secured Parties under the Senior Collateral Documents.</w:t>
      </w:r>
    </w:p>
    <w:p>
      <w:pPr>
        <w:spacing w:after="0" w:line="158" w:lineRule="exact"/>
        <w:rPr>
          <w:sz w:val="20"/>
          <w:szCs w:val="20"/>
          <w:color w:val="auto"/>
        </w:rPr>
      </w:pPr>
    </w:p>
    <w:p>
      <w:pPr>
        <w:jc w:val="both"/>
        <w:ind w:left="4" w:right="20" w:firstLine="129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Obligations</w:t>
      </w:r>
      <w:r>
        <w:rPr>
          <w:rFonts w:ascii="Times New Roman" w:cs="Times New Roman" w:eastAsia="Times New Roman" w:hAnsi="Times New Roman"/>
          <w:sz w:val="22"/>
          <w:szCs w:val="22"/>
          <w:color w:val="auto"/>
        </w:rPr>
        <w:t xml:space="preserve">” means the First Lien Credit Agreement Obligations and any Additional Senior Debt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Senior Obligations shall not include Excluded Senior Obligations.</w:t>
      </w:r>
    </w:p>
    <w:p>
      <w:pPr>
        <w:spacing w:after="0" w:line="158" w:lineRule="exact"/>
        <w:rPr>
          <w:sz w:val="20"/>
          <w:szCs w:val="20"/>
          <w:color w:val="auto"/>
        </w:rPr>
      </w:pPr>
    </w:p>
    <w:p>
      <w:pPr>
        <w:jc w:val="both"/>
        <w:ind w:left="4" w:firstLine="129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Representative</w:t>
      </w:r>
      <w:r>
        <w:rPr>
          <w:rFonts w:ascii="Times New Roman" w:cs="Times New Roman" w:eastAsia="Times New Roman" w:hAnsi="Times New Roman"/>
          <w:sz w:val="22"/>
          <w:szCs w:val="22"/>
          <w:color w:val="auto"/>
        </w:rPr>
        <w:t>” means (i) in the case of any First Lien Credit Agreement Obligations or the First Lien Credit Agreement Secured Parties, the First Lien Collateral Agent,</w:t>
      </w:r>
    </w:p>
    <w:p>
      <w:pPr>
        <w:spacing w:after="0" w:line="1" w:lineRule="exact"/>
        <w:rPr>
          <w:sz w:val="20"/>
          <w:szCs w:val="20"/>
          <w:color w:val="auto"/>
        </w:rPr>
      </w:pPr>
    </w:p>
    <w:p>
      <w:pPr>
        <w:ind w:left="4" w:right="400" w:hanging="4"/>
        <w:spacing w:after="0" w:line="251" w:lineRule="auto"/>
        <w:tabs>
          <w:tab w:leader="none" w:pos="322" w:val="left"/>
        </w:tabs>
        <w:numPr>
          <w:ilvl w:val="0"/>
          <w:numId w:val="4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Additional Senior Debt Facility and the Additional Senior Debt Parties thereunder (including with respect to any Additional Senior Debt Facility initially covered hereby on the date of this Agreement), the trustee, administrative agent, collateral agent, security agent or similar agent under such Additional Senior Debt Facility that is named as the representative in respect of such Additional Senior Debt Facility in the applicable Joinder Agreement.</w:t>
      </w:r>
    </w:p>
    <w:p>
      <w:pPr>
        <w:spacing w:after="0" w:line="194"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Secured Parties</w:t>
      </w:r>
      <w:r>
        <w:rPr>
          <w:rFonts w:ascii="Times New Roman" w:cs="Times New Roman" w:eastAsia="Times New Roman" w:hAnsi="Times New Roman"/>
          <w:sz w:val="21"/>
          <w:szCs w:val="21"/>
          <w:color w:val="auto"/>
        </w:rPr>
        <w:t>” means the First Lien Credit Agreement Secured Parties and any Additional Senior</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Debt Parties.</w:t>
      </w:r>
    </w:p>
    <w:p>
      <w:pPr>
        <w:sectPr>
          <w:pgSz w:w="11900" w:h="16838" w:orient="portrait"/>
          <w:cols w:equalWidth="0" w:num="1">
            <w:col w:w="10764"/>
          </w:cols>
          <w:pgMar w:left="596" w:top="1440" w:right="539" w:bottom="1440" w:gutter="0" w:footer="0" w:header="0"/>
        </w:sectPr>
      </w:pPr>
    </w:p>
    <w:bookmarkStart w:id="345" w:name="page346"/>
    <w:bookmarkEnd w:id="345"/>
    <w:p>
      <w:pPr>
        <w:spacing w:after="0" w:line="144" w:lineRule="exact"/>
        <w:rPr>
          <w:sz w:val="20"/>
          <w:szCs w:val="20"/>
          <w:color w:val="auto"/>
        </w:rPr>
      </w:pPr>
    </w:p>
    <w:p>
      <w:pPr>
        <w:jc w:val="both"/>
        <w:ind w:left="280" w:firstLine="129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Collateral</w:t>
      </w:r>
      <w:r>
        <w:rPr>
          <w:rFonts w:ascii="Times New Roman" w:cs="Times New Roman" w:eastAsia="Times New Roman" w:hAnsi="Times New Roman"/>
          <w:sz w:val="22"/>
          <w:szCs w:val="22"/>
          <w:color w:val="auto"/>
        </w:rPr>
        <w:t>” means, at any time, Collateral in which the holders of Senior Obligations under at least one Senior Facility and the holders of Second Priority Debt Obligations under at least one Second Priority Debt Facility (or their Representatives) hold a security interest or Lien at such time (or, in the case of the Senior Facilities, are deemed pursuant to Article II to benefit from a security interest). If, at any time, any portion of the Senior Collateral under one or more Senior Facilities does not constitute Second Priority Collateral under one or more Second Priority Debt Facilities, then such portion of such Senior Collateral shall constitute Shared Collateral only with respect to the Second Priority Debt Facilities for which it constitutes Second Priority Collateral and shall not constitute Shared Collateral for any Second Priority Debt Facility which does not have a security interest or Lien in such Collateral at such time.</w:t>
      </w:r>
    </w:p>
    <w:p>
      <w:pPr>
        <w:spacing w:after="0" w:line="195" w:lineRule="exact"/>
        <w:rPr>
          <w:sz w:val="20"/>
          <w:szCs w:val="20"/>
          <w:color w:val="auto"/>
        </w:rPr>
      </w:pPr>
    </w:p>
    <w:p>
      <w:pPr>
        <w:jc w:val="both"/>
        <w:ind w:left="260" w:firstLine="129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Unless otherwise specified, all references herein to a “Subsidiary” or to “Subsidiaries” shall refer to a Subsidiary or Subsidiaries of the Company.</w:t>
      </w:r>
    </w:p>
    <w:p>
      <w:pPr>
        <w:spacing w:after="0" w:line="16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12"/>
          <w:szCs w:val="12"/>
          <w:color w:val="auto"/>
        </w:rPr>
        <w:t>2</w:t>
      </w:r>
      <w:r>
        <w:rPr>
          <w:rFonts w:ascii="Times New Roman" w:cs="Times New Roman" w:eastAsia="Times New Roman" w:hAnsi="Times New Roman"/>
          <w:sz w:val="22"/>
          <w:szCs w:val="22"/>
          <w:color w:val="auto"/>
        </w:rPr>
        <w:t>” has the meaning assigned to such term in the introductory paragraph of this</w:t>
      </w:r>
    </w:p>
    <w:p>
      <w:pPr>
        <w:spacing w:after="0" w:line="2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Agreement.</w:t>
      </w:r>
    </w:p>
    <w:p>
      <w:pPr>
        <w:spacing w:after="0" w:line="220" w:lineRule="exact"/>
        <w:rPr>
          <w:sz w:val="20"/>
          <w:szCs w:val="20"/>
          <w:color w:val="auto"/>
        </w:rPr>
      </w:pPr>
    </w:p>
    <w:p>
      <w:pPr>
        <w:ind w:left="158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w:t>
      </w:r>
    </w:p>
    <w:p>
      <w:pPr>
        <w:spacing w:after="0" w:line="28" w:lineRule="exact"/>
        <w:rPr>
          <w:sz w:val="20"/>
          <w:szCs w:val="20"/>
          <w:color w:val="auto"/>
        </w:rPr>
      </w:pPr>
    </w:p>
    <w:p>
      <w:pPr>
        <w:jc w:val="both"/>
        <w:ind w:left="260"/>
        <w:spacing w:after="0" w:line="247" w:lineRule="auto"/>
        <w:rPr>
          <w:sz w:val="20"/>
          <w:szCs w:val="20"/>
          <w:color w:val="auto"/>
        </w:rPr>
      </w:pPr>
      <w:r>
        <w:rPr>
          <w:rFonts w:ascii="Times New Roman" w:cs="Times New Roman" w:eastAsia="Times New Roman" w:hAnsi="Times New Roman"/>
          <w:sz w:val="22"/>
          <w:szCs w:val="22"/>
          <w:color w:val="auto"/>
        </w:rPr>
        <w:t>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22" w:lineRule="exact"/>
        <w:rPr>
          <w:sz w:val="20"/>
          <w:szCs w:val="20"/>
          <w:color w:val="auto"/>
        </w:rPr>
      </w:pPr>
    </w:p>
    <w:p>
      <w:pPr>
        <w:ind w:left="600" w:right="40" w:hanging="339"/>
        <w:spacing w:after="0" w:line="251" w:lineRule="auto"/>
        <w:tabs>
          <w:tab w:leader="none" w:pos="457" w:val="left"/>
        </w:tabs>
        <w:numPr>
          <w:ilvl w:val="0"/>
          <w:numId w:val="424"/>
        </w:numPr>
        <w:rPr>
          <w:rFonts w:ascii="Times New Roman" w:cs="Times New Roman" w:eastAsia="Times New Roman" w:hAnsi="Times New Roman"/>
          <w:sz w:val="13"/>
          <w:szCs w:val="13"/>
          <w:color w:val="auto"/>
        </w:rPr>
      </w:pPr>
      <w:r>
        <w:rPr>
          <w:rFonts w:ascii="Times New Roman" w:cs="Times New Roman" w:eastAsia="Times New Roman" w:hAnsi="Times New Roman"/>
          <w:sz w:val="19"/>
          <w:szCs w:val="19"/>
          <w:color w:val="auto"/>
        </w:rPr>
        <w:t>Note to draft : Insert defined term for the agent/trustee of the Second Lien [Credit Agreement][Indenture], and realphabetize as appropriate.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ectPr>
          <w:pgSz w:w="11900" w:h="16838" w:orient="portrait"/>
          <w:cols w:equalWidth="0" w:num="1">
            <w:col w:w="11040"/>
          </w:cols>
          <w:pgMar w:left="320" w:top="1440" w:right="539" w:bottom="1440" w:gutter="0" w:footer="0" w:header="0"/>
        </w:sectPr>
      </w:pPr>
    </w:p>
    <w:bookmarkStart w:id="346" w:name="page347"/>
    <w:bookmarkEnd w:id="346"/>
    <w:p>
      <w:pPr>
        <w:spacing w:after="0" w:line="1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II</w:t>
      </w: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Priorities and Agreements with Respect to Shared Collateral</w:t>
      </w:r>
    </w:p>
    <w:p>
      <w:pPr>
        <w:spacing w:after="0" w:line="233" w:lineRule="exact"/>
        <w:rPr>
          <w:sz w:val="20"/>
          <w:szCs w:val="20"/>
          <w:color w:val="auto"/>
        </w:rPr>
      </w:pPr>
    </w:p>
    <w:p>
      <w:pPr>
        <w:jc w:val="both"/>
        <w:ind w:firstLine="1298"/>
        <w:spacing w:after="0" w:line="247"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(a) Notwithstanding the date, time, manner or order of filing or recordation of any document or instrument or grant, attachment or perfection of any Liens granted to any Second Priority Representative or any Second Priority Debt Parties on the Shared Collateral or of any Liens granted to any Senior Representative or any other Senior Secured Party on the Shared Collateral (or any actual or alleged defect in any of the foregoing) and notwithstanding any provision of the Uniform Commercial Code as in effect in any applicable jurisdiction, any applicable law, any Second Priority Debt Document or any Senior Debt Document or any other circumstance whatsoever, each Second Priority Representative, on behalf of itself and each Second Priority Debt Party under its Second Priority Debt Facility, hereby agrees that (a) any Lien on the Shared Collateral securing or purporting to secure any Senior Obligations now or hereafter held by or on behalf of any Senior Representative or any other Senior Secured Party or other agent or trustee therefor, regardless of how acquired, whether by grant, statute, operation of law, subrogation or otherwise, shall have priority over and be senior in all respects and prior to any Lien on the Shared Collateral securing or purporting to secure any Second Priority Debt Obligations and (b) any Lien on the Shared Collateral securing or purporting to secure any Second Priority Debt Obligations now or hereafter held by or on behalf of any Second Priority Representative, any Second Priority Debt Parties or any Second Priority Representative or other agent or trustee therefor, regardless of how acquired, whether by grant, statute, operation of law, subrogation or otherwise, shall be junior and subordinate in all respects to all Liens on the Shared Collateral securing or purporting to secure any Senior Obligations. All Liens on the Shared Collateral securing or purporting to secure any Senior Obligations shall be and remain senior in all respects and prior to all Liens on the Shared Collateral securing or purporting to secure any Second Priority Debt Obligations for all purposes, whether or not such Liens securing or purporting to secure any Senior Obligations are subordinated to any Lien securing any other obligation of the Company, any Grantor or any other Person or otherwise subordinated, voided, avoided, invalidated or lapsed.</w:t>
      </w:r>
    </w:p>
    <w:p>
      <w:pPr>
        <w:spacing w:after="0" w:line="203"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No Payment Subordination; Nature of Senior Lender</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1940" w:hanging="468"/>
        <w:spacing w:after="0"/>
        <w:tabs>
          <w:tab w:leader="none" w:pos="194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herein, the subordination of Liens securing</w:t>
      </w:r>
    </w:p>
    <w:p>
      <w:pPr>
        <w:spacing w:after="0" w:line="14" w:lineRule="exact"/>
        <w:rPr>
          <w:sz w:val="20"/>
          <w:szCs w:val="20"/>
          <w:color w:val="auto"/>
        </w:rPr>
      </w:pPr>
    </w:p>
    <w:p>
      <w:pPr>
        <w:jc w:val="both"/>
        <w:ind w:left="180" w:right="20"/>
        <w:spacing w:after="0" w:line="236" w:lineRule="auto"/>
        <w:rPr>
          <w:sz w:val="20"/>
          <w:szCs w:val="20"/>
          <w:color w:val="auto"/>
        </w:rPr>
      </w:pPr>
      <w:r>
        <w:rPr>
          <w:rFonts w:ascii="Times New Roman" w:cs="Times New Roman" w:eastAsia="Times New Roman" w:hAnsi="Times New Roman"/>
          <w:sz w:val="22"/>
          <w:szCs w:val="22"/>
          <w:color w:val="auto"/>
        </w:rPr>
        <w:t xml:space="preserve">Second Priority Debt Obligations to Liens securing Senior Obligations set forth in Section 2.01 affects only the relative priority of those Liens and all Proceeds thereof and does not subordinate the Second Priority Debt Obligations in right of payment to the Senior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for the avoidance of doubt, that all payments in respect of Shared Collateral and all Proceeds thereof shall be subject to Section 4.01. Except as otherwise set forth herein, nothing in this Agreement will affect the entitlement of the Second Priority Debt Parties to receive and retain required payments of interest, principal, and other amounts in respect of Second Priority Debt Obligations unless the receipt is expressly prohibited by, or results from the Second Priority Debt Parties’ breach of, this Agreement.</w:t>
      </w:r>
    </w:p>
    <w:p>
      <w:pPr>
        <w:spacing w:after="0" w:line="192" w:lineRule="exact"/>
        <w:rPr>
          <w:sz w:val="20"/>
          <w:szCs w:val="20"/>
          <w:color w:val="auto"/>
        </w:rPr>
      </w:pPr>
    </w:p>
    <w:p>
      <w:pPr>
        <w:jc w:val="both"/>
        <w:ind w:left="20" w:right="20" w:firstLine="1294"/>
        <w:spacing w:after="0" w:line="263" w:lineRule="auto"/>
        <w:tabs>
          <w:tab w:leader="none" w:pos="1691"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Second Priority Representative, on behalf of itself and each Second Priority Debt Party under its Second Priority Debt Facility, acknowledges that (i) a portion of the Senior Obligations is revolving in nature and that the amount thereof that may be outstanding at</w:t>
      </w:r>
    </w:p>
    <w:p>
      <w:pPr>
        <w:sectPr>
          <w:pgSz w:w="11900" w:h="16838" w:orient="portrait"/>
          <w:cols w:equalWidth="0" w:num="1">
            <w:col w:w="10780"/>
          </w:cols>
          <w:pgMar w:left="580" w:top="1440" w:right="539" w:bottom="1440" w:gutter="0" w:footer="0" w:header="0"/>
        </w:sectPr>
      </w:pPr>
    </w:p>
    <w:bookmarkStart w:id="347" w:name="page348"/>
    <w:bookmarkEnd w:id="347"/>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any time or from time to time may be increased or reduced and subsequently reborrowed, (ii) the terms of the Senior Debt Documents and the Senior Obligations may be amended, supplemented or otherwise modified, and the Senior Obligations, or a portion thereof, may be Refinanced from time to time subject to the provisions of Section 5.03(a), and (iii) subject to the provisions of Section 5.03(a), the aggregate amount of the Senior Obligations may be increased, in each case, without notice to or consent by the Second Priority Representatives or the Second Priority Debt Parties and without affecting the provisions hereof. The Lien priorities provided for in Section</w:t>
      </w:r>
    </w:p>
    <w:p>
      <w:pPr>
        <w:spacing w:after="0" w:line="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2"/>
          <w:szCs w:val="22"/>
          <w:color w:val="auto"/>
        </w:rPr>
        <w:t>2.01 shall not be altered or otherwise affected by any amendment, supplement or other modification, or any Refinancing, of either the Senior Obligations or the Second Priority Debt Obligations, or any portion thereof. As between the Company and the other Grantors and the Second Priority Debt Parties, the foregoing provisions will not limit or otherwise affect the obligations of the Company and the Grantors contained in any Second Priority Debt Document with respect to the incurrence of additional Senior Obligations.</w:t>
      </w:r>
    </w:p>
    <w:p>
      <w:pPr>
        <w:spacing w:after="0" w:line="184" w:lineRule="exact"/>
        <w:rPr>
          <w:sz w:val="20"/>
          <w:szCs w:val="20"/>
          <w:color w:val="auto"/>
        </w:rPr>
      </w:pPr>
    </w:p>
    <w:p>
      <w:pPr>
        <w:jc w:val="both"/>
        <w:ind w:firstLine="1298"/>
        <w:spacing w:after="0" w:line="248"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Prohibition on Contesting Liens</w:t>
      </w:r>
      <w:r>
        <w:rPr>
          <w:rFonts w:ascii="Times New Roman" w:cs="Times New Roman" w:eastAsia="Times New Roman" w:hAnsi="Times New Roman"/>
          <w:sz w:val="22"/>
          <w:szCs w:val="22"/>
          <w:color w:val="auto"/>
        </w:rPr>
        <w:t>. Each of the Second Priority Representatives, for itself and on behalf of each Second Priority Debt Party under its Second Priority Debt Facility, agrees that it shall not (and hereby waives any right to) contest or support any other Person in contesting, in any proceeding (including any Insolvency or Liquidation Proceeding), the validity, extent, perfection, priority, allowability, or enforceability of any Lien securing, or claims asserted with respect to, any Senior Obligations held (or purported to be held) by or on behalf of any Senior Representative or any of the other Senior Secured Parties or other agent or trustee therefor in any Senior Collateral. The Senior Representative, for itself and on behalf of each Senior Secured Party under its Senior Facility, agrees that it shall not (and hereby waives any right to) contest or support any other Person in contesting, in any proceeding(including any Insolvency or Liquidation Proceeding), the validity, extent, perfection, priority, allowability, or enforceability of any Lien securing, or claims asserted with respect to, any Second Priority Debt Obligations held (or purported to be held) by or on behalf of any Second Priority Representative or any of the Second Priority Debt Parties in the Second Priority Collateral. Notwithstanding the foregoing, no provision in this Agreement shall be construed to prevent or impair the rights of any Senior Representative to enforce this Agreement (including the priority of the Liens securing the Senior Obligations as provided in Section 2.01) or any of the Senior Debt Documents.</w:t>
      </w:r>
    </w:p>
    <w:p>
      <w:pPr>
        <w:spacing w:after="0" w:line="201" w:lineRule="exact"/>
        <w:rPr>
          <w:sz w:val="20"/>
          <w:szCs w:val="20"/>
          <w:color w:val="auto"/>
        </w:rPr>
      </w:pPr>
    </w:p>
    <w:p>
      <w:pPr>
        <w:jc w:val="both"/>
        <w:ind w:firstLine="1298"/>
        <w:spacing w:after="0" w:line="248"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No New Liens</w:t>
      </w:r>
      <w:r>
        <w:rPr>
          <w:rFonts w:ascii="Times New Roman" w:cs="Times New Roman" w:eastAsia="Times New Roman" w:hAnsi="Times New Roman"/>
          <w:sz w:val="22"/>
          <w:szCs w:val="22"/>
          <w:color w:val="auto"/>
        </w:rPr>
        <w:t>. The parties hereto agree that, so long as the Discharge of Senior Obligations has not occurred, none of the Grantors shall (a) grant or permit any additional Liens on any asset or property of any Grantor to secure any Second Priority Debt Obligation unless it has granted, or concurrently therewith grants, a Lien on such asset or property of such Grantor to secure the Senior Obligations or (b) grant or permit any additional Liens on any asset or property of any Grantor to secure any Senior Obligation unless it has granted, or concurrently therewith grants, a Lien on such asset or property of such Grantor to secure the Second Priority Debt Obligations; and (c) if any Second Priority Representative or any Second Priority Debt Party shall acquire or hold any Lien on any assets or property of any Grantor securing any Second Priority Obligations that are not also subject to the first-priority Liens securing all Senior Obligations under the Senior Collateral Documents, such Second Priority Representative or Second Priority Debt Party (i) shall notify the Designated Senior Representative promptly upon becoming aware thereof and, unless such Grantor shall promptly grant a similar Lien on such assets or property to each Senior Representatives security for the</w:t>
      </w:r>
    </w:p>
    <w:p>
      <w:pPr>
        <w:sectPr>
          <w:pgSz w:w="11900" w:h="16838" w:orient="portrait"/>
          <w:cols w:equalWidth="0" w:num="1">
            <w:col w:w="10760"/>
          </w:cols>
          <w:pgMar w:left="600" w:top="1440" w:right="539" w:bottom="1440" w:gutter="0" w:footer="0" w:header="0"/>
        </w:sectPr>
      </w:pPr>
    </w:p>
    <w:bookmarkStart w:id="348" w:name="page349"/>
    <w:bookmarkEnd w:id="348"/>
    <w:p>
      <w:pPr>
        <w:spacing w:after="0" w:line="158"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22"/>
          <w:szCs w:val="22"/>
          <w:color w:val="auto"/>
        </w:rPr>
        <w:t>Senior Obligations, shall assign such Lien to the Designated Senior Representative as security for all Senior Obligations for the benefit of the Senior Secured Parties (but may retain a junior lien on such assets or property subject to the terms hereof) and (ii) until such assignment or such grant of a similar Lien to each Senior Representative, shall be deemed to also hold and have held such Lien for the benefit of each Senior Representative and the other Senior Secured Parties as security for the Senior Obligations. The parties hereto further agree that so long as the Discharge of Senior Obligations has not occurred, whether or not any Insolvency or Liquidation Proceeding has been commenced by or against any of the Grantors, if any Second Priority Debt Party shall acquire or hold any Lien on any assets of any Grantor securing any Second Priority Debt Obligation which assets are not also subject to the first priority Lien of the Senior Secured Parties under the Senior Debt Documents, then, without limiting any other rights and remedies available to the Senior Representative or the other Senior Secured Parties, the Second Priority Representative, on behalf of itself and the Second Priority Debt Parties, agrees that any amounts received by or distributed to any of them pursuant to or as a result of Liens so granted shall be subject to Section 4.02.</w:t>
      </w:r>
    </w:p>
    <w:p>
      <w:pPr>
        <w:spacing w:after="0" w:line="198" w:lineRule="exact"/>
        <w:rPr>
          <w:sz w:val="20"/>
          <w:szCs w:val="20"/>
          <w:color w:val="auto"/>
        </w:rPr>
      </w:pPr>
    </w:p>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Perfection of Liens</w:t>
      </w:r>
      <w:r>
        <w:rPr>
          <w:rFonts w:ascii="Times New Roman" w:cs="Times New Roman" w:eastAsia="Times New Roman" w:hAnsi="Times New Roman"/>
          <w:sz w:val="22"/>
          <w:szCs w:val="22"/>
          <w:color w:val="auto"/>
        </w:rPr>
        <w:t>. Except for the limited agreements of the Senior Representatives pursuant to Section 5.06 hereof, none of the Senior Representatives or the Senior Secured Parties shall be responsible for perfecting and maintaining the perfection of Liens with respect to the Shared Collateral for the benefit of the Second Priority Representatives or the Second Priority Debt Parties. The provisions of this Agreement are intended solely to govern the respective Lien priorities as between the Senior Secured Parties and the Second Priority Debt Parties and shall not impose on the Senior Representatives, the Senior Secured Parties, the Second Priority Representatives, the Second Priority Debt Parties or any agent or trustee therefor any obligations in respect of the disposition of Proceeds of any Shared Collateral which would conflict with prior perfected claims therein in favor of any other Person or any order or decree of any court or governmental authority or any applicable law.</w:t>
      </w:r>
    </w:p>
    <w:p>
      <w:pPr>
        <w:spacing w:after="0" w:line="153" w:lineRule="exact"/>
        <w:rPr>
          <w:sz w:val="20"/>
          <w:szCs w:val="20"/>
          <w:color w:val="auto"/>
        </w:rPr>
      </w:pPr>
    </w:p>
    <w:p>
      <w:pPr>
        <w:jc w:val="both"/>
        <w:ind w:left="20" w:firstLine="1298"/>
        <w:spacing w:after="0" w:line="246"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Certain Cash Collateral</w:t>
      </w:r>
      <w:r>
        <w:rPr>
          <w:rFonts w:ascii="Times New Roman" w:cs="Times New Roman" w:eastAsia="Times New Roman" w:hAnsi="Times New Roman"/>
          <w:sz w:val="22"/>
          <w:szCs w:val="22"/>
          <w:color w:val="auto"/>
        </w:rPr>
        <w:t>. Notwithstanding anything in this Agreement or any other Senior Debt Documents or Second Priority Debt Documents to the contrary, Collateral consisting of cash and cash equivalents pledged to secure Senior Obligations consisting of reimbursement obligations in respect of Letters of Credit or otherwise held by the First Lien Collateral Agent pursuant to Section 2.05(j), 2.11(b), 2.22(a)(ii) or 2.22(a)(v) of the First Lien Credit Agreement (or any equivalent successor provision) shall be applied as specified in the First Lien Credit Agreement and will not constitute Shared Collateral.</w:t>
      </w: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III</w:t>
      </w:r>
    </w:p>
    <w:p>
      <w:pPr>
        <w:spacing w:after="0" w:line="35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xml:space="preserve"> SECTION 3.01. </w:t>
      </w:r>
      <w:r>
        <w:rPr>
          <w:rFonts w:ascii="Times New Roman" w:cs="Times New Roman" w:eastAsia="Times New Roman" w:hAnsi="Times New Roman"/>
          <w:sz w:val="22"/>
          <w:szCs w:val="22"/>
          <w:u w:val="single" w:color="auto"/>
          <w:color w:val="auto"/>
        </w:rPr>
        <w:t>Exercise of</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160" w:firstLine="1298"/>
        <w:spacing w:after="0" w:line="256" w:lineRule="auto"/>
        <w:tabs>
          <w:tab w:leader="none" w:pos="2332"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Discharge of Senior Obligations has not occurred, whether or not any Insolvency or Liquidation Proceeding has been commenced by or against the Company or any other Grantor, (i) neither any Second Priority Representative nor any Second Priority Debt Party will (x) exercise or seek to exercise any rights or remedies (including setoff or recoupment) with respect to any Shared Collateral in respect of any Second</w:t>
      </w:r>
    </w:p>
    <w:p>
      <w:pPr>
        <w:sectPr>
          <w:pgSz w:w="11900" w:h="16838" w:orient="portrait"/>
          <w:cols w:equalWidth="0" w:num="1">
            <w:col w:w="10780"/>
          </w:cols>
          <w:pgMar w:left="580" w:top="1440" w:right="539" w:bottom="1440" w:gutter="0" w:footer="0" w:header="0"/>
        </w:sectPr>
      </w:pPr>
    </w:p>
    <w:bookmarkStart w:id="349" w:name="page350"/>
    <w:bookmarkEnd w:id="349"/>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Priority Debt Obligations, or institute any action or proceeding with respect to such rights or remedies (including any action of foreclosure), (y) contest, protest or object to any foreclosure proceeding or action brought with respect to the Shared Collateral or any other Senior Collateral by any Senior Representative or any Senior Secured Party in respect of the Senior Obligations, the exercise of any right by any Senior Representative or any Senior Secured Party (or any agent or sub-agent on their behalf) in respect of the Senior Obligations under any lockbox agreement, control agreement, landlord waiver or bailee’s letter, if applicable, or similar agreement or arrangement to which any Senior Representative or any Senior Secured Party either is a party or may have rights as a third party beneficiary, or any other exercise by any such party of any rights and remedies relating to the Shared Collateral under the Senior Debt Documents or otherwise in respect of the Senior Collateral or the Senior Obligations, or (z) object to the forbearance by the Senior Secured Parties from bringing or pursuing any foreclosure proceeding or action or any other exercise of any rights or remedies relating to the Shared Collateral in respect of Senior Obligations, and (ii) except as otherwise provided herein, the Senior Representatives and the Senior Secured Parties shall have the exclusive right to enforce rights, exercise remedies (including setoff or recoupment and the right to credit bid their debt) and make determinations regarding the release, disposition or restrictions with respect to the Shared Collateral without any consultation with or the consent of any Second Priority Representative or any Second Priority Debt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Second Priority Representative or any Second Priority Debt Party may exercise any or all such rights after the passage of a period of 120 days from the date of delivery of a notice in writing to the Designated Senior Representative of such Second Priority Representative’s or Second Priority Debt Party’s intention to exercise its right to take such actions, which notice shall specify that an “Event of Default” as defined in the applicable Second Priority Debt Documents has occurred and, as a result of such “Event of Default”, the principal and interest under such Second Priority Debt Documents have become due and payable (whether as a result of acceleration or otherwise) (the “</w:t>
      </w:r>
      <w:r>
        <w:rPr>
          <w:rFonts w:ascii="Times New Roman" w:cs="Times New Roman" w:eastAsia="Times New Roman" w:hAnsi="Times New Roman"/>
          <w:sz w:val="21"/>
          <w:szCs w:val="21"/>
          <w:u w:val="single" w:color="auto"/>
          <w:color w:val="auto"/>
        </w:rPr>
        <w:t>Second Priority Standstill Period</w:t>
      </w:r>
      <w:r>
        <w:rPr>
          <w:rFonts w:ascii="Times New Roman" w:cs="Times New Roman" w:eastAsia="Times New Roman" w:hAnsi="Times New Roman"/>
          <w:sz w:val="21"/>
          <w:szCs w:val="21"/>
          <w:color w:val="auto"/>
        </w:rPr>
        <w:t xml:space="preserve">”) unless a Senior Representative has commenced and is diligently pursuing remedies with respect to any material portion of the Shared Collateral (or such exercise of remedies is stayed by applicable law or by any proceeding or any Grantor is then the subject of any Insolvency or Liquidation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 in any Insolvency or Liquidation Proceeding commenced by or against the Company or any other Grantor, any Second Priority Representative may file a claim, proof of claim, or statement of interest with respect to the Second Priority Debt Obligations under its Second Priority Debt Facility, (B) any Second Priority Representative may take any action (not adverse to the prior Liens on the Shared Collateral securing the Senior Obligations or the rights of the Senior Representatives or the Senior Secured Parties to exercise remedies in respect thereof) in order to create, prove, perfect, preserve or protect (but not enforce) its rights in, and perfection and priority of its Lien on, the Shared Collateral,</w:t>
      </w:r>
    </w:p>
    <w:p>
      <w:pPr>
        <w:spacing w:after="0" w:line="4" w:lineRule="exact"/>
        <w:rPr>
          <w:sz w:val="20"/>
          <w:szCs w:val="20"/>
          <w:color w:val="auto"/>
        </w:rPr>
      </w:pPr>
    </w:p>
    <w:p>
      <w:pPr>
        <w:jc w:val="both"/>
        <w:spacing w:after="0" w:line="248" w:lineRule="auto"/>
        <w:tabs>
          <w:tab w:leader="none" w:pos="366"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Second Priority Representative and the Second Priority Debt Parties may exercise their rights and remedies as unsecured creditors, to the extent as provided in Section 5.05, (D) any Second Priority Representative may exercise the rights and remedies provided for in Section 6.03, (E) any Second Priority Representative and any Second Priority Debt Party may file any necessary or appropriate responsive or defensive pleadings in opposition to any motion, claim, adversary proceeding, or other pleading made by any Person objecting to or otherwise seeking the disallowance that is not permitted by this Agreement of the claims or Liens of any Second Priority Debt Party, including any claims secured by the Shared Collateral, (F) any Second Priority Representative and any Second Priority Debt Party</w:t>
      </w:r>
    </w:p>
    <w:p>
      <w:pPr>
        <w:sectPr>
          <w:pgSz w:w="11900" w:h="16838" w:orient="portrait"/>
          <w:cols w:equalWidth="0" w:num="1">
            <w:col w:w="10620"/>
          </w:cols>
          <w:pgMar w:left="740" w:top="1422" w:right="539" w:bottom="1440" w:gutter="0" w:footer="0" w:header="0"/>
        </w:sectPr>
      </w:pPr>
    </w:p>
    <w:bookmarkStart w:id="350" w:name="page351"/>
    <w:bookmarkEnd w:id="350"/>
    <w:p>
      <w:pPr>
        <w:jc w:val="both"/>
        <w:spacing w:after="0" w:line="247" w:lineRule="auto"/>
        <w:rPr>
          <w:sz w:val="20"/>
          <w:szCs w:val="20"/>
          <w:color w:val="auto"/>
        </w:rPr>
      </w:pPr>
      <w:r>
        <w:rPr>
          <w:rFonts w:ascii="Times New Roman" w:cs="Times New Roman" w:eastAsia="Times New Roman" w:hAnsi="Times New Roman"/>
          <w:sz w:val="22"/>
          <w:szCs w:val="22"/>
          <w:color w:val="auto"/>
        </w:rPr>
        <w:t>may vote on any plan of reorganization or similar dispositive restructuring plan in a manner that is consistent with, and not in violation of, this Agreement (including Section 6.05(b)), with respect to the Second Priority Debt Obligations and the Shared Collateral, (G) any Second Priority Representative and any Second Priority Debt Party may join (but not exercise any control with respect to) any judicial foreclosure proceeding or other judicial lien enforcement proceeding with respect to the Shared Collateral initiated by the Designated Senior Representative or any other Senior Secured Party to the extent that any such action could not reasonably be expected, in any material respect, to restrain, hinder, limit, delay for any material period or otherwise interfere with the exercise of remedies by the Designated Senior Representative or such other Senior Secured Party (it being understood that neither Designated Second Priority Representative nor any other Second Priority Debt Party shall be entitled to receive any proceeds thereof unless otherwise expressly permitted herein), and (H) any Second Priority Representative and any Second Priority Debt Party may exercise any remedies after the termination of the Second Priority Standstill Period if and to the extent specifically permitted by this Section 3.01(a), in each case (A) through (H) above to the extent such action is not inconsistent with the terms of this Agreement. Any recovery by any Second Priority Debt Party pursuant to the preceding clause (H) shall be subject to the terms of this Agreement. In exercising rights and remedies with respect to the Senior Collateral, the Senior Representatives and the Senior Secured Parties may enforce the provisions of the Senior Debt Documents and exercise remedies thereunder, all in such order and in such manner as they may determine in the exercise of their sole discretion. Such exercise and enforcement shall include the rights of an agent appointed by them to sell or otherwise dispose of Shared Collateral upon foreclosure, to incur expenses in connection with such sale or disposition and to exercise all the rights and remedies of a secured lender under the Uniform Commercial Code of any applicable jurisdiction and of a secured creditor under the Bankruptcy Laws of any applicable jurisdiction.</w:t>
      </w:r>
    </w:p>
    <w:p>
      <w:pPr>
        <w:spacing w:after="0" w:line="17" w:lineRule="exact"/>
        <w:rPr>
          <w:sz w:val="20"/>
          <w:szCs w:val="20"/>
          <w:color w:val="auto"/>
        </w:rPr>
      </w:pPr>
    </w:p>
    <w:p>
      <w:pPr>
        <w:jc w:val="both"/>
        <w:ind w:left="-140" w:firstLine="1294"/>
        <w:spacing w:after="0" w:line="239" w:lineRule="auto"/>
        <w:tabs>
          <w:tab w:leader="none" w:pos="1531"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Discharge of Senior Obligations has not occurred, each Second Priority Representative, on behalf of itself and each Second Priority Debt Party under its Second Priority Debt Facility, agrees that it will not, in the context of its role as a Second Priority Debt Party, take or receive any Shared Collateral or any Proceeds of Shared Collateral in connection with the exercise of any right or remedy (including setoff or recoupment) with respect to any Shared Collateral in respect of Second Priority Debt Obligations. Without limiting the generality of the foregoing, unless and until the Discharge of Senior Obligations has occurred, except as expressly provided in the provisos in Section 3.01(a) and Sections 6.01 and 6.03, the sole right of the Second Priority Representatives and the Second Priority Debt Parties with respect to the Shared Collateral is to hold a Lien on the Shared Collateral in respect of Second Priority Debt Obligations pursuant to the Second Priority Debt Documents for the period and to the extent granted therein and to receive a share of the Proceeds thereof, if any, after the Discharge of Senior Obligations has occurred.</w:t>
      </w:r>
    </w:p>
    <w:p>
      <w:pPr>
        <w:spacing w:after="0" w:line="194" w:lineRule="exact"/>
        <w:rPr>
          <w:rFonts w:ascii="Times New Roman" w:cs="Times New Roman" w:eastAsia="Times New Roman" w:hAnsi="Times New Roman"/>
          <w:sz w:val="22"/>
          <w:szCs w:val="22"/>
          <w:color w:val="auto"/>
        </w:rPr>
      </w:pPr>
    </w:p>
    <w:p>
      <w:pPr>
        <w:jc w:val="both"/>
        <w:ind w:left="-140" w:firstLine="1294"/>
        <w:spacing w:after="0" w:line="250" w:lineRule="auto"/>
        <w:tabs>
          <w:tab w:leader="none" w:pos="1532"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each proviso in Section 3.01(a), (i) each Second Priority Representative, for itself and on behalf of each Second Priority Debt Party under its Second Priority Debt Facility, agrees that neither such Second Priority Representative nor any such Second Priority Debt Party will take any action that, notwithstanding the expiration of the Second Priority Standstill Period, would hinder, delay or interfere with any exercise of remedies undertaken by any Senior Representative or any Senior Secured Party with respect to the Shared Collateral under the Senior Debt Documents, including any sale, lease, exchange, transfer or other disposition of the Shared Collateral, whether by foreclosure or otherwise, and (ii) each</w:t>
      </w:r>
    </w:p>
    <w:p>
      <w:pPr>
        <w:sectPr>
          <w:pgSz w:w="11900" w:h="16838" w:orient="portrait"/>
          <w:cols w:equalWidth="0" w:num="1">
            <w:col w:w="10620"/>
          </w:cols>
          <w:pgMar w:left="740" w:top="1422" w:right="539" w:bottom="1440" w:gutter="0" w:footer="0" w:header="0"/>
        </w:sectPr>
      </w:pPr>
    </w:p>
    <w:bookmarkStart w:id="351" w:name="page352"/>
    <w:bookmarkEnd w:id="351"/>
    <w:p>
      <w:pPr>
        <w:spacing w:after="0" w:line="144"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22"/>
          <w:szCs w:val="22"/>
          <w:color w:val="auto"/>
        </w:rPr>
        <w:t>Second Priority Representative, for itself and on behalf of each Second Priority Debt Party under its Second Priority Debt Facility, hereby waives any and all rights it or any such Second Priority Debt Party may have as a junior lien creditor or otherwise to object to the manner in which the Senior Representatives or the Senior Secured Parties seek to enforce or collect the Senior Obligations or the Liens granted on any of the Senior Collateral, regardless of whether any action or failure to act by or on behalf of any Senior Representative or any other Senior Secured Party is adverse to the interests of the Second Priority Debt Parties.</w:t>
      </w:r>
    </w:p>
    <w:p>
      <w:pPr>
        <w:spacing w:after="0" w:line="195" w:lineRule="exact"/>
        <w:rPr>
          <w:sz w:val="20"/>
          <w:szCs w:val="20"/>
          <w:color w:val="auto"/>
        </w:rPr>
      </w:pPr>
    </w:p>
    <w:p>
      <w:pPr>
        <w:jc w:val="both"/>
        <w:ind w:left="20" w:firstLine="1294"/>
        <w:spacing w:after="0" w:line="252" w:lineRule="auto"/>
        <w:tabs>
          <w:tab w:leader="none" w:pos="1691"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Second Priority Representative hereby acknowledges and agrees that no covenant, agreement or restriction contained in any Second Priority Debt Document shall be deemed to restrict in any way the rights and remedies of the Senior Representatives or the Senior Secured Parties with respect to the Senior Collateral as set forth in this Agreement and the Senior Debt Documents.</w:t>
      </w:r>
    </w:p>
    <w:p>
      <w:pPr>
        <w:spacing w:after="0" w:line="17" w:lineRule="exact"/>
        <w:rPr>
          <w:rFonts w:ascii="Times New Roman" w:cs="Times New Roman" w:eastAsia="Times New Roman" w:hAnsi="Times New Roman"/>
          <w:sz w:val="22"/>
          <w:szCs w:val="22"/>
          <w:color w:val="auto"/>
        </w:rPr>
      </w:pPr>
    </w:p>
    <w:p>
      <w:pPr>
        <w:jc w:val="both"/>
        <w:ind w:left="20" w:firstLine="1294"/>
        <w:spacing w:after="0" w:line="248" w:lineRule="auto"/>
        <w:tabs>
          <w:tab w:leader="none" w:pos="1692" w:val="left"/>
        </w:tabs>
        <w:numPr>
          <w:ilvl w:val="0"/>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Until the Discharge of Senior Obligations, the Designated Senior Representative (or any Person authorized by it) shall have the exclusive right to exercise any right or remedy with respect to the Shared Collateral and shall have the exclusive right to determine and direct the time, method and place for exercising such right or remedy or conducting any proceeding with respect thereto;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the Second Priority Representative and the Second Priority Debt Parties may exercise any of their rights or remedies with respect to the Shared Collateral to the extent permitted by the provisos in Section 3.01(a) and Sections 6.01 and 6.03. Following the Discharge of Senior Obligations, the Designated Second Priority Representative(or any Person authorized by it) shall have the exclusive right to exercise any right or remedy with respect to the Collateral, and the Designated Second Priority Representative (or any Person authorized by it) shall have the exclusive right to direct the time, method and place of exercising or conducting any proceeding for the exercise of any right or remedy available to the Second Priority Debt Parties with respect to the Collateral, or of exercising or directing the exercise of any trust or power conferred on the Second Priority Representatives, or for the taking of any other action authorized by the Second Priority Collateral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impair the ability of the Second Priority Representative and the Second Priority Debt Parties to exercise any of their rights or remedies with respect to the Shared Collateral to the extent permitted by the provisos in Section 3.01(a) or Sections 6.01 and 6.03;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nothing in this Section shall impair the right of any Second Priority Representative or other agent or trustee acting on behalf of the Second Priority Debt Parties to take such actions with respect to the Collateral after the Discharge of Senior Obligations as may be otherwise required or authorized pursuant to any intercreditor agreement governing the Second Priority Debt Parties or the Second Priority Debt Obligations.</w:t>
      </w:r>
    </w:p>
    <w:p>
      <w:pPr>
        <w:spacing w:after="0" w:line="193" w:lineRule="exact"/>
        <w:rPr>
          <w:sz w:val="20"/>
          <w:szCs w:val="20"/>
          <w:color w:val="auto"/>
        </w:rPr>
      </w:pPr>
    </w:p>
    <w:p>
      <w:pPr>
        <w:jc w:val="both"/>
        <w:ind w:firstLine="1298"/>
        <w:spacing w:after="0" w:line="251"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Subject to each proviso in Section 3.01(a), each Second Priority Representative, on behalf of itself and each Second Priority Debt Party under its Second Priority Debt Facility, agrees that, unless and until the Discharge of Senior Obligations has occurred, it will not commence, or join with any Person (other than the Senior Secured Parties and the Senior Representatives upon the request of the Designated Senior Representative) in commencing, any enforcement, collection, execution, levy or foreclosure action or proceeding with respect to any Lien held by it in the Shared Collateral under any of the Second Priority Debt Documents.</w:t>
      </w:r>
    </w:p>
    <w:p>
      <w:pPr>
        <w:spacing w:after="0" w:line="195" w:lineRule="exact"/>
        <w:rPr>
          <w:sz w:val="20"/>
          <w:szCs w:val="20"/>
          <w:color w:val="auto"/>
        </w:rPr>
      </w:pPr>
    </w:p>
    <w:p>
      <w:pPr>
        <w:jc w:val="both"/>
        <w:ind w:left="20" w:firstLine="1298"/>
        <w:spacing w:after="0" w:line="271"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Actions upon Breach</w:t>
      </w:r>
      <w:r>
        <w:rPr>
          <w:rFonts w:ascii="Times New Roman" w:cs="Times New Roman" w:eastAsia="Times New Roman" w:hAnsi="Times New Roman"/>
          <w:sz w:val="22"/>
          <w:szCs w:val="22"/>
          <w:color w:val="auto"/>
        </w:rPr>
        <w:t>. Should any Second Priority Representative or any Second Priority Debt Party, contrary to this Agreement, in any way take, attempt to take</w:t>
      </w:r>
    </w:p>
    <w:p>
      <w:pPr>
        <w:sectPr>
          <w:pgSz w:w="11900" w:h="16838" w:orient="portrait"/>
          <w:cols w:equalWidth="0" w:num="1">
            <w:col w:w="10780"/>
          </w:cols>
          <w:pgMar w:left="580" w:top="1440" w:right="539" w:bottom="1440" w:gutter="0" w:footer="0" w:header="0"/>
        </w:sectPr>
      </w:pPr>
    </w:p>
    <w:bookmarkStart w:id="352" w:name="page353"/>
    <w:bookmarkEnd w:id="352"/>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or threaten to take any action with respect to the Shared Collateral (including any attempt to realize upon or enforce any remedy with respect to this Agreement) or fail to take any action required by this Agreement, any Senior Representative or other Senior Secured Party (in its or their own name or in the name of the Company or any other Grantor) may obtain relief against such Second Priority Representative or such Second Priority Debt Party by injunction, specific performance or other appropriate equitable relief. Each Second Priority Representative, on behalf of itself and each Second Priority Debt Party under its Second Priority Facility, hereby (i) agrees that the Senior Secured Parties’ damages from the actions of the Second Party Representatives or any Second Priority Debt Party may at that time be difficult to ascertain and may be irreparable and waives any defense that the Company, any other Grantor or the Senior Secured Parties cannot demonstrate damage or be made whole by the awarding of damages and (ii) irrevocably waives any defense based on the adequacy of a remedy at law and any other defense that might be asserted to bar the remedy of specific performance in any action that may be brought by any Senior Representative or any other Senior Secured Party.</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IV</w:t>
      </w: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Payments</w:t>
      </w:r>
    </w:p>
    <w:p>
      <w:pPr>
        <w:spacing w:after="0" w:line="220" w:lineRule="exact"/>
        <w:rPr>
          <w:sz w:val="20"/>
          <w:szCs w:val="20"/>
          <w:color w:val="auto"/>
        </w:rPr>
      </w:pPr>
    </w:p>
    <w:p>
      <w:pPr>
        <w:jc w:val="both"/>
        <w:ind w:firstLine="1298"/>
        <w:spacing w:after="0" w:line="259"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Application of Proceeds</w:t>
      </w:r>
      <w:r>
        <w:rPr>
          <w:rFonts w:ascii="Times New Roman" w:cs="Times New Roman" w:eastAsia="Times New Roman" w:hAnsi="Times New Roman"/>
          <w:sz w:val="21"/>
          <w:szCs w:val="21"/>
          <w:color w:val="auto"/>
        </w:rPr>
        <w:t>. After an event of default under any Senior Debt Document has occurred and until such event of default is cured or waived, so long as the Discharge of Senior Obligations has not occurred, the Shared Collateral or Proceeds thereof received in connection with the sale or other disposition of, or collection on, such Shared Collateral upon the exercise of remedies shall be applied: (a) first, by the Designated Senior Representative to the Senior Obligations in such order as specified in the relevant Senior Debt Documents until the Discharge of Senior Obligations has occurred (together with, in the case of repayment of any revolving credit or similar loans, a permanent reduction in the commitments thereunder), (b) second, shall be applied by the Designated Second Priority Representative to the Second Priority Debt Obligations until the Discharge of Second Priority Debt Obligations has occurred, (c) third, shall be applied by the Designated Senior Representative to any obligations (including any Excluded Senior Obligations) owed to the Senior Secured Parties in excess of the Maximum Senior Principal Amount and (d) fourth, to the Grantors or as a court of competent jurisdiction may otherwise direct. Upon the Discharge of Senior Obligations, each applicable Senior Representative shall deliver promptly to the Designated Second Priority Representative any Shared Collateral or Proceeds thereof held by it in the same form as received, with any necessary endorsements, or as a court of competent jurisdiction may otherwise direct, to be applied by the Designated Second Priority Representative to the Second Priority Debt Obligations in such order as specified in the relevant Second Priority Debt Documents. Upon the Discharge of Second Priority Debt Obligations, each applicable Second Priority Representative shall deliver promptly to the Designated Senior Representative any Shared Collateral or Proceeds thereof held by it in the same form as received, with any necessary endorsements, or as a court of competent jurisdiction may otherwise direct, to be applied by the Designated Senior Representative to any obligations owed to the Senior Secured Parties in excess of the Maximum Senior Principal Amount in such order as specified in the relevant Senior Debt Documents.</w:t>
      </w:r>
    </w:p>
    <w:p>
      <w:pPr>
        <w:spacing w:after="0" w:line="202" w:lineRule="exact"/>
        <w:rPr>
          <w:sz w:val="20"/>
          <w:szCs w:val="20"/>
          <w:color w:val="auto"/>
        </w:rPr>
      </w:pPr>
    </w:p>
    <w:p>
      <w:pPr>
        <w:jc w:val="both"/>
        <w:ind w:firstLine="1298"/>
        <w:spacing w:after="0" w:line="271"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Payments Over</w:t>
      </w:r>
      <w:r>
        <w:rPr>
          <w:rFonts w:ascii="Times New Roman" w:cs="Times New Roman" w:eastAsia="Times New Roman" w:hAnsi="Times New Roman"/>
          <w:sz w:val="22"/>
          <w:szCs w:val="22"/>
          <w:color w:val="auto"/>
        </w:rPr>
        <w:t>. Prior to the Discharge of Senior Obligations, any Shared Collateral or Proceeds thereof received by any Second Priority Representative or any</w:t>
      </w:r>
    </w:p>
    <w:p>
      <w:pPr>
        <w:sectPr>
          <w:pgSz w:w="11900" w:h="16838" w:orient="portrait"/>
          <w:cols w:equalWidth="0" w:num="1">
            <w:col w:w="10760"/>
          </w:cols>
          <w:pgMar w:left="600" w:top="1440" w:right="539" w:bottom="1440" w:gutter="0" w:footer="0" w:header="0"/>
        </w:sectPr>
      </w:pPr>
    </w:p>
    <w:bookmarkStart w:id="353" w:name="page354"/>
    <w:bookmarkEnd w:id="353"/>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Second Priority Debt Party in connection with the exercise of any right or remedy (including setoff or recoupment) relating to the Shared Collateral, in any Insolvency or Liquidation Proceeding (except as otherwise set forth in Article VI), or otherwise in contravention of this Agreement shall be segregated and held in trust for the benefit of and forthwith paid over to the Designated Senior Representative for the benefit of the Senior Secured Parties in the same form as received, with any necessary endorsements, or as a court of competent jurisdiction may otherwise direct. The Designated Senior Representative is hereby authorized to make any such endorsements as agent for each of the Second Priority Representatives or any such Second Priority Debt Party. This authorization is coupled with an interest and is irrevocable.</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V</w:t>
      </w:r>
    </w:p>
    <w:p>
      <w:pPr>
        <w:spacing w:after="0" w:line="35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u w:val="single" w:color="auto"/>
          <w:color w:val="auto"/>
        </w:rPr>
        <w:t>Other Agreements</w:t>
      </w:r>
      <w:r>
        <w:rPr>
          <w:rFonts w:ascii="Times New Roman" w:cs="Times New Roman" w:eastAsia="Times New Roman" w:hAnsi="Times New Roman"/>
          <w:sz w:val="22"/>
          <w:szCs w:val="22"/>
          <w:color w:val="auto"/>
        </w:rPr>
        <w:t xml:space="preserve"> SECTION</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5.01.</w:t>
      </w:r>
      <w:r>
        <w:rPr>
          <w:sz w:val="20"/>
          <w:szCs w:val="20"/>
          <w:color w:val="auto"/>
        </w:rPr>
        <w:tab/>
      </w:r>
      <w:r>
        <w:rPr>
          <w:rFonts w:ascii="Times New Roman" w:cs="Times New Roman" w:eastAsia="Times New Roman" w:hAnsi="Times New Roman"/>
          <w:sz w:val="21"/>
          <w:szCs w:val="21"/>
          <w:u w:val="single" w:color="auto"/>
          <w:color w:val="auto"/>
        </w:rPr>
        <w:t>Releases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left="140" w:firstLine="1298"/>
        <w:spacing w:after="0" w:line="246" w:lineRule="auto"/>
        <w:tabs>
          <w:tab w:leader="none" w:pos="2312"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Second Priority Representative, for itself and on behalf of each Second Priority Debt Party under its Second Priority Debt Facility, agrees that, in the event of a sale, transfer or other disposition of any specified item of Shared Collateral (including all or substantially all of the equity interests of any subsidiary of the Company) (a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xml:space="preserve">”), the Liens granted to the Second Priority Representatives and the Second Priority Debt Parties upon such Shared Collateral to secure Second Priority Debt Obligations shall terminate or shall be released, automatically and without any further action, concurrently with the termination or release of all Liens granted upon such Shared Collateral to secure Senior Obligations, provided that the parties’ respective Liens shall attach to the net proceeds of such Disposition with the same Lien priorities as provided in this Agreement to the extent such proceeds are not otherwise utilized to permanently reduce the Senior Obligations. Upon delivery to a Second Priority Representative of an Officer’s Certificate or other written document (including any release document from the Designated Senior Representative) stating or providing evidence that any such termination or release of Liens securing the Senior Obligations has become effective (or shall become effective concurrently with such termination or release of the Liens granted to the Second Priority Debt Parties and the Second Priority Representatives) and any necessary or proper instruments of termination or release prepared by the Company or any other Grantor, such Second Priority Representative will promptly execute, deliver or acknowledge, at the Company’s or the other Grantor’s sole cost and expense, such instruments to evidence such termination or release of the Liens;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Officer’s Certificate shall not be required for any termination or release in connection with the exercise of remedies following an Event of Default. Nothing in this Section 5.01(a) will be deemed to (x) affect any agreement of a Second Priority Representative, for itself and on behalf of the Second Priority Debt Parties under its Second Priority Debt Facility, to release the Liens on the Second Priority Collateral as set forth in the relevant Second Priority Debt Documents or (y) except in the case of a Disposition in connection with the exercise of secured creditors’ rights and remedies, require the release of Liens granted upon such Shared Collateral to secure Second Priority Debt Obligations if such Disposition is not permitted under the terms of the Second Priority Debt Documents.</w:t>
      </w:r>
    </w:p>
    <w:p>
      <w:pPr>
        <w:sectPr>
          <w:pgSz w:w="11900" w:h="16838" w:orient="portrait"/>
          <w:cols w:equalWidth="0" w:num="1">
            <w:col w:w="10760"/>
          </w:cols>
          <w:pgMar w:left="600" w:top="1440" w:right="539" w:bottom="1440" w:gutter="0" w:footer="0" w:header="0"/>
        </w:sectPr>
      </w:pPr>
    </w:p>
    <w:bookmarkStart w:id="354" w:name="page355"/>
    <w:bookmarkEnd w:id="354"/>
    <w:p>
      <w:pPr>
        <w:spacing w:after="0" w:line="158" w:lineRule="exact"/>
        <w:rPr>
          <w:sz w:val="20"/>
          <w:szCs w:val="20"/>
          <w:color w:val="auto"/>
        </w:rPr>
      </w:pPr>
    </w:p>
    <w:p>
      <w:pPr>
        <w:jc w:val="both"/>
        <w:ind w:left="4" w:firstLine="1294"/>
        <w:spacing w:after="0" w:line="262" w:lineRule="auto"/>
        <w:tabs>
          <w:tab w:leader="none" w:pos="1675" w:val="left"/>
        </w:tabs>
        <w:numPr>
          <w:ilvl w:val="1"/>
          <w:numId w:val="4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Second Priority Representative, for itself and on behalf of each Second Priority Debt Party under its Second Priority Debt Facility, hereby irrevocably constitutes and appoints the Designated Senior Representative and any officer or agent of the Designated Senior Representative, with full power of substitution, as its true and lawful attorney-in-fact with full irrevocable power and authority in the place and stead of such Second Priority Representative or such Second Priority Debt Party or in the Designated Senior Representative’s own name, from time to time in the Designated Senior Representative’s discretion, for the purpose of carrying out the terms of Section 5.01(a), to take any and all appropriate action and to execute any and all documents and instruments that may be necessary or desirable to accomplish the purposes of Section 5.01(a), including any termination statements, endorsements or other instruments of transfer or release.</w:t>
      </w:r>
    </w:p>
    <w:p>
      <w:pPr>
        <w:spacing w:after="0" w:line="172" w:lineRule="exact"/>
        <w:rPr>
          <w:rFonts w:ascii="Times New Roman" w:cs="Times New Roman" w:eastAsia="Times New Roman" w:hAnsi="Times New Roman"/>
          <w:sz w:val="21"/>
          <w:szCs w:val="21"/>
          <w:color w:val="auto"/>
        </w:rPr>
      </w:pPr>
    </w:p>
    <w:p>
      <w:pPr>
        <w:jc w:val="both"/>
        <w:ind w:left="4" w:right="20" w:firstLine="1294"/>
        <w:spacing w:after="0" w:line="250" w:lineRule="auto"/>
        <w:tabs>
          <w:tab w:leader="none" w:pos="1676" w:val="left"/>
        </w:tabs>
        <w:numPr>
          <w:ilvl w:val="1"/>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and until the Discharge of Senior Obligations has occurred, each Second Priority Representative, for itself and on behalf of each Second Priority Debt Party under its Second Priority Debt Facility, hereby consents to the application, whether prior to or after an event of default under any Senior Debt Document of Proceeds of Shared Collateral to the repayment of Senior Obligations pursuant to the Senior Debt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5.01(c) shall be construed to prevent or impair the rights of the Second Priority Representatives or the Second Priority Debt Parties to receive Proceeds in connection with the Second Priority Debt Obligations not otherwise in contravention of this Agreement.</w:t>
      </w:r>
    </w:p>
    <w:p>
      <w:pPr>
        <w:spacing w:after="0" w:line="18" w:lineRule="exact"/>
        <w:rPr>
          <w:rFonts w:ascii="Times New Roman" w:cs="Times New Roman" w:eastAsia="Times New Roman" w:hAnsi="Times New Roman"/>
          <w:sz w:val="22"/>
          <w:szCs w:val="22"/>
          <w:color w:val="auto"/>
        </w:rPr>
      </w:pPr>
    </w:p>
    <w:p>
      <w:pPr>
        <w:jc w:val="both"/>
        <w:ind w:left="4" w:firstLine="1294"/>
        <w:spacing w:after="0" w:line="260" w:lineRule="auto"/>
        <w:tabs>
          <w:tab w:leader="none" w:pos="1675" w:val="left"/>
        </w:tabs>
        <w:numPr>
          <w:ilvl w:val="1"/>
          <w:numId w:val="4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any Second Priority Collateral Document, in the event the terms of a Senior Collateral Document and a Second Priority Collateral Document each require any Grantor to (i) make payment in respect of any item of Shared Collateral to, (ii) deliver or afford control over any item of Shared Collateral to, or deposit any item of Shared Collateral with, (iii) register ownership of any item of Shared Collateral in the name of, or make an assignment of ownership of any Shared Collateral or the rights thereunder to, (iv) cause any securities intermediary, commodity intermediary or other Person acting in a similar capacity to agree to comply, in respect of any item of Shared Collateral, with instructions or orders from, or to treat, in respect of any item of Shared Collateral, as the entitlement holder,</w:t>
      </w:r>
    </w:p>
    <w:p>
      <w:pPr>
        <w:spacing w:after="0" w:line="1" w:lineRule="exact"/>
        <w:rPr>
          <w:rFonts w:ascii="Times New Roman" w:cs="Times New Roman" w:eastAsia="Times New Roman" w:hAnsi="Times New Roman"/>
          <w:sz w:val="21"/>
          <w:szCs w:val="21"/>
          <w:color w:val="auto"/>
        </w:rPr>
      </w:pPr>
    </w:p>
    <w:p>
      <w:pPr>
        <w:jc w:val="both"/>
        <w:ind w:left="4" w:hanging="4"/>
        <w:spacing w:after="0" w:line="247" w:lineRule="auto"/>
        <w:tabs>
          <w:tab w:leader="none" w:pos="325"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any item of Shared Collateral in trust for (to the extent such item of Shared Collateral cannot be held in trust for multiple parties under applicable law), (vi) obtain the agreement of a bailee or other third party to hold any item of Shared Collateral for the benefit of or subject to the control of or, in respect of any item of Shared Collateral, to follow the instructions of or (vii) obtain the agreement of a landlord with respect to access to leased premises where any item of Shared Collateral is located or waivers or subordination of rights with respect to any item of Shared Collateral in favor of, in any case, any Senior Representative or Senior Secured Party and any Second Priority Representative or Second Priority Debt Party, such Grantor may, until the applicable Discharge of Senior Obligations has occurred, comply with such requirement under the Second Priority Collateral Document as it relates to such Shared Collateral by taking any of the actions set forth above only with respect to, or in favor of, the Designated Senior Representative.</w:t>
      </w:r>
    </w:p>
    <w:p>
      <w:pPr>
        <w:spacing w:after="0" w:line="184" w:lineRule="exact"/>
        <w:rPr>
          <w:sz w:val="20"/>
          <w:szCs w:val="20"/>
          <w:color w:val="auto"/>
        </w:rPr>
      </w:pPr>
    </w:p>
    <w:p>
      <w:pPr>
        <w:jc w:val="both"/>
        <w:ind w:left="4" w:firstLine="1298"/>
        <w:spacing w:after="0" w:line="252"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Insurance and Condemnation Awards</w:t>
      </w:r>
      <w:r>
        <w:rPr>
          <w:rFonts w:ascii="Times New Roman" w:cs="Times New Roman" w:eastAsia="Times New Roman" w:hAnsi="Times New Roman"/>
          <w:sz w:val="22"/>
          <w:szCs w:val="22"/>
          <w:color w:val="auto"/>
        </w:rPr>
        <w:t>. Unless and until the Discharge of Senior Obligations has occurred, the Designated Senior Representative and the Senior Secured Parties shall have the sole and exclusive right, subject to the rights of the Grantors under the Senior Debt Documents, (a) to adjust settlement for any insurance policy covering the Shared Collateral in the event of any loss thereunder and (b) to approve any award</w:t>
      </w:r>
    </w:p>
    <w:p>
      <w:pPr>
        <w:sectPr>
          <w:pgSz w:w="11900" w:h="16838" w:orient="portrait"/>
          <w:cols w:equalWidth="0" w:num="1">
            <w:col w:w="10764"/>
          </w:cols>
          <w:pgMar w:left="596" w:top="1440" w:right="539" w:bottom="1440" w:gutter="0" w:footer="0" w:header="0"/>
        </w:sectPr>
      </w:pPr>
    </w:p>
    <w:bookmarkStart w:id="355" w:name="page356"/>
    <w:bookmarkEnd w:id="355"/>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granted in any condemnation or similar proceeding affecting the Shared Collateral. Unless and until the Discharge of Senior Obligations has occurred, all proceeds of any such policy and any such award, if in respect of the Shared Collateral, shall be paid (i) first, prior to the occurrence of the Discharge of Senior Obligations, to the Designated Senior Representative for the benefit of Senior Secured Parties pursuant to the terms of the Senior Debt Documents, (ii) second, after the occurrence of the Discharge of Senior Obligations, to the Designated Second Priority Representative for the benefit of the Second Priority Debt Parties pursuant to the terms of the applicable Second Priority Debt Documents, (iii) third, after the occurrence of the Discharge of Second Priority Debt Obligations, to the Designated Senior Representative for the benefit of the Senior Secured Parties pursuant to the terms of the applicable Senior Debt Documents with respect to any obligations owed to the Senior Secured Parties in excess of the Maximum Senior Principal Amount, and (iv) fourth, if no Second Priority Debt Obligations or any obligations to the Senior Secured Parties in excess of the Maximum Senior Principal Amount are outstanding, to the owner of the subject property, such other Person as may be entitled thereto or as a court of competent jurisdiction may otherwise direct. If any Second Priority Representative or any Second Priority Debt Party shall, at any time, receive any proceeds of any such insurance policy or any such award in contravention of this Agreement, it shall pay such proceeds over to the Designated Senior Representative in accordance with the terms of Section 4.02.</w:t>
      </w:r>
    </w:p>
    <w:p>
      <w:pPr>
        <w:spacing w:after="0" w:line="185" w:lineRule="exact"/>
        <w:rPr>
          <w:sz w:val="20"/>
          <w:szCs w:val="20"/>
          <w:color w:val="auto"/>
        </w:rPr>
      </w:pPr>
    </w:p>
    <w:p>
      <w:pPr>
        <w:ind w:left="126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u w:val="single" w:color="auto"/>
          <w:color w:val="auto"/>
        </w:rPr>
        <w:t>Matters Relating to Loan Documents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40" w:firstLine="1298"/>
        <w:spacing w:after="0" w:line="250" w:lineRule="auto"/>
        <w:tabs>
          <w:tab w:leader="none" w:pos="2312" w:val="left"/>
        </w:tabs>
        <w:numPr>
          <w:ilvl w:val="2"/>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Senior Debt Documents and the terms thereof may be amended, restated, supplemented, waived or otherwise modified (including in connection with the incurrence of any incremental facilities) in accordance with their terms, and the Indebtedness under the Senior Debt Documents may be Refinanced, in each case, without the consent of any Second Priority Debt Parties;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without the consent of the Second Priority Representatives or the Second Priority Debt Parties, no such amendment, restatement, supplement, modification, waiver or Refinancing (or successive amendments, restatements, supplements, modifications, waivers or Refinancings) shall contravene any provision of this Agreement.</w:t>
      </w:r>
    </w:p>
    <w:p>
      <w:pPr>
        <w:spacing w:after="0" w:line="193" w:lineRule="exact"/>
        <w:rPr>
          <w:rFonts w:ascii="Times New Roman" w:cs="Times New Roman" w:eastAsia="Times New Roman" w:hAnsi="Times New Roman"/>
          <w:sz w:val="22"/>
          <w:szCs w:val="22"/>
          <w:color w:val="auto"/>
        </w:rPr>
      </w:pPr>
    </w:p>
    <w:p>
      <w:pPr>
        <w:jc w:val="both"/>
        <w:ind w:left="-20" w:firstLine="1298"/>
        <w:spacing w:after="0" w:line="244" w:lineRule="auto"/>
        <w:tabs>
          <w:tab w:leader="none" w:pos="1664"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the Senior Representative, no Second Priority Debt Document may be amended, restated, supplemented or otherwise modified, or entered into, to the extent such amendment, restatement, supplement or modification, or the terms of such new Second Priority Debt Document, would:</w:t>
      </w:r>
    </w:p>
    <w:p>
      <w:pPr>
        <w:spacing w:after="0" w:line="38" w:lineRule="exact"/>
        <w:rPr>
          <w:rFonts w:ascii="Times New Roman" w:cs="Times New Roman" w:eastAsia="Times New Roman" w:hAnsi="Times New Roman"/>
          <w:sz w:val="22"/>
          <w:szCs w:val="22"/>
          <w:color w:val="auto"/>
        </w:rPr>
      </w:pPr>
    </w:p>
    <w:p>
      <w:pPr>
        <w:ind w:left="1920" w:hanging="583"/>
        <w:spacing w:after="0"/>
        <w:tabs>
          <w:tab w:leader="none" w:pos="1920" w:val="left"/>
        </w:tabs>
        <w:numPr>
          <w:ilvl w:val="1"/>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the provisions of this Agreement; or</w:t>
      </w:r>
    </w:p>
    <w:p>
      <w:pPr>
        <w:spacing w:after="0" w:line="206" w:lineRule="exact"/>
        <w:rPr>
          <w:rFonts w:ascii="Times New Roman" w:cs="Times New Roman" w:eastAsia="Times New Roman" w:hAnsi="Times New Roman"/>
          <w:sz w:val="22"/>
          <w:szCs w:val="22"/>
          <w:color w:val="auto"/>
        </w:rPr>
      </w:pPr>
    </w:p>
    <w:p>
      <w:pPr>
        <w:jc w:val="both"/>
        <w:ind w:left="640" w:right="20" w:firstLine="639"/>
        <w:spacing w:after="0" w:line="250" w:lineRule="auto"/>
        <w:tabs>
          <w:tab w:leader="none" w:pos="1674" w:val="left"/>
        </w:tabs>
        <w:numPr>
          <w:ilvl w:val="1"/>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resulting Indebtedness would otherwise expressly be permitted under the Senior Priority Debt Documents, change to earlier dates any scheduled dates for payment of principal (including the final maturity date) or of interest on Indebtedness under such Second Priority Debt Document.</w:t>
      </w:r>
    </w:p>
    <w:p>
      <w:pPr>
        <w:spacing w:after="0" w:line="181" w:lineRule="exact"/>
        <w:rPr>
          <w:sz w:val="20"/>
          <w:szCs w:val="20"/>
          <w:color w:val="auto"/>
        </w:rPr>
      </w:pPr>
    </w:p>
    <w:p>
      <w:pPr>
        <w:ind w:left="128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Amendments to Second Priority Collateral Documents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60" w:firstLine="1292"/>
        <w:spacing w:after="0" w:line="256" w:lineRule="auto"/>
        <w:tabs>
          <w:tab w:leader="none" w:pos="2318"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Second Priority Collateral Document may be amended, supplemented or otherwise modified or entered into to the extent such amendment, supplement or modification, or the terms of any new Second Priority Collateral Document, would be prohibited by or inconsistent with any of the terms of this Agreement. The Company agrees to</w:t>
      </w:r>
    </w:p>
    <w:p>
      <w:pPr>
        <w:sectPr>
          <w:pgSz w:w="11900" w:h="16838" w:orient="portrait"/>
          <w:cols w:equalWidth="0" w:num="1">
            <w:col w:w="10760"/>
          </w:cols>
          <w:pgMar w:left="600" w:top="1440" w:right="539" w:bottom="1440" w:gutter="0" w:footer="0" w:header="0"/>
        </w:sectPr>
      </w:pPr>
    </w:p>
    <w:bookmarkStart w:id="356" w:name="page357"/>
    <w:bookmarkEnd w:id="356"/>
    <w:p>
      <w:pPr>
        <w:spacing w:after="0" w:line="144" w:lineRule="exact"/>
        <w:rPr>
          <w:sz w:val="20"/>
          <w:szCs w:val="20"/>
          <w:color w:val="auto"/>
        </w:rPr>
      </w:pPr>
    </w:p>
    <w:p>
      <w:pPr>
        <w:jc w:val="both"/>
        <w:ind w:left="164" w:right="20"/>
        <w:spacing w:after="0" w:line="265" w:lineRule="auto"/>
        <w:rPr>
          <w:sz w:val="20"/>
          <w:szCs w:val="20"/>
          <w:color w:val="auto"/>
        </w:rPr>
      </w:pPr>
      <w:r>
        <w:rPr>
          <w:rFonts w:ascii="Times New Roman" w:cs="Times New Roman" w:eastAsia="Times New Roman" w:hAnsi="Times New Roman"/>
          <w:sz w:val="21"/>
          <w:szCs w:val="21"/>
          <w:color w:val="auto"/>
        </w:rPr>
        <w:t>deliver to the Designated Senior Representative copies of (i) any amendments, supplements or other modifications to the Second Priority Collateral Documents and (ii) any new Second Priority Collateral Documents promptly after effectiveness thereof. Each Second Priority Representative, for itself and on behalf of each Second Priority Debt Party under its Second Priority Debt Facility, agrees that the Grantors may cause (and the Grantors agree to cause) each security agreement included in the Second Priority Collateral Document under its Second Priority Debt Facility to include the following language (or language to similar effect reasonably approved by the Designated Senior Representative):</w:t>
      </w:r>
    </w:p>
    <w:p>
      <w:pPr>
        <w:spacing w:after="0" w:line="169" w:lineRule="exact"/>
        <w:rPr>
          <w:sz w:val="20"/>
          <w:szCs w:val="20"/>
          <w:color w:val="auto"/>
        </w:rPr>
      </w:pPr>
    </w:p>
    <w:p>
      <w:pPr>
        <w:jc w:val="both"/>
        <w:ind w:left="644" w:right="640"/>
        <w:spacing w:after="0" w:line="274" w:lineRule="auto"/>
        <w:rPr>
          <w:sz w:val="20"/>
          <w:szCs w:val="20"/>
          <w:color w:val="auto"/>
        </w:rPr>
      </w:pPr>
      <w:r>
        <w:rPr>
          <w:rFonts w:ascii="Times New Roman" w:cs="Times New Roman" w:eastAsia="Times New Roman" w:hAnsi="Times New Roman"/>
          <w:sz w:val="20"/>
          <w:szCs w:val="20"/>
          <w:color w:val="auto"/>
        </w:rPr>
        <w:t xml:space="preserve">“Notwithstanding anything herein to the contrary, (i) the liens and security interests granted to the Second Priority Representative pursuant to this Agreement are expressly subject and subordinate to the liens and security interests granted in favor of the Senior Secured Parties (as defined in the Intercreditor Agreement referred to below), including liens and security interests granted to JPMorgan Chase Bank, N.A., as collateral agent, pursuant to or in connection with the First Lien Credit Agreement dated as of [ ] </w:t>
      </w:r>
      <w:r>
        <w:rPr>
          <w:rFonts w:ascii="Times New Roman" w:cs="Times New Roman" w:eastAsia="Times New Roman" w:hAnsi="Times New Roman"/>
          <w:sz w:val="12"/>
          <w:szCs w:val="12"/>
          <w:color w:val="auto"/>
        </w:rPr>
        <w:t>3</w:t>
      </w:r>
      <w:r>
        <w:rPr>
          <w:rFonts w:ascii="Times New Roman" w:cs="Times New Roman" w:eastAsia="Times New Roman" w:hAnsi="Times New Roman"/>
          <w:sz w:val="20"/>
          <w:szCs w:val="20"/>
          <w:color w:val="auto"/>
        </w:rPr>
        <w:t xml:space="preserve"> (as amended, restated, supplemented or otherwise modified from time to time), among Sotera Health Company, a Delaware corporation, Sotera Health Holdings, LLC, a Delaware limited liability company, the lenders and issuing banks from time to time party thereto and JPMorgan Chase Bank, N.A., as administrative agent, and(ii) the exercise of any right or remedy by the Second Priority Representative hereunder is subject to the limitations and provisions of the First/Second Lien Intercreditor Agreement dated as of [ ], 20[ ] (as amended, restated, supplemented or otherwise modified from time to time, the “</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among Sotera Health Company, Sotera Health Holdings, LLC, and its respective subsidiaries and affiliated entities party thereto, JPMorgan Chase Bank, N.A., as the First Lien Collateral Agent and [ ], as the Initial Second Priority Representative. In the event of any conflict between the terms of the Intercreditor Agreement and the terms of this Agreement, the terms of the Intercreditor Agreement shall govern.”</w:t>
      </w:r>
    </w:p>
    <w:p>
      <w:pPr>
        <w:spacing w:after="0" w:line="200" w:lineRule="exact"/>
        <w:rPr>
          <w:sz w:val="20"/>
          <w:szCs w:val="20"/>
          <w:color w:val="auto"/>
        </w:rPr>
      </w:pPr>
    </w:p>
    <w:p>
      <w:pPr>
        <w:spacing w:after="0" w:line="228" w:lineRule="exact"/>
        <w:rPr>
          <w:sz w:val="20"/>
          <w:szCs w:val="20"/>
          <w:color w:val="auto"/>
        </w:rPr>
      </w:pPr>
    </w:p>
    <w:p>
      <w:pPr>
        <w:jc w:val="both"/>
        <w:ind w:left="4" w:firstLine="1294"/>
        <w:spacing w:after="0" w:line="259" w:lineRule="auto"/>
        <w:tabs>
          <w:tab w:leader="none" w:pos="1675" w:val="left"/>
        </w:tabs>
        <w:numPr>
          <w:ilvl w:val="1"/>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each applicable Senior Representative and/or the Senior Secured Parties enter into any amendment, waiver or consent in respect of any of the Senior Collateral Documents for the purpose of adding to or deleting from, or waiving or consenting to any departures from any provisions of, any Senior Collateral Document or changing in any manner the rights of the Senior Representatives, the Senior Secured Parties, the Company or any other Grantor thereunder (including the release of any Liens in Senior Collateral) in a manner that is applicable to all Senior Facilities, then such amendment, waiver or consent shall apply automatically to any comparable provision of each comparable Second Priority Collateral Document without the consent of any Second Priority Representative or any Second Priority Debt Party and without any action by any Second Priority Representative, the Company or any other Grantor;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w:t>
      </w:r>
    </w:p>
    <w:p>
      <w:pPr>
        <w:spacing w:after="0" w:line="4" w:lineRule="exact"/>
        <w:rPr>
          <w:rFonts w:ascii="Times New Roman" w:cs="Times New Roman" w:eastAsia="Times New Roman" w:hAnsi="Times New Roman"/>
          <w:sz w:val="21"/>
          <w:szCs w:val="21"/>
          <w:color w:val="auto"/>
        </w:rPr>
      </w:pPr>
    </w:p>
    <w:p>
      <w:pPr>
        <w:ind w:left="364" w:hanging="364"/>
        <w:spacing w:after="0"/>
        <w:tabs>
          <w:tab w:leader="none" w:pos="364"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waiver or consent shall have the</w:t>
      </w:r>
    </w:p>
    <w:p>
      <w:pPr>
        <w:spacing w:after="0" w:line="160"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104" w:lineRule="exact"/>
        <w:rPr>
          <w:sz w:val="20"/>
          <w:szCs w:val="20"/>
          <w:color w:val="auto"/>
        </w:rPr>
      </w:pPr>
    </w:p>
    <w:p>
      <w:pPr>
        <w:jc w:val="both"/>
        <w:ind w:left="324" w:hanging="331"/>
        <w:spacing w:after="0" w:line="264" w:lineRule="auto"/>
        <w:rPr>
          <w:sz w:val="20"/>
          <w:szCs w:val="20"/>
          <w:color w:val="auto"/>
        </w:rPr>
      </w:pPr>
      <w:r>
        <w:rPr>
          <w:rFonts w:ascii="Times New Roman" w:cs="Times New Roman" w:eastAsia="Times New Roman" w:hAnsi="Times New Roman"/>
          <w:sz w:val="13"/>
          <w:szCs w:val="13"/>
          <w:color w:val="auto"/>
        </w:rPr>
        <w:t xml:space="preserve">3 </w:t>
      </w:r>
      <w:r>
        <w:rPr>
          <w:rFonts w:ascii="Times New Roman" w:cs="Times New Roman" w:eastAsia="Times New Roman" w:hAnsi="Times New Roman"/>
          <w:sz w:val="18"/>
          <w:szCs w:val="18"/>
          <w:color w:val="auto"/>
        </w:rPr>
        <w:t>Note to Draft: To be determined at time of execution, when Second Lien debt incurred. If, at that time, the Credit Agreement (as defined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8"/>
          <w:szCs w:val="18"/>
          <w:color w:val="auto"/>
        </w:rPr>
        <w:t>the First Lien Pari Passu Intercreditor Agreement) is still in effect, then the date shall be the "December 13, 2019.” If the Credit Agreement has been terminated, then the date shall be “February [ ], 2023.”</w:t>
      </w:r>
    </w:p>
    <w:p>
      <w:pPr>
        <w:sectPr>
          <w:pgSz w:w="11900" w:h="16838" w:orient="portrait"/>
          <w:cols w:equalWidth="0" w:num="1">
            <w:col w:w="10764"/>
          </w:cols>
          <w:pgMar w:left="596" w:top="1440" w:right="539" w:bottom="1440" w:gutter="0" w:footer="0" w:header="0"/>
        </w:sectPr>
      </w:pPr>
    </w:p>
    <w:bookmarkStart w:id="357" w:name="page358"/>
    <w:bookmarkEnd w:id="357"/>
    <w:p>
      <w:pPr>
        <w:spacing w:after="0" w:line="10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effect of (i) releasing any Liens of any Second Priority Representative or any Second Priority Debt Party or removing assets subject to the Lien of the Second Priority Collateral Documents, except to the extent that such release is permitted by Section 5.01 and there is a corresponding release of the Lien securing the Senior Obligations, (ii) imposing duties or obligations that are adverse on any Second Lien Representative without its consent or (iii) altering the terms of the Second Lien Debt Documents to permit other Liens on the Collateral not permitted under the terms of the Second Lien Debt Documents as in effect on the date hereof or under Article VI hereof and (B) written notice of such amendment, waiver or consent shall have been given to each Second Priority Representative within 10 Business Days after the effectiveness of such amendment, waiver or consent, provided that the failure to give such notice shall not affect the effectiveness and validity thereof.</w:t>
      </w:r>
    </w:p>
    <w:p>
      <w:pPr>
        <w:spacing w:after="0" w:line="199" w:lineRule="exact"/>
        <w:rPr>
          <w:sz w:val="20"/>
          <w:szCs w:val="20"/>
          <w:color w:val="auto"/>
        </w:rPr>
      </w:pPr>
    </w:p>
    <w:p>
      <w:pPr>
        <w:jc w:val="both"/>
        <w:ind w:left="20" w:firstLine="1298"/>
        <w:spacing w:after="0" w:line="247"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Rights as Unsecured Creditors</w:t>
      </w:r>
      <w:r>
        <w:rPr>
          <w:rFonts w:ascii="Times New Roman" w:cs="Times New Roman" w:eastAsia="Times New Roman" w:hAnsi="Times New Roman"/>
          <w:sz w:val="22"/>
          <w:szCs w:val="22"/>
          <w:color w:val="auto"/>
        </w:rPr>
        <w:t>. The Second Priority Representatives and the Second Priority Debt Parties may exercise rights and remedies as unsecured creditors against the Company or the Guarantors in accordance with the terms of the Second Priority Debt Documents and applicable law so long as such rights and remedies do not violate, or are not otherwise inconsistent with, any provision of this Agreement (including any provision prohibiting or restricting the Second Priority Representatives or the Second Priority Debt Parties from taking various actions or making various objections). Nothing in this Agreement shall prohibit the receipt by any Second Priority Representative or any Second Priority Debt Party of the required payments of principal, premium, interest, fees and other amounts due under the Second Priority Debt Documents so long as such receipt is not the direct or indirect result of the exercise by a Second Priority Representative or any Second Priority Debt Party of rights or remedies in respect of Shared Collateral (including any right of setoff or recoupment). In the event any Second Priority Representative or any Second Priority Debt Party becomes a judgment lien creditor in respect of Shared Collateral as a result of its enforcement of its rights as an unsecured creditor in respect of Second Priority Debt Obligations, such judgment lien shall be subordinated to the Liens securing Senior Obligations on the same basis as the other Liens securing the Second Priority Debt Obligations are so subordinated to such Liens securing Senior Obligations under this Agreement. Nothing in this Agreement shall impair or otherwise adversely affect any rights or remedies the Senior Representatives or the Senior Secured Parties may have with respect to the Senior Collateral.</w:t>
      </w:r>
    </w:p>
    <w:p>
      <w:pPr>
        <w:spacing w:after="0" w:line="330" w:lineRule="exact"/>
        <w:rPr>
          <w:sz w:val="20"/>
          <w:szCs w:val="20"/>
          <w:color w:val="auto"/>
        </w:rPr>
      </w:pPr>
    </w:p>
    <w:p>
      <w:pPr>
        <w:ind w:left="132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Gratuitous Bailee for Perfection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20" w:firstLine="1292"/>
        <w:spacing w:after="0" w:line="250" w:lineRule="auto"/>
        <w:tabs>
          <w:tab w:leader="none" w:pos="2338" w:val="left"/>
        </w:tabs>
        <w:numPr>
          <w:ilvl w:val="0"/>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Senior Representative acknowledges and agrees that if it shall at any time hold a Lien securing any Senior Obligations on any Shared Collateral that can be perfected (i) by the possession of such Shared Collateral or of any account in which such Shared Collateral is held, and if such Shared Collateral or any such account is in fact in the possession or under the control of such Senior Representative, or of agents or bailees of such Person (such Shared Collateral being referred to herein as the “</w:t>
      </w:r>
      <w:r>
        <w:rPr>
          <w:rFonts w:ascii="Times New Roman" w:cs="Times New Roman" w:eastAsia="Times New Roman" w:hAnsi="Times New Roman"/>
          <w:sz w:val="21"/>
          <w:szCs w:val="21"/>
          <w:u w:val="single" w:color="auto"/>
          <w:color w:val="auto"/>
        </w:rPr>
        <w:t>Pledged Collateral</w:t>
      </w:r>
      <w:r>
        <w:rPr>
          <w:rFonts w:ascii="Times New Roman" w:cs="Times New Roman" w:eastAsia="Times New Roman" w:hAnsi="Times New Roman"/>
          <w:sz w:val="21"/>
          <w:szCs w:val="21"/>
          <w:color w:val="auto"/>
        </w:rPr>
        <w:t>”), or (ii) by control of any deposit account or securities account constituting Shared Collateral, if any, or in which such Shared Collateral is held, and if any such deposit account or securities account is in fact under the control of such Senior Representative, or of agents or bailees of such Person (such Shared Collateral being referred to herein as the “</w:t>
      </w:r>
      <w:r>
        <w:rPr>
          <w:rFonts w:ascii="Times New Roman" w:cs="Times New Roman" w:eastAsia="Times New Roman" w:hAnsi="Times New Roman"/>
          <w:sz w:val="21"/>
          <w:szCs w:val="21"/>
          <w:u w:val="single" w:color="auto"/>
          <w:color w:val="auto"/>
        </w:rPr>
        <w:t>Controlled Collateral</w:t>
      </w:r>
      <w:r>
        <w:rPr>
          <w:rFonts w:ascii="Times New Roman" w:cs="Times New Roman" w:eastAsia="Times New Roman" w:hAnsi="Times New Roman"/>
          <w:sz w:val="21"/>
          <w:szCs w:val="21"/>
          <w:color w:val="auto"/>
        </w:rPr>
        <w:t>”) or if it shall at any time obtain any landlord waiver or bailee’s letter or any similar agreement or arrangement granting it rights or access to Shared Collateral, the applicable Senior Representative (x) shall also hold such Pledged Collateral or Controlled Collateral, or take such actions with respect to such landlord waiver, bailee’s letter or similar agreement or arrangement, as sub-agent or</w:t>
      </w:r>
    </w:p>
    <w:p>
      <w:pPr>
        <w:sectPr>
          <w:pgSz w:w="11900" w:h="16838" w:orient="portrait"/>
          <w:cols w:equalWidth="0" w:num="1">
            <w:col w:w="10780"/>
          </w:cols>
          <w:pgMar w:left="580" w:top="1440" w:right="539" w:bottom="1440" w:gutter="0" w:footer="0" w:header="0"/>
        </w:sectPr>
      </w:pPr>
    </w:p>
    <w:bookmarkStart w:id="358" w:name="page359"/>
    <w:bookmarkEnd w:id="358"/>
    <w:p>
      <w:pPr>
        <w:spacing w:after="0" w:line="13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color w:val="auto"/>
        </w:rPr>
        <w:t>gratuitous bailee for the relevant Second Priority Representatives and (y) acknowledges that it has control of such Controlled Collateral on behalf of the relevant Second Priority Representatives and each Second Priority Debt Party (such bailment and agency being intended, among other things, to satisfy the requirement of Section 8-301(a)(2), 9-104, 9-105, 9-106, 9-107 and 9-313(c) of the Uniform Commercial Code as in effect in any applicable jurisdiction), in each case solely for the purpose of perfecting the Liens granted under the relevant Second Priority Collateral Documents and subject to the terms and conditions of this Section 5.06.</w:t>
      </w:r>
    </w:p>
    <w:p>
      <w:pPr>
        <w:spacing w:after="0" w:line="190" w:lineRule="exact"/>
        <w:rPr>
          <w:sz w:val="20"/>
          <w:szCs w:val="20"/>
          <w:color w:val="auto"/>
        </w:rPr>
      </w:pPr>
    </w:p>
    <w:p>
      <w:pPr>
        <w:jc w:val="both"/>
        <w:ind w:left="-160" w:firstLine="1294"/>
        <w:spacing w:after="0" w:line="251" w:lineRule="auto"/>
        <w:tabs>
          <w:tab w:leader="none" w:pos="1511" w:val="left"/>
        </w:tabs>
        <w:numPr>
          <w:ilvl w:val="1"/>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specifically provided herein, until the Discharge of Senior Obligations has occurred, the Senior Representatives and the Senior Secured Parties shall be entitled to deal with the Pledged Collateral or the Controlled Collateral in accordance with the terms of the Senior Debt Documents as if the Liens under the Second Priority Collateral Documents did not exist. The rights of the Second Priority Representatives and the Second Priority Debt Parties with respect to the Pledged Collateral or the Controlled Collateral shall at all times be subject to the terms of this Agreement.</w:t>
      </w:r>
    </w:p>
    <w:p>
      <w:pPr>
        <w:spacing w:after="0" w:line="194" w:lineRule="exact"/>
        <w:rPr>
          <w:rFonts w:ascii="Times New Roman" w:cs="Times New Roman" w:eastAsia="Times New Roman" w:hAnsi="Times New Roman"/>
          <w:sz w:val="22"/>
          <w:szCs w:val="22"/>
          <w:color w:val="auto"/>
        </w:rPr>
      </w:pPr>
    </w:p>
    <w:p>
      <w:pPr>
        <w:jc w:val="both"/>
        <w:ind w:left="-160" w:right="20" w:firstLine="1294"/>
        <w:spacing w:after="0" w:line="249" w:lineRule="auto"/>
        <w:tabs>
          <w:tab w:leader="none" w:pos="1512" w:val="left"/>
        </w:tabs>
        <w:numPr>
          <w:ilvl w:val="1"/>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Representatives and the Senior Secured Parties shall have no obligation whatsoever to the Second Priority Representatives or any Second Priority Debt Party to assure that any of the Pledged Collateral or the Controlled Collateral is genuine or owned by the Grantors or to protect or preserve rights or benefits of any Person or any rights pertaining to the Shared Collateral, except as expressly set forth in this Section 5.06. The duties or responsibilities of the Senior Representatives under this Section 5.06 shall be limited solely to holding or controlling the Shared Collateral and the related Liens referred to in paragraph(a) of this Section 5.06 as sub-agent and gratuitous bailee for the relevant Second Priority Representative for purposes of perfecting the Lien held by such Second Priority Representative and delivering the Shared Collateral upon a Discharge of Senior Obligations as set forth in Section 5.06(e).</w:t>
      </w:r>
    </w:p>
    <w:p>
      <w:pPr>
        <w:spacing w:after="0" w:line="249" w:lineRule="exact"/>
        <w:rPr>
          <w:rFonts w:ascii="Times New Roman" w:cs="Times New Roman" w:eastAsia="Times New Roman" w:hAnsi="Times New Roman"/>
          <w:sz w:val="22"/>
          <w:szCs w:val="22"/>
          <w:color w:val="auto"/>
        </w:rPr>
      </w:pPr>
    </w:p>
    <w:p>
      <w:pPr>
        <w:jc w:val="both"/>
        <w:ind w:left="-160" w:firstLine="1294"/>
        <w:spacing w:after="0" w:line="241" w:lineRule="auto"/>
        <w:tabs>
          <w:tab w:leader="none" w:pos="1511" w:val="left"/>
        </w:tabs>
        <w:numPr>
          <w:ilvl w:val="1"/>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Representatives shall not have by reason of the Second Priority Collateral Documents or this Agreement, or any other document, a fiduciary relationship in respect of any Second Priority Representative or any Second Priority Debt Party, and each Second Priority Representative, for itself and on behalf of each Second Priority Debt Party under its Second Priority Debt Facility, hereby waives and releases the Senior Representatives from all claims and liabilities arising pursuant to the Senior Representatives’ roles under this Section 5.06 as sub- agents and gratuitous bailees with respect to the Shared Collateral.</w:t>
      </w:r>
    </w:p>
    <w:p>
      <w:pPr>
        <w:spacing w:after="0" w:line="203" w:lineRule="exact"/>
        <w:rPr>
          <w:rFonts w:ascii="Times New Roman" w:cs="Times New Roman" w:eastAsia="Times New Roman" w:hAnsi="Times New Roman"/>
          <w:sz w:val="22"/>
          <w:szCs w:val="22"/>
          <w:color w:val="auto"/>
        </w:rPr>
      </w:pPr>
    </w:p>
    <w:p>
      <w:pPr>
        <w:jc w:val="both"/>
        <w:ind w:left="-180" w:firstLine="1298"/>
        <w:spacing w:after="0" w:line="250" w:lineRule="auto"/>
        <w:tabs>
          <w:tab w:leader="none" w:pos="1506"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Discharge of Senior Obligations, each applicable Senior Representative shall, at the Grantors’ sole cost and expense, (i) (A) deliver to the Designated Second Priority Representative, to the extent that it is legally permitted to do so, all Shared Collateral, including all Proceeds thereof, held or controlled by such Senior Representative or any of its agents or bailees, including the transfer of possession and control, as applicable, of the Pledged Collateral or the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or (B) direct and deliver such Shared Collateral as a court of competent jurisdiction may otherwise direct, (ii) notify any applicable insurance carrier that it is no longer entitled to be a loss payee or additional insured under the insurance</w:t>
      </w:r>
    </w:p>
    <w:p>
      <w:pPr>
        <w:sectPr>
          <w:pgSz w:w="11900" w:h="16838" w:orient="portrait"/>
          <w:cols w:equalWidth="0" w:num="1">
            <w:col w:w="10600"/>
          </w:cols>
          <w:pgMar w:left="760" w:top="1440" w:right="539" w:bottom="1440" w:gutter="0" w:footer="0" w:header="0"/>
        </w:sectPr>
      </w:pPr>
    </w:p>
    <w:bookmarkStart w:id="359" w:name="page360"/>
    <w:bookmarkEnd w:id="359"/>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policies of any Grantor issued by such insurance carrier and (iii) notify any governmental authority involved in any condemnation or similar proceeding involving any Grantor that the Designated Second Party Representative is entitled to approve any awards granted in such proceeding. The Company and the other Grantors shall take such further action as is required to effectuate the transfer contemplated hereby and shall indemnify each Senior Representative for loss or damage suffered by such Senior Representative as a result of such transfer, except for loss or damage suffered by any such Person as a result of its own willful misconduct, gross negligence or bad faith, or the willful misconduct, gross negligence or bad faith of a Representative, in each case as determined by a court of competent jurisdiction by final and non-appealable judgment. The Senior Representatives have no obligations to follow instructions from any Second Priority Representative or any other Second Priority Debt Party in contravention of this Agreement.</w:t>
      </w:r>
    </w:p>
    <w:p>
      <w:pPr>
        <w:spacing w:after="0" w:line="199" w:lineRule="exact"/>
        <w:rPr>
          <w:sz w:val="20"/>
          <w:szCs w:val="20"/>
          <w:color w:val="auto"/>
        </w:rPr>
      </w:pPr>
    </w:p>
    <w:p>
      <w:pPr>
        <w:jc w:val="both"/>
        <w:ind w:left="20" w:firstLine="1294"/>
        <w:spacing w:after="0" w:line="251" w:lineRule="auto"/>
        <w:tabs>
          <w:tab w:leader="none" w:pos="1695"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Senior Representatives nor any of the other Senior Secured Parties shall be required to marshal any present or future collateral security for any obligations of the Company or any Subsidiary to any Senior Representative or any Senior Secured Party under the Senior Debt Documents or any assurance of payment in respect thereof, or to resort to such collateral security or other assurances of payment in any particular order, and all of their rights in respect of such collateral security or any assurance of payment in respect thereof shall be cumulative and in addition to all other rights, however existing or arising.</w:t>
      </w:r>
    </w:p>
    <w:p>
      <w:pPr>
        <w:spacing w:after="0" w:line="168" w:lineRule="exact"/>
        <w:rPr>
          <w:sz w:val="20"/>
          <w:szCs w:val="20"/>
          <w:color w:val="auto"/>
        </w:rPr>
      </w:pPr>
    </w:p>
    <w:p>
      <w:pPr>
        <w:jc w:val="both"/>
        <w:ind w:left="20" w:firstLine="1298"/>
        <w:spacing w:after="0" w:line="247"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When Discharge of Senior Obligations is Deemed Not to Have Occurred</w:t>
      </w:r>
      <w:r>
        <w:rPr>
          <w:rFonts w:ascii="Times New Roman" w:cs="Times New Roman" w:eastAsia="Times New Roman" w:hAnsi="Times New Roman"/>
          <w:sz w:val="22"/>
          <w:szCs w:val="22"/>
          <w:color w:val="auto"/>
        </w:rPr>
        <w:t>. If, at any time substantially concurrently with or after the Discharge of Senior Obligations has occurred, the Company or any Subsidiary incurs any Senior Obligations (other than in respect of the payment of indemnities surviving the Discharge of Senior Obligations), then such Discharge of Senior Obligations shall automatically be deemed not to have occurred for all purposes of this Agreement (other than with respect to any actions taken prior to the date of such designation as a result of the occurrence of such first Discharge of Senior Obligations) and the applicable agreement governing such Senior Obligations shall automatically be treated as a Senior Debt Document for all purposes of this Agreement, including for purposes of the Lien priorities and rights in respect of Shared Collateral set forth herein and the agent, representative or trustee for the holders of such Senior Obligations shall be the Senior Representative for all purposes of this Agreement. Upon receipt of notice of such incurrence(including the identity of the new Senior Representative), each Second Priority Representative (including the Designated Second Priority Representative) shall promptly (a) enter into such documents and agreements (at the expense of the Company), including amendments or supplements to this Agreement, as the Company or such new Senior Representative shall reasonably request in writing in order to provide the new Senior Representative the rights of a Senior Representative contemplated hereby, (b) deliver to such Senior Representative, to the extent that it is legally permitted to do so, all Shared Collateral, including all Proceeds thereof, held or controlled by such Second Priority Representative or any of its agents or bailees, including the transfer of possession and control, as applicable, of the Pledged Collateral or the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and (c) notify any governmental authority involved in any condemnation or similar proceeding involving</w:t>
      </w:r>
    </w:p>
    <w:p>
      <w:pPr>
        <w:sectPr>
          <w:pgSz w:w="11900" w:h="16838" w:orient="portrait"/>
          <w:cols w:equalWidth="0" w:num="1">
            <w:col w:w="10780"/>
          </w:cols>
          <w:pgMar w:left="580" w:top="1440" w:right="539" w:bottom="1440" w:gutter="0" w:footer="0" w:header="0"/>
        </w:sectPr>
      </w:pPr>
    </w:p>
    <w:bookmarkStart w:id="360" w:name="page361"/>
    <w:bookmarkEnd w:id="360"/>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Grantor that the new Senior Representative is entitled to approve any awards granted in such proceeding.</w:t>
      </w:r>
    </w:p>
    <w:p>
      <w:pPr>
        <w:spacing w:after="0" w:line="220" w:lineRule="exact"/>
        <w:rPr>
          <w:sz w:val="20"/>
          <w:szCs w:val="20"/>
          <w:color w:val="auto"/>
        </w:rPr>
      </w:pPr>
    </w:p>
    <w:p>
      <w:pPr>
        <w:ind w:left="130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5.08.</w:t>
      </w:r>
      <w:r>
        <w:rPr>
          <w:sz w:val="20"/>
          <w:szCs w:val="20"/>
          <w:color w:val="auto"/>
        </w:rPr>
        <w:tab/>
      </w:r>
      <w:r>
        <w:rPr>
          <w:rFonts w:ascii="Times New Roman" w:cs="Times New Roman" w:eastAsia="Times New Roman" w:hAnsi="Times New Roman"/>
          <w:sz w:val="21"/>
          <w:szCs w:val="21"/>
          <w:u w:val="single" w:color="auto"/>
          <w:color w:val="auto"/>
        </w:rPr>
        <w:t>Purchase Right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294"/>
        <w:spacing w:after="0" w:line="247" w:lineRule="auto"/>
        <w:tabs>
          <w:tab w:leader="none" w:pos="1672"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prejudice to the enforcement of the Senior Secured Parties’ remedies, the Senior Secured Parties agree that following (a) the acceleration of the Senior Obligations in accordance with the terms of each of the Senior Facilities or (b) the commencement of an Insolvency or Liquidation Proceeding with respect to any Grantor (each, a “</w:t>
      </w:r>
      <w:r>
        <w:rPr>
          <w:rFonts w:ascii="Times New Roman" w:cs="Times New Roman" w:eastAsia="Times New Roman" w:hAnsi="Times New Roman"/>
          <w:sz w:val="22"/>
          <w:szCs w:val="22"/>
          <w:u w:val="single" w:color="auto"/>
          <w:color w:val="auto"/>
        </w:rPr>
        <w:t>Purchase Event</w:t>
      </w:r>
      <w:r>
        <w:rPr>
          <w:rFonts w:ascii="Times New Roman" w:cs="Times New Roman" w:eastAsia="Times New Roman" w:hAnsi="Times New Roman"/>
          <w:sz w:val="22"/>
          <w:szCs w:val="22"/>
          <w:color w:val="auto"/>
        </w:rPr>
        <w:t>”), within thirty (30) days of the Purchase Event, one or more of the Second Priority Debt Parties may request, and the Senior Secured Parties hereby offer the Second Priority Debt Parties the option, to purchase all, but not less than all, of the aggregate amount of Senior Obligations outstanding at the time of purchase at par, plus any premium that would be applicable upon prepayment of the Senior Obligations and all accrued and unpaid interest, fees, and expenses, without warranty or representation or recourse (except for representations and warranties required to be made by assigning lenders pursuant to the Assignment and Assumption(as such term is defined in the First Lien Credit Agreement)). If such right is exercised, the parties shall endeavor to close promptly thereafter but in any event within ten (10) business days of the request. If one or more of the Second Priority Debt Parties exercises such purchase right, it shall be exercised pursuant to documentation mutually acceptable to each of the Senior Representative and the purchasing Second Priority Debt Parties. If more than one Second Priority Debt Party has exercised such purchase right and the aggregate amount of all purchase rights exercised exceeds the amount of the Senior Obligations, the amount with respect to which each exercising Second Priority Debt Party shall be deemed to have exercised its purchase right shall be reduced on a ratable basis according to the amounts of the original exercises of such purchase right by each such Second Priority Debt Party. If none of the Second Priority Debt Parties timely exercise such right, the Senior Secured Parties shall have no further obligations pursuant to this Section 5.08 for such Purchase Event and may take any further actions in their sole discretion in accordance with the Senior Debt Documents and this Agreement.</w:t>
      </w:r>
    </w:p>
    <w:p>
      <w:pPr>
        <w:spacing w:after="0" w:line="169" w:lineRule="exact"/>
        <w:rPr>
          <w:rFonts w:ascii="Times New Roman" w:cs="Times New Roman" w:eastAsia="Times New Roman" w:hAnsi="Times New Roman"/>
          <w:sz w:val="22"/>
          <w:szCs w:val="22"/>
          <w:color w:val="auto"/>
        </w:rPr>
      </w:pPr>
    </w:p>
    <w:p>
      <w:pPr>
        <w:jc w:val="both"/>
        <w:ind w:firstLine="1294"/>
        <w:spacing w:after="0" w:line="257" w:lineRule="auto"/>
        <w:tabs>
          <w:tab w:leader="none" w:pos="1671" w:val="left"/>
        </w:tabs>
        <w:numPr>
          <w:ilvl w:val="0"/>
          <w:numId w:val="4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and sale of the Senior Obligations under this Section 5.08 will be without recourse and without any representation or warranty whatsoever by the Senior Secured Parties, except that each Senior Secured Party shall severally (i) represent and warrant that (x) the principal of and accrued and unpaid interest on the Senior Obligations, and the fees and expenses owing with respect thereto, are as stated in the applicable assignment, (y) on the date of purchase, immediately before giving effect to the purchase, such Senior Secured Party owns its Senior Obligations free and clear of all Liens and (z) such Senior Secured Party has the full right and power to assign its Senior Obligations and such assignment has been duly authorized by all necessary corporate or other organizational action by such Senior Secured Party.</w:t>
      </w:r>
    </w:p>
    <w:p>
      <w:pPr>
        <w:spacing w:after="0" w:line="187" w:lineRule="exact"/>
        <w:rPr>
          <w:rFonts w:ascii="Times New Roman" w:cs="Times New Roman" w:eastAsia="Times New Roman" w:hAnsi="Times New Roman"/>
          <w:sz w:val="21"/>
          <w:szCs w:val="21"/>
          <w:color w:val="auto"/>
        </w:rPr>
      </w:pPr>
    </w:p>
    <w:p>
      <w:pPr>
        <w:jc w:val="both"/>
        <w:ind w:firstLine="1294"/>
        <w:spacing w:after="0" w:line="250" w:lineRule="auto"/>
        <w:tabs>
          <w:tab w:leader="none" w:pos="1672"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Grantors hereby agrees that, so long as each of the Second Priority Secured Parties is an Eligible Assignee (as defined in the First Lien Credit Agreement) under the First Lien Credit Agreement (or equivalent under any other Senior Debt Documents), it shall consent to any assignment or purchase of the Senior Obligations to such Second Priority Secured Parties pursuant to this Section 5.08; provided, however, that the Grantors shall otherwise retain all rights under Section 9.04 of the First Lien Credit Agreement (and any</w:t>
      </w:r>
    </w:p>
    <w:p>
      <w:pPr>
        <w:sectPr>
          <w:pgSz w:w="11900" w:h="16838" w:orient="portrait"/>
          <w:cols w:equalWidth="0" w:num="1">
            <w:col w:w="10760"/>
          </w:cols>
          <w:pgMar w:left="600" w:top="1440" w:right="539" w:bottom="1440" w:gutter="0" w:footer="0" w:header="0"/>
        </w:sectPr>
      </w:pPr>
    </w:p>
    <w:bookmarkStart w:id="361" w:name="page362"/>
    <w:bookmarkEnd w:id="361"/>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equivalent provisions under any other Senior Debt Documents) in connection with any subsequent transfers or assignments following the purchase hereunder.</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VI</w:t>
      </w: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Insolvency or Liquidation Proceedings</w:t>
      </w:r>
    </w:p>
    <w:p>
      <w:pPr>
        <w:spacing w:after="0" w:line="233" w:lineRule="exact"/>
        <w:rPr>
          <w:sz w:val="20"/>
          <w:szCs w:val="20"/>
          <w:color w:val="auto"/>
        </w:rPr>
      </w:pPr>
    </w:p>
    <w:p>
      <w:pPr>
        <w:jc w:val="both"/>
        <w:ind w:firstLine="1298"/>
        <w:spacing w:after="0" w:line="258"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Financing Issues</w:t>
      </w:r>
      <w:r>
        <w:rPr>
          <w:rFonts w:ascii="Times New Roman" w:cs="Times New Roman" w:eastAsia="Times New Roman" w:hAnsi="Times New Roman"/>
          <w:sz w:val="21"/>
          <w:szCs w:val="21"/>
          <w:color w:val="auto"/>
        </w:rPr>
        <w:t>. Until the Discharge of Senior Obligations has occurred, if the Company or any other Grantor shall be subject to any Insolvency or Liquidation Proceeding and any Senior Representative shall desire to consent (or not object) to the sale, use or lease of cash or other Senior Collateral under Section 363 of the Bankruptcy Code or any similar provision of any other Bankruptcy Law or to consent (or not object) to the Company’s or any other Grantor’s obtaining financing (including, for the avoidance of doubt, from any Senior Secured Party) under Section 364 of the Bankruptcy Code or any similar provision of any other Bankruptcy Law (“</w:t>
      </w:r>
      <w:r>
        <w:rPr>
          <w:rFonts w:ascii="Times New Roman" w:cs="Times New Roman" w:eastAsia="Times New Roman" w:hAnsi="Times New Roman"/>
          <w:sz w:val="21"/>
          <w:szCs w:val="21"/>
          <w:u w:val="single" w:color="auto"/>
          <w:color w:val="auto"/>
        </w:rPr>
        <w:t>DIP Financing</w:t>
      </w:r>
      <w:r>
        <w:rPr>
          <w:rFonts w:ascii="Times New Roman" w:cs="Times New Roman" w:eastAsia="Times New Roman" w:hAnsi="Times New Roman"/>
          <w:sz w:val="21"/>
          <w:szCs w:val="21"/>
          <w:color w:val="auto"/>
        </w:rPr>
        <w:t xml:space="preserve">”), then each Second Priority Representative, for itself and on behalf of each Second Priority Debt Party under its Second Priority Debt Facility, agrees that it will raise no objection to and will not otherwise contest such sale, use or lease of such cash or other Senior Collateral or such DIP Financing and, except to the extent permitted by the provisos in clause (ii) of Section 3.01(a) and Section 6.03, will not request adequate protection or any other relief in connection therewith and, to the extent the Liens securing any Senior Obligations are subordinated or </w:t>
      </w:r>
      <w:r>
        <w:rPr>
          <w:rFonts w:ascii="Times New Roman" w:cs="Times New Roman" w:eastAsia="Times New Roman" w:hAnsi="Times New Roman"/>
          <w:sz w:val="21"/>
          <w:szCs w:val="21"/>
          <w:u w:val="single" w:color="auto"/>
          <w:color w:val="auto"/>
        </w:rPr>
        <w:t>pari passu</w:t>
      </w:r>
      <w:r>
        <w:rPr>
          <w:rFonts w:ascii="Times New Roman" w:cs="Times New Roman" w:eastAsia="Times New Roman" w:hAnsi="Times New Roman"/>
          <w:sz w:val="21"/>
          <w:szCs w:val="21"/>
          <w:color w:val="auto"/>
        </w:rPr>
        <w:t xml:space="preserve"> with such DIP Financing, will subordinate (and will be deemed hereunder to have subordinated) its Liens in the Shared Collateral to (x) such DIP Financing (and all obligations relating thereto) on the same basis as the Liens securing the Second Priority Debt Obligations are so subordinated to Liens securing Senior Obligations under this Agreement, (y) all adequate protection Liens granted to the Senior Secured Parties, and (z) to any “carve-out” for professional and United States Trustee fees or payment of any other amounts agreed to by the Senior Representatives. Each Second Priority Representative, for itself and on behalf of each Second Priority Debt Party under its Second Priority Debt Facility, further agrees that, until the Discharge of Senior Obligations has occurred, it will raise no (a) objection to (and will not otherwise contest) any motion for relief from the automatic stay or from any injunction against foreclosure or enforcement in respect of any Senior Collateral made by any Senior Representative or any other Senior Secured Party, (b) objection to (and will not otherwise contest) any lawful exercise by any Senior Secured Party of the right to credit bid Senior Obligations at any sale in foreclosure of Senior Collateral (including pursuant to Section 363(k) of the Bankruptcy Code or any similar provision under the Bankruptcy Code or any other applicable law in any Insolvency or Liquidation Proceeding), or any exercise of rights under Section 1111(b) of the Bankruptcy Code (or any similar provision under any applicable Bankruptcy Law) with respect to the Senior Collateral, (c) objection to (and will not otherwise contest) any other request for judicial relief made in any court by any Senior Secured Party relating to the lawful enforcement of any Lien on Senior Collateral or (d) objection to (and will not otherwise contest or oppose) any order relating to a sale or other disposition of assets of any Grantor for which any Senior Representative has consented (or does not object to) that provides, to the extent such sale or other disposition is to be free and clear of Liens, that the Liens securing the Senior Obligations and the Second Priority Debt Obligations will attach to the proceeds of the sale on the same basis of priority as the Liens on the Shared Collateral securing the Senior Obligations rank to the Liens on the Shared Collateral securing the Second Priority Debt Obligations pursuant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any Second Priority Debt Party may</w:t>
      </w:r>
    </w:p>
    <w:p>
      <w:pPr>
        <w:sectPr>
          <w:pgSz w:w="11900" w:h="16838" w:orient="portrait"/>
          <w:cols w:equalWidth="0" w:num="1">
            <w:col w:w="10760"/>
          </w:cols>
          <w:pgMar w:left="600" w:top="1440" w:right="539" w:bottom="1440" w:gutter="0" w:footer="0" w:header="0"/>
        </w:sectPr>
      </w:pPr>
    </w:p>
    <w:bookmarkStart w:id="362" w:name="page363"/>
    <w:bookmarkEnd w:id="362"/>
    <w:p>
      <w:pPr>
        <w:spacing w:after="0" w:line="158"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22"/>
          <w:szCs w:val="22"/>
          <w:color w:val="auto"/>
        </w:rPr>
        <w:t xml:space="preserve">raise any objection to the bidding or related procedures proposed to be utilized in connection with such sale of assets that could be raised by an unsecured creditor of the Grantors,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Second Priority Debt Parties are not deemed to have waived any rights to credit bid on the Shared Collateral in any such sale or disposition under Section 363(k) of the Bankruptcy Code (or any similar provision in any Bankruptcy Law), so long as any such credit bid provides for the payment in full in cash of the Senior Obligations. Nothing in this Section 6.01 shall prohibit any Second Priority Debt Party from (i) exercising its rights to vote in favor of or against a plan of reorganization or similar dispositive restructuring plan in a manner consistent with, and not in violation of, this Agreement (including Section 6.05(b)), (ii) proposing a DIP Financing to any Grantor that is junior to the Senior Obligations, or (iii) objecting to any provision in any proposed DIP Financing relating, describing or requiring the material provisions or content of a plan of reorganization or similar dispositive restructuring plan.</w:t>
      </w:r>
    </w:p>
    <w:p>
      <w:pPr>
        <w:spacing w:after="0" w:line="170" w:lineRule="exact"/>
        <w:rPr>
          <w:sz w:val="20"/>
          <w:szCs w:val="20"/>
          <w:color w:val="auto"/>
        </w:rPr>
      </w:pPr>
    </w:p>
    <w:p>
      <w:pPr>
        <w:jc w:val="both"/>
        <w:ind w:firstLine="1298"/>
        <w:spacing w:after="0" w:line="247" w:lineRule="auto"/>
        <w:rPr>
          <w:sz w:val="20"/>
          <w:szCs w:val="20"/>
          <w:color w:val="auto"/>
        </w:rPr>
      </w:pPr>
      <w:r>
        <w:rPr>
          <w:rFonts w:ascii="Times New Roman" w:cs="Times New Roman" w:eastAsia="Times New Roman" w:hAnsi="Times New Roman"/>
          <w:sz w:val="22"/>
          <w:szCs w:val="22"/>
          <w:color w:val="auto"/>
        </w:rPr>
        <w:t>Notwithstanding the foregoing, the applicable provisions of this Section 6.01 shall only be binding on the Second Priority Debt Parties with respect to any DIP Financing to the extent the principal amount of such DIP Financing together with the principal amount of any outstanding pre-petition Senior Obligations as of the commencement of such Insolvency or Liquidation Proceeding does not exceed the sum of (i) the Maximum Senior Principal Amount plus (ii) an amount equal to 15% of the Maximum Senior Principal Amount.</w:t>
      </w:r>
    </w:p>
    <w:p>
      <w:pPr>
        <w:spacing w:after="0" w:line="183" w:lineRule="exact"/>
        <w:rPr>
          <w:sz w:val="20"/>
          <w:szCs w:val="20"/>
          <w:color w:val="auto"/>
        </w:rPr>
      </w:pPr>
    </w:p>
    <w:p>
      <w:pPr>
        <w:jc w:val="both"/>
        <w:ind w:left="20" w:firstLine="1298"/>
        <w:spacing w:after="0" w:line="251"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Relief from the Automatic Stay</w:t>
      </w:r>
      <w:r>
        <w:rPr>
          <w:rFonts w:ascii="Times New Roman" w:cs="Times New Roman" w:eastAsia="Times New Roman" w:hAnsi="Times New Roman"/>
          <w:sz w:val="22"/>
          <w:szCs w:val="22"/>
          <w:color w:val="auto"/>
        </w:rPr>
        <w:t>. Until the Discharge of Senior Obligations has occurred, each Second Priority Representative, for itself and on behalf of each Second Priority Debt Party under its Second Priority Debt Facility, agrees that none of them shall seek relief from the automatic stay or any other stay in any Insolvency or Liquidation Proceeding or take any action in derogation thereof, or support or join, directly or indirectly, any party in doing or performing the same, in each case in respect of any Shared Collateral, without the prior written consent of the Designated Senior Representative.</w:t>
      </w:r>
    </w:p>
    <w:p>
      <w:pPr>
        <w:spacing w:after="0" w:line="154" w:lineRule="exact"/>
        <w:rPr>
          <w:sz w:val="20"/>
          <w:szCs w:val="20"/>
          <w:color w:val="auto"/>
        </w:rPr>
      </w:pPr>
    </w:p>
    <w:p>
      <w:pPr>
        <w:jc w:val="both"/>
        <w:ind w:left="20" w:firstLine="1298"/>
        <w:spacing w:after="0" w:line="244"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Adequate Protection</w:t>
      </w:r>
      <w:r>
        <w:rPr>
          <w:rFonts w:ascii="Times New Roman" w:cs="Times New Roman" w:eastAsia="Times New Roman" w:hAnsi="Times New Roman"/>
          <w:sz w:val="22"/>
          <w:szCs w:val="22"/>
          <w:color w:val="auto"/>
        </w:rPr>
        <w:t>. Each Second Priority Representative, for itself and on behalf of each Second Priority Debt Party under its Second Priority Debt Facility, agrees that none of them shall object, contest or support any other Person objecting to or contesting (a) any request by any Senior Representative or any Senior Secured Parties for adequate protection in any form, (b) any objection by any Senior Representative or any Senior Secured Parties to any motion, relief, action or proceeding based on any claims by a Senior Representative or Senior Secured Party of a lack of adequate protection or (c) the allowance and/or payment of interest, fees, expenses or other amounts of any Senior Representative or any other Senior Secured Party under Section 506(b) or 506(c) of the Bankruptcy Code or any similar provision of any other Bankruptcy Law or otherwise as adequate protection. Notwithstanding anything contained in this Section 6.03 or in Section 6.01, in any Insolvency or Liquidation Proceeding, (i) if the Senior Secured Parties (or any subset thereof) are granted adequate protection in the form of a Lien on additional or replacement collateral in connection with any DIP Financing or use of cash collateral under Section 363 or 364 of the Bankruptcy Code or any similar provision of any other Bankruptcy Law and/or a superpriority administrative claim, then each Second Priority Representative, for itself and on behalf of each Second Priority Debt Party under its Second Priority Debt Facility, may seek or request, without objection by any Senior Secured Party, adequate protection in the form of (as applicable) a Lien on such additional or replacement collateral and/or a super priority administrative claim, which Lien is subordinated to the Liens securing and granted as adequate protection for all Senior Obligations and such DIP</w:t>
      </w:r>
    </w:p>
    <w:p>
      <w:pPr>
        <w:sectPr>
          <w:pgSz w:w="11900" w:h="16838" w:orient="portrait"/>
          <w:cols w:equalWidth="0" w:num="1">
            <w:col w:w="10780"/>
          </w:cols>
          <w:pgMar w:left="580" w:top="1440" w:right="539" w:bottom="1440" w:gutter="0" w:footer="0" w:header="0"/>
        </w:sectPr>
      </w:pPr>
    </w:p>
    <w:bookmarkStart w:id="363" w:name="page364"/>
    <w:bookmarkEnd w:id="363"/>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Financing (and all obligations relating thereto) on the same basis as the other Liens securing the Second Priority Debt Obligations are so subordinated to the Liens securing Senior Obligations under this Agreement and which superpriority claim is junior and subordinated to the superpriority administrative claim granted as adequate protection to the Senior Secured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Second Priority Representative shall have irrevocably agreed, pursuant to Section 1129(a)(9) of the Bankruptcy Code, for itself and on behalf of each Second Priority Debt Party under its Second Priority Debt Facility, in any stipulation and/or order granting such adequate protection, that such junior superpriority claims may be paid under any plan of reorganization in any combination of cash, debt, equity or other property having a value on the effective date of such plan equal to the allowed amount of such claims, and (ii) in the event any Second Priority Representatives, for themselves and on behalf of the Second Priority Debt Parties under their Second Priority Debt Facilities, seek or request adequate protection and such adequate protection is granted in the form of a Lien on additional or replacement collateral and/or a superpriority administrative claim, then such Second Priority Representatives, for themselves and on behalf of each Second Priority Debt Party under their Second Priority Debt Facilities, agree that each Senior Representative shall also be entitled to seek without objection from any Second Priority Debt Party, a senior Lien on such additional or replacement collateral and/or a superpriority administrative claim as adequate protection for the Senior Obligations, and that any Lien on such additional or replacement collateral granted as adequate protection for the Second Priority Debt Obligations shall be subordinated to the Liens on such collateral securing the Senior Obligations and any such DIP Financing (and all obligations relating thereto) and any other Liens granted to the Senior Secured Parties as adequate protection on the same basis as the other Liens securing the Second Priority Debt Obligations are so subordinated to such Liens securing Senior Obligations under this Agreement, and that any superpriority claim granted as adequate protection for the Second Priority Debt Obligations shall be junior and subordinated to the superpriority administrative claim granted as adequate protection to the Senior Secured Parties. Without limiting the generality of the foregoing, to the extent that the Senior Secured Parties are granted adequate protection in the form of payments in the amount of current post-petition fees and expenses, and/or other cash payments, then the Second Priority Representative, for itself and on behalf of each Second Priority Debt Party under its Second Priority Debt Facility, shall not be prohibited from seeking adequate protection in the form of payments in the amount of current post-petition fees and expenses, and/or other cash payments (as applicable), subject to the right of the Senior Secured Parties to object to the reasonableness of the amounts of fees and expenses or other cash payments so sought by the Second Priority Debt Parties.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1298"/>
        <w:spacing w:after="0" w:line="249"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Preference Issues</w:t>
      </w:r>
      <w:r>
        <w:rPr>
          <w:rFonts w:ascii="Times New Roman" w:cs="Times New Roman" w:eastAsia="Times New Roman" w:hAnsi="Times New Roman"/>
          <w:sz w:val="22"/>
          <w:szCs w:val="22"/>
          <w:color w:val="auto"/>
        </w:rPr>
        <w:t>. If any Senior Secured Party is required in any Insolvency or Liquidation Proceeding or otherwise to disgorge, turn over or otherwise pay any amount to the estate of the Company or any other Grantor (or any trustee, receiver or similar Person therefor), because the payment of such amount was declared to be or was avoided as fraudulent or preferential or otherwise under Chapter 5 of the Bankruptcy Code or any similar provision of any other Bankruptcy Law, in any respect or for any other reason, any amount (a “</w:t>
      </w:r>
      <w:r>
        <w:rPr>
          <w:rFonts w:ascii="Times New Roman" w:cs="Times New Roman" w:eastAsia="Times New Roman" w:hAnsi="Times New Roman"/>
          <w:sz w:val="22"/>
          <w:szCs w:val="22"/>
          <w:u w:val="single" w:color="auto"/>
          <w:color w:val="auto"/>
        </w:rPr>
        <w:t>Recovery</w:t>
      </w:r>
      <w:r>
        <w:rPr>
          <w:rFonts w:ascii="Times New Roman" w:cs="Times New Roman" w:eastAsia="Times New Roman" w:hAnsi="Times New Roman"/>
          <w:sz w:val="22"/>
          <w:szCs w:val="22"/>
          <w:color w:val="auto"/>
        </w:rPr>
        <w:t>”), whether received as proceeds of security, enforcement of any right of setoff, recoupment or otherwise, then the Senior Obligations shall be reinstated to the extent of such Recovery and deemed to be outstanding as if such payment had not occurred, and the Senior Secured Parties shall be entitled to the benefits of this Agreement until a Discharge of Senior Obligations with respect to all such recovered amounts. If this Agreement shall have been terminated prior to such Recovery, this Agreement shall be reinstated in full force and effect, and</w:t>
      </w:r>
    </w:p>
    <w:p>
      <w:pPr>
        <w:sectPr>
          <w:pgSz w:w="11900" w:h="16838" w:orient="portrait"/>
          <w:cols w:equalWidth="0" w:num="1">
            <w:col w:w="10760"/>
          </w:cols>
          <w:pgMar w:left="600" w:top="1440" w:right="539" w:bottom="1440" w:gutter="0" w:footer="0" w:header="0"/>
        </w:sectPr>
      </w:pPr>
    </w:p>
    <w:bookmarkStart w:id="364" w:name="page365"/>
    <w:bookmarkEnd w:id="364"/>
    <w:p>
      <w:pPr>
        <w:jc w:val="both"/>
        <w:spacing w:after="0" w:line="250" w:lineRule="auto"/>
        <w:rPr>
          <w:sz w:val="20"/>
          <w:szCs w:val="20"/>
          <w:color w:val="auto"/>
        </w:rPr>
      </w:pPr>
      <w:r>
        <w:rPr>
          <w:rFonts w:ascii="Times New Roman" w:cs="Times New Roman" w:eastAsia="Times New Roman" w:hAnsi="Times New Roman"/>
          <w:sz w:val="22"/>
          <w:szCs w:val="22"/>
          <w:color w:val="auto"/>
        </w:rPr>
        <w:t>such prior termination shall not diminish, release, discharge, impair or otherwise affect the obligations of the parties hereto. Each Second Priority Representative, for itself and on behalf of each Second Priority Debt Party under its Second Priority Debt Facility, hereby agrees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 the First Lien Credit Agreement and/or the Collateral Documents, as applicable.</w:t>
      </w:r>
    </w:p>
    <w:p>
      <w:pPr>
        <w:spacing w:after="0" w:line="194" w:lineRule="exact"/>
        <w:rPr>
          <w:sz w:val="20"/>
          <w:szCs w:val="20"/>
          <w:color w:val="auto"/>
        </w:rPr>
      </w:pPr>
    </w:p>
    <w:p>
      <w:pPr>
        <w:ind w:left="130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Separate Grants of Security and Separate Classifications</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jc w:val="both"/>
        <w:ind w:firstLine="1294"/>
        <w:spacing w:after="0" w:line="237" w:lineRule="auto"/>
        <w:tabs>
          <w:tab w:leader="none" w:pos="1672"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Second Priority Representative, for itself and on behalf of each Second Priority Debt Party under its Second Priority Debt Facility, acknowledges and agrees that (i) the grants of Liens pursuant to the Senior Collateral Documents and the Second Priority Collateral Documents constitute separate and distinct grants of Liens and (ii) because of, among other things, their differing rights in the Shared Collateral, the Second Priority Debt Obligations are fundamentally different from the Senior Obligations and must be separately classified in any plan of reorganization or similar dispositive restructuring plan proposed, confirmed or adopted in an Insolvency or Liquidation Proceeding. To further effectuate the intent of the parties as provided in the immediately preceding sentence, if it is held that any claims of the Senior Secured Parties and the Second Priority Debt Parties in respect of the Shared Collateral constitute a single class of claims (rather than separate classes of senior and junior secured claims), then each Second Priority Representative, for itself and on behalf of each Second Priority Debt Party under its Second Priority Debt Facility, hereby acknowledges and agrees that all distributions shall be made as if there were separate classes of senior and junior secured claims against the Grantors in respect of the Shared Collateral (with the effect being that, to the extent that the aggregate value of the Shared Collateral is sufficient (for this purpose ignoring all claims held by the Second Priority Debt Parties), the Senior Secured Parties shall be entitled to receive, in addition to amounts distributed to them in respect of principal, pre-petition interest and other claims, all amounts owing in respect of post-petition interest, fees, and expenses (whether or not allowed or allowable as a claim in any such proceeding) before any distribution is made from the Shared Collateral in respect of the Second Priority Debt Obligations, with each Second Priority Representative, for itself and on behalf of each Second Priority Debt Party under its Second Priority Debt Facility, hereby acknowledging and agreeing to turn over to the Designated Senior Representative amounts otherwise received or receivable by them from the Shared Collateral to the extent necessary to effectuate the intent of this sentence, even if such turnover has the effect of reducing the claim or recovery of the Second Priority Debt Parties.</w:t>
      </w:r>
    </w:p>
    <w:p>
      <w:pPr>
        <w:spacing w:after="0" w:line="194" w:lineRule="exact"/>
        <w:rPr>
          <w:rFonts w:ascii="Times New Roman" w:cs="Times New Roman" w:eastAsia="Times New Roman" w:hAnsi="Times New Roman"/>
          <w:sz w:val="22"/>
          <w:szCs w:val="22"/>
          <w:color w:val="auto"/>
        </w:rPr>
      </w:pPr>
    </w:p>
    <w:p>
      <w:pPr>
        <w:jc w:val="both"/>
        <w:ind w:left="140" w:firstLine="1298"/>
        <w:spacing w:after="0" w:line="250" w:lineRule="auto"/>
        <w:tabs>
          <w:tab w:leader="none" w:pos="2311"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Second Priority Debt Party (whether in the capacity of a secured creditor or an unsecured creditor in accordance with Section 506(a) of the Bankruptcy Code or any similar provision of any other Bankruptcy Law) shall not propose, vote in favor of, or otherwise directly or indirectly support any plan of reorganization or similar dispositive restructuring plan that is inconsistent with, or in violation of, the terms of this Agreement, unless such plan is supported by the number of Senior Secured Parties required for class acceptance of a plan under Section 1126(c) of the Bankruptcy Code or any similar provision of any other Bankruptcy Law (in which event, the Second Priority Debt Parties, may, but are not obligated to, support such plan).</w:t>
      </w:r>
    </w:p>
    <w:p>
      <w:pPr>
        <w:sectPr>
          <w:pgSz w:w="11900" w:h="16838" w:orient="portrait"/>
          <w:cols w:equalWidth="0" w:num="1">
            <w:col w:w="10760"/>
          </w:cols>
          <w:pgMar w:left="600" w:top="1422" w:right="539" w:bottom="1440" w:gutter="0" w:footer="0" w:header="0"/>
        </w:sectPr>
      </w:pPr>
    </w:p>
    <w:bookmarkStart w:id="365" w:name="page366"/>
    <w:bookmarkEnd w:id="365"/>
    <w:p>
      <w:pPr>
        <w:spacing w:after="0" w:line="158" w:lineRule="exact"/>
        <w:rPr>
          <w:sz w:val="20"/>
          <w:szCs w:val="20"/>
          <w:color w:val="auto"/>
        </w:rPr>
      </w:pPr>
    </w:p>
    <w:p>
      <w:pPr>
        <w:jc w:val="both"/>
        <w:ind w:left="20" w:firstLine="1298"/>
        <w:spacing w:after="0" w:line="253"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No Waivers of Rights of Senior Secured Parties</w:t>
      </w:r>
      <w:r>
        <w:rPr>
          <w:rFonts w:ascii="Times New Roman" w:cs="Times New Roman" w:eastAsia="Times New Roman" w:hAnsi="Times New Roman"/>
          <w:sz w:val="22"/>
          <w:szCs w:val="22"/>
          <w:color w:val="auto"/>
        </w:rPr>
        <w:t>. Nothing contained herein shall, except as expressly provided herein, prohibit or in any way limit any Senior Representative or any other Senior Secured Party from objecting in any Insolvency or Liquidation Proceeding or otherwise to any action taken by any Second Priority Debt Party, including the seeking by any Second Priority Debt Party of adequate protection or the asserting by any Second Priority Debt Party of any of its rights and remedies under the Second Priority Debt Documents or otherwise.</w:t>
      </w:r>
    </w:p>
    <w:p>
      <w:pPr>
        <w:spacing w:after="0" w:line="165" w:lineRule="exact"/>
        <w:rPr>
          <w:sz w:val="20"/>
          <w:szCs w:val="20"/>
          <w:color w:val="auto"/>
        </w:rPr>
      </w:pPr>
    </w:p>
    <w:p>
      <w:pPr>
        <w:jc w:val="both"/>
        <w:ind w:left="20" w:right="20" w:firstLine="1298"/>
        <w:spacing w:after="0" w:line="252"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This Agreement, which the parties hereto expressly acknowledge is a “subordination agreement” under Section 510(a) of the Bankruptcy Code or any similar provision of any other Bankruptcy Law, shall be effective and enforceable before, during and after the commencement of any Insolvency or Liquidation Proceeding. The relative rights as to the Shared Collateral and Proceeds thereof shall continue after the commencement of any Insolvency or Liquidation Proceeding the same basis as prior to the date of the petition therefor, subject to any court order approving the financing of, or use of cash collateral by, any Grantor. All references herein to any Grantor shall include such Grantor as a debtor-in-possession and any receiver or trustee for such Grantor.</w:t>
      </w:r>
    </w:p>
    <w:p>
      <w:pPr>
        <w:spacing w:after="0" w:line="193" w:lineRule="exact"/>
        <w:rPr>
          <w:sz w:val="20"/>
          <w:szCs w:val="20"/>
          <w:color w:val="auto"/>
        </w:rPr>
      </w:pPr>
    </w:p>
    <w:p>
      <w:pPr>
        <w:jc w:val="both"/>
        <w:ind w:left="20"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Other Matters</w:t>
      </w:r>
      <w:r>
        <w:rPr>
          <w:rFonts w:ascii="Times New Roman" w:cs="Times New Roman" w:eastAsia="Times New Roman" w:hAnsi="Times New Roman"/>
          <w:sz w:val="22"/>
          <w:szCs w:val="22"/>
          <w:color w:val="auto"/>
        </w:rPr>
        <w:t xml:space="preserve">. To the extent that any Second Priority Representative or any Second Priority Debt Party has or acquires rights under Section 363 or Section 364 of the Bankruptcy Code or any similar provision of any other Bankruptcy Law with respect to any of the Shared Collateral, such Second Priority Representative, on behalf of itself and each Second Priority Debt Party under its Second Priority Debt Facility, agrees not to assert any such rights without the prior written consent of each Senior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requested by any Senior Representative, such Second Priority Representative shall timely exercise such rights in the manner requested by the Senior Representatives, including any rights to payments in respect of such rights.</w:t>
      </w:r>
    </w:p>
    <w:p>
      <w:pPr>
        <w:spacing w:after="0" w:line="180" w:lineRule="exact"/>
        <w:rPr>
          <w:sz w:val="20"/>
          <w:szCs w:val="20"/>
          <w:color w:val="auto"/>
        </w:rPr>
      </w:pPr>
    </w:p>
    <w:p>
      <w:pPr>
        <w:jc w:val="both"/>
        <w:ind w:left="20" w:firstLine="1298"/>
        <w:spacing w:after="0" w:line="249"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506(c) Claims</w:t>
      </w:r>
      <w:r>
        <w:rPr>
          <w:rFonts w:ascii="Times New Roman" w:cs="Times New Roman" w:eastAsia="Times New Roman" w:hAnsi="Times New Roman"/>
          <w:sz w:val="22"/>
          <w:szCs w:val="22"/>
          <w:color w:val="auto"/>
        </w:rPr>
        <w:t>. Until the Discharge of Senior Obligations has occurred, each Second Priority Representative, on behalf of itself and each Second Priority Debt Party, agrees that it will not assert or enforce any claim under Section 506(c) of the Bankruptcy Code or any similar provision of any other Bankruptcy Law or seek to recover any amounts that any Grantor may obtain by virtue of any claim under Section 506(c) of the Bankruptcy Code or any similar provision of any other Bankruptcy Law, in each case, for costs or expenses of preserving or disposing of any Shared Collateral or otherwise. To the extent any Second Priority Debt Party receives any payments or consideration on account of claims under Section 506(c) of the Bankruptcy Code or any similar provision of any other Bankruptcy Law in violation of the immediately-preceding sentence, then such Second Priority Debt Party will turn over to the Designated Senior Representative such amounts, even if such turnover has the effect of reducing the claim or recovery of the Second Priority Debt Parties.</w:t>
      </w:r>
    </w:p>
    <w:p>
      <w:pPr>
        <w:spacing w:after="0" w:line="170" w:lineRule="exact"/>
        <w:rPr>
          <w:sz w:val="20"/>
          <w:szCs w:val="20"/>
          <w:color w:val="auto"/>
        </w:rPr>
      </w:pPr>
    </w:p>
    <w:p>
      <w:pPr>
        <w:jc w:val="both"/>
        <w:ind w:firstLine="1298"/>
        <w:spacing w:after="0" w:line="253"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Reorganization Securities</w:t>
      </w:r>
      <w:r>
        <w:rPr>
          <w:rFonts w:ascii="Times New Roman" w:cs="Times New Roman" w:eastAsia="Times New Roman" w:hAnsi="Times New Roman"/>
          <w:sz w:val="22"/>
          <w:szCs w:val="22"/>
          <w:color w:val="auto"/>
        </w:rPr>
        <w:t>. If, in any Insolvency or Liquidation Proceeding, equity securities or debt obligations of the reorganized debtor (or any successor or assignee of the debtor) are distributed, pursuant to a plan of reorganization or similar dispositive restructuring plan, on account of the Second Priority Debt Obligations, so long as not in violation of or inconsistent with this Agreement, such equity securities or debt obligations may be received and retained by the Second Priority Representatives and the Second Priority Debt Parties,</w:t>
      </w:r>
    </w:p>
    <w:p>
      <w:pPr>
        <w:sectPr>
          <w:pgSz w:w="11900" w:h="16838" w:orient="portrait"/>
          <w:cols w:equalWidth="0" w:num="1">
            <w:col w:w="10780"/>
          </w:cols>
          <w:pgMar w:left="580" w:top="1440" w:right="539" w:bottom="1440" w:gutter="0" w:footer="0" w:header="0"/>
        </w:sectPr>
      </w:pPr>
    </w:p>
    <w:bookmarkStart w:id="366" w:name="page367"/>
    <w:bookmarkEnd w:id="366"/>
    <w:p>
      <w:pPr>
        <w:spacing w:after="0" w:line="144" w:lineRule="exact"/>
        <w:rPr>
          <w:sz w:val="20"/>
          <w:szCs w:val="20"/>
          <w:color w:val="auto"/>
        </w:rPr>
      </w:pPr>
    </w:p>
    <w:p>
      <w:pPr>
        <w:jc w:val="both"/>
        <w:ind w:left="158"/>
        <w:spacing w:after="0" w:line="265" w:lineRule="auto"/>
        <w:rPr>
          <w:sz w:val="20"/>
          <w:szCs w:val="20"/>
          <w:color w:val="auto"/>
        </w:rPr>
      </w:pPr>
      <w:r>
        <w:rPr>
          <w:rFonts w:ascii="Times New Roman" w:cs="Times New Roman" w:eastAsia="Times New Roman" w:hAnsi="Times New Roman"/>
          <w:sz w:val="21"/>
          <w:szCs w:val="21"/>
          <w:color w:val="auto"/>
        </w:rPr>
        <w:t>provided, however if any debt securities are secured by Liens upon any property of the reorganized debtor (or any successor or assignee of the debtor) and are distributed, pursuant to a plan of reorganization or similar dispositive restructuring plan, on account of both the Senior Obligations and the Second Priority Debt Obligations, then, to the extent the debt obligations distributed on account of the Senior Obligations and on account of the Second Priority Debt Obligations are secured by Liens upon the same assets or property, the provisions of this Agreement will survive the distribution of such debt obligations pursuant to such plan and will apply with like effect to the Liens securing such debt obligations.</w:t>
      </w:r>
    </w:p>
    <w:p>
      <w:pPr>
        <w:spacing w:after="0" w:line="182" w:lineRule="exact"/>
        <w:rPr>
          <w:sz w:val="20"/>
          <w:szCs w:val="20"/>
          <w:color w:val="auto"/>
        </w:rPr>
      </w:pPr>
    </w:p>
    <w:p>
      <w:pPr>
        <w:jc w:val="both"/>
        <w:ind w:left="178"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Section 1111(b) of the Bankruptcy Code</w:t>
      </w:r>
      <w:r>
        <w:rPr>
          <w:rFonts w:ascii="Times New Roman" w:cs="Times New Roman" w:eastAsia="Times New Roman" w:hAnsi="Times New Roman"/>
          <w:sz w:val="22"/>
          <w:szCs w:val="22"/>
          <w:color w:val="auto"/>
        </w:rPr>
        <w:t>. Until the Discharge of Senior Obligations has occurred, none of the Second Priority Representatives nor any Second Priority Debt Party shall seek to exercise any rights under Section 1111(b) of the Bankruptcy Code or any similar provision under any Bankruptcy Law. All rights of Senior Secured Parties to exercise any rights under Section 1111(b) of the Bankruptcy Code or any similar provision of any other Bankruptcy Law, if any, are reserved and unaltered by this Agreement.</w:t>
      </w:r>
    </w:p>
    <w:p>
      <w:pPr>
        <w:spacing w:after="0" w:line="181" w:lineRule="exact"/>
        <w:rPr>
          <w:sz w:val="20"/>
          <w:szCs w:val="20"/>
          <w:color w:val="auto"/>
        </w:rPr>
      </w:pPr>
    </w:p>
    <w:p>
      <w:pPr>
        <w:ind w:left="1478"/>
        <w:spacing w:after="0"/>
        <w:tabs>
          <w:tab w:leader="none" w:pos="3057"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Post-Petition Interest</w:t>
      </w:r>
    </w:p>
    <w:p>
      <w:pPr>
        <w:spacing w:after="0" w:line="233" w:lineRule="exact"/>
        <w:rPr>
          <w:sz w:val="20"/>
          <w:szCs w:val="20"/>
          <w:color w:val="auto"/>
        </w:rPr>
      </w:pPr>
    </w:p>
    <w:p>
      <w:pPr>
        <w:jc w:val="both"/>
        <w:ind w:left="338" w:hanging="338"/>
        <w:spacing w:after="0" w:line="253" w:lineRule="auto"/>
        <w:tabs>
          <w:tab w:leader="none" w:pos="326"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Second Priority Debt Party shall oppose or seek to challenge any claim by any Senior Secured Party for allowance in any Insolvency or Liquidation Proceeding of Senior Obligations consisting of claims for post-petition interest, fees, costs, expenses, and/or other charges, under Section 506(b) of the Bankruptcy Code(or any other similar provision of any other Bankruptcy Law) or otherwise (for this purpose ignoring all claims and Liens held by the Second Priority Debt Parties on the Shared Collateral).</w:t>
      </w:r>
    </w:p>
    <w:p>
      <w:pPr>
        <w:spacing w:after="0" w:line="178" w:lineRule="exact"/>
        <w:rPr>
          <w:rFonts w:ascii="Times New Roman" w:cs="Times New Roman" w:eastAsia="Times New Roman" w:hAnsi="Times New Roman"/>
          <w:sz w:val="22"/>
          <w:szCs w:val="22"/>
          <w:color w:val="auto"/>
        </w:rPr>
      </w:pPr>
    </w:p>
    <w:p>
      <w:pPr>
        <w:jc w:val="both"/>
        <w:ind w:left="338" w:hanging="338"/>
        <w:spacing w:after="0" w:line="251" w:lineRule="auto"/>
        <w:tabs>
          <w:tab w:leader="none" w:pos="325"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Senior Secured Party shall oppose or seek to challenge any claim by any Second Priority Debt Party for allowance in any Insolvency or Liquidation Proceeding of Second Priority Debt Obligations consisting of claims for post-petition interest, fees, costs, expenses, and/or other charges, under Section 506(b) of the Bankruptcy Code (or any other similar provision of any other Bankruptcy Law) or otherwise, to the extent of the value of the Lien of the Second Priority Representative on behalf of the Second Priority Debt Parties on the Shared Collateral (after taking into account the Senior Obligations and the Liens held by the Senior Secured Parties on the Shared Collateral).</w:t>
      </w:r>
    </w:p>
    <w:p>
      <w:pPr>
        <w:spacing w:after="0" w:line="316"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22"/>
          <w:szCs w:val="22"/>
          <w:color w:val="auto"/>
        </w:rPr>
        <w:t>ARTICLE VII</w:t>
      </w:r>
    </w:p>
    <w:p>
      <w:pPr>
        <w:spacing w:after="0" w:line="247"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22"/>
          <w:szCs w:val="22"/>
          <w:u w:val="single" w:color="auto"/>
          <w:color w:val="auto"/>
        </w:rPr>
        <w:t>Reliance; etc.</w:t>
      </w:r>
    </w:p>
    <w:p>
      <w:pPr>
        <w:spacing w:after="0" w:line="233" w:lineRule="exact"/>
        <w:rPr>
          <w:sz w:val="20"/>
          <w:szCs w:val="20"/>
          <w:color w:val="auto"/>
        </w:rPr>
      </w:pPr>
    </w:p>
    <w:p>
      <w:pPr>
        <w:jc w:val="both"/>
        <w:ind w:left="178" w:firstLine="1298"/>
        <w:spacing w:after="0" w:line="263"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Reliance</w:t>
      </w:r>
      <w:r>
        <w:rPr>
          <w:rFonts w:ascii="Times New Roman" w:cs="Times New Roman" w:eastAsia="Times New Roman" w:hAnsi="Times New Roman"/>
          <w:sz w:val="21"/>
          <w:szCs w:val="21"/>
          <w:color w:val="auto"/>
        </w:rPr>
        <w:t>. The consent by the Senior Secured Parties to the execution and delivery of the Second Priority Debt Documents to which the Senior Secured Parties have consented and all loans and other extensions of credit made or deemed made on and after the date hereof by the Senior Secured Parties to the Company or any Subsidiary shall be deemed to have been given and made in reliance upon this Agreement. Each Second Priority Representative, on behalf of itself and each Second Priority Debt Party under its Second Priority Debt Facility, acknowledges that it and such Second Priority Debt Parties have, independently and without reliance on any Senior Representative or other Senior Secured Party, and based on documents and information deemed by them appropriate, made their own credit analysis and</w:t>
      </w:r>
    </w:p>
    <w:p>
      <w:pPr>
        <w:sectPr>
          <w:pgSz w:w="11900" w:h="16838" w:orient="portrait"/>
          <w:cols w:equalWidth="0" w:num="1">
            <w:col w:w="10938"/>
          </w:cols>
          <w:pgMar w:left="422" w:top="1440" w:right="539" w:bottom="1440" w:gutter="0" w:footer="0" w:header="0"/>
        </w:sectPr>
      </w:pPr>
    </w:p>
    <w:bookmarkStart w:id="367" w:name="page368"/>
    <w:bookmarkEnd w:id="367"/>
    <w:p>
      <w:pPr>
        <w:spacing w:after="0" w:line="158" w:lineRule="exact"/>
        <w:rPr>
          <w:sz w:val="20"/>
          <w:szCs w:val="20"/>
          <w:color w:val="auto"/>
        </w:rPr>
      </w:pPr>
    </w:p>
    <w:p>
      <w:pPr>
        <w:jc w:val="both"/>
        <w:ind w:left="178"/>
        <w:spacing w:after="0" w:line="253" w:lineRule="auto"/>
        <w:rPr>
          <w:sz w:val="20"/>
          <w:szCs w:val="20"/>
          <w:color w:val="auto"/>
        </w:rPr>
      </w:pPr>
      <w:r>
        <w:rPr>
          <w:rFonts w:ascii="Times New Roman" w:cs="Times New Roman" w:eastAsia="Times New Roman" w:hAnsi="Times New Roman"/>
          <w:sz w:val="22"/>
          <w:szCs w:val="22"/>
          <w:color w:val="auto"/>
        </w:rPr>
        <w:t>decision to enter into the Second Priority Debt Documents to which they are party or by which they are bound, this Agreement and the transactions contemplated hereby and thereby, and they will continue to make their own credit decision in taking or not taking any action under the Second Priority Debt Documents or this Agreement (it being understood that nothing in this Section 7.01 imposes any obligations on the Initial Second Priority Representative to make any such analyses or decisions beyond that which may be required by the Second Lien [Credit Agreement][Indenture]).</w:t>
      </w:r>
    </w:p>
    <w:p>
      <w:pPr>
        <w:spacing w:after="0" w:line="165" w:lineRule="exact"/>
        <w:rPr>
          <w:sz w:val="20"/>
          <w:szCs w:val="20"/>
          <w:color w:val="auto"/>
        </w:rPr>
      </w:pPr>
    </w:p>
    <w:p>
      <w:pPr>
        <w:jc w:val="both"/>
        <w:ind w:left="158" w:firstLine="1298"/>
        <w:spacing w:after="0" w:line="258" w:lineRule="auto"/>
        <w:rPr>
          <w:sz w:val="20"/>
          <w:szCs w:val="20"/>
          <w:color w:val="auto"/>
        </w:rPr>
      </w:pPr>
      <w:r>
        <w:rPr>
          <w:rFonts w:ascii="Times New Roman" w:cs="Times New Roman" w:eastAsia="Times New Roman" w:hAnsi="Times New Roman"/>
          <w:sz w:val="21"/>
          <w:szCs w:val="21"/>
          <w:color w:val="auto"/>
        </w:rPr>
        <w:t xml:space="preserve">SECTION 7.02. </w:t>
      </w:r>
      <w:r>
        <w:rPr>
          <w:rFonts w:ascii="Times New Roman" w:cs="Times New Roman" w:eastAsia="Times New Roman" w:hAnsi="Times New Roman"/>
          <w:sz w:val="21"/>
          <w:szCs w:val="21"/>
          <w:u w:val="single" w:color="auto"/>
          <w:color w:val="auto"/>
        </w:rPr>
        <w:t>No Warranties or Liability</w:t>
      </w:r>
      <w:r>
        <w:rPr>
          <w:rFonts w:ascii="Times New Roman" w:cs="Times New Roman" w:eastAsia="Times New Roman" w:hAnsi="Times New Roman"/>
          <w:sz w:val="21"/>
          <w:szCs w:val="21"/>
          <w:color w:val="auto"/>
        </w:rPr>
        <w:t>. Each Second Priority Representative, on behalf of itself and each Second Priority Debt Party under its Second Priority Debt Facility, acknowledges and agrees that neither any Senior Representative nor any other Senior Secured Party has made any express or implied representation or warranty, including with respect to the execution, validity, legality, completeness, collectibility or enforceability of any of the Senior Debt Documents, the ownership of any Shared Collateral or the perfection or priority of any Liens thereon. The Senior Secured Parties will be entitled to manage and supervise their respective loans and extensions of credit under the Senior Debt Documents in accordance with law and as they may otherwise, in their sole discretion, deem appropriate, and the Senior Secured Parties may manage their loans and extensions of credit without regard to any rights or interests that the Second Priority Representatives and the Second Priority Debt Parties have in the Shared Collateral or otherwise, except as otherwise provided in this Agreement. Neither any Senior Representative nor any other Senior Secured Party shall have any duty to any Second Priority Representative or Second Priority Debt Party to act or refrain from acting in a manner that allows, or results in, the occurrence or continuance of an event of default or default under any agreement with the Company or any Subsidiary (including the Second Priority Debt Documents), regardless of any knowledge thereof that they may have or be charged with. Except as expressly set forth in this Agreement, the Senior Representatives, the Senior Secured Parties, the Second Priority Representatives and the Second Priority Debt Parties have not otherwise made to each other, nor do they hereby make to each other, any warranties, express or implied, nor do they assume any liability to each other with respect to</w:t>
      </w:r>
    </w:p>
    <w:p>
      <w:pPr>
        <w:spacing w:after="0" w:line="15" w:lineRule="exact"/>
        <w:rPr>
          <w:sz w:val="20"/>
          <w:szCs w:val="20"/>
          <w:color w:val="auto"/>
        </w:rPr>
      </w:pPr>
    </w:p>
    <w:p>
      <w:pPr>
        <w:jc w:val="both"/>
        <w:ind w:left="158" w:firstLine="1"/>
        <w:spacing w:after="0" w:line="270" w:lineRule="auto"/>
        <w:tabs>
          <w:tab w:leader="none" w:pos="458" w:val="left"/>
        </w:tabs>
        <w:numPr>
          <w:ilvl w:val="0"/>
          <w:numId w:val="4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enforceability, validity, value or collectibility of any of the Senior Obligations, the Second Priority Debt Obligations or any guarantee or security which may have been granted to any of them in connection therewith, (b) any Grantor’s title to or right to transfer any of the Shared Collateral or (c) any other matter except as expressly set forth in this Agreement.</w:t>
      </w:r>
    </w:p>
    <w:p>
      <w:pPr>
        <w:spacing w:after="0" w:line="281" w:lineRule="exact"/>
        <w:rPr>
          <w:sz w:val="20"/>
          <w:szCs w:val="20"/>
          <w:color w:val="auto"/>
        </w:rPr>
      </w:pPr>
    </w:p>
    <w:p>
      <w:pPr>
        <w:jc w:val="both"/>
        <w:ind w:left="178" w:firstLine="1298"/>
        <w:spacing w:after="0" w:line="257"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Obligations Unconditional</w:t>
      </w:r>
      <w:r>
        <w:rPr>
          <w:rFonts w:ascii="Times New Roman" w:cs="Times New Roman" w:eastAsia="Times New Roman" w:hAnsi="Times New Roman"/>
          <w:sz w:val="22"/>
          <w:szCs w:val="22"/>
          <w:color w:val="auto"/>
        </w:rPr>
        <w:t>. All rights, interests, agreements and obligations of the Senior Representatives, the Senior Secured Parties, the Second Priority Representatives and the Second Priority Debt Parties hereunder shall remain in full force and effect irrespective of:</w:t>
      </w:r>
    </w:p>
    <w:p>
      <w:pPr>
        <w:spacing w:after="0" w:line="159" w:lineRule="exact"/>
        <w:rPr>
          <w:sz w:val="20"/>
          <w:szCs w:val="20"/>
          <w:color w:val="auto"/>
        </w:rPr>
      </w:pPr>
    </w:p>
    <w:p>
      <w:pPr>
        <w:ind w:left="318" w:hanging="318"/>
        <w:spacing w:after="0"/>
        <w:tabs>
          <w:tab w:leader="none" w:pos="318"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Senior Debt Document or any Second Priority Debt Document;</w:t>
      </w:r>
    </w:p>
    <w:p>
      <w:pPr>
        <w:spacing w:after="0" w:line="219" w:lineRule="exact"/>
        <w:rPr>
          <w:rFonts w:ascii="Times New Roman" w:cs="Times New Roman" w:eastAsia="Times New Roman" w:hAnsi="Times New Roman"/>
          <w:sz w:val="22"/>
          <w:szCs w:val="22"/>
          <w:color w:val="auto"/>
        </w:rPr>
      </w:pPr>
    </w:p>
    <w:p>
      <w:pPr>
        <w:jc w:val="both"/>
        <w:ind w:left="318" w:right="20" w:hanging="318"/>
        <w:spacing w:after="0" w:line="252" w:lineRule="auto"/>
        <w:tabs>
          <w:tab w:leader="none" w:pos="306"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terms of, all or any of the Senior Obligations or Second Priority Debt Obligations, or any amendment or waiver or other modification, including any increase in the amount thereof, whether by course of conduct or otherwise, of the terms of the First Lien Credit Agreement or any other Senior Debt Document or of the terms of any Second Priority Debt Document;</w:t>
      </w:r>
    </w:p>
    <w:p>
      <w:pPr>
        <w:sectPr>
          <w:pgSz w:w="11900" w:h="16838" w:orient="portrait"/>
          <w:cols w:equalWidth="0" w:num="1">
            <w:col w:w="10938"/>
          </w:cols>
          <w:pgMar w:left="422" w:top="1440" w:right="539" w:bottom="1440" w:gutter="0" w:footer="0" w:header="0"/>
        </w:sectPr>
      </w:pPr>
    </w:p>
    <w:bookmarkStart w:id="368" w:name="page369"/>
    <w:bookmarkEnd w:id="368"/>
    <w:p>
      <w:pPr>
        <w:spacing w:after="0" w:line="144" w:lineRule="exact"/>
        <w:rPr>
          <w:sz w:val="20"/>
          <w:szCs w:val="20"/>
          <w:color w:val="auto"/>
        </w:rPr>
      </w:pPr>
    </w:p>
    <w:p>
      <w:pPr>
        <w:jc w:val="both"/>
        <w:ind w:left="318" w:right="20" w:hanging="318"/>
        <w:spacing w:after="0" w:line="250" w:lineRule="auto"/>
        <w:tabs>
          <w:tab w:leader="none" w:pos="307"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of any security interest in any Shared Collateral or any other collateral or any amendment, waiver or other modification, whether in writing or by course of conduct or otherwise, of all or any of the Senior Obligations or Second Priority Debt Obligations or any guarantee thereof;</w:t>
      </w:r>
    </w:p>
    <w:p>
      <w:pPr>
        <w:spacing w:after="0" w:line="181" w:lineRule="exact"/>
        <w:rPr>
          <w:rFonts w:ascii="Times New Roman" w:cs="Times New Roman" w:eastAsia="Times New Roman" w:hAnsi="Times New Roman"/>
          <w:sz w:val="22"/>
          <w:szCs w:val="22"/>
          <w:color w:val="auto"/>
        </w:rPr>
      </w:pPr>
    </w:p>
    <w:p>
      <w:pPr>
        <w:ind w:left="298" w:hanging="298"/>
        <w:spacing w:after="0"/>
        <w:tabs>
          <w:tab w:leader="none" w:pos="298"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of any Insolvency or Liquidation Proceeding in respect of the Company or any other Grantor; or</w:t>
      </w:r>
    </w:p>
    <w:p>
      <w:pPr>
        <w:spacing w:after="0" w:line="206" w:lineRule="exact"/>
        <w:rPr>
          <w:rFonts w:ascii="Times New Roman" w:cs="Times New Roman" w:eastAsia="Times New Roman" w:hAnsi="Times New Roman"/>
          <w:sz w:val="22"/>
          <w:szCs w:val="22"/>
          <w:color w:val="auto"/>
        </w:rPr>
      </w:pPr>
    </w:p>
    <w:p>
      <w:pPr>
        <w:ind w:left="298" w:hanging="298"/>
        <w:spacing w:after="0"/>
        <w:tabs>
          <w:tab w:leader="none" w:pos="298"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circumstances that otherwise might constitute a defense available to, or a discharge of,</w:t>
      </w:r>
    </w:p>
    <w:p>
      <w:pPr>
        <w:spacing w:after="0" w:line="29" w:lineRule="exact"/>
        <w:rPr>
          <w:rFonts w:ascii="Times New Roman" w:cs="Times New Roman" w:eastAsia="Times New Roman" w:hAnsi="Times New Roman"/>
          <w:sz w:val="22"/>
          <w:szCs w:val="22"/>
          <w:color w:val="auto"/>
        </w:rPr>
      </w:pPr>
    </w:p>
    <w:p>
      <w:pPr>
        <w:ind w:left="318" w:right="360"/>
        <w:spacing w:after="0" w:line="259" w:lineRule="auto"/>
        <w:tabs>
          <w:tab w:leader="none" w:pos="575" w:val="left"/>
        </w:tabs>
        <w:numPr>
          <w:ilvl w:val="1"/>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other Grantor in respect of the Senior Obligations or (ii) any Second Priority Representative or Second Priority Debt Party in respect of this Agreement.</w:t>
      </w:r>
    </w:p>
    <w:p>
      <w:pPr>
        <w:spacing w:after="0" w:line="144"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left="178" w:firstLine="1298"/>
        <w:spacing w:after="0" w:line="238"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Conflicts</w:t>
      </w:r>
      <w:r>
        <w:rPr>
          <w:rFonts w:ascii="Times New Roman" w:cs="Times New Roman" w:eastAsia="Times New Roman" w:hAnsi="Times New Roman"/>
          <w:sz w:val="22"/>
          <w:szCs w:val="22"/>
          <w:color w:val="auto"/>
        </w:rPr>
        <w:t>. Subject to Section 8.21, in the event of any conflict between the provisions of this Agreement and the provisions of any Senior Debt Document or any Second Priority Debt Document, the provisions of this Agreement shall govern. Notwithstanding the foregoing, (a) the relative rights and obligations of the First Lien Collateral Agent, the Senior Representatives and the Senior Secured Parties (as amongst themselves) with respect to any Senior Collateral shall be governed by the terms of the First Lien Pari Passu Intercreditor Agreement and in the event of any conflict between the First Lien Pari Passu Intercreditor Agreement and this Agreement, the provisions of the First Lien Pari Passu Intercreditor Agreement shall control and (b) the relative rights and obligations of the Second Priority Representatives and the Second Priority Secured Parties (as amongst themselves) with respect to any Second Priority Collateral shall be governed by the terms of the Second Lien Pari Passu Intercreditor Agreement and in the event of any conflict between the Second Lien Pari Passu Intercreditor Agreement and this Agreement, the provisions of the Second Lien Pari Passu Intercreditor Agreement shall control.</w:t>
      </w:r>
    </w:p>
    <w:p>
      <w:pPr>
        <w:spacing w:after="0" w:line="183" w:lineRule="exact"/>
        <w:rPr>
          <w:sz w:val="20"/>
          <w:szCs w:val="20"/>
          <w:color w:val="auto"/>
        </w:rPr>
      </w:pPr>
    </w:p>
    <w:p>
      <w:pPr>
        <w:jc w:val="both"/>
        <w:ind w:left="178" w:right="20" w:firstLine="1298"/>
        <w:spacing w:after="0" w:line="244"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Continuing Nature of this Agreement; Severability</w:t>
      </w:r>
      <w:r>
        <w:rPr>
          <w:rFonts w:ascii="Times New Roman" w:cs="Times New Roman" w:eastAsia="Times New Roman" w:hAnsi="Times New Roman"/>
          <w:sz w:val="22"/>
          <w:szCs w:val="22"/>
          <w:color w:val="auto"/>
        </w:rPr>
        <w:t>. Subject to Section 5.07 and Section 6.04, this Agreement shall continue to be effective until the Discharge of Senior Obligations shall have occurred. This is a continuing agreement of Lien subordination, and the Senior Secured Parties may continue, at any time and without notice to the Second Priority Representatives or any Second Priority Debt Party, to extend credit and other financial accommodations and lend monies to or for the benefit of the Company or any Subsidiary constituting Senior Obligations in reliance hereon. The terms of this Agreement shall survive and continue in full force and effect in any Insolvency or Liquidation Proceeding. Any provision of this Agreement that is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8" w:lineRule="exact"/>
        <w:rPr>
          <w:sz w:val="20"/>
          <w:szCs w:val="20"/>
          <w:color w:val="auto"/>
        </w:rPr>
      </w:pPr>
    </w:p>
    <w:p>
      <w:pPr>
        <w:ind w:left="1478"/>
        <w:spacing w:after="0"/>
        <w:tabs>
          <w:tab w:leader="none" w:pos="3057"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w:t>
      </w:r>
    </w:p>
    <w:p>
      <w:pPr>
        <w:sectPr>
          <w:pgSz w:w="11900" w:h="16838" w:orient="portrait"/>
          <w:cols w:equalWidth="0" w:num="1">
            <w:col w:w="10938"/>
          </w:cols>
          <w:pgMar w:left="422" w:top="1440" w:right="539" w:bottom="1440" w:gutter="0" w:footer="0" w:header="0"/>
        </w:sectPr>
      </w:pPr>
    </w:p>
    <w:bookmarkStart w:id="369" w:name="page370"/>
    <w:bookmarkEnd w:id="369"/>
    <w:p>
      <w:pPr>
        <w:spacing w:after="0" w:line="144" w:lineRule="exact"/>
        <w:rPr>
          <w:sz w:val="20"/>
          <w:szCs w:val="20"/>
          <w:color w:val="auto"/>
        </w:rPr>
      </w:pPr>
    </w:p>
    <w:p>
      <w:pPr>
        <w:jc w:val="both"/>
        <w:ind w:left="20" w:firstLine="1294"/>
        <w:spacing w:after="0" w:line="262" w:lineRule="auto"/>
        <w:tabs>
          <w:tab w:leader="none" w:pos="1692" w:val="left"/>
        </w:tabs>
        <w:numPr>
          <w:ilvl w:val="1"/>
          <w:numId w:val="4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Section 8.03(b),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86" w:lineRule="exact"/>
        <w:rPr>
          <w:rFonts w:ascii="Times New Roman" w:cs="Times New Roman" w:eastAsia="Times New Roman" w:hAnsi="Times New Roman"/>
          <w:sz w:val="21"/>
          <w:szCs w:val="21"/>
          <w:color w:val="auto"/>
        </w:rPr>
      </w:pPr>
    </w:p>
    <w:p>
      <w:pPr>
        <w:jc w:val="both"/>
        <w:ind w:firstLine="1298"/>
        <w:spacing w:after="0" w:line="251" w:lineRule="auto"/>
        <w:tabs>
          <w:tab w:leader="none" w:pos="1684"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be amended in writing signed by each Representative (in each case, acting in accordance with the documents governing the applicable Debt Facility), with written notice 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amendment, supplement or waiver which by the terms of this Agreement requires the Company’s consent or which adversely affects the Company or any Grantor, shall require the consent of the Company. Any such amendment, supplement or waiver shall be in writing and shall be binding upon the Senior Secured Parties and the Second Priority Debt Parties and their respective successors and assigns.</w:t>
      </w:r>
    </w:p>
    <w:p>
      <w:pPr>
        <w:spacing w:after="0" w:line="181" w:lineRule="exact"/>
        <w:rPr>
          <w:rFonts w:ascii="Times New Roman" w:cs="Times New Roman" w:eastAsia="Times New Roman" w:hAnsi="Times New Roman"/>
          <w:sz w:val="22"/>
          <w:szCs w:val="22"/>
          <w:color w:val="auto"/>
        </w:rPr>
      </w:pPr>
    </w:p>
    <w:p>
      <w:pPr>
        <w:jc w:val="both"/>
        <w:ind w:firstLine="1298"/>
        <w:spacing w:after="0" w:line="256" w:lineRule="auto"/>
        <w:tabs>
          <w:tab w:leader="none" w:pos="1686"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without the consent of any Secured Party, any Representative may become a party hereto by execution and delivery of a Joinder Agreement in accordance with Section 8.09 and upon such execution and delivery, such Representative and the Secured Parties and Senior Obligations or Second Priority Debt Obligations of the Debt Facility for which such Representative is acting shall be subject to the terms hereof.</w:t>
      </w:r>
    </w:p>
    <w:p>
      <w:pPr>
        <w:spacing w:after="0" w:line="176" w:lineRule="exact"/>
        <w:rPr>
          <w:sz w:val="20"/>
          <w:szCs w:val="20"/>
          <w:color w:val="auto"/>
        </w:rPr>
      </w:pPr>
    </w:p>
    <w:p>
      <w:pPr>
        <w:jc w:val="both"/>
        <w:ind w:firstLine="1298"/>
        <w:spacing w:after="0" w:line="247"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Information Concerning the Financial Condition of the Company and the Subsidiaries</w:t>
      </w:r>
      <w:r>
        <w:rPr>
          <w:rFonts w:ascii="Times New Roman" w:cs="Times New Roman" w:eastAsia="Times New Roman" w:hAnsi="Times New Roman"/>
          <w:sz w:val="22"/>
          <w:szCs w:val="22"/>
          <w:color w:val="auto"/>
        </w:rPr>
        <w:t>. The Senior Representatives, the Senior Secured Parties, the Second Priority Representatives and the Second Priority Debt Parties shall each be responsible for keeping themselves informed of (a) the financial condition of the Company and the Subsidiaries and all endorsers or guarantors of the Senior Obligations or the Second Priority Debt Obligations and (b) all other circumstances bearing upon the risk of nonpayment of the Senior Obligations or the Second Priority Debt Obligations (it being understood that nothing in this Section 8.04 imposes any obligations on the Initial Second Priority Representative to keep itself informed beyond that which may be required by the Second Lien [Credit Agreement][Indenture]). The Senior Representatives, the Senior Secured Parties, the Second Priority Representatives and the Second Priority Debt Parties shall have no duty to advise any other party hereunder of information known to it or them regarding such condition or any such circumstances or otherwise. In the event that any Senior Representative, any Senior Secured Party, any Second Priority Representative or any Second Priority Debt Party, in its sole discretion, undertakes at any time or from time to time to provide any such information to any other party, it shall be under no obligation to (i) make, and the Senior Representatives, the Senior Secured Parties, the Second Priority Representatives and the Second Priority Debt Parties shall not make or be deemed to have made, any express or implied representation or warranty, including with respect to the accuracy, completeness, truthfulness or validity of any such information so provided, (ii) provide any additional information or to provide any such information on any subsequent occasion, (iii) undertake any investigation or (iv) disclose any information that, pursuant to accepted or</w:t>
      </w:r>
    </w:p>
    <w:p>
      <w:pPr>
        <w:sectPr>
          <w:pgSz w:w="11900" w:h="16838" w:orient="portrait"/>
          <w:cols w:equalWidth="0" w:num="1">
            <w:col w:w="10780"/>
          </w:cols>
          <w:pgMar w:left="580" w:top="1440" w:right="539" w:bottom="1440" w:gutter="0" w:footer="0" w:header="0"/>
        </w:sectPr>
      </w:pPr>
    </w:p>
    <w:bookmarkStart w:id="370" w:name="page371"/>
    <w:bookmarkEnd w:id="370"/>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reasonable commercial finance practices, such party wishes to maintain confidential or is otherwise required to maintain confidential.</w:t>
      </w:r>
    </w:p>
    <w:p>
      <w:pPr>
        <w:spacing w:after="0" w:line="158" w:lineRule="exact"/>
        <w:rPr>
          <w:sz w:val="20"/>
          <w:szCs w:val="20"/>
          <w:color w:val="auto"/>
        </w:rPr>
      </w:pPr>
    </w:p>
    <w:p>
      <w:pPr>
        <w:jc w:val="both"/>
        <w:ind w:left="660" w:hanging="331"/>
        <w:spacing w:after="0" w:line="250"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Each Second Priority Representative, on behalf of itself and each Second Priority Debt Party under its Second Priority Debt Facility, hereby agrees not to assert any rights of subrogation it may acquire as a result of any payment hereunder until the Discharge of Senior Obligations has occurred.</w:t>
      </w:r>
    </w:p>
    <w:p>
      <w:pPr>
        <w:spacing w:after="0" w:line="181" w:lineRule="exact"/>
        <w:rPr>
          <w:sz w:val="20"/>
          <w:szCs w:val="20"/>
          <w:color w:val="auto"/>
        </w:rPr>
      </w:pPr>
    </w:p>
    <w:p>
      <w:pPr>
        <w:jc w:val="both"/>
        <w:ind w:left="20"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Except as otherwise provided herein, all payments received by the Senior Secured Parties may be applied, reversed and reapplied, in whole or in part, to such part of the Senior Obligations as the Senior Secured Parties, in their sole discretion, deem appropriate, consistent with the terms of the Senior Debt Documents. Except as otherwise provided herein, each Second Priority Representative, on behalf of itself and each Second Priority Debt Party under its Second Priority Debt Facility, assents to any such extension or postponement of the time of payment of the Senior Obligations or any part thereof and to any other indulgence with respect thereto, to any substitution, exchange or release of any security that may at any time secure any part of the Senior Obligations and to the addition or release of any other Person primarily or secondarily liable therefor.</w:t>
      </w:r>
    </w:p>
    <w:p>
      <w:pPr>
        <w:spacing w:after="0" w:line="173" w:lineRule="exact"/>
        <w:rPr>
          <w:sz w:val="20"/>
          <w:szCs w:val="20"/>
          <w:color w:val="auto"/>
        </w:rPr>
      </w:pPr>
    </w:p>
    <w:p>
      <w:pPr>
        <w:jc w:val="both"/>
        <w:ind w:left="20"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Additional Grantors</w:t>
      </w:r>
      <w:r>
        <w:rPr>
          <w:rFonts w:ascii="Times New Roman" w:cs="Times New Roman" w:eastAsia="Times New Roman" w:hAnsi="Times New Roman"/>
          <w:sz w:val="22"/>
          <w:szCs w:val="22"/>
          <w:color w:val="auto"/>
        </w:rPr>
        <w:t>. The Company agrees that, if any Subsidiary shall become a Grantor after the date hereof, it will promptly cause such Subsidiary to become party hereto by executing and delivering an instrument in the form of Annex I. Upon such execution and delivery, such Subsidiary will become a Grantor hereunder with the same force and effect as if originally named as a Grantor herein. The execution and delivery of such instrument shall not require the consent of any other party hereunder, and will be acknowledged by the Designated Second Priority Representative and the Designated Senior Representative. The rights and obligations of each Grantor hereunder shall remain in full force and effect notwithstanding the addition of any new Grantor as a party to this Agreement.</w:t>
      </w:r>
    </w:p>
    <w:p>
      <w:pPr>
        <w:spacing w:after="0" w:line="194" w:lineRule="exact"/>
        <w:rPr>
          <w:sz w:val="20"/>
          <w:szCs w:val="20"/>
          <w:color w:val="auto"/>
        </w:rPr>
      </w:pPr>
    </w:p>
    <w:p>
      <w:pPr>
        <w:jc w:val="both"/>
        <w:ind w:left="20" w:right="20" w:firstLine="1298"/>
        <w:spacing w:after="0"/>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Dealings with Grantors</w:t>
      </w:r>
      <w:r>
        <w:rPr>
          <w:rFonts w:ascii="Times New Roman" w:cs="Times New Roman" w:eastAsia="Times New Roman" w:hAnsi="Times New Roman"/>
          <w:sz w:val="22"/>
          <w:szCs w:val="22"/>
          <w:color w:val="auto"/>
        </w:rPr>
        <w:t>. Upon any application or demand by the Company or any Grantor to any Representative to take or permit any action under any of the provisions of this Agreement, the Company or such Grantor, as appropriate, shall furnish upon reasonable request by such Representative to such Representative a certificate of an appropriate officer (an “</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stating that all conditions precedent, if any, provided for in this Agreement and the Senior Debt Documents or Second Priority Debt Documents, as the case may be, relating to the proposed action have been complied with, except that in the case of any such application or demand as to which the furnishing of such documents is specifically required by any provision of this Agreement relating to such particular application or demand, no additional certificate or opinion need be furnished.</w:t>
      </w:r>
    </w:p>
    <w:p>
      <w:pPr>
        <w:spacing w:after="0" w:line="190" w:lineRule="exact"/>
        <w:rPr>
          <w:sz w:val="20"/>
          <w:szCs w:val="20"/>
          <w:color w:val="auto"/>
        </w:rPr>
      </w:pPr>
    </w:p>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u w:val="single" w:color="auto"/>
          <w:color w:val="auto"/>
        </w:rPr>
        <w:t>Additional Debt Facilities</w:t>
      </w:r>
      <w:r>
        <w:rPr>
          <w:rFonts w:ascii="Times New Roman" w:cs="Times New Roman" w:eastAsia="Times New Roman" w:hAnsi="Times New Roman"/>
          <w:sz w:val="22"/>
          <w:szCs w:val="22"/>
          <w:color w:val="auto"/>
        </w:rPr>
        <w:t>. To the extent, but only to the extent, permitted by the provisions of the then extant Senior Debt Documents, the Second Priority Debt Documents and this Agreement, the Company may incur or issue and sell one or more series or classes of Second Priority Debt and one or more series or classes of Additional Senior Debt. Any such additional class or series of Second Priority Debt (the “</w:t>
      </w:r>
      <w:r>
        <w:rPr>
          <w:rFonts w:ascii="Times New Roman" w:cs="Times New Roman" w:eastAsia="Times New Roman" w:hAnsi="Times New Roman"/>
          <w:sz w:val="22"/>
          <w:szCs w:val="22"/>
          <w:u w:val="single" w:color="auto"/>
          <w:color w:val="auto"/>
        </w:rPr>
        <w:t>Second Priority Class Debt</w:t>
      </w:r>
      <w:r>
        <w:rPr>
          <w:rFonts w:ascii="Times New Roman" w:cs="Times New Roman" w:eastAsia="Times New Roman" w:hAnsi="Times New Roman"/>
          <w:sz w:val="22"/>
          <w:szCs w:val="22"/>
          <w:color w:val="auto"/>
        </w:rPr>
        <w:t>”) may be secured by a second priority, subordinated Lien on Shared Collateral, in each case under and pursuant to the relevant Second Priority Collateral Documents for such Second Priority Class Debt, if and subject to the condition that the Representative of any such Second Priority Class</w:t>
      </w:r>
    </w:p>
    <w:p>
      <w:pPr>
        <w:sectPr>
          <w:pgSz w:w="11900" w:h="16838" w:orient="portrait"/>
          <w:cols w:equalWidth="0" w:num="1">
            <w:col w:w="10780"/>
          </w:cols>
          <w:pgMar w:left="580" w:top="1440" w:right="539" w:bottom="1440" w:gutter="0" w:footer="0" w:header="0"/>
        </w:sectPr>
      </w:pPr>
    </w:p>
    <w:bookmarkStart w:id="371" w:name="page372"/>
    <w:bookmarkEnd w:id="371"/>
    <w:p>
      <w:pPr>
        <w:spacing w:after="0" w:line="14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1"/>
          <w:szCs w:val="21"/>
          <w:color w:val="auto"/>
        </w:rPr>
        <w:t>Debt (each, a “</w:t>
      </w:r>
      <w:r>
        <w:rPr>
          <w:rFonts w:ascii="Times New Roman" w:cs="Times New Roman" w:eastAsia="Times New Roman" w:hAnsi="Times New Roman"/>
          <w:sz w:val="21"/>
          <w:szCs w:val="21"/>
          <w:u w:val="single" w:color="auto"/>
          <w:color w:val="auto"/>
        </w:rPr>
        <w:t>Second Priority Class Debt Representative</w:t>
      </w:r>
      <w:r>
        <w:rPr>
          <w:rFonts w:ascii="Times New Roman" w:cs="Times New Roman" w:eastAsia="Times New Roman" w:hAnsi="Times New Roman"/>
          <w:sz w:val="21"/>
          <w:szCs w:val="21"/>
          <w:color w:val="auto"/>
        </w:rPr>
        <w:t>”), acting on behalf of the holders of such Second Priority Class Debt (such Representative and holders in respect of any Second Priority Class Debt being referred to as the “</w:t>
      </w:r>
      <w:r>
        <w:rPr>
          <w:rFonts w:ascii="Times New Roman" w:cs="Times New Roman" w:eastAsia="Times New Roman" w:hAnsi="Times New Roman"/>
          <w:sz w:val="21"/>
          <w:szCs w:val="21"/>
          <w:u w:val="single" w:color="auto"/>
          <w:color w:val="auto"/>
        </w:rPr>
        <w:t>Second Priority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Debt Parties</w:t>
      </w:r>
      <w:r>
        <w:rPr>
          <w:rFonts w:ascii="Times New Roman" w:cs="Times New Roman" w:eastAsia="Times New Roman" w:hAnsi="Times New Roman"/>
          <w:sz w:val="21"/>
          <w:szCs w:val="21"/>
          <w:color w:val="auto"/>
        </w:rPr>
        <w:t>”), becomes a party to this Agreement by satisfying conditions (i) through (iii), as applicable, in this Section 8.09. Any such additional class or series of Senior Facilities (the “</w:t>
      </w:r>
      <w:r>
        <w:rPr>
          <w:rFonts w:ascii="Times New Roman" w:cs="Times New Roman" w:eastAsia="Times New Roman" w:hAnsi="Times New Roman"/>
          <w:sz w:val="21"/>
          <w:szCs w:val="21"/>
          <w:u w:val="single" w:color="auto"/>
          <w:color w:val="auto"/>
        </w:rPr>
        <w:t>Senior Class Debt</w:t>
      </w:r>
      <w:r>
        <w:rPr>
          <w:rFonts w:ascii="Times New Roman" w:cs="Times New Roman" w:eastAsia="Times New Roman" w:hAnsi="Times New Roman"/>
          <w:sz w:val="21"/>
          <w:szCs w:val="21"/>
          <w:color w:val="auto"/>
        </w:rPr>
        <w:t>”; and the Senior Class Debt and Second Priority Class Debt, collectively, the “</w:t>
      </w:r>
      <w:r>
        <w:rPr>
          <w:rFonts w:ascii="Times New Roman" w:cs="Times New Roman" w:eastAsia="Times New Roman" w:hAnsi="Times New Roman"/>
          <w:sz w:val="21"/>
          <w:szCs w:val="21"/>
          <w:u w:val="single" w:color="auto"/>
          <w:color w:val="auto"/>
        </w:rPr>
        <w:t>Class Debt</w:t>
      </w:r>
      <w:r>
        <w:rPr>
          <w:rFonts w:ascii="Times New Roman" w:cs="Times New Roman" w:eastAsia="Times New Roman" w:hAnsi="Times New Roman"/>
          <w:sz w:val="21"/>
          <w:szCs w:val="21"/>
          <w:color w:val="auto"/>
        </w:rPr>
        <w:t>”) may be secured by a senior Lien on Shared Collateral, in each case under and pursuant to the Senior Collateral Documents, if and subject to the condition that the Representative of any such Senior Class Debt (each, a “</w:t>
      </w:r>
      <w:r>
        <w:rPr>
          <w:rFonts w:ascii="Times New Roman" w:cs="Times New Roman" w:eastAsia="Times New Roman" w:hAnsi="Times New Roman"/>
          <w:sz w:val="21"/>
          <w:szCs w:val="21"/>
          <w:u w:val="single" w:color="auto"/>
          <w:color w:val="auto"/>
        </w:rPr>
        <w:t>Senior Class Debt Representative</w:t>
      </w:r>
      <w:r>
        <w:rPr>
          <w:rFonts w:ascii="Times New Roman" w:cs="Times New Roman" w:eastAsia="Times New Roman" w:hAnsi="Times New Roman"/>
          <w:sz w:val="21"/>
          <w:szCs w:val="21"/>
          <w:color w:val="auto"/>
        </w:rPr>
        <w:t>”; and the Senior Class Debt Representatives and Second Priority Class Debt Representatives, collectively, the “</w:t>
      </w:r>
      <w:r>
        <w:rPr>
          <w:rFonts w:ascii="Times New Roman" w:cs="Times New Roman" w:eastAsia="Times New Roman" w:hAnsi="Times New Roman"/>
          <w:sz w:val="21"/>
          <w:szCs w:val="21"/>
          <w:u w:val="single" w:color="auto"/>
          <w:color w:val="auto"/>
        </w:rPr>
        <w:t>Class Debt Representatives</w:t>
      </w:r>
      <w:r>
        <w:rPr>
          <w:rFonts w:ascii="Times New Roman" w:cs="Times New Roman" w:eastAsia="Times New Roman" w:hAnsi="Times New Roman"/>
          <w:sz w:val="21"/>
          <w:szCs w:val="21"/>
          <w:color w:val="auto"/>
        </w:rPr>
        <w:t>”), acting on behalf of the holders of such Senior Class Debt (such Representative and holders in respect of any such Senior Class Debt being referred to as the “</w:t>
      </w:r>
      <w:r>
        <w:rPr>
          <w:rFonts w:ascii="Times New Roman" w:cs="Times New Roman" w:eastAsia="Times New Roman" w:hAnsi="Times New Roman"/>
          <w:sz w:val="21"/>
          <w:szCs w:val="21"/>
          <w:u w:val="single" w:color="auto"/>
          <w:color w:val="auto"/>
        </w:rPr>
        <w:t>Senior Class Debt Parties</w:t>
      </w:r>
      <w:r>
        <w:rPr>
          <w:rFonts w:ascii="Times New Roman" w:cs="Times New Roman" w:eastAsia="Times New Roman" w:hAnsi="Times New Roman"/>
          <w:sz w:val="21"/>
          <w:szCs w:val="21"/>
          <w:color w:val="auto"/>
        </w:rPr>
        <w:t>; and the Senior Class Debt Parties and Second Priority Class Debt Parties, collectively, the “</w:t>
      </w:r>
      <w:r>
        <w:rPr>
          <w:rFonts w:ascii="Times New Roman" w:cs="Times New Roman" w:eastAsia="Times New Roman" w:hAnsi="Times New Roman"/>
          <w:sz w:val="21"/>
          <w:szCs w:val="21"/>
          <w:u w:val="single" w:color="auto"/>
          <w:color w:val="auto"/>
        </w:rPr>
        <w:t>Class Debt Parties</w:t>
      </w:r>
      <w:r>
        <w:rPr>
          <w:rFonts w:ascii="Times New Roman" w:cs="Times New Roman" w:eastAsia="Times New Roman" w:hAnsi="Times New Roman"/>
          <w:sz w:val="21"/>
          <w:szCs w:val="21"/>
          <w:color w:val="auto"/>
        </w:rPr>
        <w:t>”), becomes a party to this Agreement by satisfying the conditions set forth in clauses (i) through (iii), as applicable, in this Section 8.09. In order for a Class Debt Representative to become a party to this Agreement:</w:t>
      </w:r>
    </w:p>
    <w:p>
      <w:pPr>
        <w:spacing w:after="0" w:line="183" w:lineRule="exact"/>
        <w:rPr>
          <w:sz w:val="20"/>
          <w:szCs w:val="20"/>
          <w:color w:val="auto"/>
        </w:rPr>
      </w:pPr>
    </w:p>
    <w:p>
      <w:pPr>
        <w:jc w:val="both"/>
        <w:ind w:left="660" w:firstLine="610"/>
        <w:spacing w:after="0" w:line="251" w:lineRule="auto"/>
        <w:tabs>
          <w:tab w:leader="none" w:pos="1684"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Debt Representative shall have executed and delivered a Joinder Agreement substantially in the form of Annex II (if such Representative is a Second Priority Class Debt Representative) or Annex III (if such Representative is a Senior Class Debt Representative) (with such changes as may be reasonably approved by the Designated Senior Representative and such Class Debt Representative) pursuant to which it becomes a Representative hereunder, and the Class Debt in respect of which such Class Debt Representative is the Representative and the related Class Debt Parties become subject hereto and bound hereby;</w:t>
      </w:r>
    </w:p>
    <w:p>
      <w:pPr>
        <w:spacing w:after="0" w:line="181" w:lineRule="exact"/>
        <w:rPr>
          <w:rFonts w:ascii="Times New Roman" w:cs="Times New Roman" w:eastAsia="Times New Roman" w:hAnsi="Times New Roman"/>
          <w:sz w:val="22"/>
          <w:szCs w:val="22"/>
          <w:color w:val="auto"/>
        </w:rPr>
      </w:pPr>
    </w:p>
    <w:p>
      <w:pPr>
        <w:jc w:val="both"/>
        <w:ind w:left="660" w:right="100" w:firstLine="639"/>
        <w:spacing w:after="0" w:line="253" w:lineRule="auto"/>
        <w:tabs>
          <w:tab w:leader="none" w:pos="1694" w:val="left"/>
        </w:tabs>
        <w:numPr>
          <w:ilvl w:val="1"/>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Designated Senior Representative and Designated Second Priority Representative an Officer’s Certificate stating that the conditions set forth in this Section 8.09 are satisfied with respect to such Class Debt and, if requested, true and complete copies of each of the Second Priority Debt Documents or Senior Debt Documents, as applicable, relating to such Class Debt, certified as being true and correct by a Responsible Officer of the Company; and</w:t>
      </w:r>
    </w:p>
    <w:p>
      <w:pPr>
        <w:spacing w:after="0" w:line="192" w:lineRule="exact"/>
        <w:rPr>
          <w:rFonts w:ascii="Times New Roman" w:cs="Times New Roman" w:eastAsia="Times New Roman" w:hAnsi="Times New Roman"/>
          <w:sz w:val="22"/>
          <w:szCs w:val="22"/>
          <w:color w:val="auto"/>
        </w:rPr>
      </w:pPr>
    </w:p>
    <w:p>
      <w:pPr>
        <w:jc w:val="both"/>
        <w:ind w:left="660" w:right="100" w:firstLine="581"/>
        <w:spacing w:after="0" w:line="257" w:lineRule="auto"/>
        <w:tabs>
          <w:tab w:leader="none" w:pos="1695" w:val="left"/>
        </w:tabs>
        <w:numPr>
          <w:ilvl w:val="1"/>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 Priority Debt Documents or Senior Debt Documents, as applicable, relating to such Class Debt shall provide that each Class Debt Party with respect to such Class Debt will be subject to and bound by the provisions of this Agreement in its capacity as a holder of such Class Debt.</w:t>
      </w:r>
    </w:p>
    <w:p>
      <w:pPr>
        <w:spacing w:after="0" w:line="159" w:lineRule="exact"/>
        <w:rPr>
          <w:sz w:val="20"/>
          <w:szCs w:val="20"/>
          <w:color w:val="auto"/>
        </w:rPr>
      </w:pPr>
    </w:p>
    <w:p>
      <w:pPr>
        <w:ind w:left="1320"/>
        <w:spacing w:after="0"/>
        <w:tabs>
          <w:tab w:leader="none" w:pos="2900" w:val="left"/>
          <w:tab w:leader="none" w:pos="5980" w:val="left"/>
        </w:tabs>
        <w:rPr>
          <w:sz w:val="20"/>
          <w:szCs w:val="20"/>
          <w:color w:val="auto"/>
        </w:rPr>
      </w:pPr>
      <w:r>
        <w:rPr>
          <w:rFonts w:ascii="Times New Roman" w:cs="Times New Roman" w:eastAsia="Times New Roman" w:hAnsi="Times New Roman"/>
          <w:sz w:val="22"/>
          <w:szCs w:val="22"/>
          <w:color w:val="auto"/>
        </w:rPr>
        <w:t>SECTION 8.10.</w:t>
      </w:r>
      <w:r>
        <w:rPr>
          <w:sz w:val="20"/>
          <w:szCs w:val="20"/>
          <w:color w:val="auto"/>
        </w:rPr>
        <w:tab/>
      </w:r>
      <w:r>
        <w:rPr>
          <w:rFonts w:ascii="Times New Roman" w:cs="Times New Roman" w:eastAsia="Times New Roman" w:hAnsi="Times New Roman"/>
          <w:sz w:val="22"/>
          <w:szCs w:val="22"/>
          <w:u w:val="single" w:color="auto"/>
          <w:color w:val="auto"/>
        </w:rPr>
        <w:t>Consent to Jurisdiction; Waivers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Each party hereto irrevocably and unconditionally:</w:t>
      </w:r>
    </w:p>
    <w:p>
      <w:pPr>
        <w:spacing w:after="0" w:line="220" w:lineRule="exact"/>
        <w:rPr>
          <w:sz w:val="20"/>
          <w:szCs w:val="20"/>
          <w:color w:val="auto"/>
        </w:rPr>
      </w:pPr>
    </w:p>
    <w:p>
      <w:pPr>
        <w:jc w:val="both"/>
        <w:ind w:left="20" w:right="100" w:firstLine="1294"/>
        <w:spacing w:after="0" w:line="253" w:lineRule="auto"/>
        <w:tabs>
          <w:tab w:leader="none" w:pos="1692"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the Collateral Documents, or for recognition or enforcement of any judgment, and each of the parties hereto hereby irrevocably and unconditionally agrees that all claims in respect of any such action or</w:t>
      </w:r>
    </w:p>
    <w:p>
      <w:pPr>
        <w:sectPr>
          <w:pgSz w:w="11900" w:h="16838" w:orient="portrait"/>
          <w:cols w:equalWidth="0" w:num="1">
            <w:col w:w="10880"/>
          </w:cols>
          <w:pgMar w:left="580" w:top="1440" w:right="439" w:bottom="1440" w:gutter="0" w:footer="0" w:header="0"/>
        </w:sectPr>
      </w:pPr>
    </w:p>
    <w:bookmarkStart w:id="372" w:name="page373"/>
    <w:bookmarkEnd w:id="372"/>
    <w:p>
      <w:pPr>
        <w:spacing w:after="0" w:line="144"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22"/>
          <w:szCs w:val="22"/>
          <w:color w:val="auto"/>
        </w:rPr>
        <w:t>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and/or the Collateral Documents shall affect any right that any Representative may otherwise have to bring any action or proceeding relating to any First Lien Loan Document against any Guarantor or its respective properties in the courts of any jurisdiction;</w:t>
      </w:r>
    </w:p>
    <w:p>
      <w:pPr>
        <w:spacing w:after="0" w:line="195" w:lineRule="exact"/>
        <w:rPr>
          <w:sz w:val="20"/>
          <w:szCs w:val="20"/>
          <w:color w:val="auto"/>
        </w:rPr>
      </w:pPr>
    </w:p>
    <w:p>
      <w:pPr>
        <w:jc w:val="both"/>
        <w:ind w:left="20" w:firstLine="1294"/>
        <w:spacing w:after="0" w:line="253" w:lineRule="auto"/>
        <w:tabs>
          <w:tab w:leader="none" w:pos="1691"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to the fullest extent it may legally and effectively do so, any objection that it may now or hereafter have to the laying of venue of any suit, action or proceeding arising out of or relating to this Agreement and/or the Collateral Documents in any court referred to in Section 8.10(a). Each of the parties hereto hereby irrevocably waives, to the fullest extent permitted by law, the defense of an inconvenient forum to the maintenance of such action or proceeding in any such court;</w:t>
      </w:r>
    </w:p>
    <w:p>
      <w:pPr>
        <w:spacing w:after="0" w:line="165" w:lineRule="exact"/>
        <w:rPr>
          <w:rFonts w:ascii="Times New Roman" w:cs="Times New Roman" w:eastAsia="Times New Roman" w:hAnsi="Times New Roman"/>
          <w:sz w:val="22"/>
          <w:szCs w:val="22"/>
          <w:color w:val="auto"/>
        </w:rPr>
      </w:pPr>
    </w:p>
    <w:p>
      <w:pPr>
        <w:ind w:left="1940" w:hanging="626"/>
        <w:spacing w:after="0"/>
        <w:tabs>
          <w:tab w:leader="none" w:pos="1940"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service of process in the manner provided for notices in Section</w:t>
      </w:r>
    </w:p>
    <w:p>
      <w:pPr>
        <w:spacing w:after="0" w:line="28" w:lineRule="exact"/>
        <w:rPr>
          <w:sz w:val="20"/>
          <w:szCs w:val="20"/>
          <w:color w:val="auto"/>
        </w:rPr>
      </w:pPr>
    </w:p>
    <w:p>
      <w:pPr>
        <w:ind w:left="20" w:right="140"/>
        <w:spacing w:after="0" w:line="248" w:lineRule="auto"/>
        <w:rPr>
          <w:sz w:val="20"/>
          <w:szCs w:val="20"/>
          <w:color w:val="auto"/>
        </w:rPr>
      </w:pPr>
      <w:r>
        <w:rPr>
          <w:rFonts w:ascii="Times New Roman" w:cs="Times New Roman" w:eastAsia="Times New Roman" w:hAnsi="Times New Roman"/>
          <w:sz w:val="22"/>
          <w:szCs w:val="22"/>
          <w:color w:val="auto"/>
        </w:rPr>
        <w:t>8.11 and nothing in this Agreement will affect the right of any other party hereto (or any Secured Party) to effect service of process in any other manner permitted by law;</w:t>
      </w:r>
    </w:p>
    <w:p>
      <w:pPr>
        <w:spacing w:after="0" w:line="169" w:lineRule="exact"/>
        <w:rPr>
          <w:sz w:val="20"/>
          <w:szCs w:val="20"/>
          <w:color w:val="auto"/>
        </w:rPr>
      </w:pPr>
    </w:p>
    <w:p>
      <w:pPr>
        <w:jc w:val="both"/>
        <w:ind w:firstLine="1298"/>
        <w:spacing w:after="0" w:line="256" w:lineRule="auto"/>
        <w:tabs>
          <w:tab w:leader="none" w:pos="1684"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it relates to any Grantor, such Grantor designates, appoints and empowers the Company as its designee, appointee and agent to receive, accept and acknowledge for and on its behalf, and in respect of its property, service of any and all legal process, summons, notices and documents that may be served in any such action or proceeding and the Company hereby accepts such designation and appointment; and</w:t>
      </w:r>
    </w:p>
    <w:p>
      <w:pPr>
        <w:spacing w:after="0" w:line="162" w:lineRule="exact"/>
        <w:rPr>
          <w:rFonts w:ascii="Times New Roman" w:cs="Times New Roman" w:eastAsia="Times New Roman" w:hAnsi="Times New Roman"/>
          <w:sz w:val="22"/>
          <w:szCs w:val="22"/>
          <w:color w:val="auto"/>
        </w:rPr>
      </w:pPr>
    </w:p>
    <w:p>
      <w:pPr>
        <w:jc w:val="both"/>
        <w:ind w:right="20" w:firstLine="1298"/>
        <w:spacing w:after="0" w:line="250" w:lineRule="auto"/>
        <w:tabs>
          <w:tab w:leader="none" w:pos="1686"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to the maximum extent not prohibited by law, any right it may have against another party hereto or any other Representative or Secured Party to claim or recover in any legal action or proceeding referred to in this Section 8.10 any special, exemplary, punitive or consequential damages.</w:t>
      </w:r>
    </w:p>
    <w:p>
      <w:pPr>
        <w:spacing w:after="0" w:line="181" w:lineRule="exact"/>
        <w:rPr>
          <w:sz w:val="20"/>
          <w:szCs w:val="20"/>
          <w:color w:val="auto"/>
        </w:rPr>
      </w:pPr>
    </w:p>
    <w:p>
      <w:pPr>
        <w:ind w:left="20" w:right="600" w:firstLine="1298"/>
        <w:spacing w:after="0" w:line="258"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provided for or permitted hereunder shall be in writing and shall be sent:</w:t>
      </w:r>
    </w:p>
    <w:p>
      <w:pPr>
        <w:spacing w:after="0" w:line="10" w:lineRule="exact"/>
        <w:rPr>
          <w:sz w:val="20"/>
          <w:szCs w:val="20"/>
          <w:color w:val="auto"/>
        </w:rPr>
      </w:pPr>
    </w:p>
    <w:p>
      <w:pPr>
        <w:ind w:left="1300" w:hanging="535"/>
        <w:spacing w:after="0" w:line="258" w:lineRule="auto"/>
        <w:tabs>
          <w:tab w:leader="none" w:pos="1294"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or any Grantor, to the Company, at its address specified in Section 9.01 of the First Lien Credit Agreement or [ ] of the Second Lien [Credit Agreement][Indenture];</w:t>
      </w:r>
    </w:p>
    <w:p>
      <w:pPr>
        <w:spacing w:after="0" w:line="185" w:lineRule="exact"/>
        <w:rPr>
          <w:rFonts w:ascii="Times New Roman" w:cs="Times New Roman" w:eastAsia="Times New Roman" w:hAnsi="Times New Roman"/>
          <w:sz w:val="22"/>
          <w:szCs w:val="22"/>
          <w:color w:val="auto"/>
        </w:rPr>
      </w:pPr>
    </w:p>
    <w:p>
      <w:pPr>
        <w:ind w:left="1300" w:hanging="593"/>
        <w:spacing w:after="0"/>
        <w:tabs>
          <w:tab w:leader="none" w:pos="130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Initial Second Priority Representative to it at the address set forth below its signature hereto;</w:t>
      </w:r>
    </w:p>
    <w:p>
      <w:pPr>
        <w:spacing w:after="0" w:line="206" w:lineRule="exact"/>
        <w:rPr>
          <w:rFonts w:ascii="Times New Roman" w:cs="Times New Roman" w:eastAsia="Times New Roman" w:hAnsi="Times New Roman"/>
          <w:sz w:val="22"/>
          <w:szCs w:val="22"/>
          <w:color w:val="auto"/>
        </w:rPr>
      </w:pPr>
    </w:p>
    <w:p>
      <w:pPr>
        <w:ind w:left="1680" w:hanging="439"/>
        <w:spacing w:after="0"/>
        <w:tabs>
          <w:tab w:leader="none" w:pos="1680"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First Lien Collateral Agent, to it at the address set forth below its signature hereto;</w:t>
      </w:r>
    </w:p>
    <w:p>
      <w:pPr>
        <w:spacing w:after="0" w:line="219" w:lineRule="exact"/>
        <w:rPr>
          <w:rFonts w:ascii="Times New Roman" w:cs="Times New Roman" w:eastAsia="Times New Roman" w:hAnsi="Times New Roman"/>
          <w:sz w:val="22"/>
          <w:szCs w:val="22"/>
          <w:color w:val="auto"/>
        </w:rPr>
      </w:pPr>
    </w:p>
    <w:p>
      <w:pPr>
        <w:ind w:left="1680" w:hanging="439"/>
        <w:spacing w:after="0"/>
        <w:tabs>
          <w:tab w:leader="none" w:pos="1680"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Representative, to it at the address specified by it in the Joinder Agreement delivered by</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pursuant to Section 8.09.</w:t>
      </w:r>
    </w:p>
    <w:p>
      <w:pPr>
        <w:spacing w:after="0" w:line="19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Unless otherwise specifically provided herein, any notice or other communication herein required or permitted to be given shall be in writing and, may be personally served, telecopied, electronically mailed or sent by courier service or U.S. mail and shall be deemed to have been</w:t>
      </w:r>
    </w:p>
    <w:p>
      <w:pPr>
        <w:sectPr>
          <w:pgSz w:w="11900" w:h="16838" w:orient="portrait"/>
          <w:cols w:equalWidth="0" w:num="1">
            <w:col w:w="10780"/>
          </w:cols>
          <w:pgMar w:left="580" w:top="1440" w:right="539" w:bottom="1440" w:gutter="0" w:footer="0" w:header="0"/>
        </w:sectPr>
      </w:pPr>
    </w:p>
    <w:bookmarkStart w:id="373" w:name="page374"/>
    <w:bookmarkEnd w:id="373"/>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given when delivered in person or by courier service, upon receipt of a telecopy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 As agreed to in writing among each Representative from time to time, notices and other communications may also be delivered by e-mail to the e-mail address of a representative of the applicable person provided from time to time by such person.</w:t>
      </w:r>
    </w:p>
    <w:p>
      <w:pPr>
        <w:spacing w:after="0" w:line="181" w:lineRule="exact"/>
        <w:rPr>
          <w:sz w:val="20"/>
          <w:szCs w:val="20"/>
          <w:color w:val="auto"/>
        </w:rPr>
      </w:pPr>
    </w:p>
    <w:p>
      <w:pPr>
        <w:jc w:val="both"/>
        <w:ind w:left="20" w:firstLine="1283"/>
        <w:spacing w:after="0" w:line="241" w:lineRule="auto"/>
        <w:rPr>
          <w:sz w:val="20"/>
          <w:szCs w:val="20"/>
          <w:color w:val="auto"/>
        </w:rPr>
      </w:pPr>
      <w:r>
        <w:rPr>
          <w:rFonts w:ascii="Times New Roman" w:cs="Times New Roman" w:eastAsia="Times New Roman" w:hAnsi="Times New Roman"/>
          <w:sz w:val="22"/>
          <w:szCs w:val="22"/>
          <w:color w:val="auto"/>
        </w:rPr>
        <w:t xml:space="preserve">SECTION 8.12.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Senior Representative, on behalf of itself and each Senior Secured Party under the Senior Debt Facility for which it is acting, each Second Party Representative, on behalf of itself and each Second Priority Debt Party under the Second Priority Debt Facility for which it is acting, and the Company, on behalf of itself and the Grantors, agrees that it will take such further action and shall execute and deliver such additional documents and instruments (in recordable form, if requested) as the other parties hereto may reasonably request, at the Company’s sole cost and expense, to effectuate the terms of, and the Lien priorities contemplated by, this Agreement.</w:t>
      </w:r>
    </w:p>
    <w:p>
      <w:pPr>
        <w:spacing w:after="0" w:line="190" w:lineRule="exact"/>
        <w:rPr>
          <w:sz w:val="20"/>
          <w:szCs w:val="20"/>
          <w:color w:val="auto"/>
        </w:rPr>
      </w:pPr>
    </w:p>
    <w:p>
      <w:pPr>
        <w:ind w:left="20" w:right="1980" w:firstLine="1298"/>
        <w:spacing w:after="0" w:line="282" w:lineRule="auto"/>
        <w:rPr>
          <w:sz w:val="20"/>
          <w:szCs w:val="20"/>
          <w:color w:val="auto"/>
        </w:rPr>
      </w:pPr>
      <w:r>
        <w:rPr>
          <w:rFonts w:ascii="Times New Roman" w:cs="Times New Roman" w:eastAsia="Times New Roman" w:hAnsi="Times New Roman"/>
          <w:sz w:val="21"/>
          <w:szCs w:val="21"/>
          <w:color w:val="auto"/>
        </w:rPr>
        <w:t xml:space="preserve">SECTION 8.13. </w:t>
      </w:r>
      <w:r>
        <w:rPr>
          <w:rFonts w:ascii="Times New Roman" w:cs="Times New Roman" w:eastAsia="Times New Roman" w:hAnsi="Times New Roman"/>
          <w:sz w:val="21"/>
          <w:szCs w:val="21"/>
          <w:u w:val="single" w:color="auto"/>
          <w:color w:val="auto"/>
        </w:rPr>
        <w:t>GOVERNING LAW; WAIVER OF JURY TRIAL</w:t>
      </w:r>
      <w:r>
        <w:rPr>
          <w:rFonts w:ascii="Times New Roman" w:cs="Times New Roman" w:eastAsia="Times New Roman" w:hAnsi="Times New Roman"/>
          <w:sz w:val="21"/>
          <w:szCs w:val="21"/>
          <w:color w:val="auto"/>
        </w:rPr>
        <w:t>. (a) This Agreement shall be construed in accordance with and governed by the laws of the State of New York.</w:t>
      </w:r>
    </w:p>
    <w:p>
      <w:pPr>
        <w:spacing w:after="0" w:line="148" w:lineRule="exact"/>
        <w:rPr>
          <w:sz w:val="20"/>
          <w:szCs w:val="20"/>
          <w:color w:val="auto"/>
        </w:rPr>
      </w:pPr>
    </w:p>
    <w:p>
      <w:pPr>
        <w:jc w:val="both"/>
        <w:ind w:left="20" w:firstLine="1294"/>
        <w:spacing w:after="0" w:line="262" w:lineRule="auto"/>
        <w:tabs>
          <w:tab w:leader="none" w:pos="1696" w:val="left"/>
        </w:tabs>
        <w:numPr>
          <w:ilvl w:val="1"/>
          <w:numId w:val="4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WAIVES, TO THE FULLEST EXTENT PERMITTED BY APPLICABLE LAW, ANY RIGHT IT MAY HAVE TO A TRIAL BY JURY IN ANY LEGAL PROCEEDING DIRECTLY OR INDIRECTLY ARISING OUT OF OR RELATING TO THIS AGREEMENT, ANY SENIOR DEBT DOCUMENTS, SECOND PRIORITY DEBT DOCUMENTS OR THE TRANSACTIONS CONTEMPLATED HEREBY OR THEREBY (WHETHER BASED ON CONTRACT, TORT OR ANY OTHER THEORY). EACH PARTY HERETO</w:t>
      </w:r>
    </w:p>
    <w:p>
      <w:pPr>
        <w:spacing w:after="0" w:line="1" w:lineRule="exact"/>
        <w:rPr>
          <w:rFonts w:ascii="Times New Roman" w:cs="Times New Roman" w:eastAsia="Times New Roman" w:hAnsi="Times New Roman"/>
          <w:sz w:val="21"/>
          <w:szCs w:val="21"/>
          <w:color w:val="auto"/>
        </w:rPr>
      </w:pPr>
    </w:p>
    <w:p>
      <w:pPr>
        <w:jc w:val="both"/>
        <w:ind w:left="20" w:hanging="4"/>
        <w:spacing w:after="0" w:line="245" w:lineRule="auto"/>
        <w:tabs>
          <w:tab w:leader="none" w:pos="481"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CERTIFIES THAT NO REPRESENTATIVE, AGENT OR ATTORNEY OF ANY OTHER PARTY HAS REPRESENTED, EXPRESSLY OR OTHERWISE, THAT SUCH OTHER PARTY WOULD NOT, IN THE EVENT OF LITIGATION, SEEK TO ENFORCE THE FOREGOING WAIVER AND</w:t>
      </w:r>
    </w:p>
    <w:p>
      <w:pPr>
        <w:spacing w:after="0" w:line="24" w:lineRule="exact"/>
        <w:rPr>
          <w:rFonts w:ascii="Times New Roman" w:cs="Times New Roman" w:eastAsia="Times New Roman" w:hAnsi="Times New Roman"/>
          <w:sz w:val="22"/>
          <w:szCs w:val="22"/>
          <w:color w:val="auto"/>
        </w:rPr>
      </w:pPr>
    </w:p>
    <w:p>
      <w:pPr>
        <w:jc w:val="both"/>
        <w:ind w:left="20" w:hanging="4"/>
        <w:spacing w:after="0" w:line="250" w:lineRule="auto"/>
        <w:tabs>
          <w:tab w:leader="none" w:pos="389"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BY, AMONG OTHER THINGS, THE MUTUAL WAIVERS AND CERTIFICATIONS IN THIS SECTION 8.13.</w:t>
      </w:r>
    </w:p>
    <w:p>
      <w:pPr>
        <w:spacing w:after="0" w:line="181" w:lineRule="exact"/>
        <w:rPr>
          <w:sz w:val="20"/>
          <w:szCs w:val="20"/>
          <w:color w:val="auto"/>
        </w:rPr>
      </w:pPr>
    </w:p>
    <w:p>
      <w:pPr>
        <w:jc w:val="both"/>
        <w:ind w:left="20" w:right="20"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8.14. </w:t>
      </w:r>
      <w:r>
        <w:rPr>
          <w:rFonts w:ascii="Times New Roman" w:cs="Times New Roman" w:eastAsia="Times New Roman" w:hAnsi="Times New Roman"/>
          <w:sz w:val="22"/>
          <w:szCs w:val="22"/>
          <w:u w:val="single" w:color="auto"/>
          <w:color w:val="auto"/>
        </w:rPr>
        <w:t>Binding on Successors and Assigns</w:t>
      </w:r>
      <w:r>
        <w:rPr>
          <w:rFonts w:ascii="Times New Roman" w:cs="Times New Roman" w:eastAsia="Times New Roman" w:hAnsi="Times New Roman"/>
          <w:sz w:val="22"/>
          <w:szCs w:val="22"/>
          <w:color w:val="auto"/>
        </w:rPr>
        <w:t>. This Agreement shall be binding upon the Senior Representatives, the Senior Secured Parties, the Second Priority Representatives, the Second Priority Debt Parties, the Company, the other Grantors party hereto and their respective successors and assigns.</w:t>
      </w:r>
    </w:p>
    <w:p>
      <w:pPr>
        <w:spacing w:after="0" w:line="181" w:lineRule="exact"/>
        <w:rPr>
          <w:sz w:val="20"/>
          <w:szCs w:val="20"/>
          <w:color w:val="auto"/>
        </w:rPr>
      </w:pPr>
    </w:p>
    <w:p>
      <w:pPr>
        <w:jc w:val="both"/>
        <w:ind w:left="20" w:right="20" w:firstLine="1298"/>
        <w:spacing w:after="0" w:line="258" w:lineRule="auto"/>
        <w:rPr>
          <w:sz w:val="20"/>
          <w:szCs w:val="20"/>
          <w:color w:val="auto"/>
        </w:rPr>
      </w:pPr>
      <w:r>
        <w:rPr>
          <w:rFonts w:ascii="Times New Roman" w:cs="Times New Roman" w:eastAsia="Times New Roman" w:hAnsi="Times New Roman"/>
          <w:sz w:val="22"/>
          <w:szCs w:val="22"/>
          <w:color w:val="auto"/>
        </w:rPr>
        <w:t xml:space="preserve">SECTION 8.15. </w:t>
      </w:r>
      <w:r>
        <w:rPr>
          <w:rFonts w:ascii="Times New Roman" w:cs="Times New Roman" w:eastAsia="Times New Roman" w:hAnsi="Times New Roman"/>
          <w:sz w:val="22"/>
          <w:szCs w:val="22"/>
          <w:u w:val="single" w:color="auto"/>
          <w:color w:val="auto"/>
        </w:rPr>
        <w:t>Section Titles</w:t>
      </w:r>
      <w:r>
        <w:rPr>
          <w:rFonts w:ascii="Times New Roman" w:cs="Times New Roman" w:eastAsia="Times New Roman" w:hAnsi="Times New Roman"/>
          <w:sz w:val="22"/>
          <w:szCs w:val="22"/>
          <w:color w:val="auto"/>
        </w:rPr>
        <w:t>. The section titles contained in this Agreement are and shall be without substantive meaning or content of any kind whatsoever and are not a part of this Agreement.</w:t>
      </w:r>
    </w:p>
    <w:p>
      <w:pPr>
        <w:spacing w:after="0" w:line="172" w:lineRule="exact"/>
        <w:rPr>
          <w:sz w:val="20"/>
          <w:szCs w:val="20"/>
          <w:color w:val="auto"/>
        </w:rPr>
      </w:pPr>
    </w:p>
    <w:p>
      <w:pPr>
        <w:jc w:val="both"/>
        <w:ind w:left="20" w:firstLine="1298"/>
        <w:spacing w:after="0" w:line="263" w:lineRule="auto"/>
        <w:rPr>
          <w:sz w:val="20"/>
          <w:szCs w:val="20"/>
          <w:color w:val="auto"/>
        </w:rPr>
      </w:pPr>
      <w:r>
        <w:rPr>
          <w:rFonts w:ascii="Times New Roman" w:cs="Times New Roman" w:eastAsia="Times New Roman" w:hAnsi="Times New Roman"/>
          <w:sz w:val="22"/>
          <w:szCs w:val="22"/>
          <w:color w:val="auto"/>
        </w:rPr>
        <w:t xml:space="preserve">SECTION 8.16.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by means of facsimile, each of which shall be an original and all of which shall together constitute one and the same document. Delivery of an executed signature page to</w:t>
      </w:r>
    </w:p>
    <w:p>
      <w:pPr>
        <w:sectPr>
          <w:pgSz w:w="11900" w:h="16838" w:orient="portrait"/>
          <w:cols w:equalWidth="0" w:num="1">
            <w:col w:w="10780"/>
          </w:cols>
          <w:pgMar w:left="580" w:top="1440" w:right="539" w:bottom="1440" w:gutter="0" w:footer="0" w:header="0"/>
        </w:sectPr>
      </w:pPr>
    </w:p>
    <w:bookmarkStart w:id="374" w:name="page375"/>
    <w:bookmarkEnd w:id="374"/>
    <w:p>
      <w:pPr>
        <w:spacing w:after="0" w:line="144"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22"/>
          <w:szCs w:val="22"/>
          <w:color w:val="auto"/>
        </w:rPr>
        <w:t>this Agreement by facsimile or other electronic transmission shall be as effective as delivery of a manually signed counterpart of this Agreement.</w:t>
      </w:r>
    </w:p>
    <w:p>
      <w:pPr>
        <w:spacing w:after="0" w:line="158" w:lineRule="exact"/>
        <w:rPr>
          <w:sz w:val="20"/>
          <w:szCs w:val="20"/>
          <w:color w:val="auto"/>
        </w:rPr>
      </w:pPr>
    </w:p>
    <w:p>
      <w:pPr>
        <w:jc w:val="both"/>
        <w:ind w:left="660" w:right="20" w:hanging="331"/>
        <w:spacing w:after="0" w:line="241" w:lineRule="auto"/>
        <w:rPr>
          <w:sz w:val="20"/>
          <w:szCs w:val="20"/>
          <w:color w:val="auto"/>
        </w:rPr>
      </w:pPr>
      <w:r>
        <w:rPr>
          <w:rFonts w:ascii="Times New Roman" w:cs="Times New Roman" w:eastAsia="Times New Roman" w:hAnsi="Times New Roman"/>
          <w:sz w:val="22"/>
          <w:szCs w:val="22"/>
          <w:color w:val="auto"/>
        </w:rPr>
        <w:t xml:space="preserve">SECTION 8.17.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By its signature, each party to this Agreement represents and warrants to the other parties hereto that it is duly authorized to execute this Agreement. The First Lien Collateral Agent represents and warrants that this Agreement is binding upon the First Lien Credit Agreement Secured Parties. The Initial Second Priority Representative represents and warrants that the Second Lien [Credit Agreement][Indenture] provides that, upon the Initial Second Priority Representative’s entry into this Agreement, the Initial Second Priority Debt Parties will be subject to and bound by the provisions hereof.</w:t>
      </w:r>
    </w:p>
    <w:p>
      <w:pPr>
        <w:spacing w:after="0" w:line="190" w:lineRule="exact"/>
        <w:rPr>
          <w:sz w:val="20"/>
          <w:szCs w:val="20"/>
          <w:color w:val="auto"/>
        </w:rPr>
      </w:pPr>
    </w:p>
    <w:p>
      <w:pPr>
        <w:jc w:val="both"/>
        <w:ind w:left="20" w:firstLine="1298"/>
        <w:spacing w:after="0" w:line="241" w:lineRule="auto"/>
        <w:rPr>
          <w:sz w:val="20"/>
          <w:szCs w:val="20"/>
          <w:color w:val="auto"/>
        </w:rPr>
      </w:pPr>
      <w:r>
        <w:rPr>
          <w:rFonts w:ascii="Times New Roman" w:cs="Times New Roman" w:eastAsia="Times New Roman" w:hAnsi="Times New Roman"/>
          <w:sz w:val="22"/>
          <w:szCs w:val="22"/>
          <w:color w:val="auto"/>
        </w:rPr>
        <w:t xml:space="preserve">SECTION 8.18. </w:t>
      </w:r>
      <w:r>
        <w:rPr>
          <w:rFonts w:ascii="Times New Roman" w:cs="Times New Roman" w:eastAsia="Times New Roman" w:hAnsi="Times New Roman"/>
          <w:sz w:val="22"/>
          <w:szCs w:val="22"/>
          <w:u w:val="single" w:color="auto"/>
          <w:color w:val="auto"/>
        </w:rPr>
        <w:t>No Third Party Beneficiaries; Successors and Assigns</w:t>
      </w:r>
      <w:r>
        <w:rPr>
          <w:rFonts w:ascii="Times New Roman" w:cs="Times New Roman" w:eastAsia="Times New Roman" w:hAnsi="Times New Roman"/>
          <w:sz w:val="22"/>
          <w:szCs w:val="22"/>
          <w:color w:val="auto"/>
        </w:rPr>
        <w:t>. The lien priorities set forth in this Agreement and the rights and benefits hereunder in respect of such lien priorities shall inure solely to the benefit of the Senior Representatives, the Senior Secured Parties, the Second Priority Representatives and the Second Priority Debt Parties, and their respective permitted successors and assigns, and no other Person (including the Grantors, or any trustee, receiver, debtor-in-possession or bankruptcy estate in a bankruptcy or like proceeding) shall have or be entitled to assert such rights except for the Company and the other Grantors with respect to their rights under Section 8.03(b).</w:t>
      </w:r>
    </w:p>
    <w:p>
      <w:pPr>
        <w:spacing w:after="0" w:line="2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 xml:space="preserve">SECTION 8.19.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Agreement shall become effective when executed and delivered by the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parties hereto.</w:t>
      </w:r>
    </w:p>
    <w:p>
      <w:pPr>
        <w:spacing w:after="0" w:line="196" w:lineRule="exact"/>
        <w:rPr>
          <w:sz w:val="20"/>
          <w:szCs w:val="20"/>
          <w:color w:val="auto"/>
        </w:rPr>
      </w:pPr>
    </w:p>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 xml:space="preserve">SECTION 8.20.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It is understood and agreed that (a) the First Lien Collateral Agent is entering into this Agreement in its capacity as administrative agent and collateral agent under the First Lien Credit Agreement and the provisions of Article VIII of the First Lien Credit Agreement applicable to the Agents (as defined therein) thereunder shall also apply to the First Lien Collateral Agent hereunder and (b) the Initial Second Priority Representative is entering into this Agreement in its capacity as Second Lien Collateral Agent as defined in and under the Second Lien [Credit Agreement][Indenture] and the provisions of Articles 7 and 12 of such indenture thereunder shall also apply to the Initial Second Priority Representative hereunder.</w:t>
      </w:r>
    </w:p>
    <w:p>
      <w:pPr>
        <w:spacing w:after="0" w:line="180" w:lineRule="exact"/>
        <w:rPr>
          <w:sz w:val="20"/>
          <w:szCs w:val="20"/>
          <w:color w:val="auto"/>
        </w:rPr>
      </w:pPr>
    </w:p>
    <w:p>
      <w:pPr>
        <w:jc w:val="both"/>
        <w:ind w:firstLine="1298"/>
        <w:spacing w:after="0" w:line="248" w:lineRule="auto"/>
        <w:rPr>
          <w:sz w:val="20"/>
          <w:szCs w:val="20"/>
          <w:color w:val="auto"/>
        </w:rPr>
      </w:pPr>
      <w:r>
        <w:rPr>
          <w:rFonts w:ascii="Times New Roman" w:cs="Times New Roman" w:eastAsia="Times New Roman" w:hAnsi="Times New Roman"/>
          <w:sz w:val="22"/>
          <w:szCs w:val="22"/>
          <w:color w:val="auto"/>
        </w:rPr>
        <w:t xml:space="preserve">SECTION 8.21. </w:t>
      </w:r>
      <w:r>
        <w:rPr>
          <w:rFonts w:ascii="Times New Roman" w:cs="Times New Roman" w:eastAsia="Times New Roman" w:hAnsi="Times New Roman"/>
          <w:sz w:val="22"/>
          <w:szCs w:val="22"/>
          <w:u w:val="single" w:color="auto"/>
          <w:color w:val="auto"/>
        </w:rPr>
        <w:t>Relative Rights</w:t>
      </w:r>
      <w:r>
        <w:rPr>
          <w:rFonts w:ascii="Times New Roman" w:cs="Times New Roman" w:eastAsia="Times New Roman" w:hAnsi="Times New Roman"/>
          <w:sz w:val="22"/>
          <w:szCs w:val="22"/>
          <w:color w:val="auto"/>
        </w:rPr>
        <w:t>. Notwithstanding anything in this Agreement to the contrary (except to the extent contemplated by Section 5.01(a), 5.01(d) or 5.04(b)), nothing in this Agreement is intended to or will (a) amend, waive or otherwise modify the provisions of the First Lien Credit Agreement, any other Senior Debt Document or any Second Priority Debt Documents, or permit the Company or any Grantor to take any action, or fail to take any action, to the extent such action or failure would otherwise constitute a breach of, or default under, the First Lien Credit Agreement or any other Senior Debt Document or any Second Priority Debt Documents, (b) change the relative priorities of the Senior Obligations or the Liens granted under the Senior Collateral Documents on the Shared Collateral (or any other assets) as among the Senior Secured Parties, (c) otherwise change the relative rights of the Senior Secured Parties in respect of the Shared Collateral as among such Senior Secured Parties or (d) obligate the Company or any Grantor to take any action, or fail to take any action, that would otherwise constitute a breach of, or default under, the First Lien Credit Agreement or any other Senior Debt Document or any Second Priority Debt Document.</w:t>
      </w:r>
    </w:p>
    <w:p>
      <w:pPr>
        <w:sectPr>
          <w:pgSz w:w="11900" w:h="16838" w:orient="portrait"/>
          <w:cols w:equalWidth="0" w:num="1">
            <w:col w:w="10780"/>
          </w:cols>
          <w:pgMar w:left="580" w:top="1440" w:right="539" w:bottom="1440" w:gutter="0" w:footer="0" w:header="0"/>
        </w:sectPr>
      </w:pPr>
    </w:p>
    <w:bookmarkStart w:id="375" w:name="page376"/>
    <w:bookmarkEnd w:id="375"/>
    <w:p>
      <w:pPr>
        <w:spacing w:after="0" w:line="144" w:lineRule="exact"/>
        <w:rPr>
          <w:sz w:val="20"/>
          <w:szCs w:val="20"/>
          <w:color w:val="auto"/>
        </w:rPr>
      </w:pPr>
    </w:p>
    <w:p>
      <w:pPr>
        <w:jc w:val="both"/>
        <w:ind w:firstLine="1283"/>
        <w:spacing w:after="0" w:line="250" w:lineRule="auto"/>
        <w:rPr>
          <w:sz w:val="20"/>
          <w:szCs w:val="20"/>
          <w:color w:val="auto"/>
        </w:rPr>
      </w:pPr>
      <w:r>
        <w:rPr>
          <w:rFonts w:ascii="Times New Roman" w:cs="Times New Roman" w:eastAsia="Times New Roman" w:hAnsi="Times New Roman"/>
          <w:sz w:val="22"/>
          <w:szCs w:val="22"/>
          <w:color w:val="auto"/>
        </w:rPr>
        <w:t xml:space="preserve">SECTION 8.22. </w:t>
      </w:r>
      <w:r>
        <w:rPr>
          <w:rFonts w:ascii="Times New Roman" w:cs="Times New Roman" w:eastAsia="Times New Roman" w:hAnsi="Times New Roman"/>
          <w:sz w:val="22"/>
          <w:szCs w:val="22"/>
          <w:u w:val="single" w:color="auto"/>
          <w:color w:val="auto"/>
        </w:rPr>
        <w:t>Survival of Agreement</w:t>
      </w:r>
      <w:r>
        <w:rPr>
          <w:rFonts w:ascii="Times New Roman" w:cs="Times New Roman" w:eastAsia="Times New Roman" w:hAnsi="Times New Roman"/>
          <w:sz w:val="22"/>
          <w:szCs w:val="22"/>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[Signatures on following pages]</w:t>
      </w:r>
    </w:p>
    <w:p>
      <w:pPr>
        <w:sectPr>
          <w:pgSz w:w="11900" w:h="16838" w:orient="portrait"/>
          <w:cols w:equalWidth="0" w:num="1">
            <w:col w:w="10760"/>
          </w:cols>
          <w:pgMar w:left="600" w:top="1440" w:right="539" w:bottom="1440" w:gutter="0" w:footer="0" w:header="0"/>
        </w:sectPr>
      </w:pPr>
    </w:p>
    <w:bookmarkStart w:id="376" w:name="page377"/>
    <w:bookmarkEnd w:id="376"/>
    <w:p>
      <w:pPr>
        <w:ind w:firstLine="129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5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as Designated Senior Representative</w:t>
      </w:r>
    </w:p>
    <w:p>
      <w:pPr>
        <w:spacing w:after="0" w:line="200" w:lineRule="exact"/>
        <w:rPr>
          <w:sz w:val="20"/>
          <w:szCs w:val="20"/>
          <w:color w:val="auto"/>
        </w:rPr>
      </w:pPr>
    </w:p>
    <w:p>
      <w:pPr>
        <w:spacing w:after="0" w:line="210" w:lineRule="exact"/>
        <w:rPr>
          <w:sz w:val="20"/>
          <w:szCs w:val="20"/>
          <w:color w:val="auto"/>
        </w:rPr>
      </w:pPr>
    </w:p>
    <w:p>
      <w:pPr>
        <w:ind w:left="388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-13970</wp:posOffset>
            </wp:positionV>
            <wp:extent cx="274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88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-13970</wp:posOffset>
            </wp:positionV>
            <wp:extent cx="274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Title:</w:t>
      </w:r>
    </w:p>
    <w:p>
      <w:pPr>
        <w:spacing w:after="0" w:line="1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Address for notices: [ ]</w:t>
      </w:r>
    </w:p>
    <w:p>
      <w:pPr>
        <w:spacing w:after="0" w:line="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Attention of: [ ]</w:t>
      </w:r>
    </w:p>
    <w:p>
      <w:pPr>
        <w:jc w:val="center"/>
        <w:ind w:right="160"/>
        <w:spacing w:after="0"/>
        <w:rPr>
          <w:sz w:val="20"/>
          <w:szCs w:val="20"/>
          <w:color w:val="auto"/>
        </w:rPr>
      </w:pPr>
      <w:r>
        <w:rPr>
          <w:rFonts w:ascii="Times New Roman" w:cs="Times New Roman" w:eastAsia="Times New Roman" w:hAnsi="Times New Roman"/>
          <w:sz w:val="22"/>
          <w:szCs w:val="22"/>
          <w:color w:val="auto"/>
        </w:rPr>
        <w:t>Telecopy: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[Signature Page to First/Second Lien Intercreditor Agreement]</w:t>
      </w:r>
    </w:p>
    <w:p>
      <w:pPr>
        <w:sectPr>
          <w:pgSz w:w="11900" w:h="16838" w:orient="portrait"/>
          <w:cols w:equalWidth="0" w:num="1">
            <w:col w:w="10140"/>
          </w:cols>
          <w:pgMar w:left="600" w:top="1408" w:right="1159" w:bottom="1440" w:gutter="0" w:footer="0" w:header="0"/>
        </w:sectPr>
      </w:pPr>
    </w:p>
    <w:bookmarkStart w:id="377" w:name="page378"/>
    <w:bookmarkEnd w:id="377"/>
    <w:p>
      <w:pPr>
        <w:spacing w:after="0" w:line="2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 ]</w:t>
      </w:r>
    </w:p>
    <w:p>
      <w:pPr>
        <w:spacing w:after="0" w:line="18" w:lineRule="exact"/>
        <w:rPr>
          <w:sz w:val="20"/>
          <w:szCs w:val="20"/>
          <w:color w:val="auto"/>
        </w:rPr>
      </w:pPr>
    </w:p>
    <w:p>
      <w:pPr>
        <w:ind w:left="3040"/>
        <w:spacing w:after="0" w:line="243" w:lineRule="auto"/>
        <w:rPr>
          <w:sz w:val="20"/>
          <w:szCs w:val="20"/>
          <w:color w:val="auto"/>
        </w:rPr>
      </w:pPr>
      <w:r>
        <w:rPr>
          <w:rFonts w:ascii="Times New Roman" w:cs="Times New Roman" w:eastAsia="Times New Roman" w:hAnsi="Times New Roman"/>
          <w:sz w:val="22"/>
          <w:szCs w:val="22"/>
          <w:color w:val="auto"/>
        </w:rPr>
        <w:t>solely in its capacity as second lien collateral agent under the Second Lien [Credit Agreement][Indenture],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Initial Second Priority Representative</w:t>
      </w:r>
    </w:p>
    <w:p>
      <w:pPr>
        <w:spacing w:after="0" w:line="385" w:lineRule="exact"/>
        <w:rPr>
          <w:sz w:val="20"/>
          <w:szCs w:val="20"/>
          <w:color w:val="auto"/>
        </w:rPr>
      </w:pPr>
    </w:p>
    <w:p>
      <w:pPr>
        <w:ind w:left="3040"/>
        <w:spacing w:after="0"/>
        <w:tabs>
          <w:tab w:leader="none" w:pos="3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-13970</wp:posOffset>
            </wp:positionV>
            <wp:extent cx="137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Title:</w:t>
      </w:r>
    </w:p>
    <w:p>
      <w:pPr>
        <w:spacing w:after="0" w:line="35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Address for Notices: [ ]</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Attention of: [ ] Telecopy: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[Signature Page to First/Second Lien Intercreditor Agreement]</w:t>
      </w:r>
    </w:p>
    <w:p>
      <w:pPr>
        <w:sectPr>
          <w:pgSz w:w="11900" w:h="16838" w:orient="portrait"/>
          <w:cols w:equalWidth="0" w:num="1">
            <w:col w:w="9460"/>
          </w:cols>
          <w:pgMar w:left="1440" w:top="1440" w:right="999" w:bottom="1440" w:gutter="0" w:footer="0" w:header="0"/>
        </w:sectPr>
      </w:pPr>
    </w:p>
    <w:bookmarkStart w:id="378" w:name="page379"/>
    <w:bookmarkEnd w:id="378"/>
    <w:p>
      <w:pPr>
        <w:spacing w:after="0" w:line="2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00" w:lineRule="exact"/>
        <w:rPr>
          <w:sz w:val="20"/>
          <w:szCs w:val="20"/>
          <w:color w:val="auto"/>
        </w:rPr>
      </w:pPr>
    </w:p>
    <w:p>
      <w:pPr>
        <w:spacing w:after="0" w:line="240" w:lineRule="exact"/>
        <w:rPr>
          <w:sz w:val="20"/>
          <w:szCs w:val="20"/>
          <w:color w:val="auto"/>
        </w:rPr>
      </w:pPr>
    </w:p>
    <w:p>
      <w:pPr>
        <w:ind w:left="388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-13970</wp:posOffset>
            </wp:positionV>
            <wp:extent cx="274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Title:</w:t>
      </w:r>
    </w:p>
    <w:p>
      <w:pPr>
        <w:spacing w:after="0" w:line="39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SOTERA HEALTH HOLDINGS, LLC</w:t>
      </w:r>
    </w:p>
    <w:p>
      <w:pPr>
        <w:spacing w:after="0" w:line="200" w:lineRule="exact"/>
        <w:rPr>
          <w:sz w:val="20"/>
          <w:szCs w:val="20"/>
          <w:color w:val="auto"/>
        </w:rPr>
      </w:pPr>
    </w:p>
    <w:p>
      <w:pPr>
        <w:spacing w:after="0" w:line="226" w:lineRule="exact"/>
        <w:rPr>
          <w:sz w:val="20"/>
          <w:szCs w:val="20"/>
          <w:color w:val="auto"/>
        </w:rPr>
      </w:pPr>
    </w:p>
    <w:p>
      <w:pPr>
        <w:ind w:left="388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-13970</wp:posOffset>
            </wp:positionV>
            <wp:extent cx="274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w:t>
      </w:r>
    </w:p>
    <w:p>
      <w:pPr>
        <w:spacing w:after="0" w:line="39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SOTERA HEALTH LLC STERIGENICS U.S., LLC</w:t>
      </w:r>
    </w:p>
    <w:p>
      <w:pPr>
        <w:spacing w:after="0" w:line="5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NELSON LABORATORIES, LLC</w:t>
      </w:r>
    </w:p>
    <w:p>
      <w:pPr>
        <w:spacing w:after="0" w:line="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SOTERA HEALTH SERVICES, LLC</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STERIGENICS RADIATION TECHNOLOGIES HOLDINGS, LLC</w:t>
      </w:r>
    </w:p>
    <w:p>
      <w:pPr>
        <w:spacing w:after="0" w:line="5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STERIGENICS RADIATION TECHNOLOGIES, LLC</w:t>
      </w:r>
    </w:p>
    <w:p>
      <w:pPr>
        <w:spacing w:after="0" w:line="5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NELSON LABORATORIES HOLDINGS, LLC</w:t>
      </w:r>
    </w:p>
    <w:p>
      <w:pPr>
        <w:spacing w:after="0" w:line="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NELSON LABORATORIES FAIRFIELD HOLDINGS, LLC</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STERIGENICS RADIATION TECHNOLOGIES IN, INC.</w:t>
      </w:r>
    </w:p>
    <w:p>
      <w:pPr>
        <w:spacing w:after="0" w:line="8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NELSON LABORATORIES BOZEMAN, LLC NELSON</w:t>
      </w:r>
    </w:p>
    <w:p>
      <w:pPr>
        <w:ind w:left="3880"/>
        <w:spacing w:after="0" w:line="238" w:lineRule="auto"/>
        <w:rPr>
          <w:sz w:val="20"/>
          <w:szCs w:val="20"/>
          <w:color w:val="auto"/>
        </w:rPr>
      </w:pPr>
      <w:r>
        <w:rPr>
          <w:rFonts w:ascii="Times New Roman" w:cs="Times New Roman" w:eastAsia="Times New Roman" w:hAnsi="Times New Roman"/>
          <w:sz w:val="22"/>
          <w:szCs w:val="22"/>
          <w:b w:val="1"/>
          <w:bCs w:val="1"/>
          <w:color w:val="auto"/>
        </w:rPr>
        <w:t>LABORATORIES FAIRFIELD, INC.</w:t>
      </w:r>
    </w:p>
    <w:p>
      <w:pPr>
        <w:ind w:left="3880"/>
        <w:spacing w:after="0"/>
        <w:rPr>
          <w:sz w:val="20"/>
          <w:szCs w:val="20"/>
          <w:color w:val="auto"/>
        </w:rPr>
      </w:pPr>
      <w:r>
        <w:rPr>
          <w:rFonts w:ascii="Times New Roman" w:cs="Times New Roman" w:eastAsia="Times New Roman" w:hAnsi="Times New Roman"/>
          <w:sz w:val="22"/>
          <w:szCs w:val="22"/>
          <w:b w:val="1"/>
          <w:bCs w:val="1"/>
          <w:color w:val="auto"/>
        </w:rPr>
        <w:t>REGULATORY COMPLIANCE ASSOCIATES INC.,</w:t>
      </w:r>
      <w:r>
        <w:rPr>
          <w:rFonts w:ascii="Times New Roman" w:cs="Times New Roman" w:eastAsia="Times New Roman" w:hAnsi="Times New Roman"/>
          <w:sz w:val="28"/>
          <w:szCs w:val="28"/>
          <w:b w:val="1"/>
          <w:bCs w:val="1"/>
          <w:color w:val="auto"/>
          <w:vertAlign w:val="superscript"/>
        </w:rPr>
        <w:t>4</w:t>
      </w:r>
    </w:p>
    <w:p>
      <w:pPr>
        <w:spacing w:after="0" w:line="5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each as a Guarantor</w:t>
      </w:r>
    </w:p>
    <w:p>
      <w:pPr>
        <w:spacing w:after="0" w:line="200" w:lineRule="exact"/>
        <w:rPr>
          <w:sz w:val="20"/>
          <w:szCs w:val="20"/>
          <w:color w:val="auto"/>
        </w:rPr>
      </w:pPr>
    </w:p>
    <w:p>
      <w:pPr>
        <w:spacing w:after="0" w:line="23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-13970</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60"/>
        <w:spacing w:after="0" w:line="218" w:lineRule="auto"/>
        <w:rPr>
          <w:sz w:val="20"/>
          <w:szCs w:val="20"/>
          <w:color w:val="auto"/>
        </w:rPr>
      </w:pPr>
      <w:r>
        <w:rPr>
          <w:rFonts w:ascii="Times New Roman" w:cs="Times New Roman" w:eastAsia="Times New Roman" w:hAnsi="Times New Roman"/>
          <w:sz w:val="22"/>
          <w:szCs w:val="22"/>
          <w:color w:val="auto"/>
        </w:rPr>
        <w:t>Name:</w:t>
      </w:r>
    </w:p>
    <w:p>
      <w:pPr>
        <w:ind w:left="44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4 </w:t>
      </w:r>
      <w:r>
        <w:rPr>
          <w:rFonts w:ascii="Times New Roman" w:cs="Times New Roman" w:eastAsia="Times New Roman" w:hAnsi="Times New Roman"/>
          <w:sz w:val="18"/>
          <w:szCs w:val="18"/>
          <w:color w:val="auto"/>
        </w:rPr>
        <w:t>Note to draft: to be updated to reflect guarantors at the time of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[Signature Page to First/Second Lien Intercreditor Agreement]</w:t>
      </w:r>
    </w:p>
    <w:p>
      <w:pPr>
        <w:sectPr>
          <w:pgSz w:w="11900" w:h="16838" w:orient="portrait"/>
          <w:cols w:equalWidth="0" w:num="1">
            <w:col w:w="10260"/>
          </w:cols>
          <w:pgMar w:left="600" w:top="1440" w:right="1039"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22"/>
          <w:szCs w:val="22"/>
          <w:b w:val="1"/>
          <w:bCs w:val="1"/>
          <w:color w:val="auto"/>
        </w:rPr>
        <w:t>ANNEX I</w:t>
      </w:r>
    </w:p>
    <w:p>
      <w:pPr>
        <w:spacing w:after="0" w:line="200" w:lineRule="exact"/>
        <w:rPr>
          <w:sz w:val="20"/>
          <w:szCs w:val="20"/>
          <w:color w:val="auto"/>
        </w:rPr>
      </w:pPr>
    </w:p>
    <w:p>
      <w:pPr>
        <w:spacing w:after="0" w:line="226" w:lineRule="exact"/>
        <w:rPr>
          <w:sz w:val="20"/>
          <w:szCs w:val="20"/>
          <w:color w:val="auto"/>
        </w:rPr>
      </w:pPr>
    </w:p>
    <w:p>
      <w:pPr>
        <w:jc w:val="both"/>
        <w:ind w:left="20" w:right="20" w:firstLine="1298"/>
        <w:spacing w:after="0" w:line="249" w:lineRule="auto"/>
        <w:rPr>
          <w:sz w:val="20"/>
          <w:szCs w:val="20"/>
          <w:color w:val="auto"/>
        </w:rPr>
      </w:pPr>
      <w:r>
        <w:rPr>
          <w:rFonts w:ascii="Times New Roman" w:cs="Times New Roman" w:eastAsia="Times New Roman" w:hAnsi="Times New Roman"/>
          <w:sz w:val="22"/>
          <w:szCs w:val="22"/>
          <w:color w:val="auto"/>
        </w:rPr>
        <w:t>SUPPLEMENT NO. [ ] dated as of [ ], 20[ ] (this “Supplement”), to the FIRST/SECOND LIEN INTERCREDITOR AGREEMENT dated as of [ ], 20[ ] (the</w:t>
      </w:r>
    </w:p>
    <w:p>
      <w:pPr>
        <w:spacing w:after="0" w:line="2" w:lineRule="exact"/>
        <w:rPr>
          <w:sz w:val="20"/>
          <w:szCs w:val="20"/>
          <w:color w:val="auto"/>
        </w:rPr>
      </w:pPr>
    </w:p>
    <w:p>
      <w:pPr>
        <w:jc w:val="both"/>
        <w:ind w:left="20" w:right="2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First/Second Lien Intercreditor Agreement</w:t>
      </w:r>
      <w:r>
        <w:rPr>
          <w:rFonts w:ascii="Times New Roman" w:cs="Times New Roman" w:eastAsia="Times New Roman" w:hAnsi="Times New Roman"/>
          <w:sz w:val="22"/>
          <w:szCs w:val="22"/>
          <w:color w:val="auto"/>
        </w:rPr>
        <w:t>”), among Sotera Health Company,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Sotera Health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certain subsidiaries and affiliates of the Company (each a “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JPMorgan Chase Bank, N.A., as Designated Senior Representative, [ ], as Initial Second Priority Representative, and the additional Representatives from time to time a party thereto.</w:t>
      </w:r>
    </w:p>
    <w:p>
      <w:pPr>
        <w:spacing w:after="0" w:line="166" w:lineRule="exact"/>
        <w:rPr>
          <w:sz w:val="20"/>
          <w:szCs w:val="20"/>
          <w:color w:val="auto"/>
        </w:rPr>
      </w:pPr>
    </w:p>
    <w:p>
      <w:pPr>
        <w:ind w:left="20" w:right="20" w:firstLine="1294"/>
        <w:spacing w:after="0" w:line="271" w:lineRule="auto"/>
        <w:tabs>
          <w:tab w:leader="none" w:pos="1689" w:val="left"/>
        </w:tabs>
        <w:numPr>
          <w:ilvl w:val="1"/>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and not otherwise defined herein shall have the meanings assigned to such terms in the First/Second Lien Intercreditor Agreement.</w:t>
      </w:r>
    </w:p>
    <w:p>
      <w:pPr>
        <w:spacing w:after="0" w:line="157" w:lineRule="exact"/>
        <w:rPr>
          <w:rFonts w:ascii="Times New Roman" w:cs="Times New Roman" w:eastAsia="Times New Roman" w:hAnsi="Times New Roman"/>
          <w:sz w:val="22"/>
          <w:szCs w:val="22"/>
          <w:color w:val="auto"/>
        </w:rPr>
      </w:pPr>
    </w:p>
    <w:p>
      <w:pPr>
        <w:jc w:val="both"/>
        <w:ind w:firstLine="1298"/>
        <w:spacing w:after="0" w:line="263" w:lineRule="auto"/>
        <w:tabs>
          <w:tab w:leader="none" w:pos="1685" w:val="left"/>
        </w:tabs>
        <w:numPr>
          <w:ilvl w:val="0"/>
          <w:numId w:val="4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Grantors have entered into the First/Second Lien Intercreditor Agreement. Pursuant to the First Lien Credit Agreement, certain Additional Senior Debt Documents and certain Second Priority Debt Documents, certain newly acquired or organized Subsidiaries of the Company are required to enter into the First/Second Lien Intercreditor Agreement. Section 8.07 of the First/Second Lien Intercreditor Agreement provides that such Subsidiaries may become party to the First/Second Lien Intercreditor Agreement by execution and delivery of an instrument in the form of this Supplement. The undersigned Subsidiary (the “</w:t>
      </w:r>
      <w:r>
        <w:rPr>
          <w:rFonts w:ascii="Times New Roman" w:cs="Times New Roman" w:eastAsia="Times New Roman" w:hAnsi="Times New Roman"/>
          <w:sz w:val="21"/>
          <w:szCs w:val="21"/>
          <w:u w:val="single" w:color="auto"/>
          <w:color w:val="auto"/>
        </w:rPr>
        <w:t>New Grantor</w:t>
      </w:r>
      <w:r>
        <w:rPr>
          <w:rFonts w:ascii="Times New Roman" w:cs="Times New Roman" w:eastAsia="Times New Roman" w:hAnsi="Times New Roman"/>
          <w:sz w:val="21"/>
          <w:szCs w:val="21"/>
          <w:color w:val="auto"/>
        </w:rPr>
        <w:t>”) is executing this Supplement in accordance with the requirements of the First Lien Credit Agreement, the Second Priority Debt Documents and Additional Senior Debt Documents.</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Accordingly, the Designated Senior Representative, the Designated Second Priority Representative and the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New Grantor agree as follows:</w:t>
      </w:r>
    </w:p>
    <w:p>
      <w:pPr>
        <w:spacing w:after="0" w:line="196" w:lineRule="exact"/>
        <w:rPr>
          <w:sz w:val="20"/>
          <w:szCs w:val="20"/>
          <w:color w:val="auto"/>
        </w:rPr>
      </w:pPr>
    </w:p>
    <w:p>
      <w:pPr>
        <w:jc w:val="both"/>
        <w:ind w:right="20" w:firstLine="1298"/>
        <w:spacing w:after="0" w:line="251" w:lineRule="auto"/>
        <w:rPr>
          <w:sz w:val="20"/>
          <w:szCs w:val="20"/>
          <w:color w:val="auto"/>
        </w:rPr>
      </w:pPr>
      <w:r>
        <w:rPr>
          <w:rFonts w:ascii="Times New Roman" w:cs="Times New Roman" w:eastAsia="Times New Roman" w:hAnsi="Times New Roman"/>
          <w:sz w:val="22"/>
          <w:szCs w:val="22"/>
          <w:color w:val="auto"/>
        </w:rPr>
        <w:t>SECTION 1. In accordance with Section 8.07 of the First/Second Lien Intercreditor Agreement, the New Grantor by its signature below becomes a Grantor under the First/Second Lien Intercreditor Agreement with the same force and effect as if originally named therein as a Grantor, and the New Grantor hereby agrees to all the terms and provisions of the First/Second Lien Intercreditor Agreement applicable to it as a Grantor thereunder. Each reference to a “Grantor” in the First/Second Lien Intercreditor Agreement shall be deemed to include the New Grantor. The First/Second Lien Intercreditor Agreement is hereby incorporated herein by reference.</w:t>
      </w:r>
    </w:p>
    <w:p>
      <w:pPr>
        <w:spacing w:after="0" w:line="154" w:lineRule="exact"/>
        <w:rPr>
          <w:sz w:val="20"/>
          <w:szCs w:val="20"/>
          <w:color w:val="auto"/>
        </w:rPr>
      </w:pPr>
    </w:p>
    <w:p>
      <w:pPr>
        <w:jc w:val="both"/>
        <w:ind w:left="20" w:firstLine="1298"/>
        <w:spacing w:after="0" w:line="248" w:lineRule="auto"/>
        <w:rPr>
          <w:sz w:val="20"/>
          <w:szCs w:val="20"/>
          <w:color w:val="auto"/>
        </w:rPr>
      </w:pPr>
      <w:r>
        <w:rPr>
          <w:rFonts w:ascii="Times New Roman" w:cs="Times New Roman" w:eastAsia="Times New Roman" w:hAnsi="Times New Roman"/>
          <w:sz w:val="22"/>
          <w:szCs w:val="22"/>
          <w:color w:val="auto"/>
        </w:rPr>
        <w:t>SECTION 2. The New Grantor represents and warrants to the Designated Senior Representative, the Designated Second Priority Representative and the other Secured Parties that this Supplement has been duly authorized, executed and delivered by it and constitutes its legal, valid and binding obligation, enforceable against it in accordance with its terms.</w:t>
      </w:r>
    </w:p>
    <w:p>
      <w:pPr>
        <w:spacing w:after="0" w:line="183" w:lineRule="exact"/>
        <w:rPr>
          <w:sz w:val="20"/>
          <w:szCs w:val="20"/>
          <w:color w:val="auto"/>
        </w:rPr>
      </w:pPr>
    </w:p>
    <w:p>
      <w:pPr>
        <w:jc w:val="both"/>
        <w:ind w:left="20" w:firstLine="1298"/>
        <w:spacing w:after="0" w:line="256" w:lineRule="auto"/>
        <w:rPr>
          <w:sz w:val="20"/>
          <w:szCs w:val="20"/>
          <w:color w:val="auto"/>
        </w:rPr>
      </w:pPr>
      <w:r>
        <w:rPr>
          <w:rFonts w:ascii="Times New Roman" w:cs="Times New Roman" w:eastAsia="Times New Roman" w:hAnsi="Times New Roman"/>
          <w:sz w:val="22"/>
          <w:szCs w:val="22"/>
          <w:color w:val="auto"/>
        </w:rPr>
        <w:t>SECTION 3. This Supplement may be executed in counterparts, each of which shall constitute an original, but all of which when taken together shall constitute a single contract. This Supplement shall become effective when the Designated Senior Representative and the Designated Second Priority Representative shall have received a counterpart of this Supplement that bears the signature of the New Grantor. Delivery of an executed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9"/>
          <w:szCs w:val="19"/>
          <w:color w:val="auto"/>
        </w:rPr>
        <w:t>[Signature Page to First/Second Lien Intercreditor Agreement]</w:t>
      </w:r>
    </w:p>
    <w:p>
      <w:pPr>
        <w:sectPr>
          <w:pgSz w:w="11900" w:h="16838" w:orient="portrait"/>
          <w:cols w:equalWidth="0" w:num="1">
            <w:col w:w="10780"/>
          </w:cols>
          <w:pgMar w:left="580" w:top="1417" w:right="539" w:bottom="1440" w:gutter="0" w:footer="0" w:header="0"/>
        </w:sectPr>
      </w:pPr>
    </w:p>
    <w:bookmarkStart w:id="380" w:name="page381"/>
    <w:bookmarkEnd w:id="380"/>
    <w:p>
      <w:pPr>
        <w:spacing w:after="0" w:line="130"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22"/>
          <w:szCs w:val="22"/>
          <w:color w:val="auto"/>
        </w:rPr>
        <w:t>to this Supplement by facsimile transmission shall be as effective as delivery of a manually signed counterpart of this Supplement.</w:t>
      </w:r>
    </w:p>
    <w:p>
      <w:pPr>
        <w:spacing w:after="0" w:line="144" w:lineRule="exact"/>
        <w:rPr>
          <w:sz w:val="20"/>
          <w:szCs w:val="20"/>
          <w:color w:val="auto"/>
        </w:rPr>
      </w:pPr>
    </w:p>
    <w:p>
      <w:pPr>
        <w:ind w:right="40" w:firstLine="1298"/>
        <w:spacing w:after="0" w:line="271" w:lineRule="auto"/>
        <w:rPr>
          <w:sz w:val="20"/>
          <w:szCs w:val="20"/>
          <w:color w:val="auto"/>
        </w:rPr>
      </w:pPr>
      <w:r>
        <w:rPr>
          <w:rFonts w:ascii="Times New Roman" w:cs="Times New Roman" w:eastAsia="Times New Roman" w:hAnsi="Times New Roman"/>
          <w:sz w:val="22"/>
          <w:szCs w:val="22"/>
          <w:color w:val="auto"/>
        </w:rPr>
        <w:t>SECTION 4. Except as expressly supplemented hereby, the First/Second Lien Intercreditor Agreement shall remain in full force and effect.</w:t>
      </w:r>
    </w:p>
    <w:p>
      <w:pPr>
        <w:spacing w:after="0" w:line="140" w:lineRule="exact"/>
        <w:rPr>
          <w:sz w:val="20"/>
          <w:szCs w:val="20"/>
          <w:color w:val="auto"/>
        </w:rPr>
      </w:pPr>
    </w:p>
    <w:p>
      <w:pPr>
        <w:jc w:val="both"/>
        <w:ind w:left="20" w:right="20" w:firstLine="1298"/>
        <w:spacing w:after="0" w:line="262" w:lineRule="auto"/>
        <w:rPr>
          <w:sz w:val="20"/>
          <w:szCs w:val="20"/>
          <w:color w:val="auto"/>
        </w:rPr>
      </w:pPr>
      <w:r>
        <w:rPr>
          <w:rFonts w:ascii="Times New Roman" w:cs="Times New Roman" w:eastAsia="Times New Roman" w:hAnsi="Times New Roman"/>
          <w:sz w:val="22"/>
          <w:szCs w:val="22"/>
          <w:b w:val="1"/>
          <w:bCs w:val="1"/>
          <w:color w:val="auto"/>
        </w:rPr>
        <w:t>SECTION 5. THIS SUPPLEMENT SHALL BE GOVERNED BY, AND CONSTRUED IN ACCORDANCE WITH, THE LAWS OF THE STATE OF NEW YORK.</w:t>
      </w:r>
    </w:p>
    <w:p>
      <w:pPr>
        <w:spacing w:after="0" w:line="154" w:lineRule="exact"/>
        <w:rPr>
          <w:sz w:val="20"/>
          <w:szCs w:val="20"/>
          <w:color w:val="auto"/>
        </w:rPr>
      </w:pPr>
    </w:p>
    <w:p>
      <w:pPr>
        <w:jc w:val="both"/>
        <w:ind w:left="20" w:firstLine="1298"/>
        <w:spacing w:after="0" w:line="241" w:lineRule="auto"/>
        <w:rPr>
          <w:sz w:val="20"/>
          <w:szCs w:val="20"/>
          <w:color w:val="auto"/>
        </w:rPr>
      </w:pPr>
      <w:r>
        <w:rPr>
          <w:rFonts w:ascii="Times New Roman" w:cs="Times New Roman" w:eastAsia="Times New Roman" w:hAnsi="Times New Roman"/>
          <w:sz w:val="22"/>
          <w:szCs w:val="22"/>
          <w:color w:val="auto"/>
        </w:rPr>
        <w:t>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First/Second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206" w:lineRule="exact"/>
        <w:rPr>
          <w:sz w:val="20"/>
          <w:szCs w:val="20"/>
          <w:color w:val="auto"/>
        </w:rPr>
      </w:pPr>
    </w:p>
    <w:p>
      <w:pPr>
        <w:jc w:val="both"/>
        <w:ind w:left="20" w:right="20" w:firstLine="1298"/>
        <w:spacing w:after="0" w:line="244" w:lineRule="auto"/>
        <w:rPr>
          <w:sz w:val="20"/>
          <w:szCs w:val="20"/>
          <w:color w:val="auto"/>
        </w:rPr>
      </w:pPr>
      <w:r>
        <w:rPr>
          <w:rFonts w:ascii="Times New Roman" w:cs="Times New Roman" w:eastAsia="Times New Roman" w:hAnsi="Times New Roman"/>
          <w:sz w:val="22"/>
          <w:szCs w:val="22"/>
          <w:color w:val="auto"/>
        </w:rPr>
        <w:t>SECTION 7. All communications and notices hereunder shall be in writing and given as provided in Section 8.11 of the First/Second Lien Intercreditor Agreement. All communications and notices hereunder to the New Grantor shall be given to it in care of the Company as specified in the First/Second Lien Intercreditor Agreement.</w:t>
      </w:r>
    </w:p>
    <w:p>
      <w:pPr>
        <w:spacing w:after="0" w:line="214" w:lineRule="exact"/>
        <w:rPr>
          <w:sz w:val="20"/>
          <w:szCs w:val="20"/>
          <w:color w:val="auto"/>
        </w:rPr>
      </w:pPr>
    </w:p>
    <w:p>
      <w:pPr>
        <w:jc w:val="both"/>
        <w:ind w:left="20" w:right="20" w:firstLine="1298"/>
        <w:spacing w:after="0" w:line="252" w:lineRule="auto"/>
        <w:rPr>
          <w:sz w:val="20"/>
          <w:szCs w:val="20"/>
          <w:color w:val="auto"/>
        </w:rPr>
      </w:pPr>
      <w:r>
        <w:rPr>
          <w:rFonts w:ascii="Times New Roman" w:cs="Times New Roman" w:eastAsia="Times New Roman" w:hAnsi="Times New Roman"/>
          <w:sz w:val="22"/>
          <w:szCs w:val="22"/>
          <w:color w:val="auto"/>
        </w:rPr>
        <w:t>SECTION 8. The Company agrees to reimburse each of the Designated Senior Representative and the Designated Second Priority Representative for its reasonable fees and reasonable and documented or invoiced out-of-pocket expenses in connection with this Supplement, including the reasonable fees, other charges and disbursements of counsel for the Designated Senior Representative and the Designated Second Priority Representative.</w:t>
      </w:r>
    </w:p>
    <w:p>
      <w:pPr>
        <w:spacing w:after="0" w:line="1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9"/>
          <w:szCs w:val="19"/>
          <w:color w:val="auto"/>
        </w:rPr>
        <w:t>[Signature Page to First/Second Lien Intercreditor Agreement]</w:t>
      </w:r>
    </w:p>
    <w:p>
      <w:pPr>
        <w:sectPr>
          <w:pgSz w:w="11900" w:h="16838" w:orient="portrait"/>
          <w:cols w:equalWidth="0" w:num="1">
            <w:col w:w="10780"/>
          </w:cols>
          <w:pgMar w:left="580" w:top="1440" w:right="539" w:bottom="1440" w:gutter="0" w:footer="0" w:header="0"/>
        </w:sectPr>
      </w:pPr>
    </w:p>
    <w:bookmarkStart w:id="381" w:name="page382"/>
    <w:bookmarkEnd w:id="381"/>
    <w:p>
      <w:pPr>
        <w:jc w:val="both"/>
        <w:ind w:left="18" w:firstLine="1298"/>
        <w:spacing w:after="0" w:line="250" w:lineRule="auto"/>
        <w:rPr>
          <w:sz w:val="20"/>
          <w:szCs w:val="20"/>
          <w:color w:val="auto"/>
        </w:rPr>
      </w:pPr>
      <w:r>
        <w:rPr>
          <w:rFonts w:ascii="Times New Roman" w:cs="Times New Roman" w:eastAsia="Times New Roman" w:hAnsi="Times New Roman"/>
          <w:sz w:val="22"/>
          <w:szCs w:val="22"/>
          <w:color w:val="auto"/>
        </w:rPr>
        <w:t>IN WITNESS WHEREOF, the New Grantor, the Designated Senior Representative and the Designated Second Priority Representative have duly executed this Supplement to the First/Second Lien Intercreditor Agreement as of the day and year first above written.</w:t>
      </w:r>
    </w:p>
    <w:p>
      <w:pPr>
        <w:spacing w:after="0" w:line="181" w:lineRule="exact"/>
        <w:rPr>
          <w:sz w:val="20"/>
          <w:szCs w:val="20"/>
          <w:color w:val="auto"/>
        </w:rPr>
      </w:pPr>
    </w:p>
    <w:p>
      <w:pPr>
        <w:ind w:left="3898"/>
        <w:spacing w:after="0"/>
        <w:rPr>
          <w:sz w:val="20"/>
          <w:szCs w:val="20"/>
          <w:color w:val="auto"/>
        </w:rPr>
      </w:pPr>
      <w:r>
        <w:rPr>
          <w:rFonts w:ascii="Times New Roman" w:cs="Times New Roman" w:eastAsia="Times New Roman" w:hAnsi="Times New Roman"/>
          <w:sz w:val="22"/>
          <w:szCs w:val="22"/>
          <w:color w:val="auto"/>
        </w:rPr>
        <w:t>[NAME OF NEW SUBSIDIARY</w:t>
      </w:r>
    </w:p>
    <w:p>
      <w:pPr>
        <w:spacing w:after="0" w:line="28" w:lineRule="exact"/>
        <w:rPr>
          <w:sz w:val="20"/>
          <w:szCs w:val="20"/>
          <w:color w:val="auto"/>
        </w:rPr>
      </w:pPr>
    </w:p>
    <w:p>
      <w:pPr>
        <w:ind w:left="3898"/>
        <w:spacing w:after="0"/>
        <w:rPr>
          <w:sz w:val="20"/>
          <w:szCs w:val="20"/>
          <w:color w:val="auto"/>
        </w:rPr>
      </w:pPr>
      <w:r>
        <w:rPr>
          <w:rFonts w:ascii="Times New Roman" w:cs="Times New Roman" w:eastAsia="Times New Roman" w:hAnsi="Times New Roman"/>
          <w:sz w:val="22"/>
          <w:szCs w:val="22"/>
          <w:color w:val="auto"/>
        </w:rPr>
        <w:t>GRANTOR], as the New Grantor</w:t>
      </w:r>
    </w:p>
    <w:p>
      <w:pPr>
        <w:spacing w:after="0" w:line="385" w:lineRule="exact"/>
        <w:rPr>
          <w:sz w:val="20"/>
          <w:szCs w:val="20"/>
          <w:color w:val="auto"/>
        </w:rPr>
      </w:pPr>
    </w:p>
    <w:p>
      <w:pPr>
        <w:ind w:left="3898"/>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-13970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78"/>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58"/>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18"/>
        <w:spacing w:after="0"/>
        <w:rPr>
          <w:sz w:val="20"/>
          <w:szCs w:val="20"/>
          <w:color w:val="auto"/>
        </w:rPr>
      </w:pPr>
      <w:r>
        <w:rPr>
          <w:rFonts w:ascii="Times New Roman" w:cs="Times New Roman" w:eastAsia="Times New Roman" w:hAnsi="Times New Roman"/>
          <w:sz w:val="22"/>
          <w:szCs w:val="22"/>
          <w:color w:val="auto"/>
        </w:rPr>
        <w:t>Acknowledged by:</w:t>
      </w:r>
    </w:p>
    <w:p>
      <w:pPr>
        <w:spacing w:after="0" w:line="220" w:lineRule="exact"/>
        <w:rPr>
          <w:sz w:val="20"/>
          <w:szCs w:val="20"/>
          <w:color w:val="auto"/>
        </w:rPr>
      </w:pPr>
    </w:p>
    <w:p>
      <w:pPr>
        <w:ind w:left="298" w:hanging="284"/>
        <w:spacing w:after="0"/>
        <w:tabs>
          <w:tab w:leader="none" w:pos="298"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Designated Senior Representative,</w:t>
      </w:r>
    </w:p>
    <w:p>
      <w:pPr>
        <w:spacing w:after="0" w:line="200" w:lineRule="exact"/>
        <w:rPr>
          <w:sz w:val="20"/>
          <w:szCs w:val="20"/>
          <w:color w:val="auto"/>
        </w:rPr>
      </w:pPr>
    </w:p>
    <w:p>
      <w:pPr>
        <w:spacing w:after="0" w:line="236" w:lineRule="exact"/>
        <w:rPr>
          <w:sz w:val="20"/>
          <w:szCs w:val="20"/>
          <w:color w:val="auto"/>
        </w:rPr>
      </w:pPr>
    </w:p>
    <w:p>
      <w:pPr>
        <w:ind w:left="18"/>
        <w:spacing w:after="0"/>
        <w:tabs>
          <w:tab w:leader="none" w:pos="1218"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-13970</wp:posOffset>
            </wp:positionV>
            <wp:extent cx="4114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558"/>
        <w:spacing w:after="0"/>
        <w:rPr>
          <w:sz w:val="20"/>
          <w:szCs w:val="20"/>
          <w:color w:val="auto"/>
        </w:rPr>
      </w:pPr>
      <w:r>
        <w:rPr>
          <w:rFonts w:ascii="Times New Roman" w:cs="Times New Roman" w:eastAsia="Times New Roman" w:hAnsi="Times New Roman"/>
          <w:sz w:val="22"/>
          <w:szCs w:val="22"/>
          <w:color w:val="auto"/>
        </w:rPr>
        <w:t>Title:</w:t>
      </w:r>
    </w:p>
    <w:p>
      <w:pPr>
        <w:spacing w:after="0" w:line="263" w:lineRule="exact"/>
        <w:rPr>
          <w:sz w:val="20"/>
          <w:szCs w:val="20"/>
          <w:color w:val="auto"/>
        </w:rPr>
      </w:pPr>
    </w:p>
    <w:p>
      <w:pPr>
        <w:ind w:left="498" w:hanging="498"/>
        <w:spacing w:after="0"/>
        <w:tabs>
          <w:tab w:leader="none" w:pos="498"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[Designated Second Priority Representative],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-13970</wp:posOffset>
            </wp:positionV>
            <wp:extent cx="274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33"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22"/>
          <w:szCs w:val="22"/>
          <w:color w:val="auto"/>
        </w:rPr>
        <w:t>Name:</w:t>
      </w:r>
    </w:p>
    <w:p>
      <w:pPr>
        <w:ind w:left="558"/>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758"/>
          </w:cols>
          <w:pgMar w:left="582" w:top="1408" w:right="559" w:bottom="1440" w:gutter="0" w:footer="0" w:header="0"/>
        </w:sectPr>
      </w:pPr>
    </w:p>
    <w:bookmarkStart w:id="382" w:name="page383"/>
    <w:bookmarkEnd w:id="382"/>
    <w:p>
      <w:pPr>
        <w:ind w:left="9760"/>
        <w:spacing w:after="0"/>
        <w:rPr>
          <w:sz w:val="20"/>
          <w:szCs w:val="20"/>
          <w:color w:val="auto"/>
        </w:rPr>
      </w:pPr>
      <w:r>
        <w:rPr>
          <w:rFonts w:ascii="Times New Roman" w:cs="Times New Roman" w:eastAsia="Times New Roman" w:hAnsi="Times New Roman"/>
          <w:sz w:val="21"/>
          <w:szCs w:val="21"/>
          <w:b w:val="1"/>
          <w:bCs w:val="1"/>
          <w:color w:val="auto"/>
        </w:rPr>
        <w:t>ANNEX II</w:t>
      </w:r>
    </w:p>
    <w:p>
      <w:pPr>
        <w:spacing w:after="0" w:line="200" w:lineRule="exact"/>
        <w:rPr>
          <w:sz w:val="20"/>
          <w:szCs w:val="20"/>
          <w:color w:val="auto"/>
        </w:rPr>
      </w:pPr>
    </w:p>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[FORM OF] REPRESENTATIVE SUPPLEMENT NO. [ ] dated as of [ ], 20[</w:t>
      </w:r>
    </w:p>
    <w:p>
      <w:pPr>
        <w:spacing w:after="0" w:line="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(this “</w:t>
      </w:r>
      <w:r>
        <w:rPr>
          <w:rFonts w:ascii="Times New Roman" w:cs="Times New Roman" w:eastAsia="Times New Roman" w:hAnsi="Times New Roman"/>
          <w:sz w:val="22"/>
          <w:szCs w:val="22"/>
          <w:u w:val="single" w:color="auto"/>
          <w:color w:val="auto"/>
        </w:rPr>
        <w:t>Representative Supplement</w:t>
      </w:r>
      <w:r>
        <w:rPr>
          <w:rFonts w:ascii="Times New Roman" w:cs="Times New Roman" w:eastAsia="Times New Roman" w:hAnsi="Times New Roman"/>
          <w:sz w:val="22"/>
          <w:szCs w:val="22"/>
          <w:color w:val="auto"/>
        </w:rPr>
        <w:t>”) to the FIRST/SECOND LIEN INTERCREDITOR AGREEMENT dated as of [ ], 20[ ] (the “</w:t>
      </w:r>
      <w:r>
        <w:rPr>
          <w:rFonts w:ascii="Times New Roman" w:cs="Times New Roman" w:eastAsia="Times New Roman" w:hAnsi="Times New Roman"/>
          <w:sz w:val="22"/>
          <w:szCs w:val="22"/>
          <w:u w:val="single" w:color="auto"/>
          <w:color w:val="auto"/>
        </w:rPr>
        <w:t>First/Second Lien Intercreditor Agreement</w:t>
      </w:r>
      <w:r>
        <w:rPr>
          <w:rFonts w:ascii="Times New Roman" w:cs="Times New Roman" w:eastAsia="Times New Roman" w:hAnsi="Times New Roman"/>
          <w:sz w:val="22"/>
          <w:szCs w:val="22"/>
          <w:color w:val="auto"/>
        </w:rPr>
        <w:t>”), among Sotera Health Company,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Sotera Health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certain subsidiaries and affiliates of the Company (each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JPMorgan Chase Bank, N.A., as Designated Senior Representative, [ ], as Initial Second Priority Representative, and the additional Representatives from time to time a party thereto.</w:t>
      </w:r>
    </w:p>
    <w:p>
      <w:pPr>
        <w:spacing w:after="0" w:line="177" w:lineRule="exact"/>
        <w:rPr>
          <w:sz w:val="20"/>
          <w:szCs w:val="20"/>
          <w:color w:val="auto"/>
        </w:rPr>
      </w:pPr>
    </w:p>
    <w:p>
      <w:pPr>
        <w:ind w:right="60" w:firstLine="1294"/>
        <w:spacing w:after="0" w:line="258" w:lineRule="auto"/>
        <w:tabs>
          <w:tab w:leader="none" w:pos="1669"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but not otherwise defined herein shall have the meanings assigned to such terms in the First/Second Lien Intercreditor Agreement.</w:t>
      </w:r>
    </w:p>
    <w:p>
      <w:pPr>
        <w:spacing w:after="0" w:line="185" w:lineRule="exact"/>
        <w:rPr>
          <w:rFonts w:ascii="Times New Roman" w:cs="Times New Roman" w:eastAsia="Times New Roman" w:hAnsi="Times New Roman"/>
          <w:sz w:val="22"/>
          <w:szCs w:val="22"/>
          <w:color w:val="auto"/>
        </w:rPr>
      </w:pPr>
    </w:p>
    <w:p>
      <w:pPr>
        <w:jc w:val="both"/>
        <w:ind w:firstLine="1294"/>
        <w:spacing w:after="0" w:line="248" w:lineRule="auto"/>
        <w:tabs>
          <w:tab w:leader="none" w:pos="1671"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to the ability of the Company to incur Second Priority Debt and to secure such Second Priority Class Debt with the Second Priority Lien and to have such Second Priority Class Debt guaranteed by the Grantors on a subordinated basis, in each case under and pursuant to the Second Priority Collateral Documents, the Second Priority Class Debt Representative in respect of such Second Priority Class Debt is required to become a Representative under, and such Second Priority Class Debt and the Second Priority Class Debt Parties in respect thereof are required to become subject to and bound by, the First/Second Lien Intercreditor Agreement. Section 8.09 of the First/Second Lien Intercreditor Agreement provides that such Second Priority Class Debt Representative may become a Representative under, and such Second Priority Class Debt and such Second Priority Class Debt Parties may become subject to and bound by, the First/Second Lien Intercreditor Agreement, pursuant to the execution and delivery by the Second Priority Class Debt Representative of an instrument in the form of this Representative Supplement and the satisfaction of the other conditions set forth in Section 8.09 of the First/Second Lien Intercreditor Agreement. The undersigned Second Priority Class Debt Representative (the “</w:t>
      </w:r>
      <w:r>
        <w:rPr>
          <w:rFonts w:ascii="Times New Roman" w:cs="Times New Roman" w:eastAsia="Times New Roman" w:hAnsi="Times New Roman"/>
          <w:sz w:val="22"/>
          <w:szCs w:val="22"/>
          <w:u w:val="single" w:color="auto"/>
          <w:color w:val="auto"/>
        </w:rPr>
        <w:t>New Representative</w:t>
      </w:r>
      <w:r>
        <w:rPr>
          <w:rFonts w:ascii="Times New Roman" w:cs="Times New Roman" w:eastAsia="Times New Roman" w:hAnsi="Times New Roman"/>
          <w:sz w:val="22"/>
          <w:szCs w:val="22"/>
          <w:color w:val="auto"/>
        </w:rPr>
        <w:t>”) is executing this Representative Supplement in accordance with the requirements of the Senior Debt Documents and the Second Priority Debt Documents.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Accordingly, the Designated Senior Representative and the New Representative agree as follows:</w:t>
      </w:r>
    </w:p>
    <w:p>
      <w:pPr>
        <w:spacing w:after="0" w:line="206" w:lineRule="exact"/>
        <w:rPr>
          <w:sz w:val="20"/>
          <w:szCs w:val="20"/>
          <w:color w:val="auto"/>
        </w:rPr>
      </w:pPr>
    </w:p>
    <w:p>
      <w:pPr>
        <w:jc w:val="both"/>
        <w:ind w:firstLine="1298"/>
        <w:spacing w:after="0" w:line="243" w:lineRule="auto"/>
        <w:rPr>
          <w:sz w:val="20"/>
          <w:szCs w:val="20"/>
          <w:color w:val="auto"/>
        </w:rPr>
      </w:pPr>
      <w:r>
        <w:rPr>
          <w:rFonts w:ascii="Times New Roman" w:cs="Times New Roman" w:eastAsia="Times New Roman" w:hAnsi="Times New Roman"/>
          <w:sz w:val="22"/>
          <w:szCs w:val="22"/>
          <w:color w:val="auto"/>
        </w:rPr>
        <w:t>SECTION 1. In accordance with Section 8.09 of the First/Second Lien Intercreditor Agreement, the New Representative by its signature below becomes a Representative under, and the related Second Priority Class Debt and Second Priority Class Debt Parties become subject to and bound by, the First/Second Lien Intercreditor Agreement with the same force and effect as if the New Representative had originally been named therein as a Representative, and the New Representative, on behalf of itself and such Second Priority Class Debt Parties, hereby agrees to all the terms and provisions of the First/Second Lien Intercreditor Agreement applicable to it as a Second Priority Representative and to the Second Priority Class Debt Parties that it represents as Second Priority Debt Parties. Each reference to a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Second Priority Representative</w:t>
      </w:r>
      <w:r>
        <w:rPr>
          <w:rFonts w:ascii="Times New Roman" w:cs="Times New Roman" w:eastAsia="Times New Roman" w:hAnsi="Times New Roman"/>
          <w:sz w:val="22"/>
          <w:szCs w:val="22"/>
          <w:color w:val="auto"/>
        </w:rPr>
        <w:t>” in the First/Second Lien Intercreditor</w:t>
      </w:r>
    </w:p>
    <w:p>
      <w:pPr>
        <w:sectPr>
          <w:pgSz w:w="11900" w:h="16838" w:orient="portrait"/>
          <w:cols w:equalWidth="0" w:num="1">
            <w:col w:w="10760"/>
          </w:cols>
          <w:pgMar w:left="600" w:top="1417" w:right="539" w:bottom="1440" w:gutter="0" w:footer="0" w:header="0"/>
        </w:sectPr>
      </w:pPr>
    </w:p>
    <w:bookmarkStart w:id="383" w:name="page384"/>
    <w:bookmarkEnd w:id="383"/>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Agreement shall be deemed to include the New Representative. The First/Second Lien Intercreditor Agreement is hereby incorporated herein by reference.</w:t>
      </w:r>
    </w:p>
    <w:p>
      <w:pPr>
        <w:spacing w:after="0" w:line="158" w:lineRule="exact"/>
        <w:rPr>
          <w:sz w:val="20"/>
          <w:szCs w:val="20"/>
          <w:color w:val="auto"/>
        </w:rPr>
      </w:pPr>
    </w:p>
    <w:p>
      <w:pPr>
        <w:jc w:val="both"/>
        <w:ind w:firstLine="1298"/>
        <w:spacing w:after="0" w:line="249" w:lineRule="auto"/>
        <w:rPr>
          <w:sz w:val="20"/>
          <w:szCs w:val="20"/>
          <w:color w:val="auto"/>
        </w:rPr>
      </w:pPr>
      <w:r>
        <w:rPr>
          <w:rFonts w:ascii="Times New Roman" w:cs="Times New Roman" w:eastAsia="Times New Roman" w:hAnsi="Times New Roman"/>
          <w:sz w:val="22"/>
          <w:szCs w:val="22"/>
          <w:color w:val="auto"/>
        </w:rPr>
        <w:t>SECTION 2. The New Representative represents and warrants to the Designated Senior Representative and the other Secured Parties that (i) it has full power and authority to enter into this Representative Supplement, in its capacity as [agent] [trustee] under [describe new debt facility], (ii) this Representative Supplement has been duly authorized, executed and delivered by it and constitutes its legal, valid and binding obligation, enforceable against it in accordance with the terms of such [agreement] and (iii) the Second Priority Debt Documents relating to such Second Priority Class Debt provide that, upon the New Representative’s entry into this Agreement, the Second Priority Class Debt Parties in respect of such Second Priority Class Debt will be subject to and bound by the provisions of the First/Second Lien Intercreditor Agreement as Second Priority Debt Parties.</w:t>
      </w:r>
    </w:p>
    <w:p>
      <w:pPr>
        <w:spacing w:after="0" w:line="195" w:lineRule="exact"/>
        <w:rPr>
          <w:sz w:val="20"/>
          <w:szCs w:val="20"/>
          <w:color w:val="auto"/>
        </w:rPr>
      </w:pPr>
    </w:p>
    <w:p>
      <w:pPr>
        <w:jc w:val="both"/>
        <w:ind w:firstLine="1298"/>
        <w:spacing w:after="0" w:line="251" w:lineRule="auto"/>
        <w:rPr>
          <w:sz w:val="20"/>
          <w:szCs w:val="20"/>
          <w:color w:val="auto"/>
        </w:rPr>
      </w:pPr>
      <w:r>
        <w:rPr>
          <w:rFonts w:ascii="Times New Roman" w:cs="Times New Roman" w:eastAsia="Times New Roman" w:hAnsi="Times New Roman"/>
          <w:sz w:val="22"/>
          <w:szCs w:val="22"/>
          <w:color w:val="auto"/>
        </w:rPr>
        <w:t>SECTION 3. This Representative Supplement may be executed in counterparts, each of which shall constitute an original, but all of which when taken together shall constitute a single contract. This Representative Supplement shall become effective when each of the Designated Senior Representative and the Designated Second Priority Representative shall have received a counterpart of this Representative Supplement that bears the signature of the New Representative. Delivery of an executed signature page to this Representative Supplement by facsimile transmission shall be effective as delivery of a manually signed counterpart of this Representative Supplement.</w:t>
      </w:r>
    </w:p>
    <w:p>
      <w:pPr>
        <w:spacing w:after="0" w:line="181" w:lineRule="exact"/>
        <w:rPr>
          <w:sz w:val="20"/>
          <w:szCs w:val="20"/>
          <w:color w:val="auto"/>
        </w:rPr>
      </w:pPr>
    </w:p>
    <w:p>
      <w:pPr>
        <w:ind w:right="40" w:firstLine="1298"/>
        <w:spacing w:after="0" w:line="258" w:lineRule="auto"/>
        <w:rPr>
          <w:sz w:val="20"/>
          <w:szCs w:val="20"/>
          <w:color w:val="auto"/>
        </w:rPr>
      </w:pPr>
      <w:r>
        <w:rPr>
          <w:rFonts w:ascii="Times New Roman" w:cs="Times New Roman" w:eastAsia="Times New Roman" w:hAnsi="Times New Roman"/>
          <w:sz w:val="22"/>
          <w:szCs w:val="22"/>
          <w:color w:val="auto"/>
        </w:rPr>
        <w:t>SECTION 4. Except as expressly supplemented hereby, the First/Second Lien Intercreditor Agreement shall remain in full force and effect.</w:t>
      </w:r>
    </w:p>
    <w:p>
      <w:pPr>
        <w:spacing w:after="0" w:line="154" w:lineRule="exact"/>
        <w:rPr>
          <w:sz w:val="20"/>
          <w:szCs w:val="20"/>
          <w:color w:val="auto"/>
        </w:rPr>
      </w:pPr>
    </w:p>
    <w:p>
      <w:pPr>
        <w:jc w:val="both"/>
        <w:ind w:right="20" w:firstLine="1298"/>
        <w:spacing w:after="0" w:line="275" w:lineRule="auto"/>
        <w:rPr>
          <w:sz w:val="20"/>
          <w:szCs w:val="20"/>
          <w:color w:val="auto"/>
        </w:rPr>
      </w:pPr>
      <w:r>
        <w:rPr>
          <w:rFonts w:ascii="Times New Roman" w:cs="Times New Roman" w:eastAsia="Times New Roman" w:hAnsi="Times New Roman"/>
          <w:sz w:val="22"/>
          <w:szCs w:val="22"/>
          <w:b w:val="1"/>
          <w:bCs w:val="1"/>
          <w:color w:val="auto"/>
        </w:rPr>
        <w:t>SECTION 5. THIS REPRESENTATIVE SUPPLEMENT SHALL BE GOVERNED BY, AND CONSTRUED IN ACCORDANCE WITH, THE LAWS OF THE STATE OF NEW YORK.</w:t>
      </w:r>
    </w:p>
    <w:p>
      <w:pPr>
        <w:spacing w:after="0" w:line="140" w:lineRule="exact"/>
        <w:rPr>
          <w:sz w:val="20"/>
          <w:szCs w:val="20"/>
          <w:color w:val="auto"/>
        </w:rPr>
      </w:pPr>
    </w:p>
    <w:p>
      <w:pPr>
        <w:jc w:val="both"/>
        <w:ind w:firstLine="1298"/>
        <w:spacing w:after="0" w:line="241" w:lineRule="auto"/>
        <w:rPr>
          <w:sz w:val="20"/>
          <w:szCs w:val="20"/>
          <w:color w:val="auto"/>
        </w:rPr>
      </w:pPr>
      <w:r>
        <w:rPr>
          <w:rFonts w:ascii="Times New Roman" w:cs="Times New Roman" w:eastAsia="Times New Roman" w:hAnsi="Times New Roman"/>
          <w:sz w:val="22"/>
          <w:szCs w:val="22"/>
          <w:color w:val="auto"/>
        </w:rPr>
        <w:t>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First/Second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206" w:lineRule="exact"/>
        <w:rPr>
          <w:sz w:val="20"/>
          <w:szCs w:val="20"/>
          <w:color w:val="auto"/>
        </w:rPr>
      </w:pPr>
    </w:p>
    <w:p>
      <w:pPr>
        <w:jc w:val="both"/>
        <w:ind w:right="20" w:firstLine="1298"/>
        <w:spacing w:after="0" w:line="250" w:lineRule="auto"/>
        <w:rPr>
          <w:sz w:val="20"/>
          <w:szCs w:val="20"/>
          <w:color w:val="auto"/>
        </w:rPr>
      </w:pPr>
      <w:r>
        <w:rPr>
          <w:rFonts w:ascii="Times New Roman" w:cs="Times New Roman" w:eastAsia="Times New Roman" w:hAnsi="Times New Roman"/>
          <w:sz w:val="22"/>
          <w:szCs w:val="22"/>
          <w:color w:val="auto"/>
        </w:rPr>
        <w:t>SECTION 7. All communications and notices hereunder shall be in writing and given as provided in Section 8.11 of the First/Second Lien Intercreditor Agreement. All communications and notices hereunder to the New Representative shall be given to it at the address set forth below its signature hereto.</w:t>
      </w:r>
    </w:p>
    <w:p>
      <w:pPr>
        <w:sectPr>
          <w:pgSz w:w="11900" w:h="16838" w:orient="portrait"/>
          <w:cols w:equalWidth="0" w:num="1">
            <w:col w:w="10760"/>
          </w:cols>
          <w:pgMar w:left="600" w:top="1440" w:right="539" w:bottom="1440" w:gutter="0" w:footer="0" w:header="0"/>
        </w:sectPr>
      </w:pPr>
    </w:p>
    <w:bookmarkStart w:id="384" w:name="page385"/>
    <w:bookmarkEnd w:id="384"/>
    <w:p>
      <w:pPr>
        <w:spacing w:after="0" w:line="144" w:lineRule="exact"/>
        <w:rPr>
          <w:sz w:val="20"/>
          <w:szCs w:val="20"/>
          <w:color w:val="auto"/>
        </w:rPr>
      </w:pPr>
    </w:p>
    <w:p>
      <w:pPr>
        <w:jc w:val="both"/>
        <w:ind w:firstLine="1298"/>
        <w:spacing w:after="0" w:line="244" w:lineRule="auto"/>
        <w:rPr>
          <w:sz w:val="20"/>
          <w:szCs w:val="20"/>
          <w:color w:val="auto"/>
        </w:rPr>
      </w:pPr>
      <w:r>
        <w:rPr>
          <w:rFonts w:ascii="Times New Roman" w:cs="Times New Roman" w:eastAsia="Times New Roman" w:hAnsi="Times New Roman"/>
          <w:sz w:val="22"/>
          <w:szCs w:val="22"/>
          <w:color w:val="auto"/>
        </w:rPr>
        <w:t>SECTION 8. The Company agrees to reimburse each of the Designated Senior Representative and the New Representative for its reasonable out-of-pocket expenses in connection with this Representative Supplement, including the reasonable fees, other charges and disbursements of counsel for the Designated Senior Representative and the New Representative.</w:t>
      </w:r>
    </w:p>
    <w:p>
      <w:pPr>
        <w:sectPr>
          <w:pgSz w:w="11900" w:h="16838" w:orient="portrait"/>
          <w:cols w:equalWidth="0" w:num="1">
            <w:col w:w="10740"/>
          </w:cols>
          <w:pgMar w:left="600" w:top="1440" w:right="559" w:bottom="1440" w:gutter="0" w:footer="0" w:header="0"/>
        </w:sectPr>
      </w:pPr>
    </w:p>
    <w:bookmarkStart w:id="385" w:name="page386"/>
    <w:bookmarkEnd w:id="385"/>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IN WITNESS WHEREOF, the New Representative and the Designated Senior Representative have duly executed this Representative Supplement to the First/Second Lien Intercreditor Agreement as of the day and year first above written.</w:t>
      </w:r>
    </w:p>
    <w:p>
      <w:pPr>
        <w:spacing w:after="0" w:line="1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OF NEW REPRESENTATIVE],</w:t>
      </w:r>
    </w:p>
    <w:p>
      <w:pPr>
        <w:spacing w:after="0" w:line="28" w:lineRule="exact"/>
        <w:rPr>
          <w:sz w:val="20"/>
          <w:szCs w:val="20"/>
          <w:color w:val="auto"/>
        </w:rPr>
      </w:pPr>
    </w:p>
    <w:tbl>
      <w:tblPr>
        <w:tblLayout w:type="fixed"/>
        <w:tblInd w:w="3900" w:type="dxa"/>
        <w:tblCellMar>
          <w:top w:w="0" w:type="dxa"/>
          <w:left w:w="0" w:type="dxa"/>
          <w:bottom w:w="0" w:type="dxa"/>
          <w:right w:w="0" w:type="dxa"/>
        </w:tblCellMar>
      </w:tblPr>
      <w:tr>
        <w:trPr>
          <w:trHeight w:val="282"/>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as [</w:t>
            </w:r>
          </w:p>
        </w:tc>
        <w:tc>
          <w:tcPr>
            <w:tcW w:w="20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 for the holders of [</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59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Name:</w:t>
            </w:r>
          </w:p>
        </w:tc>
        <w:tc>
          <w:tcPr>
            <w:tcW w:w="340" w:type="dxa"/>
            <w:vAlign w:val="bottom"/>
          </w:tcPr>
          <w:p>
            <w:pPr>
              <w:spacing w:after="0"/>
              <w:rPr>
                <w:sz w:val="24"/>
                <w:szCs w:val="24"/>
                <w:color w:val="auto"/>
              </w:rPr>
            </w:pPr>
          </w:p>
        </w:tc>
      </w:tr>
    </w:tbl>
    <w:p>
      <w:pPr>
        <w:spacing w:after="0" w:line="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3" w:lineRule="exact"/>
        <w:rPr>
          <w:sz w:val="20"/>
          <w:szCs w:val="20"/>
          <w:color w:val="auto"/>
        </w:rPr>
      </w:pPr>
    </w:p>
    <w:p>
      <w:pPr>
        <w:jc w:val="center"/>
        <w:ind w:right="-379"/>
        <w:spacing w:after="0"/>
        <w:tabs>
          <w:tab w:leader="none" w:pos="320" w:val="left"/>
        </w:tabs>
        <w:rPr>
          <w:sz w:val="20"/>
          <w:szCs w:val="20"/>
          <w:color w:val="auto"/>
        </w:rPr>
      </w:pPr>
      <w:r>
        <w:rPr>
          <w:rFonts w:ascii="Times New Roman" w:cs="Times New Roman" w:eastAsia="Times New Roman" w:hAnsi="Times New Roman"/>
          <w:sz w:val="22"/>
          <w:szCs w:val="22"/>
          <w:color w:val="auto"/>
        </w:rPr>
        <w:t>attention of:</w:t>
      </w:r>
      <w:r>
        <w:rPr>
          <w:sz w:val="20"/>
          <w:szCs w:val="20"/>
          <w:color w:val="auto"/>
        </w:rPr>
        <w:tab/>
      </w:r>
      <w:r>
        <w:rPr>
          <w:rFonts w:ascii="Times New Roman" w:cs="Times New Roman" w:eastAsia="Times New Roman" w:hAnsi="Times New Roman"/>
          <w:sz w:val="21"/>
          <w:szCs w:val="21"/>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-22860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-22860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200" w:hanging="291"/>
        <w:spacing w:after="0"/>
        <w:tabs>
          <w:tab w:leader="none" w:pos="4200"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as Designated Senior Representative,</w:t>
      </w:r>
    </w:p>
    <w:p>
      <w:pPr>
        <w:spacing w:after="0" w:line="200" w:lineRule="exact"/>
        <w:rPr>
          <w:sz w:val="20"/>
          <w:szCs w:val="20"/>
          <w:color w:val="auto"/>
        </w:rPr>
      </w:pPr>
    </w:p>
    <w:p>
      <w:pPr>
        <w:spacing w:after="0" w:line="210" w:lineRule="exact"/>
        <w:rPr>
          <w:sz w:val="20"/>
          <w:szCs w:val="20"/>
          <w:color w:val="auto"/>
        </w:rPr>
      </w:pPr>
    </w:p>
    <w:p>
      <w:pPr>
        <w:ind w:left="3900"/>
        <w:spacing w:after="0"/>
        <w:tabs>
          <w:tab w:leader="none" w:pos="49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wp:posOffset>
            </wp:positionV>
            <wp:extent cx="274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760"/>
          </w:cols>
          <w:pgMar w:left="580" w:top="1408" w:right="55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22"/>
          <w:szCs w:val="22"/>
          <w:color w:val="auto"/>
        </w:rPr>
        <w:t>Acknowledged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SOTERA HEALTH COMPANY, for itself and on behalf of the Grantors</w:t>
      </w:r>
    </w:p>
    <w:p>
      <w:pPr>
        <w:spacing w:after="0" w:line="200" w:lineRule="exact"/>
        <w:rPr>
          <w:sz w:val="20"/>
          <w:szCs w:val="20"/>
          <w:color w:val="auto"/>
        </w:rPr>
      </w:pPr>
    </w:p>
    <w:p>
      <w:pPr>
        <w:spacing w:after="0" w:line="24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-13970</wp:posOffset>
            </wp:positionV>
            <wp:extent cx="274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859"/>
          </w:cols>
          <w:pgMar w:left="600" w:top="1421" w:right="1440" w:bottom="1440" w:gutter="0" w:footer="0" w:header="0"/>
        </w:sectPr>
      </w:pPr>
    </w:p>
    <w:bookmarkStart w:id="387" w:name="page388"/>
    <w:bookmarkEnd w:id="387"/>
    <w:p>
      <w:pPr>
        <w:ind w:left="9680"/>
        <w:spacing w:after="0"/>
        <w:rPr>
          <w:sz w:val="20"/>
          <w:szCs w:val="20"/>
          <w:color w:val="auto"/>
        </w:rPr>
      </w:pPr>
      <w:r>
        <w:rPr>
          <w:rFonts w:ascii="Times New Roman" w:cs="Times New Roman" w:eastAsia="Times New Roman" w:hAnsi="Times New Roman"/>
          <w:sz w:val="21"/>
          <w:szCs w:val="21"/>
          <w:b w:val="1"/>
          <w:bCs w:val="1"/>
          <w:color w:val="auto"/>
        </w:rPr>
        <w:t>ANNEX III</w:t>
      </w:r>
    </w:p>
    <w:p>
      <w:pPr>
        <w:spacing w:after="0" w:line="200" w:lineRule="exact"/>
        <w:rPr>
          <w:sz w:val="20"/>
          <w:szCs w:val="20"/>
          <w:color w:val="auto"/>
        </w:rPr>
      </w:pPr>
    </w:p>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[FORM OF] REPRESENTATIVE SUPPLEMENT NO. [ ] dated as of [ ], 20[</w:t>
      </w:r>
    </w:p>
    <w:p>
      <w:pPr>
        <w:spacing w:after="0" w:line="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(this “</w:t>
      </w:r>
      <w:r>
        <w:rPr>
          <w:rFonts w:ascii="Times New Roman" w:cs="Times New Roman" w:eastAsia="Times New Roman" w:hAnsi="Times New Roman"/>
          <w:sz w:val="22"/>
          <w:szCs w:val="22"/>
          <w:u w:val="single" w:color="auto"/>
          <w:color w:val="auto"/>
        </w:rPr>
        <w:t>Representative Supplement</w:t>
      </w:r>
      <w:r>
        <w:rPr>
          <w:rFonts w:ascii="Times New Roman" w:cs="Times New Roman" w:eastAsia="Times New Roman" w:hAnsi="Times New Roman"/>
          <w:sz w:val="22"/>
          <w:szCs w:val="22"/>
          <w:color w:val="auto"/>
        </w:rPr>
        <w:t>”) to the FIRST/SECOND LIEN INTERCREDITOR AGREEMENT dated as of [ ], 20[ ] (the “</w:t>
      </w:r>
      <w:r>
        <w:rPr>
          <w:rFonts w:ascii="Times New Roman" w:cs="Times New Roman" w:eastAsia="Times New Roman" w:hAnsi="Times New Roman"/>
          <w:sz w:val="22"/>
          <w:szCs w:val="22"/>
          <w:u w:val="single" w:color="auto"/>
          <w:color w:val="auto"/>
        </w:rPr>
        <w:t>First/Second Lien Intercreditor Agreement</w:t>
      </w:r>
      <w:r>
        <w:rPr>
          <w:rFonts w:ascii="Times New Roman" w:cs="Times New Roman" w:eastAsia="Times New Roman" w:hAnsi="Times New Roman"/>
          <w:sz w:val="22"/>
          <w:szCs w:val="22"/>
          <w:color w:val="auto"/>
        </w:rPr>
        <w:t>”), among Sotera Health Company,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Sotera Health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certain subsidiaries and affiliates of the Company (each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JPMorgan Chase Bank, N.A., as Designated Senior Representative, [ ], as Initial Second Priority Representative, and the additional Representatives from time to time a party thereto.</w:t>
      </w:r>
    </w:p>
    <w:p>
      <w:pPr>
        <w:spacing w:after="0" w:line="177" w:lineRule="exact"/>
        <w:rPr>
          <w:sz w:val="20"/>
          <w:szCs w:val="20"/>
          <w:color w:val="auto"/>
        </w:rPr>
      </w:pPr>
    </w:p>
    <w:p>
      <w:pPr>
        <w:ind w:right="60" w:firstLine="1294"/>
        <w:spacing w:after="0" w:line="258" w:lineRule="auto"/>
        <w:tabs>
          <w:tab w:leader="none" w:pos="1669"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but not otherwise defined herein shall have the meanings assigned to such terms in the First/Second Lien Intercreditor Agreement.</w:t>
      </w:r>
    </w:p>
    <w:p>
      <w:pPr>
        <w:spacing w:after="0" w:line="185" w:lineRule="exact"/>
        <w:rPr>
          <w:rFonts w:ascii="Times New Roman" w:cs="Times New Roman" w:eastAsia="Times New Roman" w:hAnsi="Times New Roman"/>
          <w:sz w:val="22"/>
          <w:szCs w:val="22"/>
          <w:color w:val="auto"/>
        </w:rPr>
      </w:pPr>
    </w:p>
    <w:p>
      <w:pPr>
        <w:jc w:val="both"/>
        <w:ind w:firstLine="1294"/>
        <w:spacing w:after="0" w:line="261" w:lineRule="auto"/>
        <w:tabs>
          <w:tab w:leader="none" w:pos="1671" w:val="left"/>
        </w:tabs>
        <w:numPr>
          <w:ilvl w:val="0"/>
          <w:numId w:val="4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the ability of the Company to incur Senior Class Debt after the date of the First/Second Lien Intercreditor Agreement and to secure such Senior Class Debt with the Senior Lien and to have such Senior Class Debt guaranteed by the Grantors on a senior basis, in each case under and pursuant to the Senior Collateral Documents, the Senior Class Debt Representative in respect of such Senior Class Debt is required to become a Representative under, and such Senior Class Debt and the Senior Class Debt Parties in respect thereof are required to become subject to and bound by, the First/Second Lien Intercreditor Agreement. Section 8.09 of the First/Second Lien Intercreditor Agreement provides that such Senior Class Debt Representative may become a Representative under, and such Senior Class Debt and such Senior Class Debt Parties may become subject to and bound by, the First/Second Lien Intercreditor Agreement, pursuant to the execution and delivery by the Senior Class Debt Representative of an instrument in the form of this Representative Supplement and the satisfaction of the other conditions set forth in Section 8.09 of the First/Second Lien Intercreditor Agreement. The undersigned Senior Class Debt Representative (the “</w:t>
      </w:r>
      <w:r>
        <w:rPr>
          <w:rFonts w:ascii="Times New Roman" w:cs="Times New Roman" w:eastAsia="Times New Roman" w:hAnsi="Times New Roman"/>
          <w:sz w:val="21"/>
          <w:szCs w:val="21"/>
          <w:u w:val="single" w:color="auto"/>
          <w:color w:val="auto"/>
        </w:rPr>
        <w:t>New Representative</w:t>
      </w:r>
      <w:r>
        <w:rPr>
          <w:rFonts w:ascii="Times New Roman" w:cs="Times New Roman" w:eastAsia="Times New Roman" w:hAnsi="Times New Roman"/>
          <w:sz w:val="21"/>
          <w:szCs w:val="21"/>
          <w:color w:val="auto"/>
        </w:rPr>
        <w:t>”) is executing this Representative Supplement in accordance with the requirements of the Senior Debt Documents and the Second Priority Debt Documents.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Designated Senior Representative, the Designated Second Priority Representative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Representative agree as follows:</w:t>
      </w:r>
    </w:p>
    <w:p>
      <w:pPr>
        <w:spacing w:after="0" w:line="196" w:lineRule="exact"/>
        <w:rPr>
          <w:sz w:val="20"/>
          <w:szCs w:val="20"/>
          <w:color w:val="auto"/>
        </w:rPr>
      </w:pPr>
    </w:p>
    <w:p>
      <w:pPr>
        <w:jc w:val="both"/>
        <w:ind w:firstLine="1298"/>
        <w:spacing w:after="0" w:line="248" w:lineRule="auto"/>
        <w:rPr>
          <w:sz w:val="20"/>
          <w:szCs w:val="20"/>
          <w:color w:val="auto"/>
        </w:rPr>
      </w:pPr>
      <w:r>
        <w:rPr>
          <w:rFonts w:ascii="Times New Roman" w:cs="Times New Roman" w:eastAsia="Times New Roman" w:hAnsi="Times New Roman"/>
          <w:sz w:val="22"/>
          <w:szCs w:val="22"/>
          <w:color w:val="auto"/>
        </w:rPr>
        <w:t>SECTION 1. In accordance with Section 8.09 of the First/Second Lien Intercreditor Agreement, the New Representative by its signature below becomes a Representative under, and the related Senior Class Debt and Senior Class Debt Parties become subject to and bound by, the First/Second Lien Intercreditor Agreement with the same force and effect as if the New Representative had originally been named therein as a Representative, and the New Representative, on behalf of itself and such Senior Class Debt Parties, hereby agrees to all the terms and provisions of the First/Second Lien Intercreditor Agreement applicable to it as a Senior Representative and to the Senior Class Debt Parties that it represents as Senior Class Debt Parties. Each reference to a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Senior Representative</w:t>
      </w:r>
      <w:r>
        <w:rPr>
          <w:rFonts w:ascii="Times New Roman" w:cs="Times New Roman" w:eastAsia="Times New Roman" w:hAnsi="Times New Roman"/>
          <w:sz w:val="22"/>
          <w:szCs w:val="22"/>
          <w:color w:val="auto"/>
        </w:rPr>
        <w:t>” in the First/Second Lien Intercreditor Agreement shall be deemed to include the New Representative. The First/Second Lien Intercreditor Agreement is hereby incorporated herein by reference.</w:t>
      </w:r>
    </w:p>
    <w:p>
      <w:pPr>
        <w:sectPr>
          <w:pgSz w:w="11900" w:h="16838" w:orient="portrait"/>
          <w:cols w:equalWidth="0" w:num="1">
            <w:col w:w="10760"/>
          </w:cols>
          <w:pgMar w:left="600" w:top="1417" w:right="539" w:bottom="1440" w:gutter="0" w:footer="0" w:header="0"/>
        </w:sectPr>
      </w:pPr>
    </w:p>
    <w:bookmarkStart w:id="388" w:name="page389"/>
    <w:bookmarkEnd w:id="388"/>
    <w:p>
      <w:pPr>
        <w:spacing w:after="0" w:line="279" w:lineRule="exact"/>
        <w:rPr>
          <w:sz w:val="20"/>
          <w:szCs w:val="20"/>
          <w:color w:val="auto"/>
        </w:rPr>
      </w:pPr>
    </w:p>
    <w:p>
      <w:pPr>
        <w:jc w:val="both"/>
        <w:ind w:firstLine="1298"/>
        <w:spacing w:after="0" w:line="250" w:lineRule="auto"/>
        <w:rPr>
          <w:sz w:val="20"/>
          <w:szCs w:val="20"/>
          <w:color w:val="auto"/>
        </w:rPr>
      </w:pPr>
      <w:r>
        <w:rPr>
          <w:rFonts w:ascii="Times New Roman" w:cs="Times New Roman" w:eastAsia="Times New Roman" w:hAnsi="Times New Roman"/>
          <w:sz w:val="22"/>
          <w:szCs w:val="22"/>
          <w:color w:val="auto"/>
        </w:rPr>
        <w:t>SECTION 2. The New Representative represents and warrants to the Designated Senior Representative, the Second Priority Class Debt Representative and the other Secured Parties that (i) it has full power and authority to enter into this Representative Supplement, in its capacity as [agent] [trustee] under [describe new debt facility], (ii) this Representative Supplement has been duly authorized, executed and delivered by it and constitutes its legal, valid and binding obligation, enforceable against it in accordance with the terms of such agreement and (iii) the Senior Debt Documents relating to such Senior Class Debt provide that, upon the New Representative’s entry into this Agreement, the Senior Class Debt Parties in respect of such Senior Class Debt will be subject to and bound by the provisions of the First/Second Lien Intercreditor Agreement as Senior Secured Parties.</w:t>
      </w:r>
    </w:p>
    <w:p>
      <w:pPr>
        <w:spacing w:after="0" w:line="173" w:lineRule="exact"/>
        <w:rPr>
          <w:sz w:val="20"/>
          <w:szCs w:val="20"/>
          <w:color w:val="auto"/>
        </w:rPr>
      </w:pPr>
    </w:p>
    <w:p>
      <w:pPr>
        <w:jc w:val="both"/>
        <w:ind w:right="20" w:firstLine="1298"/>
        <w:spacing w:after="0" w:line="251" w:lineRule="auto"/>
        <w:rPr>
          <w:sz w:val="20"/>
          <w:szCs w:val="20"/>
          <w:color w:val="auto"/>
        </w:rPr>
      </w:pPr>
      <w:r>
        <w:rPr>
          <w:rFonts w:ascii="Times New Roman" w:cs="Times New Roman" w:eastAsia="Times New Roman" w:hAnsi="Times New Roman"/>
          <w:sz w:val="22"/>
          <w:szCs w:val="22"/>
          <w:color w:val="auto"/>
        </w:rPr>
        <w:t>SECTION 3. This Representative Supplement may be executed in counterparts, each of which shall constitute an original, but all of which when taken together shall constitute a single contract. This Representative Supplement shall become effective when each of the Designated Senior Representative and the Designated Second Priority Representative shall have received a counterpart of this Representative Supplement that bears the signature of the New Representative. Delivery of an executed signature page to this Representative Supplement by facsimile transmission shall be effective as delivery of a manually signed counterpart of this Representative Supplement.</w:t>
      </w:r>
    </w:p>
    <w:p>
      <w:pPr>
        <w:spacing w:after="0" w:line="195" w:lineRule="exact"/>
        <w:rPr>
          <w:sz w:val="20"/>
          <w:szCs w:val="20"/>
          <w:color w:val="auto"/>
        </w:rPr>
      </w:pPr>
    </w:p>
    <w:p>
      <w:pPr>
        <w:ind w:right="40" w:firstLine="1298"/>
        <w:spacing w:after="0" w:line="271" w:lineRule="auto"/>
        <w:rPr>
          <w:sz w:val="20"/>
          <w:szCs w:val="20"/>
          <w:color w:val="auto"/>
        </w:rPr>
      </w:pPr>
      <w:r>
        <w:rPr>
          <w:rFonts w:ascii="Times New Roman" w:cs="Times New Roman" w:eastAsia="Times New Roman" w:hAnsi="Times New Roman"/>
          <w:sz w:val="22"/>
          <w:szCs w:val="22"/>
          <w:color w:val="auto"/>
        </w:rPr>
        <w:t>SECTION 4. Except as expressly supplemented hereby, the First/Second Lien Intercreditor Agreement shall remain in full force and effect.</w:t>
      </w:r>
    </w:p>
    <w:p>
      <w:pPr>
        <w:spacing w:after="0" w:line="140" w:lineRule="exact"/>
        <w:rPr>
          <w:sz w:val="20"/>
          <w:szCs w:val="20"/>
          <w:color w:val="auto"/>
        </w:rPr>
      </w:pPr>
    </w:p>
    <w:p>
      <w:pPr>
        <w:jc w:val="both"/>
        <w:ind w:right="20" w:firstLine="1298"/>
        <w:spacing w:after="0" w:line="262" w:lineRule="auto"/>
        <w:rPr>
          <w:sz w:val="20"/>
          <w:szCs w:val="20"/>
          <w:color w:val="auto"/>
        </w:rPr>
      </w:pPr>
      <w:r>
        <w:rPr>
          <w:rFonts w:ascii="Times New Roman" w:cs="Times New Roman" w:eastAsia="Times New Roman" w:hAnsi="Times New Roman"/>
          <w:sz w:val="22"/>
          <w:szCs w:val="22"/>
          <w:b w:val="1"/>
          <w:bCs w:val="1"/>
          <w:color w:val="auto"/>
        </w:rPr>
        <w:t>SECTION 5. THIS REPRESENTATIVE SUPPLEMENT SHALL BE GOVERNED BY, AND CONSTRUED IN ACCORDANCE WITH, THE LAWS OF THE STATE OF NEW YORK.</w:t>
      </w:r>
    </w:p>
    <w:p>
      <w:pPr>
        <w:spacing w:after="0" w:line="167" w:lineRule="exact"/>
        <w:rPr>
          <w:sz w:val="20"/>
          <w:szCs w:val="20"/>
          <w:color w:val="auto"/>
        </w:rPr>
      </w:pPr>
    </w:p>
    <w:p>
      <w:pPr>
        <w:jc w:val="both"/>
        <w:ind w:firstLine="1298"/>
        <w:spacing w:after="0" w:line="241" w:lineRule="auto"/>
        <w:rPr>
          <w:sz w:val="20"/>
          <w:szCs w:val="20"/>
          <w:color w:val="auto"/>
        </w:rPr>
      </w:pPr>
      <w:r>
        <w:rPr>
          <w:rFonts w:ascii="Times New Roman" w:cs="Times New Roman" w:eastAsia="Times New Roman" w:hAnsi="Times New Roman"/>
          <w:sz w:val="22"/>
          <w:szCs w:val="22"/>
          <w:color w:val="auto"/>
        </w:rPr>
        <w:t>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First/Second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3" w:lineRule="exact"/>
        <w:rPr>
          <w:sz w:val="20"/>
          <w:szCs w:val="20"/>
          <w:color w:val="auto"/>
        </w:rPr>
      </w:pPr>
    </w:p>
    <w:p>
      <w:pPr>
        <w:jc w:val="both"/>
        <w:ind w:right="20" w:firstLine="1298"/>
        <w:spacing w:after="0" w:line="250" w:lineRule="auto"/>
        <w:rPr>
          <w:sz w:val="20"/>
          <w:szCs w:val="20"/>
          <w:color w:val="auto"/>
        </w:rPr>
      </w:pPr>
      <w:r>
        <w:rPr>
          <w:rFonts w:ascii="Times New Roman" w:cs="Times New Roman" w:eastAsia="Times New Roman" w:hAnsi="Times New Roman"/>
          <w:sz w:val="22"/>
          <w:szCs w:val="22"/>
          <w:color w:val="auto"/>
        </w:rPr>
        <w:t>SECTION 7. All communications and notices hereunder shall be in writing and given as provided in Section 8.11 of the First/Second Lien Intercreditor Agreement. All communications and notices hereunder to the New Representative shall be given to it at the address set forth below its signature hereto.</w:t>
      </w:r>
    </w:p>
    <w:p>
      <w:pPr>
        <w:spacing w:after="0" w:line="181" w:lineRule="exact"/>
        <w:rPr>
          <w:sz w:val="20"/>
          <w:szCs w:val="20"/>
          <w:color w:val="auto"/>
        </w:rPr>
      </w:pPr>
    </w:p>
    <w:p>
      <w:pPr>
        <w:jc w:val="both"/>
        <w:ind w:right="20" w:firstLine="1298"/>
        <w:spacing w:after="0" w:line="257" w:lineRule="auto"/>
        <w:rPr>
          <w:sz w:val="20"/>
          <w:szCs w:val="20"/>
          <w:color w:val="auto"/>
        </w:rPr>
      </w:pPr>
      <w:r>
        <w:rPr>
          <w:rFonts w:ascii="Times New Roman" w:cs="Times New Roman" w:eastAsia="Times New Roman" w:hAnsi="Times New Roman"/>
          <w:sz w:val="22"/>
          <w:szCs w:val="22"/>
          <w:color w:val="auto"/>
        </w:rPr>
        <w:t>SECTION 8. The Company agrees to reimburse each of the Designated Senior Representative and the Designated Second Priority Representative for its reasonable fees and reasonable out-of-pocket expenses in connection with this Representative Supplement, including</w:t>
      </w:r>
    </w:p>
    <w:p>
      <w:pPr>
        <w:sectPr>
          <w:pgSz w:w="11900" w:h="16838" w:orient="portrait"/>
          <w:cols w:equalWidth="0" w:num="1">
            <w:col w:w="10760"/>
          </w:cols>
          <w:pgMar w:left="600" w:top="1440" w:right="539" w:bottom="1440" w:gutter="0" w:footer="0" w:header="0"/>
        </w:sectPr>
      </w:pPr>
    </w:p>
    <w:bookmarkStart w:id="389" w:name="page390"/>
    <w:bookmarkEnd w:id="389"/>
    <w:p>
      <w:pPr>
        <w:spacing w:after="0" w:line="13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reasonable fees, other charges and disbursements of counsel for the Designated Senior Representative and the Designated Second Priority Representative.</w:t>
      </w:r>
    </w:p>
    <w:p>
      <w:pPr>
        <w:sectPr>
          <w:pgSz w:w="11900" w:h="16838" w:orient="portrait"/>
          <w:cols w:equalWidth="0" w:num="1">
            <w:col w:w="10740"/>
          </w:cols>
          <w:pgMar w:left="600" w:top="1440" w:right="559" w:bottom="1440" w:gutter="0" w:footer="0" w:header="0"/>
        </w:sectPr>
      </w:pPr>
    </w:p>
    <w:bookmarkStart w:id="390" w:name="page391"/>
    <w:bookmarkEnd w:id="390"/>
    <w:p>
      <w:pPr>
        <w:jc w:val="both"/>
        <w:ind w:left="4" w:firstLine="1298"/>
        <w:spacing w:after="0" w:line="250" w:lineRule="auto"/>
        <w:rPr>
          <w:sz w:val="20"/>
          <w:szCs w:val="20"/>
          <w:color w:val="auto"/>
        </w:rPr>
      </w:pPr>
      <w:r>
        <w:rPr>
          <w:rFonts w:ascii="Times New Roman" w:cs="Times New Roman" w:eastAsia="Times New Roman" w:hAnsi="Times New Roman"/>
          <w:sz w:val="22"/>
          <w:szCs w:val="22"/>
          <w:color w:val="auto"/>
        </w:rPr>
        <w:t>IN WITNESS WHEREOF, the New Representative and the Designated Senior Representative have duly executed this Representative Supplement to the First/Second Lien Intercreditor Agreement as of the day and year first above written.</w:t>
      </w:r>
    </w:p>
    <w:p>
      <w:pPr>
        <w:spacing w:after="0" w:line="181"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22"/>
          <w:szCs w:val="22"/>
          <w:color w:val="auto"/>
        </w:rPr>
        <w:t>[NAME OF NEW REPRESENTATIVE],</w:t>
      </w:r>
    </w:p>
    <w:p>
      <w:pPr>
        <w:spacing w:after="0" w:line="28" w:lineRule="exact"/>
        <w:rPr>
          <w:sz w:val="20"/>
          <w:szCs w:val="20"/>
          <w:color w:val="auto"/>
        </w:rPr>
      </w:pPr>
    </w:p>
    <w:tbl>
      <w:tblPr>
        <w:tblLayout w:type="fixed"/>
        <w:tblInd w:w="3884" w:type="dxa"/>
        <w:tblCellMar>
          <w:top w:w="0" w:type="dxa"/>
          <w:left w:w="0" w:type="dxa"/>
          <w:bottom w:w="0" w:type="dxa"/>
          <w:right w:w="0" w:type="dxa"/>
        </w:tblCellMar>
      </w:tblPr>
      <w:tr>
        <w:trPr>
          <w:trHeight w:val="282"/>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as [</w:t>
            </w:r>
          </w:p>
        </w:tc>
        <w:tc>
          <w:tcPr>
            <w:tcW w:w="2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 for the holders of [</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59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Name:</w:t>
            </w:r>
          </w:p>
        </w:tc>
        <w:tc>
          <w:tcPr>
            <w:tcW w:w="340" w:type="dxa"/>
            <w:vAlign w:val="bottom"/>
          </w:tcPr>
          <w:p>
            <w:pPr>
              <w:spacing w:after="0"/>
              <w:rPr>
                <w:sz w:val="24"/>
                <w:szCs w:val="24"/>
                <w:color w:val="auto"/>
              </w:rPr>
            </w:pPr>
          </w:p>
        </w:tc>
      </w:tr>
    </w:tbl>
    <w:p>
      <w:pPr>
        <w:spacing w:after="0" w:line="13" w:lineRule="exact"/>
        <w:rPr>
          <w:sz w:val="20"/>
          <w:szCs w:val="20"/>
          <w:color w:val="auto"/>
        </w:rPr>
      </w:pPr>
    </w:p>
    <w:p>
      <w:pPr>
        <w:ind w:left="4444"/>
        <w:spacing w:after="0"/>
        <w:rPr>
          <w:sz w:val="20"/>
          <w:szCs w:val="20"/>
          <w:color w:val="auto"/>
        </w:rPr>
      </w:pP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2"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7"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3" w:lineRule="exact"/>
        <w:rPr>
          <w:sz w:val="20"/>
          <w:szCs w:val="20"/>
          <w:color w:val="auto"/>
        </w:rPr>
      </w:pPr>
    </w:p>
    <w:p>
      <w:pPr>
        <w:jc w:val="center"/>
        <w:ind w:right="-363"/>
        <w:spacing w:after="0"/>
        <w:tabs>
          <w:tab w:leader="none" w:pos="320" w:val="left"/>
        </w:tabs>
        <w:rPr>
          <w:sz w:val="20"/>
          <w:szCs w:val="20"/>
          <w:color w:val="auto"/>
        </w:rPr>
      </w:pPr>
      <w:r>
        <w:rPr>
          <w:rFonts w:ascii="Times New Roman" w:cs="Times New Roman" w:eastAsia="Times New Roman" w:hAnsi="Times New Roman"/>
          <w:sz w:val="22"/>
          <w:szCs w:val="22"/>
          <w:color w:val="auto"/>
        </w:rPr>
        <w:t>attention of:</w:t>
      </w:r>
      <w:r>
        <w:rPr>
          <w:sz w:val="20"/>
          <w:szCs w:val="20"/>
          <w:color w:val="auto"/>
        </w:rPr>
        <w:tab/>
      </w:r>
      <w:r>
        <w:rPr>
          <w:rFonts w:ascii="Times New Roman" w:cs="Times New Roman" w:eastAsia="Times New Roman" w:hAnsi="Times New Roman"/>
          <w:sz w:val="21"/>
          <w:szCs w:val="21"/>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-22860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-22860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184" w:hanging="291"/>
        <w:spacing w:after="0"/>
        <w:tabs>
          <w:tab w:leader="none" w:pos="4184"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22"/>
          <w:szCs w:val="22"/>
          <w:color w:val="auto"/>
        </w:rPr>
        <w:t>as Designated Senior Representative,</w:t>
      </w:r>
    </w:p>
    <w:p>
      <w:pPr>
        <w:spacing w:after="0" w:line="200" w:lineRule="exact"/>
        <w:rPr>
          <w:sz w:val="20"/>
          <w:szCs w:val="20"/>
          <w:color w:val="auto"/>
        </w:rPr>
      </w:pPr>
    </w:p>
    <w:p>
      <w:pPr>
        <w:spacing w:after="0" w:line="210" w:lineRule="exact"/>
        <w:rPr>
          <w:sz w:val="20"/>
          <w:szCs w:val="20"/>
          <w:color w:val="auto"/>
        </w:rPr>
      </w:pPr>
    </w:p>
    <w:p>
      <w:pPr>
        <w:ind w:left="3884"/>
        <w:spacing w:after="0"/>
        <w:tabs>
          <w:tab w:leader="none" w:pos="4883"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-13970</wp:posOffset>
            </wp:positionV>
            <wp:extent cx="274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444"/>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Acknowledged by: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SOTERA HEALTH COMPANY, for itself and on behalf of the Grantors</w:t>
      </w:r>
    </w:p>
    <w:p>
      <w:pPr>
        <w:spacing w:after="0" w:line="200" w:lineRule="exact"/>
        <w:rPr>
          <w:sz w:val="20"/>
          <w:szCs w:val="20"/>
          <w:color w:val="auto"/>
        </w:rPr>
      </w:pPr>
    </w:p>
    <w:p>
      <w:pPr>
        <w:spacing w:after="0" w:line="209" w:lineRule="exact"/>
        <w:rPr>
          <w:sz w:val="20"/>
          <w:szCs w:val="20"/>
          <w:color w:val="auto"/>
        </w:rPr>
      </w:pPr>
    </w:p>
    <w:p>
      <w:pPr>
        <w:ind w:left="4"/>
        <w:spacing w:after="0"/>
        <w:tabs>
          <w:tab w:leader="none" w:pos="783"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-13970</wp:posOffset>
            </wp:positionV>
            <wp:extent cx="274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0" w:lineRule="exact"/>
        <w:rPr>
          <w:sz w:val="20"/>
          <w:szCs w:val="20"/>
          <w:color w:val="auto"/>
        </w:rPr>
      </w:pPr>
    </w:p>
    <w:p>
      <w:pPr>
        <w:ind w:left="284" w:hanging="284"/>
        <w:spacing w:after="0"/>
        <w:tabs>
          <w:tab w:leader="none" w:pos="284"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as Designated Second Priority Representative,</w:t>
      </w:r>
    </w:p>
    <w:p>
      <w:pPr>
        <w:spacing w:after="0" w:line="396" w:lineRule="exact"/>
        <w:rPr>
          <w:sz w:val="20"/>
          <w:szCs w:val="20"/>
          <w:color w:val="auto"/>
        </w:rPr>
      </w:pPr>
    </w:p>
    <w:p>
      <w:pPr>
        <w:ind w:left="4"/>
        <w:spacing w:after="0"/>
        <w:tabs>
          <w:tab w:leader="none" w:pos="783"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-13970</wp:posOffset>
            </wp:positionV>
            <wp:extent cx="274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744"/>
          </w:cols>
          <w:pgMar w:left="596" w:top="1408" w:right="55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2020570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30, 2024,</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Holdings,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SOTERA HEALTH HOLDINGS,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Issuer,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OTHER GRANTORS PARTY HERETO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Notes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32643.024</w:t>
      </w:r>
    </w:p>
    <w:p>
      <w:pPr>
        <w:sectPr>
          <w:pgSz w:w="11900" w:h="16838" w:orient="portrait"/>
          <w:cols w:equalWidth="0" w:num="1">
            <w:col w:w="11240"/>
          </w:cols>
          <w:pgMar w:left="320" w:top="119" w:right="33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w:t>
      </w:r>
    </w:p>
    <w:p>
      <w:pPr>
        <w:spacing w:after="0" w:line="233" w:lineRule="exact"/>
        <w:rPr>
          <w:sz w:val="20"/>
          <w:szCs w:val="20"/>
          <w:color w:val="auto"/>
        </w:rPr>
      </w:pPr>
    </w:p>
    <w:p>
      <w:pPr>
        <w:ind w:left="220"/>
        <w:spacing w:after="0"/>
        <w:tabs>
          <w:tab w:leader="dot" w:pos="8080" w:val="left"/>
        </w:tabs>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sz w:val="20"/>
          <w:szCs w:val="20"/>
          <w:color w:val="auto"/>
        </w:rPr>
        <w:tab/>
      </w:r>
      <w:r>
        <w:rPr>
          <w:rFonts w:ascii="Times New Roman" w:cs="Times New Roman" w:eastAsia="Times New Roman" w:hAnsi="Times New Roman"/>
          <w:sz w:val="19"/>
          <w:szCs w:val="19"/>
          <w:color w:val="auto"/>
        </w:rPr>
        <w:t>1</w:t>
      </w:r>
    </w:p>
    <w:p>
      <w:pPr>
        <w:spacing w:after="0" w:line="44" w:lineRule="exact"/>
        <w:rPr>
          <w:sz w:val="20"/>
          <w:szCs w:val="20"/>
          <w:color w:val="auto"/>
        </w:rPr>
      </w:pPr>
    </w:p>
    <w:p>
      <w:pPr>
        <w:ind w:left="220"/>
        <w:spacing w:after="0"/>
        <w:tabs>
          <w:tab w:leader="dot" w:pos="8080" w:val="left"/>
        </w:tabs>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Defined Terms</w:t>
      </w:r>
      <w:r>
        <w:rPr>
          <w:sz w:val="20"/>
          <w:szCs w:val="20"/>
          <w:color w:val="auto"/>
        </w:rPr>
        <w:tab/>
      </w:r>
      <w:r>
        <w:rPr>
          <w:rFonts w:ascii="Times New Roman" w:cs="Times New Roman" w:eastAsia="Times New Roman" w:hAnsi="Times New Roman"/>
          <w:sz w:val="19"/>
          <w:szCs w:val="19"/>
          <w:color w:val="auto"/>
        </w:rPr>
        <w:t>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Pledge of Securities</w:t>
      </w:r>
    </w:p>
    <w:p>
      <w:pPr>
        <w:spacing w:after="0" w:line="247" w:lineRule="exact"/>
        <w:rPr>
          <w:sz w:val="20"/>
          <w:szCs w:val="20"/>
          <w:color w:val="auto"/>
        </w:rPr>
      </w:pPr>
    </w:p>
    <w:p>
      <w:pPr>
        <w:ind w:left="220"/>
        <w:spacing w:after="0"/>
        <w:tabs>
          <w:tab w:leader="dot" w:pos="8080" w:val="left"/>
        </w:tabs>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Pledge</w:t>
      </w:r>
      <w:r>
        <w:rPr>
          <w:sz w:val="20"/>
          <w:szCs w:val="20"/>
          <w:color w:val="auto"/>
        </w:rPr>
        <w:tab/>
      </w:r>
      <w:r>
        <w:rPr>
          <w:rFonts w:ascii="Times New Roman" w:cs="Times New Roman" w:eastAsia="Times New Roman" w:hAnsi="Times New Roman"/>
          <w:sz w:val="19"/>
          <w:szCs w:val="19"/>
          <w:color w:val="auto"/>
        </w:rPr>
        <w:t>4</w:t>
      </w:r>
    </w:p>
    <w:p>
      <w:pPr>
        <w:spacing w:after="0" w:line="31" w:lineRule="exact"/>
        <w:rPr>
          <w:sz w:val="20"/>
          <w:szCs w:val="20"/>
          <w:color w:val="auto"/>
        </w:rPr>
      </w:pPr>
    </w:p>
    <w:p>
      <w:pPr>
        <w:ind w:left="220"/>
        <w:spacing w:after="0"/>
        <w:tabs>
          <w:tab w:leader="dot" w:pos="8080" w:val="left"/>
        </w:tabs>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Delivery of the Pledged Collateral</w:t>
      </w:r>
      <w:r>
        <w:rPr>
          <w:sz w:val="20"/>
          <w:szCs w:val="20"/>
          <w:color w:val="auto"/>
        </w:rPr>
        <w:tab/>
      </w:r>
      <w:r>
        <w:rPr>
          <w:rFonts w:ascii="Times New Roman" w:cs="Times New Roman" w:eastAsia="Times New Roman" w:hAnsi="Times New Roman"/>
          <w:sz w:val="19"/>
          <w:szCs w:val="19"/>
          <w:color w:val="auto"/>
        </w:rPr>
        <w:t>5</w:t>
      </w:r>
    </w:p>
    <w:p>
      <w:pPr>
        <w:spacing w:after="0" w:line="44" w:lineRule="exact"/>
        <w:rPr>
          <w:sz w:val="20"/>
          <w:szCs w:val="20"/>
          <w:color w:val="auto"/>
        </w:rPr>
      </w:pPr>
    </w:p>
    <w:p>
      <w:pPr>
        <w:ind w:left="220"/>
        <w:spacing w:after="0"/>
        <w:tabs>
          <w:tab w:leader="dot" w:pos="8060" w:val="left"/>
        </w:tabs>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Representations, Warranties and Covenants</w:t>
      </w:r>
      <w:r>
        <w:rPr>
          <w:sz w:val="20"/>
          <w:szCs w:val="20"/>
          <w:color w:val="auto"/>
        </w:rPr>
        <w:tab/>
      </w:r>
      <w:r>
        <w:rPr>
          <w:rFonts w:ascii="Times New Roman" w:cs="Times New Roman" w:eastAsia="Times New Roman" w:hAnsi="Times New Roman"/>
          <w:sz w:val="19"/>
          <w:szCs w:val="19"/>
          <w:color w:val="auto"/>
        </w:rPr>
        <w:t>6</w:t>
      </w:r>
    </w:p>
    <w:p>
      <w:pPr>
        <w:spacing w:after="0" w:line="44"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Registration in Nominee Name; Denominations</w:t>
      </w:r>
      <w:r>
        <w:rPr>
          <w:sz w:val="20"/>
          <w:szCs w:val="20"/>
          <w:color w:val="auto"/>
        </w:rPr>
        <w:tab/>
      </w:r>
      <w:r>
        <w:rPr>
          <w:rFonts w:ascii="Times New Roman" w:cs="Times New Roman" w:eastAsia="Times New Roman" w:hAnsi="Times New Roman"/>
          <w:sz w:val="22"/>
          <w:szCs w:val="22"/>
          <w:color w:val="auto"/>
        </w:rPr>
        <w:t>7</w:t>
      </w:r>
    </w:p>
    <w:p>
      <w:pPr>
        <w:spacing w:after="0" w:line="44" w:lineRule="exact"/>
        <w:rPr>
          <w:sz w:val="20"/>
          <w:szCs w:val="20"/>
          <w:color w:val="auto"/>
        </w:rPr>
      </w:pPr>
    </w:p>
    <w:p>
      <w:pPr>
        <w:ind w:left="220"/>
        <w:spacing w:after="0"/>
        <w:tabs>
          <w:tab w:leader="dot" w:pos="8040" w:val="left"/>
        </w:tabs>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Voting Rights; Dividends and Interest</w:t>
      </w:r>
      <w:r>
        <w:rPr>
          <w:sz w:val="20"/>
          <w:szCs w:val="20"/>
          <w:color w:val="auto"/>
        </w:rPr>
        <w:tab/>
      </w:r>
      <w:r>
        <w:rPr>
          <w:rFonts w:ascii="Times New Roman" w:cs="Times New Roman" w:eastAsia="Times New Roman" w:hAnsi="Times New Roman"/>
          <w:sz w:val="22"/>
          <w:szCs w:val="22"/>
          <w:color w:val="auto"/>
        </w:rPr>
        <w:t>8</w:t>
      </w:r>
    </w:p>
    <w:p>
      <w:pPr>
        <w:spacing w:after="0" w:line="44" w:lineRule="exact"/>
        <w:rPr>
          <w:sz w:val="20"/>
          <w:szCs w:val="20"/>
          <w:color w:val="auto"/>
        </w:rPr>
      </w:pPr>
    </w:p>
    <w:p>
      <w:pPr>
        <w:ind w:left="220"/>
        <w:spacing w:after="0"/>
        <w:tabs>
          <w:tab w:leader="dot" w:pos="7960" w:val="left"/>
        </w:tabs>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Article 8 Opt-In</w:t>
      </w:r>
      <w:r>
        <w:rPr>
          <w:sz w:val="20"/>
          <w:szCs w:val="20"/>
          <w:color w:val="auto"/>
        </w:rPr>
        <w:tab/>
      </w:r>
      <w:r>
        <w:rPr>
          <w:rFonts w:ascii="Times New Roman" w:cs="Times New Roman" w:eastAsia="Times New Roman" w:hAnsi="Times New Roman"/>
          <w:sz w:val="22"/>
          <w:szCs w:val="22"/>
          <w:color w:val="auto"/>
        </w:rPr>
        <w:t>10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Interests in Personal Property</w:t>
      </w:r>
    </w:p>
    <w:p>
      <w:pPr>
        <w:spacing w:after="0" w:line="247" w:lineRule="exact"/>
        <w:rPr>
          <w:sz w:val="20"/>
          <w:szCs w:val="20"/>
          <w:color w:val="auto"/>
        </w:rPr>
      </w:pPr>
    </w:p>
    <w:p>
      <w:pPr>
        <w:ind w:left="220"/>
        <w:spacing w:after="0"/>
        <w:tabs>
          <w:tab w:leader="dot" w:pos="8000" w:val="left"/>
        </w:tabs>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Security Interest</w:t>
      </w:r>
      <w:r>
        <w:rPr>
          <w:sz w:val="20"/>
          <w:szCs w:val="20"/>
          <w:color w:val="auto"/>
        </w:rPr>
        <w:tab/>
      </w:r>
      <w:r>
        <w:rPr>
          <w:rFonts w:ascii="Times New Roman" w:cs="Times New Roman" w:eastAsia="Times New Roman" w:hAnsi="Times New Roman"/>
          <w:sz w:val="19"/>
          <w:szCs w:val="19"/>
          <w:color w:val="auto"/>
        </w:rPr>
        <w:t>10</w:t>
      </w:r>
    </w:p>
    <w:p>
      <w:pPr>
        <w:spacing w:after="0" w:line="44" w:lineRule="exact"/>
        <w:rPr>
          <w:sz w:val="20"/>
          <w:szCs w:val="20"/>
          <w:color w:val="auto"/>
        </w:rPr>
      </w:pPr>
    </w:p>
    <w:p>
      <w:pPr>
        <w:ind w:left="220"/>
        <w:spacing w:after="0"/>
        <w:tabs>
          <w:tab w:leader="dot" w:pos="7940" w:val="left"/>
        </w:tabs>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Representations and Warranties</w:t>
      </w:r>
      <w:r>
        <w:rPr>
          <w:sz w:val="20"/>
          <w:szCs w:val="20"/>
          <w:color w:val="auto"/>
        </w:rPr>
        <w:tab/>
      </w:r>
      <w:r>
        <w:rPr>
          <w:rFonts w:ascii="Times New Roman" w:cs="Times New Roman" w:eastAsia="Times New Roman" w:hAnsi="Times New Roman"/>
          <w:sz w:val="22"/>
          <w:szCs w:val="22"/>
          <w:color w:val="auto"/>
        </w:rPr>
        <w:t>12</w:t>
      </w:r>
    </w:p>
    <w:p>
      <w:pPr>
        <w:spacing w:after="0" w:line="44" w:lineRule="exact"/>
        <w:rPr>
          <w:sz w:val="20"/>
          <w:szCs w:val="20"/>
          <w:color w:val="auto"/>
        </w:rPr>
      </w:pPr>
    </w:p>
    <w:p>
      <w:pPr>
        <w:ind w:left="220"/>
        <w:spacing w:after="0"/>
        <w:tabs>
          <w:tab w:leader="dot" w:pos="7960" w:val="left"/>
        </w:tabs>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Covenants</w:t>
      </w:r>
      <w:r>
        <w:rPr>
          <w:sz w:val="20"/>
          <w:szCs w:val="20"/>
          <w:color w:val="auto"/>
        </w:rPr>
        <w:tab/>
      </w:r>
      <w:r>
        <w:rPr>
          <w:rFonts w:ascii="Times New Roman" w:cs="Times New Roman" w:eastAsia="Times New Roman" w:hAnsi="Times New Roman"/>
          <w:sz w:val="22"/>
          <w:szCs w:val="22"/>
          <w:color w:val="auto"/>
        </w:rPr>
        <w:t>14</w:t>
      </w:r>
    </w:p>
    <w:p>
      <w:pPr>
        <w:spacing w:after="0" w:line="31" w:lineRule="exact"/>
        <w:rPr>
          <w:sz w:val="20"/>
          <w:szCs w:val="20"/>
          <w:color w:val="auto"/>
        </w:rPr>
      </w:pPr>
    </w:p>
    <w:p>
      <w:pPr>
        <w:ind w:left="220"/>
        <w:spacing w:after="0"/>
        <w:tabs>
          <w:tab w:leader="dot" w:pos="7940" w:val="left"/>
        </w:tabs>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Other Actions</w:t>
      </w:r>
      <w:r>
        <w:rPr>
          <w:sz w:val="20"/>
          <w:szCs w:val="20"/>
          <w:color w:val="auto"/>
        </w:rPr>
        <w:tab/>
      </w:r>
      <w:r>
        <w:rPr>
          <w:rFonts w:ascii="Times New Roman" w:cs="Times New Roman" w:eastAsia="Times New Roman" w:hAnsi="Times New Roman"/>
          <w:sz w:val="22"/>
          <w:szCs w:val="22"/>
          <w:color w:val="auto"/>
        </w:rPr>
        <w:t>16</w:t>
      </w:r>
    </w:p>
    <w:p>
      <w:pPr>
        <w:spacing w:after="0" w:line="44" w:lineRule="exact"/>
        <w:rPr>
          <w:sz w:val="20"/>
          <w:szCs w:val="20"/>
          <w:color w:val="auto"/>
        </w:rPr>
      </w:pPr>
    </w:p>
    <w:p>
      <w:pPr>
        <w:ind w:left="220"/>
        <w:spacing w:after="0"/>
        <w:tabs>
          <w:tab w:leader="dot" w:pos="7960" w:val="left"/>
        </w:tabs>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Covenants Regarding Patent, Trademark and Copyright Collateral</w:t>
      </w:r>
      <w:r>
        <w:rPr>
          <w:sz w:val="20"/>
          <w:szCs w:val="20"/>
          <w:color w:val="auto"/>
        </w:rPr>
        <w:tab/>
      </w:r>
      <w:r>
        <w:rPr>
          <w:rFonts w:ascii="Times New Roman" w:cs="Times New Roman" w:eastAsia="Times New Roman" w:hAnsi="Times New Roman"/>
          <w:sz w:val="22"/>
          <w:szCs w:val="22"/>
          <w:color w:val="auto"/>
        </w:rPr>
        <w:t>16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IV</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Remedies</w:t>
      </w:r>
    </w:p>
    <w:p>
      <w:pPr>
        <w:spacing w:after="0" w:line="247" w:lineRule="exact"/>
        <w:rPr>
          <w:sz w:val="20"/>
          <w:szCs w:val="20"/>
          <w:color w:val="auto"/>
        </w:rPr>
      </w:pPr>
    </w:p>
    <w:p>
      <w:pPr>
        <w:ind w:left="220"/>
        <w:spacing w:after="0"/>
        <w:tabs>
          <w:tab w:leader="dot" w:pos="7960" w:val="left"/>
        </w:tabs>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Remedies upon Default</w:t>
      </w:r>
      <w:r>
        <w:rPr>
          <w:sz w:val="20"/>
          <w:szCs w:val="20"/>
          <w:color w:val="auto"/>
        </w:rPr>
        <w:tab/>
      </w:r>
      <w:r>
        <w:rPr>
          <w:rFonts w:ascii="Times New Roman" w:cs="Times New Roman" w:eastAsia="Times New Roman" w:hAnsi="Times New Roman"/>
          <w:sz w:val="22"/>
          <w:szCs w:val="22"/>
          <w:color w:val="auto"/>
        </w:rPr>
        <w:t>17</w:t>
      </w:r>
    </w:p>
    <w:p>
      <w:pPr>
        <w:spacing w:after="0" w:line="31" w:lineRule="exact"/>
        <w:rPr>
          <w:sz w:val="20"/>
          <w:szCs w:val="20"/>
          <w:color w:val="auto"/>
        </w:rPr>
      </w:pPr>
    </w:p>
    <w:p>
      <w:pPr>
        <w:ind w:left="220"/>
        <w:spacing w:after="0"/>
        <w:tabs>
          <w:tab w:leader="dot" w:pos="7960" w:val="left"/>
        </w:tabs>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Application of Proceeds</w:t>
      </w:r>
      <w:r>
        <w:rPr>
          <w:sz w:val="20"/>
          <w:szCs w:val="20"/>
          <w:color w:val="auto"/>
        </w:rPr>
        <w:tab/>
      </w:r>
      <w:r>
        <w:rPr>
          <w:rFonts w:ascii="Times New Roman" w:cs="Times New Roman" w:eastAsia="Times New Roman" w:hAnsi="Times New Roman"/>
          <w:sz w:val="22"/>
          <w:szCs w:val="22"/>
          <w:color w:val="auto"/>
        </w:rPr>
        <w:t>19</w:t>
      </w:r>
    </w:p>
    <w:p>
      <w:pPr>
        <w:spacing w:after="0" w:line="44" w:lineRule="exact"/>
        <w:rPr>
          <w:sz w:val="20"/>
          <w:szCs w:val="20"/>
          <w:color w:val="auto"/>
        </w:rPr>
      </w:pPr>
    </w:p>
    <w:p>
      <w:pPr>
        <w:ind w:left="220"/>
        <w:spacing w:after="0"/>
        <w:tabs>
          <w:tab w:leader="dot" w:pos="7940" w:val="left"/>
        </w:tabs>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Securities Act</w:t>
      </w:r>
      <w:r>
        <w:rPr>
          <w:sz w:val="20"/>
          <w:szCs w:val="20"/>
          <w:color w:val="auto"/>
        </w:rPr>
        <w:tab/>
      </w:r>
      <w:r>
        <w:rPr>
          <w:rFonts w:ascii="Times New Roman" w:cs="Times New Roman" w:eastAsia="Times New Roman" w:hAnsi="Times New Roman"/>
          <w:sz w:val="22"/>
          <w:szCs w:val="22"/>
          <w:color w:val="auto"/>
        </w:rPr>
        <w:t>19</w:t>
      </w:r>
    </w:p>
    <w:p>
      <w:pPr>
        <w:spacing w:after="0" w:line="44" w:lineRule="exact"/>
        <w:rPr>
          <w:sz w:val="20"/>
          <w:szCs w:val="20"/>
          <w:color w:val="auto"/>
        </w:rPr>
      </w:pPr>
    </w:p>
    <w:p>
      <w:pPr>
        <w:ind w:left="220"/>
        <w:spacing w:after="0"/>
        <w:tabs>
          <w:tab w:leader="dot" w:pos="7980" w:val="left"/>
        </w:tabs>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Grant of License to Use Intellectual Property</w:t>
      </w:r>
      <w:r>
        <w:rPr>
          <w:sz w:val="20"/>
          <w:szCs w:val="20"/>
          <w:color w:val="auto"/>
        </w:rPr>
        <w:tab/>
      </w:r>
      <w:r>
        <w:rPr>
          <w:rFonts w:ascii="Times New Roman" w:cs="Times New Roman" w:eastAsia="Times New Roman" w:hAnsi="Times New Roman"/>
          <w:sz w:val="22"/>
          <w:szCs w:val="22"/>
          <w:color w:val="auto"/>
        </w:rPr>
        <w:t>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Miscellaneous</w:t>
      </w:r>
    </w:p>
    <w:p>
      <w:pPr>
        <w:spacing w:after="0" w:line="233" w:lineRule="exact"/>
        <w:rPr>
          <w:sz w:val="20"/>
          <w:szCs w:val="20"/>
          <w:color w:val="auto"/>
        </w:rPr>
      </w:pPr>
    </w:p>
    <w:p>
      <w:pPr>
        <w:ind w:left="220"/>
        <w:spacing w:after="0"/>
        <w:tabs>
          <w:tab w:leader="dot" w:pos="7980" w:val="left"/>
        </w:tabs>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Notices</w:t>
      </w:r>
      <w:r>
        <w:rPr>
          <w:sz w:val="20"/>
          <w:szCs w:val="20"/>
          <w:color w:val="auto"/>
        </w:rPr>
        <w:tab/>
      </w:r>
      <w:r>
        <w:rPr>
          <w:rFonts w:ascii="Times New Roman" w:cs="Times New Roman" w:eastAsia="Times New Roman" w:hAnsi="Times New Roman"/>
          <w:sz w:val="22"/>
          <w:szCs w:val="22"/>
          <w:color w:val="auto"/>
        </w:rPr>
        <w:t>20</w:t>
      </w:r>
    </w:p>
    <w:p>
      <w:pPr>
        <w:spacing w:after="0" w:line="44" w:lineRule="exact"/>
        <w:rPr>
          <w:sz w:val="20"/>
          <w:szCs w:val="20"/>
          <w:color w:val="auto"/>
        </w:rPr>
      </w:pPr>
    </w:p>
    <w:p>
      <w:pPr>
        <w:ind w:left="220"/>
        <w:spacing w:after="0"/>
        <w:tabs>
          <w:tab w:leader="dot" w:pos="7960" w:val="left"/>
        </w:tabs>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Waivers; Amendment</w:t>
      </w:r>
      <w:r>
        <w:rPr>
          <w:sz w:val="20"/>
          <w:szCs w:val="20"/>
          <w:color w:val="auto"/>
        </w:rPr>
        <w:tab/>
      </w:r>
      <w:r>
        <w:rPr>
          <w:rFonts w:ascii="Times New Roman" w:cs="Times New Roman" w:eastAsia="Times New Roman" w:hAnsi="Times New Roman"/>
          <w:sz w:val="22"/>
          <w:szCs w:val="22"/>
          <w:color w:val="auto"/>
        </w:rPr>
        <w:t>21</w:t>
      </w:r>
    </w:p>
    <w:p>
      <w:pPr>
        <w:sectPr>
          <w:pgSz w:w="11900" w:h="16838" w:orient="portrait"/>
          <w:cols w:equalWidth="0" w:num="1">
            <w:col w:w="10139"/>
          </w:cols>
          <w:pgMar w:left="320" w:top="1421" w:right="1440" w:bottom="1440" w:gutter="0" w:footer="0" w:header="0"/>
        </w:sectPr>
      </w:pPr>
    </w:p>
    <w:bookmarkStart w:id="393" w:name="page394"/>
    <w:bookmarkEnd w:id="393"/>
    <w:p>
      <w:pPr>
        <w:ind w:left="40"/>
        <w:spacing w:after="0"/>
        <w:tabs>
          <w:tab w:leader="dot" w:pos="7780" w:val="left"/>
        </w:tabs>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Notes Collateral Agent’s Fees and Expenses; Indemnity; Exculpation</w:t>
      </w:r>
      <w:r>
        <w:rPr>
          <w:rFonts w:ascii="Times New Roman" w:cs="Times New Roman" w:eastAsia="Times New Roman" w:hAnsi="Times New Roman"/>
          <w:sz w:val="22"/>
          <w:szCs w:val="22"/>
          <w:color w:val="auto"/>
        </w:rPr>
        <w:tab/>
        <w:t>21</w:t>
      </w:r>
    </w:p>
    <w:p>
      <w:pPr>
        <w:spacing w:after="0" w:line="44" w:lineRule="exact"/>
        <w:rPr>
          <w:sz w:val="20"/>
          <w:szCs w:val="20"/>
          <w:color w:val="auto"/>
        </w:rPr>
      </w:pPr>
    </w:p>
    <w:p>
      <w:pPr>
        <w:ind w:left="40"/>
        <w:spacing w:after="0"/>
        <w:tabs>
          <w:tab w:leader="dot" w:pos="7780" w:val="left"/>
        </w:tabs>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Survival of Agreement</w:t>
      </w:r>
      <w:r>
        <w:rPr>
          <w:sz w:val="20"/>
          <w:szCs w:val="20"/>
          <w:color w:val="auto"/>
        </w:rPr>
        <w:tab/>
      </w:r>
      <w:r>
        <w:rPr>
          <w:rFonts w:ascii="Times New Roman" w:cs="Times New Roman" w:eastAsia="Times New Roman" w:hAnsi="Times New Roman"/>
          <w:sz w:val="22"/>
          <w:szCs w:val="22"/>
          <w:color w:val="auto"/>
        </w:rPr>
        <w:t>21</w:t>
      </w:r>
    </w:p>
    <w:p>
      <w:pPr>
        <w:spacing w:after="0" w:line="44" w:lineRule="exact"/>
        <w:rPr>
          <w:sz w:val="20"/>
          <w:szCs w:val="20"/>
          <w:color w:val="auto"/>
        </w:rPr>
      </w:pPr>
    </w:p>
    <w:p>
      <w:pPr>
        <w:ind w:left="40"/>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Counterparts; Effectiveness; Several Agreement</w:t>
      </w:r>
      <w:r>
        <w:rPr>
          <w:sz w:val="20"/>
          <w:szCs w:val="20"/>
          <w:color w:val="auto"/>
        </w:rPr>
        <w:tab/>
      </w:r>
      <w:r>
        <w:rPr>
          <w:rFonts w:ascii="Times New Roman" w:cs="Times New Roman" w:eastAsia="Times New Roman" w:hAnsi="Times New Roman"/>
          <w:sz w:val="22"/>
          <w:szCs w:val="22"/>
          <w:color w:val="auto"/>
        </w:rPr>
        <w:t>21</w:t>
      </w:r>
    </w:p>
    <w:p>
      <w:pPr>
        <w:spacing w:after="0" w:line="31" w:lineRule="exact"/>
        <w:rPr>
          <w:sz w:val="20"/>
          <w:szCs w:val="20"/>
          <w:color w:val="auto"/>
        </w:rPr>
      </w:pPr>
    </w:p>
    <w:p>
      <w:pPr>
        <w:ind w:left="40"/>
        <w:spacing w:after="0"/>
        <w:tabs>
          <w:tab w:leader="dot" w:pos="7820" w:val="left"/>
        </w:tabs>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Severability</w:t>
      </w:r>
      <w:r>
        <w:rPr>
          <w:sz w:val="20"/>
          <w:szCs w:val="20"/>
          <w:color w:val="auto"/>
        </w:rPr>
        <w:tab/>
      </w:r>
      <w:r>
        <w:rPr>
          <w:rFonts w:ascii="Times New Roman" w:cs="Times New Roman" w:eastAsia="Times New Roman" w:hAnsi="Times New Roman"/>
          <w:sz w:val="19"/>
          <w:szCs w:val="19"/>
          <w:color w:val="auto"/>
        </w:rPr>
        <w:t>22</w:t>
      </w:r>
    </w:p>
    <w:p>
      <w:pPr>
        <w:spacing w:after="0" w:line="44" w:lineRule="exact"/>
        <w:rPr>
          <w:sz w:val="20"/>
          <w:szCs w:val="20"/>
          <w:color w:val="auto"/>
        </w:rPr>
      </w:pPr>
    </w:p>
    <w:p>
      <w:pPr>
        <w:ind w:left="40"/>
        <w:spacing w:after="0"/>
        <w:tabs>
          <w:tab w:leader="dot" w:pos="7760" w:val="left"/>
        </w:tabs>
        <w:rPr>
          <w:sz w:val="20"/>
          <w:szCs w:val="20"/>
          <w:color w:val="auto"/>
        </w:rPr>
      </w:pPr>
      <w:r>
        <w:rPr>
          <w:rFonts w:ascii="Times New Roman" w:cs="Times New Roman" w:eastAsia="Times New Roman" w:hAnsi="Times New Roman"/>
          <w:sz w:val="22"/>
          <w:szCs w:val="22"/>
          <w:color w:val="auto"/>
        </w:rPr>
        <w:t>SECTION 5.08.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22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Governing Law; Jurisdiction; Consent to Service of Process;</w:t>
      </w:r>
    </w:p>
    <w:p>
      <w:pPr>
        <w:spacing w:after="0" w:line="44" w:lineRule="exact"/>
        <w:rPr>
          <w:sz w:val="20"/>
          <w:szCs w:val="20"/>
          <w:color w:val="auto"/>
        </w:rPr>
      </w:pPr>
    </w:p>
    <w:p>
      <w:pPr>
        <w:jc w:val="right"/>
        <w:ind w:right="1739"/>
        <w:spacing w:after="0"/>
        <w:tabs>
          <w:tab w:leader="dot" w:pos="200" w:val="left"/>
        </w:tabs>
        <w:rPr>
          <w:sz w:val="20"/>
          <w:szCs w:val="20"/>
          <w:color w:val="auto"/>
        </w:rPr>
      </w:pPr>
      <w:r>
        <w:rPr>
          <w:rFonts w:ascii="Times New Roman" w:cs="Times New Roman" w:eastAsia="Times New Roman" w:hAnsi="Times New Roman"/>
          <w:sz w:val="22"/>
          <w:szCs w:val="22"/>
          <w:u w:val="single" w:color="auto"/>
          <w:color w:val="auto"/>
        </w:rPr>
        <w:t>Appointment of Service of Process Agent</w:t>
      </w:r>
      <w:r>
        <w:rPr>
          <w:sz w:val="20"/>
          <w:szCs w:val="20"/>
          <w:color w:val="auto"/>
        </w:rPr>
        <w:tab/>
      </w:r>
      <w:r>
        <w:rPr>
          <w:rFonts w:ascii="Times New Roman" w:cs="Times New Roman" w:eastAsia="Times New Roman" w:hAnsi="Times New Roman"/>
          <w:sz w:val="22"/>
          <w:szCs w:val="22"/>
          <w:color w:val="auto"/>
        </w:rPr>
        <w:t>22</w:t>
      </w:r>
    </w:p>
    <w:p>
      <w:pPr>
        <w:spacing w:after="0" w:line="31" w:lineRule="exact"/>
        <w:rPr>
          <w:sz w:val="20"/>
          <w:szCs w:val="20"/>
          <w:color w:val="auto"/>
        </w:rPr>
      </w:pPr>
    </w:p>
    <w:p>
      <w:pPr>
        <w:ind w:left="40"/>
        <w:spacing w:after="0"/>
        <w:tabs>
          <w:tab w:leader="dot" w:pos="7760" w:val="left"/>
        </w:tabs>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WAIVER OF JURY TRIAL</w:t>
      </w:r>
      <w:r>
        <w:rPr>
          <w:sz w:val="20"/>
          <w:szCs w:val="20"/>
          <w:color w:val="auto"/>
        </w:rPr>
        <w:tab/>
      </w:r>
      <w:r>
        <w:rPr>
          <w:rFonts w:ascii="Times New Roman" w:cs="Times New Roman" w:eastAsia="Times New Roman" w:hAnsi="Times New Roman"/>
          <w:sz w:val="19"/>
          <w:szCs w:val="19"/>
          <w:color w:val="auto"/>
        </w:rPr>
        <w:t>23</w:t>
      </w:r>
    </w:p>
    <w:p>
      <w:pPr>
        <w:spacing w:after="0" w:line="31" w:lineRule="exact"/>
        <w:rPr>
          <w:sz w:val="20"/>
          <w:szCs w:val="20"/>
          <w:color w:val="auto"/>
        </w:rPr>
      </w:pPr>
    </w:p>
    <w:p>
      <w:pPr>
        <w:ind w:left="40"/>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Headings</w:t>
      </w:r>
      <w:r>
        <w:rPr>
          <w:sz w:val="20"/>
          <w:szCs w:val="20"/>
          <w:color w:val="auto"/>
        </w:rPr>
        <w:tab/>
      </w:r>
      <w:r>
        <w:rPr>
          <w:rFonts w:ascii="Times New Roman" w:cs="Times New Roman" w:eastAsia="Times New Roman" w:hAnsi="Times New Roman"/>
          <w:sz w:val="19"/>
          <w:szCs w:val="19"/>
          <w:color w:val="auto"/>
        </w:rPr>
        <w:t>23</w:t>
      </w:r>
    </w:p>
    <w:p>
      <w:pPr>
        <w:spacing w:after="0" w:line="44" w:lineRule="exact"/>
        <w:rPr>
          <w:sz w:val="20"/>
          <w:szCs w:val="20"/>
          <w:color w:val="auto"/>
        </w:rPr>
      </w:pPr>
    </w:p>
    <w:p>
      <w:pPr>
        <w:ind w:left="40"/>
        <w:spacing w:after="0"/>
        <w:tabs>
          <w:tab w:leader="dot" w:pos="7780" w:val="left"/>
        </w:tabs>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Security Interest Absolute</w:t>
      </w:r>
      <w:r>
        <w:rPr>
          <w:sz w:val="20"/>
          <w:szCs w:val="20"/>
          <w:color w:val="auto"/>
        </w:rPr>
        <w:tab/>
      </w:r>
      <w:r>
        <w:rPr>
          <w:rFonts w:ascii="Times New Roman" w:cs="Times New Roman" w:eastAsia="Times New Roman" w:hAnsi="Times New Roman"/>
          <w:sz w:val="22"/>
          <w:szCs w:val="22"/>
          <w:color w:val="auto"/>
        </w:rPr>
        <w:t>23</w:t>
      </w:r>
    </w:p>
    <w:p>
      <w:pPr>
        <w:spacing w:after="0" w:line="44" w:lineRule="exact"/>
        <w:rPr>
          <w:sz w:val="20"/>
          <w:szCs w:val="20"/>
          <w:color w:val="auto"/>
        </w:rPr>
      </w:pPr>
    </w:p>
    <w:p>
      <w:pPr>
        <w:ind w:left="40"/>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Termination or Release</w:t>
      </w:r>
      <w:r>
        <w:rPr>
          <w:sz w:val="20"/>
          <w:szCs w:val="20"/>
          <w:color w:val="auto"/>
        </w:rPr>
        <w:tab/>
      </w:r>
      <w:r>
        <w:rPr>
          <w:rFonts w:ascii="Times New Roman" w:cs="Times New Roman" w:eastAsia="Times New Roman" w:hAnsi="Times New Roman"/>
          <w:sz w:val="22"/>
          <w:szCs w:val="22"/>
          <w:color w:val="auto"/>
        </w:rPr>
        <w:t>24</w:t>
      </w:r>
    </w:p>
    <w:p>
      <w:pPr>
        <w:spacing w:after="0" w:line="44" w:lineRule="exact"/>
        <w:rPr>
          <w:sz w:val="20"/>
          <w:szCs w:val="20"/>
          <w:color w:val="auto"/>
        </w:rPr>
      </w:pPr>
    </w:p>
    <w:p>
      <w:pPr>
        <w:ind w:left="40"/>
        <w:spacing w:after="0"/>
        <w:tabs>
          <w:tab w:leader="dot" w:pos="7780" w:val="left"/>
        </w:tabs>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Additional Subsidiaries</w:t>
      </w:r>
      <w:r>
        <w:rPr>
          <w:sz w:val="20"/>
          <w:szCs w:val="20"/>
          <w:color w:val="auto"/>
        </w:rPr>
        <w:tab/>
      </w:r>
      <w:r>
        <w:rPr>
          <w:rFonts w:ascii="Times New Roman" w:cs="Times New Roman" w:eastAsia="Times New Roman" w:hAnsi="Times New Roman"/>
          <w:sz w:val="22"/>
          <w:szCs w:val="22"/>
          <w:color w:val="auto"/>
        </w:rPr>
        <w:t>24</w:t>
      </w:r>
    </w:p>
    <w:p>
      <w:pPr>
        <w:spacing w:after="0" w:line="44" w:lineRule="exact"/>
        <w:rPr>
          <w:sz w:val="20"/>
          <w:szCs w:val="20"/>
          <w:color w:val="auto"/>
        </w:rPr>
      </w:pPr>
    </w:p>
    <w:p>
      <w:pPr>
        <w:ind w:left="40"/>
        <w:spacing w:after="0"/>
        <w:tabs>
          <w:tab w:leader="dot" w:pos="7780" w:val="left"/>
        </w:tabs>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Notes Collateral Agent Appointed Attorney-in-Fact</w:t>
      </w:r>
      <w:r>
        <w:rPr>
          <w:sz w:val="20"/>
          <w:szCs w:val="20"/>
          <w:color w:val="auto"/>
        </w:rPr>
        <w:tab/>
      </w:r>
      <w:r>
        <w:rPr>
          <w:rFonts w:ascii="Times New Roman" w:cs="Times New Roman" w:eastAsia="Times New Roman" w:hAnsi="Times New Roman"/>
          <w:sz w:val="19"/>
          <w:szCs w:val="19"/>
          <w:color w:val="auto"/>
        </w:rPr>
        <w:t>24</w:t>
      </w:r>
    </w:p>
    <w:p>
      <w:pPr>
        <w:spacing w:after="0" w:line="31" w:lineRule="exact"/>
        <w:rPr>
          <w:sz w:val="20"/>
          <w:szCs w:val="20"/>
          <w:color w:val="auto"/>
        </w:rPr>
      </w:pPr>
    </w:p>
    <w:p>
      <w:pPr>
        <w:ind w:left="40"/>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Intercreditor Agreements Govern</w:t>
      </w:r>
      <w:r>
        <w:rPr>
          <w:sz w:val="20"/>
          <w:szCs w:val="20"/>
          <w:color w:val="auto"/>
        </w:rPr>
        <w:tab/>
      </w:r>
      <w:r>
        <w:rPr>
          <w:rFonts w:ascii="Times New Roman" w:cs="Times New Roman" w:eastAsia="Times New Roman" w:hAnsi="Times New Roman"/>
          <w:sz w:val="22"/>
          <w:szCs w:val="22"/>
          <w:color w:val="auto"/>
        </w:rPr>
        <w:t>25</w:t>
      </w:r>
    </w:p>
    <w:p>
      <w:pPr>
        <w:spacing w:after="0" w:line="44" w:lineRule="exact"/>
        <w:rPr>
          <w:sz w:val="20"/>
          <w:szCs w:val="20"/>
          <w:color w:val="auto"/>
        </w:rPr>
      </w:pPr>
    </w:p>
    <w:p>
      <w:pPr>
        <w:ind w:left="40"/>
        <w:spacing w:after="0"/>
        <w:tabs>
          <w:tab w:leader="dot" w:pos="7820" w:val="left"/>
        </w:tabs>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Delivery to Credit Agreement Collateral Agent</w:t>
      </w:r>
      <w:r>
        <w:rPr>
          <w:sz w:val="20"/>
          <w:szCs w:val="20"/>
          <w:color w:val="auto"/>
        </w:rPr>
        <w:tab/>
      </w:r>
      <w:r>
        <w:rPr>
          <w:rFonts w:ascii="Times New Roman" w:cs="Times New Roman" w:eastAsia="Times New Roman" w:hAnsi="Times New Roman"/>
          <w:sz w:val="22"/>
          <w:szCs w:val="22"/>
          <w:color w:val="auto"/>
        </w:rPr>
        <w:t>26</w:t>
      </w:r>
    </w:p>
    <w:p>
      <w:pPr>
        <w:spacing w:after="0" w:line="44" w:lineRule="exact"/>
        <w:rPr>
          <w:sz w:val="20"/>
          <w:szCs w:val="20"/>
          <w:color w:val="auto"/>
        </w:rPr>
      </w:pPr>
    </w:p>
    <w:p>
      <w:pPr>
        <w:ind w:left="40"/>
        <w:spacing w:after="0"/>
        <w:tabs>
          <w:tab w:leader="dot" w:pos="7780" w:val="left"/>
        </w:tabs>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No Liability</w:t>
      </w:r>
      <w:r>
        <w:rPr>
          <w:sz w:val="20"/>
          <w:szCs w:val="20"/>
          <w:color w:val="auto"/>
        </w:rPr>
        <w:tab/>
      </w:r>
      <w:r>
        <w:rPr>
          <w:rFonts w:ascii="Times New Roman" w:cs="Times New Roman" w:eastAsia="Times New Roman" w:hAnsi="Times New Roman"/>
          <w:sz w:val="22"/>
          <w:szCs w:val="22"/>
          <w:color w:val="auto"/>
        </w:rPr>
        <w:t>26</w:t>
      </w:r>
    </w:p>
    <w:p>
      <w:pPr>
        <w:spacing w:after="0" w:line="44"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Concerning the Notes Collateral Agent</w:t>
      </w:r>
      <w:r>
        <w:rPr>
          <w:sz w:val="20"/>
          <w:szCs w:val="20"/>
          <w:color w:val="auto"/>
        </w:rPr>
        <w:tab/>
      </w:r>
      <w:r>
        <w:rPr>
          <w:rFonts w:ascii="Times New Roman" w:cs="Times New Roman" w:eastAsia="Times New Roman" w:hAnsi="Times New Roman"/>
          <w:sz w:val="22"/>
          <w:szCs w:val="22"/>
          <w:color w:val="auto"/>
        </w:rPr>
        <w:t>26</w:t>
      </w:r>
    </w:p>
    <w:p>
      <w:pPr>
        <w:sectPr>
          <w:pgSz w:w="11900" w:h="16838" w:orient="portrait"/>
          <w:cols w:equalWidth="0" w:num="1">
            <w:col w:w="9959"/>
          </w:cols>
          <w:pgMar w:left="500" w:top="1421" w:right="1440"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253"/>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Schedules</w:t>
            </w:r>
          </w:p>
        </w:tc>
        <w:tc>
          <w:tcPr>
            <w:tcW w:w="4400" w:type="dxa"/>
            <w:vAlign w:val="bottom"/>
          </w:tcPr>
          <w:p>
            <w:pPr>
              <w:spacing w:after="0"/>
              <w:rPr>
                <w:sz w:val="22"/>
                <w:szCs w:val="22"/>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79"/>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I</w:t>
            </w:r>
          </w:p>
        </w:tc>
        <w:tc>
          <w:tcPr>
            <w:tcW w:w="4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Grantors</w:t>
            </w:r>
          </w:p>
        </w:tc>
      </w:tr>
      <w:tr>
        <w:trPr>
          <w:trHeight w:val="270"/>
        </w:trPr>
        <w:tc>
          <w:tcPr>
            <w:tcW w:w="5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II  Pledged Equity Interests; Pledged Debt Securities</w:t>
            </w:r>
          </w:p>
        </w:tc>
      </w:tr>
      <w:tr>
        <w:trPr>
          <w:trHeight w:val="257"/>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III</w:t>
            </w:r>
          </w:p>
        </w:tc>
        <w:tc>
          <w:tcPr>
            <w:tcW w:w="4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Intellectual Property</w:t>
            </w:r>
          </w:p>
        </w:tc>
      </w:tr>
      <w:tr>
        <w:trPr>
          <w:trHeight w:val="282"/>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IV</w:t>
            </w:r>
          </w:p>
        </w:tc>
        <w:tc>
          <w:tcPr>
            <w:tcW w:w="4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Commercial Tort Claims</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Exhibit I</w:t>
      </w:r>
      <w:r>
        <w:rPr>
          <w:sz w:val="20"/>
          <w:szCs w:val="20"/>
          <w:color w:val="auto"/>
        </w:rPr>
        <w:tab/>
      </w:r>
      <w:r>
        <w:rPr>
          <w:rFonts w:ascii="Times New Roman" w:cs="Times New Roman" w:eastAsia="Times New Roman" w:hAnsi="Times New Roman"/>
          <w:sz w:val="21"/>
          <w:szCs w:val="21"/>
          <w:color w:val="auto"/>
        </w:rPr>
        <w:t>Form of Grantor Supplement</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II</w:t>
      </w:r>
      <w:r>
        <w:rPr>
          <w:sz w:val="20"/>
          <w:szCs w:val="20"/>
          <w:color w:val="auto"/>
        </w:rPr>
        <w:tab/>
      </w:r>
      <w:r>
        <w:rPr>
          <w:rFonts w:ascii="Times New Roman" w:cs="Times New Roman" w:eastAsia="Times New Roman" w:hAnsi="Times New Roman"/>
          <w:sz w:val="21"/>
          <w:szCs w:val="21"/>
          <w:color w:val="auto"/>
        </w:rPr>
        <w:t>Form of Copyright Security Agreement</w:t>
      </w:r>
    </w:p>
    <w:p>
      <w:pPr>
        <w:spacing w:after="0" w:line="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Exhibit III</w:t>
      </w:r>
      <w:r>
        <w:rPr>
          <w:sz w:val="20"/>
          <w:szCs w:val="20"/>
          <w:color w:val="auto"/>
        </w:rPr>
        <w:tab/>
      </w:r>
      <w:r>
        <w:rPr>
          <w:rFonts w:ascii="Times New Roman" w:cs="Times New Roman" w:eastAsia="Times New Roman" w:hAnsi="Times New Roman"/>
          <w:sz w:val="21"/>
          <w:szCs w:val="21"/>
          <w:color w:val="auto"/>
        </w:rPr>
        <w:t>Form of Patent Security Agreement</w:t>
      </w:r>
    </w:p>
    <w:p>
      <w:pPr>
        <w:spacing w:after="0" w:line="1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Exhibit IV</w:t>
      </w:r>
      <w:r>
        <w:rPr>
          <w:sz w:val="20"/>
          <w:szCs w:val="20"/>
          <w:color w:val="auto"/>
        </w:rPr>
        <w:tab/>
      </w:r>
      <w:r>
        <w:rPr>
          <w:rFonts w:ascii="Times New Roman" w:cs="Times New Roman" w:eastAsia="Times New Roman" w:hAnsi="Times New Roman"/>
          <w:sz w:val="21"/>
          <w:szCs w:val="21"/>
          <w:color w:val="auto"/>
        </w:rPr>
        <w:t>Form of Trademark Security Agreement</w:t>
      </w:r>
    </w:p>
    <w:p>
      <w:pPr>
        <w:sectPr>
          <w:pgSz w:w="11900" w:h="16838" w:orient="portrait"/>
          <w:cols w:equalWidth="0" w:num="1">
            <w:col w:w="10139"/>
          </w:cols>
          <w:pgMar w:left="320" w:top="1398" w:right="1440" w:bottom="1440" w:gutter="0" w:footer="0" w:header="0"/>
        </w:sectPr>
      </w:pPr>
    </w:p>
    <w:bookmarkStart w:id="395" w:name="page396"/>
    <w:bookmarkEnd w:id="395"/>
    <w:p>
      <w:pPr>
        <w:jc w:val="both"/>
        <w:ind w:firstLine="1282"/>
        <w:spacing w:after="0" w:line="251" w:lineRule="auto"/>
        <w:rPr>
          <w:sz w:val="20"/>
          <w:szCs w:val="20"/>
          <w:color w:val="auto"/>
        </w:rPr>
      </w:pPr>
      <w:r>
        <w:rPr>
          <w:rFonts w:ascii="Times New Roman" w:cs="Times New Roman" w:eastAsia="Times New Roman" w:hAnsi="Times New Roman"/>
          <w:sz w:val="22"/>
          <w:szCs w:val="22"/>
          <w:color w:val="auto"/>
        </w:rPr>
        <w:t>NOTES SECURITY AGREEMENT dated as of May 30, 2024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SOTERA HEALTH HOLDINGS, LLC, a Delaware limited liability company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the other GRANTORS (as defined below) from time to time party hereto, SOTERA HEALTH COMPANY,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and WILMINGTON TRUST, NATIONAL ASSOCIATION, as notes collateral agent (the “</w:t>
      </w:r>
      <w:r>
        <w:rPr>
          <w:rFonts w:ascii="Times New Roman" w:cs="Times New Roman" w:eastAsia="Times New Roman" w:hAnsi="Times New Roman"/>
          <w:sz w:val="22"/>
          <w:szCs w:val="22"/>
          <w:u w:val="single" w:color="auto"/>
          <w:color w:val="auto"/>
        </w:rPr>
        <w:t>Notes Collateral Agent</w:t>
      </w:r>
      <w:r>
        <w:rPr>
          <w:rFonts w:ascii="Times New Roman" w:cs="Times New Roman" w:eastAsia="Times New Roman" w:hAnsi="Times New Roman"/>
          <w:sz w:val="22"/>
          <w:szCs w:val="22"/>
          <w:color w:val="auto"/>
        </w:rPr>
        <w:t>”), for the ratable benefit of the Noteholder Secured Parties (as defined in the Indenture (as defined below)).</w:t>
      </w:r>
    </w:p>
    <w:p>
      <w:pPr>
        <w:spacing w:after="0" w:line="181"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22"/>
          <w:szCs w:val="22"/>
          <w:color w:val="auto"/>
        </w:rPr>
        <w:t>Reference is made to that certain Indenture dated as of May 30, 2024 (as amended, restated, supplemented or otherwise modified from time to time,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by and among Holdings, the Issuer, the Guarantors and Wilmington Trust, National Association, as trustee (together with its successors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Notes Collateral Agent, pursuant to which the Issuer is issuing $750 million aggregate principal amount of its 7.375% senior secured notes due 2031 (together with any Additional Notes (as defined in the Indenture) issued under the Indenture,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WHEREAS, it is a condition to the issuance of the Notes that each Grantor executes and delivers this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9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WHEREAS, this Agreement is made by the Grantors in favor of the Notes Collateral Agent for the benefit of the Noteholder Secured Parties to secure the payment and performance in full when due of the Notes Obligations (as defined in the Indenture).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in consideration of the above premises, the parties hereto hereby agree as follows:</w:t>
      </w: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ARTICLE 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9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SECTION 1.01 Defined Terms. (a) Each capitalized term used but not defined herein shall have the meaning assigned thereto in the Indenture; provided that each term defined in the New York UCC (as defined herein) and not defined in this Agreement or the Indenture shall have the meaning specified in the New York UCC. The term “instrument” shall have the meaning specified in Article 9 of the New York UCC.</w:t>
      </w:r>
    </w:p>
    <w:p>
      <w:pPr>
        <w:spacing w:after="0" w:line="179" w:lineRule="exact"/>
        <w:rPr>
          <w:sz w:val="20"/>
          <w:szCs w:val="20"/>
          <w:color w:val="auto"/>
        </w:rPr>
      </w:pPr>
    </w:p>
    <w:p>
      <w:pPr>
        <w:ind w:left="1940" w:hanging="636"/>
        <w:spacing w:after="0"/>
        <w:tabs>
          <w:tab w:leader="none" w:pos="1940" w:val="left"/>
        </w:tabs>
        <w:numPr>
          <w:ilvl w:val="0"/>
          <w:numId w:val="4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rules of construction specified in Section 1.04 of the Indenture also apply to this Agreement, </w:t>
      </w:r>
      <w:r>
        <w:rPr>
          <w:rFonts w:ascii="Times New Roman" w:cs="Times New Roman" w:eastAsia="Times New Roman" w:hAnsi="Times New Roman"/>
          <w:sz w:val="22"/>
          <w:szCs w:val="22"/>
          <w:u w:val="single" w:color="auto"/>
          <w:color w:val="auto"/>
        </w:rPr>
        <w:t>mutatis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mutandis</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Defined Terms</w:t>
      </w:r>
      <w:r>
        <w:rPr>
          <w:rFonts w:ascii="Times New Roman" w:cs="Times New Roman" w:eastAsia="Times New Roman" w:hAnsi="Times New Roman"/>
          <w:sz w:val="22"/>
          <w:szCs w:val="22"/>
          <w:color w:val="auto"/>
        </w:rPr>
        <w:t>. As used in this Agreement, the following terms have the meanings specified below:</w:t>
      </w:r>
    </w:p>
    <w:p>
      <w:pPr>
        <w:spacing w:after="0" w:line="177"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means any Person that is or may become obligated to any Grantor under, with respect to or on account of an Account, Chattel Paper or General Intangible.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assigned to such term in the preamble to this Agreement.</w:t>
      </w:r>
    </w:p>
    <w:p>
      <w:pPr>
        <w:sectPr>
          <w:pgSz w:w="11900" w:h="16838" w:orient="portrait"/>
          <w:cols w:equalWidth="0" w:num="1">
            <w:col w:w="11240"/>
          </w:cols>
          <w:pgMar w:left="320" w:top="1421" w:right="339" w:bottom="1440" w:gutter="0" w:footer="0" w:header="0"/>
        </w:sectPr>
      </w:pPr>
    </w:p>
    <w:bookmarkStart w:id="396" w:name="page397"/>
    <w:bookmarkEnd w:id="396"/>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 States</w:t>
      </w:r>
      <w:r>
        <w:rPr>
          <w:rFonts w:ascii="Times New Roman" w:cs="Times New Roman" w:eastAsia="Times New Roman" w:hAnsi="Times New Roman"/>
          <w:sz w:val="22"/>
          <w:szCs w:val="22"/>
          <w:color w:val="auto"/>
        </w:rPr>
        <w:t>” means those states that have entered into Agreements for Co-operation with the U.S. Nuclear Regulatory Commission the (“</w:t>
      </w:r>
      <w:r>
        <w:rPr>
          <w:rFonts w:ascii="Times New Roman" w:cs="Times New Roman" w:eastAsia="Times New Roman" w:hAnsi="Times New Roman"/>
          <w:sz w:val="22"/>
          <w:szCs w:val="22"/>
          <w:u w:val="single" w:color="auto"/>
          <w:color w:val="auto"/>
        </w:rPr>
        <w:t>NRC</w:t>
      </w:r>
      <w:r>
        <w:rPr>
          <w:rFonts w:ascii="Times New Roman" w:cs="Times New Roman" w:eastAsia="Times New Roman" w:hAnsi="Times New Roman"/>
          <w:sz w:val="22"/>
          <w:szCs w:val="22"/>
          <w:color w:val="auto"/>
        </w:rPr>
        <w:t>”) pursuant to Section 274b of the Atomic Energy Act of 1954, as amended, 42 U.S.C. § 2011 et seq. (the “</w:t>
      </w:r>
      <w:r>
        <w:rPr>
          <w:rFonts w:ascii="Times New Roman" w:cs="Times New Roman" w:eastAsia="Times New Roman" w:hAnsi="Times New Roman"/>
          <w:sz w:val="22"/>
          <w:szCs w:val="22"/>
          <w:u w:val="single" w:color="auto"/>
          <w:color w:val="auto"/>
        </w:rPr>
        <w:t>AEA</w:t>
      </w:r>
      <w:r>
        <w:rPr>
          <w:rFonts w:ascii="Times New Roman" w:cs="Times New Roman" w:eastAsia="Times New Roman" w:hAnsi="Times New Roman"/>
          <w:sz w:val="22"/>
          <w:szCs w:val="22"/>
          <w:color w:val="auto"/>
        </w:rPr>
        <w:t>”). The authority that each Agreement State has been delegated under AEA Section 274b is its Agreement State Authority (“</w:t>
      </w:r>
      <w:r>
        <w:rPr>
          <w:rFonts w:ascii="Times New Roman" w:cs="Times New Roman" w:eastAsia="Times New Roman" w:hAnsi="Times New Roman"/>
          <w:sz w:val="22"/>
          <w:szCs w:val="22"/>
          <w:u w:val="single" w:color="auto"/>
          <w:color w:val="auto"/>
        </w:rPr>
        <w:t>Agreement State Authority”)</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Nuclear Laws</w:t>
      </w:r>
      <w:r>
        <w:rPr>
          <w:rFonts w:ascii="Times New Roman" w:cs="Times New Roman" w:eastAsia="Times New Roman" w:hAnsi="Times New Roman"/>
          <w:sz w:val="22"/>
          <w:szCs w:val="22"/>
          <w:color w:val="auto"/>
        </w:rPr>
        <w:t>” means the AEA , and any related rules, regulations or administrative decisions of the NRC, including authority exercised by the Agreement States, pursuant to Agreement State Authority, in each case, to the extent concerning (i) the transfer of direct or indirect ownership or control of a licensee subject to such laws; or (ii) the ability to exercise direct or indirect control of a licensed activity under such laws, as applicable.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Article 9 Collateral</w:t>
      </w:r>
      <w:r>
        <w:rPr>
          <w:rFonts w:ascii="Times New Roman" w:cs="Times New Roman" w:eastAsia="Times New Roman" w:hAnsi="Times New Roman"/>
          <w:sz w:val="22"/>
          <w:szCs w:val="22"/>
          <w:color w:val="auto"/>
        </w:rPr>
        <w:t>” has the meaning assigned to such term in Section 3.01.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Article 9 Collateral and Pledged Collateral.</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Security Agreement</w:t>
      </w:r>
      <w:r>
        <w:rPr>
          <w:rFonts w:ascii="Times New Roman" w:cs="Times New Roman" w:eastAsia="Times New Roman" w:hAnsi="Times New Roman"/>
          <w:sz w:val="22"/>
          <w:szCs w:val="22"/>
          <w:color w:val="auto"/>
        </w:rPr>
        <w:t>” means the short-form Copyright Security Agreement substantially in the form of Exhibit II hereto.</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License</w:t>
      </w:r>
      <w:r>
        <w:rPr>
          <w:rFonts w:ascii="Times New Roman" w:cs="Times New Roman" w:eastAsia="Times New Roman" w:hAnsi="Times New Roman"/>
          <w:sz w:val="22"/>
          <w:szCs w:val="22"/>
          <w:color w:val="auto"/>
        </w:rPr>
        <w:t>” means any written agreement, now or hereafter in effect, granting to any Person any use right under any Copyright now or hereafter owned by any other Person or that such other Person otherwise has the right to license, and all rights of any such Person under any such agreement.</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means, with respect to any Person, all of the following now owned or hereafter acquired by such Person: (a) all copyrights in any work subject to the copyright laws of the United States, whether as author, assignee, transferee or otherwise and (b) all registrations and applications for registration of any such copyrights in the United States, including registrations, supplemental registrations and pending applications for registration in the United States Copyright Office, including, in the case of any Grantor, those set forth next to its name on Schedule III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Securities Laws</w:t>
      </w:r>
      <w:r>
        <w:rPr>
          <w:rFonts w:ascii="Times New Roman" w:cs="Times New Roman" w:eastAsia="Times New Roman" w:hAnsi="Times New Roman"/>
          <w:sz w:val="22"/>
          <w:szCs w:val="22"/>
          <w:color w:val="auto"/>
        </w:rPr>
        <w:t>” has the meaning assigned to such term in Section 4.03.</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Grantor Supplement</w:t>
      </w:r>
      <w:r>
        <w:rPr>
          <w:rFonts w:ascii="Times New Roman" w:cs="Times New Roman" w:eastAsia="Times New Roman" w:hAnsi="Times New Roman"/>
          <w:sz w:val="22"/>
          <w:szCs w:val="22"/>
          <w:color w:val="auto"/>
        </w:rPr>
        <w:t>” means an instrument substantially in the form of Exhibit I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Grantors</w:t>
      </w:r>
      <w:r>
        <w:rPr>
          <w:rFonts w:ascii="Times New Roman" w:cs="Times New Roman" w:eastAsia="Times New Roman" w:hAnsi="Times New Roman"/>
          <w:sz w:val="21"/>
          <w:szCs w:val="21"/>
          <w:color w:val="auto"/>
        </w:rPr>
        <w:t>” means (a) the Issuer, (b) Holdings, (c) each Subsidiary of the Issuer identified on Schedule I hereto and</w:t>
      </w:r>
    </w:p>
    <w:p>
      <w:pPr>
        <w:spacing w:after="0" w:line="39" w:lineRule="exact"/>
        <w:rPr>
          <w:sz w:val="20"/>
          <w:szCs w:val="20"/>
          <w:color w:val="auto"/>
        </w:rPr>
      </w:pPr>
    </w:p>
    <w:p>
      <w:pPr>
        <w:ind w:firstLine="8"/>
        <w:spacing w:after="0" w:line="261" w:lineRule="auto"/>
        <w:tabs>
          <w:tab w:leader="none" w:pos="313"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Intermediate Parent or other Subsidiary of Holdings that becomes a party to this Agreement as a Grantor on or after the date hereof.</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has the meaning assigned to such term in the preamble to this Agreement.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with respect to any Person, all intellectual property rights of every kind and nature, whether now or hereafter owned or licensed by any such Person, including such rights in inventions, Patents, Copyrights, Trademarks and Licenses, rights in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397" w:name="page398"/>
    <w:bookmarkEnd w:id="397"/>
    <w:p>
      <w:pPr>
        <w:jc w:val="both"/>
        <w:spacing w:after="0" w:line="271" w:lineRule="auto"/>
        <w:rPr>
          <w:sz w:val="20"/>
          <w:szCs w:val="20"/>
          <w:color w:val="auto"/>
        </w:rPr>
      </w:pPr>
      <w:r>
        <w:rPr>
          <w:rFonts w:ascii="Times New Roman" w:cs="Times New Roman" w:eastAsia="Times New Roman" w:hAnsi="Times New Roman"/>
          <w:sz w:val="22"/>
          <w:szCs w:val="22"/>
          <w:color w:val="auto"/>
        </w:rPr>
        <w:t>secrets and know-how, rights in domain names, rights in confidential or proprietary technical, business or other information, and rights in software and databases.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has the meaning assigned to such term in the preamble to this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Intermediate Parent</w:t>
      </w:r>
      <w:r>
        <w:rPr>
          <w:rFonts w:ascii="Times New Roman" w:cs="Times New Roman" w:eastAsia="Times New Roman" w:hAnsi="Times New Roman"/>
          <w:sz w:val="22"/>
          <w:szCs w:val="22"/>
          <w:color w:val="auto"/>
        </w:rPr>
        <w:t>” means any Subsidiary of Holdings of which the Issuer is a subsidiary.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has the meaning assigned to such term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means any Patent License, Trademark License or Copyright License.</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circumstance or condition affecting the business, financial condition, or results of operations of Holdings, any Intermediate Parent, the Issuer and their respective Subsidiaries, taken as a whole, that would reasonably be expected to have a materially adverse effect on (a) the ability of the Issuer and the other Grantors, taken as a whole, to perform their payment obligations under the Notes Documents or (b) the rights and remedies of the Trustee, the Notes Collateral Agent or other Noteholder Secured Parties under the Notes Documents.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York UCC</w:t>
      </w:r>
      <w:r>
        <w:rPr>
          <w:rFonts w:ascii="Times New Roman" w:cs="Times New Roman" w:eastAsia="Times New Roman" w:hAnsi="Times New Roman"/>
          <w:sz w:val="21"/>
          <w:szCs w:val="21"/>
          <w:color w:val="auto"/>
        </w:rPr>
        <w:t>” means the Uniform Commercial Code as from time to time in effect in the State of New York.</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has the meaning assigned to such term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 Collateral Agent</w:t>
      </w:r>
      <w:r>
        <w:rPr>
          <w:rFonts w:ascii="Times New Roman" w:cs="Times New Roman" w:eastAsia="Times New Roman" w:hAnsi="Times New Roman"/>
          <w:sz w:val="22"/>
          <w:szCs w:val="22"/>
          <w:color w:val="auto"/>
        </w:rPr>
        <w:t>” has the meaning assigned to such term in the preamble to this Agreement.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with respect to any Person, the charter, articles or certificate of organization or incorporation and bylaws or other organizational or governing documents of such Person.</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License</w:t>
      </w:r>
      <w:r>
        <w:rPr>
          <w:rFonts w:ascii="Times New Roman" w:cs="Times New Roman" w:eastAsia="Times New Roman" w:hAnsi="Times New Roman"/>
          <w:sz w:val="22"/>
          <w:szCs w:val="22"/>
          <w:color w:val="auto"/>
        </w:rPr>
        <w:t>” means any written agreement, now or hereafter in effect, granting to any Person any right to manufacture, use or sell any invention claimed in a Patent, now or hereafter owned by any other Person or that any other Person now or hereafter otherwise has the right to license, and all rights of any such Person under any such agreement.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 Security Agreement</w:t>
      </w:r>
      <w:r>
        <w:rPr>
          <w:rFonts w:ascii="Times New Roman" w:cs="Times New Roman" w:eastAsia="Times New Roman" w:hAnsi="Times New Roman"/>
          <w:sz w:val="21"/>
          <w:szCs w:val="21"/>
          <w:color w:val="auto"/>
        </w:rPr>
        <w:t>” means the short-form Patent Security Agreement substantially in the form of Exhibit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hereto.</w:t>
      </w:r>
    </w:p>
    <w:p>
      <w:pPr>
        <w:spacing w:after="0" w:line="19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with respect to any Person, all of the following now owned or hereafter acquired by such Person: all letters patent of the United States and all registrations therefor and all applications for letters patent of the United States, including registrations and pending applications in the United States Patent and Trademark Office, including those listed on Schedule III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398" w:name="page399"/>
    <w:bookmarkEnd w:id="398"/>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means the Perfection Certificate dated as of May 30, 2024, certified by officers of Holdings and the Issuer and delivered to the Notes Collateral Agent on the Issue Date, or a similar collateral disclosure certificate with respect to any additional Grantor under Section 5.14.</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Collateral</w:t>
      </w:r>
      <w:r>
        <w:rPr>
          <w:rFonts w:ascii="Times New Roman" w:cs="Times New Roman" w:eastAsia="Times New Roman" w:hAnsi="Times New Roman"/>
          <w:sz w:val="22"/>
          <w:szCs w:val="22"/>
          <w:color w:val="auto"/>
        </w:rPr>
        <w:t>” has the meaning assigned to such term in Section 2.01.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Debt Securities</w:t>
      </w:r>
      <w:r>
        <w:rPr>
          <w:rFonts w:ascii="Times New Roman" w:cs="Times New Roman" w:eastAsia="Times New Roman" w:hAnsi="Times New Roman"/>
          <w:sz w:val="22"/>
          <w:szCs w:val="22"/>
          <w:color w:val="auto"/>
        </w:rPr>
        <w:t>” has the meaning assigned to such term in Section 2.01.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Equity Interests</w:t>
      </w:r>
      <w:r>
        <w:rPr>
          <w:rFonts w:ascii="Times New Roman" w:cs="Times New Roman" w:eastAsia="Times New Roman" w:hAnsi="Times New Roman"/>
          <w:sz w:val="22"/>
          <w:szCs w:val="22"/>
          <w:color w:val="auto"/>
        </w:rPr>
        <w:t>” has the meaning assigned to such term in Section 2.01.</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Securities</w:t>
      </w:r>
      <w:r>
        <w:rPr>
          <w:rFonts w:ascii="Times New Roman" w:cs="Times New Roman" w:eastAsia="Times New Roman" w:hAnsi="Times New Roman"/>
          <w:sz w:val="22"/>
          <w:szCs w:val="22"/>
          <w:color w:val="auto"/>
        </w:rPr>
        <w:t>” means any promissory notes, stock certificates, unit certificates, limited or unlimited liability membership certificates or other securities (to the extent certificated) now or hereafter included in the Pledged Collateral, including all certificates, instruments or other documents representing or evidencing any Pledged Collateral.</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has the meaning assigned to such term in Section 3.01(a).</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License</w:t>
      </w:r>
      <w:r>
        <w:rPr>
          <w:rFonts w:ascii="Times New Roman" w:cs="Times New Roman" w:eastAsia="Times New Roman" w:hAnsi="Times New Roman"/>
          <w:sz w:val="22"/>
          <w:szCs w:val="22"/>
          <w:color w:val="auto"/>
        </w:rPr>
        <w:t>” means any written agreement, now or hereafter in effect, granting to any Person any right to use any Trademark now or hereafter owned by any other Person or that any other Person otherwise has the right to license and all rights of any such Person under any such agreement.</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Security Agreement</w:t>
      </w:r>
      <w:r>
        <w:rPr>
          <w:rFonts w:ascii="Times New Roman" w:cs="Times New Roman" w:eastAsia="Times New Roman" w:hAnsi="Times New Roman"/>
          <w:sz w:val="22"/>
          <w:szCs w:val="22"/>
          <w:color w:val="auto"/>
        </w:rPr>
        <w:t>” means the short-form Trademark Security Agreement substantially in the form of Exhibit IV hereto.</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with respect to any Person, all of the following now owned or hereafter acquired by such Person: (a) all trademarks, service marks, trade names, corporate names, company names, trade dress, logos and other similar source identifiers, in each case subject to the trademark laws of the United States now existing or hereafter adopted or acquired, all registrations therefor, and all registrations and applications filed in connection therewith in the United States Patent and Trademark Office, including, in the case of any Grantor, any of the foregoing set forth next to its name on Schedule III hereto and, (b) all goodwill associated with the use of and symbolized by the items in category (a) of this definition.</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shall mean the New York UCC; provided, however, that, at any time, if by reason of mandatory provisions of law, any or all of the perfection or priority of the Notes Collateral Agent’s and the Noteholder Secured Parties’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Pledge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399" w:name="page400"/>
    <w:bookmarkEnd w:id="399"/>
    <w:p>
      <w:pPr>
        <w:jc w:val="both"/>
        <w:ind w:firstLine="1620"/>
        <w:spacing w:after="0" w:line="231" w:lineRule="auto"/>
        <w:rPr>
          <w:sz w:val="20"/>
          <w:szCs w:val="20"/>
          <w:color w:val="auto"/>
        </w:rPr>
      </w:pPr>
      <w:r>
        <w:rPr>
          <w:rFonts w:ascii="Times New Roman" w:cs="Times New Roman" w:eastAsia="Times New Roman" w:hAnsi="Times New Roman"/>
          <w:sz w:val="21"/>
          <w:szCs w:val="21"/>
          <w:color w:val="auto"/>
        </w:rPr>
        <w:t>SECTION 2.01 Pledge. As security for the payment or performance, as the case may be, in full of the Notes Obligations, each Grantor hereby collaterally assigns and pledges to the Notes Collateral Agent, its successors and assigns, for the benefit of the Noteholder Secured Parties, and hereby grants to the Notes Collateral Agent, its successors and assigns, for the benefit of the Noteholder Secured Parties, a security interest in, all of such Grantor’s right, title and interest in, to and under:</w:t>
      </w:r>
    </w:p>
    <w:p>
      <w:pPr>
        <w:spacing w:after="0" w:line="177" w:lineRule="exact"/>
        <w:rPr>
          <w:sz w:val="20"/>
          <w:szCs w:val="20"/>
          <w:color w:val="auto"/>
        </w:rPr>
      </w:pPr>
    </w:p>
    <w:p>
      <w:pPr>
        <w:jc w:val="both"/>
        <w:ind w:firstLine="1304"/>
        <w:spacing w:after="0" w:line="272" w:lineRule="auto"/>
        <w:tabs>
          <w:tab w:leader="none" w:pos="1941" w:val="left"/>
        </w:tabs>
        <w:numPr>
          <w:ilvl w:val="0"/>
          <w:numId w:val="4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Equity Interests owned by such Grantor on the date such Grantor becomes party to this Agreement, including those listed opposite the name of such Grantor on Schedule II hereto, (ii) any other Equity Interests obtained in the future by such Grantor and (iii) the certificates or other instruments representing all such Equity Interests (if any) (collectively, the “</w:t>
      </w:r>
      <w:r>
        <w:rPr>
          <w:rFonts w:ascii="Times New Roman" w:cs="Times New Roman" w:eastAsia="Times New Roman" w:hAnsi="Times New Roman"/>
          <w:sz w:val="21"/>
          <w:szCs w:val="21"/>
          <w:u w:val="single" w:color="auto"/>
          <w:color w:val="auto"/>
        </w:rPr>
        <w:t>Pledged Equity Interests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Pledged Equity Interests shall not include any Excluded Equity Interests;</w:t>
      </w:r>
    </w:p>
    <w:p>
      <w:pPr>
        <w:spacing w:after="0" w:line="160"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39"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debt securities owned by such Grantor on the date such Grantor becomes party to this Agreement, including those listed opposite the name of such Grantor on Schedule II hereto, (ii) any debt securities in the future issued to or otherwise acquired by such Grantor and (iii) the promissory notes and any other instruments evidencing all such debt securities (collectively, the “</w:t>
      </w:r>
      <w:r>
        <w:rPr>
          <w:rFonts w:ascii="Times New Roman" w:cs="Times New Roman" w:eastAsia="Times New Roman" w:hAnsi="Times New Roman"/>
          <w:sz w:val="22"/>
          <w:szCs w:val="22"/>
          <w:u w:val="single" w:color="auto"/>
          <w:color w:val="auto"/>
        </w:rPr>
        <w:t>Pledged Debt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Pledged Debt Securities shall not include any Pledged Debt Securities constituting Excluded Assets;</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2.05,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(a) and (b) above;</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2.05, all rights and privileges of such Grantor with respect to the securities and other property referred to in clauses (a), (b) and (c) above; and</w:t>
      </w:r>
    </w:p>
    <w:p>
      <w:pPr>
        <w:spacing w:after="0" w:line="171"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41"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any of the foregoing to the extent such Proceeds would constitute property referred to in clauses (a) through (d) above (the items referred to in clauses (a) through (e) of this Section 2.01 being collectively referred to as the “</w:t>
      </w:r>
      <w:r>
        <w:rPr>
          <w:rFonts w:ascii="Times New Roman" w:cs="Times New Roman" w:eastAsia="Times New Roman" w:hAnsi="Times New Roman"/>
          <w:sz w:val="22"/>
          <w:szCs w:val="22"/>
          <w:u w:val="single" w:color="auto"/>
          <w:color w:val="auto"/>
        </w:rPr>
        <w:t>Pledged Collateral</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in no event shall the pledge under this Section 2.01 attach to any Excluded Asset.</w:t>
      </w:r>
    </w:p>
    <w:p>
      <w:pPr>
        <w:spacing w:after="0" w:line="220"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Delivery of the Pledged Collateral</w:t>
      </w:r>
      <w:r>
        <w:rPr>
          <w:rFonts w:ascii="Times New Roman" w:cs="Times New Roman" w:eastAsia="Times New Roman" w:hAnsi="Times New Roman"/>
          <w:sz w:val="22"/>
          <w:szCs w:val="22"/>
          <w:color w:val="auto"/>
        </w:rPr>
        <w:t>. (a) Subject to the Pari Passu Intercreditor Agreement, each Grantor will promptly deliver to the Notes Collateral Agent (or its non-fiduciary agent or designee) upon execution of this Agreement or issuance to or acquisition by such Grantor of any applicable certificates or instruments after the Issue Date, as applicable, all certificates or instruments, now or hereafter acquired, if any, representing or evidencing the Pledged Collateral to the extent such certificates evidence certificated securities, together with duly executed instruments of transfer or assignments in blank.</w:t>
      </w:r>
    </w:p>
    <w:p>
      <w:pPr>
        <w:spacing w:after="0" w:line="195" w:lineRule="exact"/>
        <w:rPr>
          <w:sz w:val="20"/>
          <w:szCs w:val="20"/>
          <w:color w:val="auto"/>
        </w:rPr>
      </w:pPr>
    </w:p>
    <w:p>
      <w:pPr>
        <w:jc w:val="both"/>
        <w:ind w:firstLine="656"/>
        <w:spacing w:after="0" w:line="257" w:lineRule="auto"/>
        <w:tabs>
          <w:tab w:leader="none" w:pos="1189"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addressed in Section 3.03(b) herein, if any amount payable with respect to any Indebtedness owed to any Grantor shall be or become evidenced by any promissory note (which may be a global note) (other than any promissory note in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4" w:right="339" w:bottom="1440" w:gutter="0" w:footer="0" w:header="0"/>
        </w:sectPr>
      </w:pPr>
    </w:p>
    <w:bookmarkStart w:id="400" w:name="page401"/>
    <w:bookmarkEnd w:id="400"/>
    <w:p>
      <w:pPr>
        <w:jc w:val="both"/>
        <w:spacing w:after="0" w:line="256" w:lineRule="auto"/>
        <w:rPr>
          <w:sz w:val="20"/>
          <w:szCs w:val="20"/>
          <w:color w:val="auto"/>
        </w:rPr>
      </w:pPr>
      <w:r>
        <w:rPr>
          <w:rFonts w:ascii="Times New Roman" w:cs="Times New Roman" w:eastAsia="Times New Roman" w:hAnsi="Times New Roman"/>
          <w:sz w:val="22"/>
          <w:szCs w:val="22"/>
          <w:color w:val="auto"/>
        </w:rPr>
        <w:t>principal amount of less than $20,000,000 owed to the applicable Grantor by any Person), such note or instrument (other than checks received in the ordinary course of business) shall be promptly delivered to the Notes Collateral Agent, for the benefit of the Noteholder Secured Parties, together with an undated instrument of transfer duly executed in blank and in a manner reasonably satisfactory to the Notes Collateral Agent.</w:t>
      </w:r>
    </w:p>
    <w:p>
      <w:pPr>
        <w:spacing w:after="0" w:line="176" w:lineRule="exact"/>
        <w:rPr>
          <w:sz w:val="20"/>
          <w:szCs w:val="20"/>
          <w:color w:val="auto"/>
        </w:rPr>
      </w:pPr>
    </w:p>
    <w:p>
      <w:pPr>
        <w:jc w:val="both"/>
        <w:ind w:firstLine="656"/>
        <w:spacing w:after="0" w:line="249" w:lineRule="auto"/>
        <w:tabs>
          <w:tab w:leader="none" w:pos="1155"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delivery to the Notes Collateral Agent, (i) any certificate or promissory note representing Pledged Securities shall be accompanied by undated stock or note powers, as applicable, duly executed in blank or other undated instruments of transfer duly executed in blank and (ii) all other property comprising part of the Pledged Collateral shall be accompanied by undated proper instruments of assignment duly executed in blank by the applicable Grantor. Each delivery of Pledged Securities shall be accompanied by a schedule describing such Pledged Securities, which schedule shall be deemed attached to, and shall supplement,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and be made a part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failure to provide any such schedule hereto shall not be a Default nor shall it affect the validity of such pledge of such Pledged Securities. Each schedule so delivered shall supplement any prior schedules so delivered.</w:t>
      </w:r>
    </w:p>
    <w:p>
      <w:pPr>
        <w:spacing w:after="0" w:line="182" w:lineRule="exact"/>
        <w:rPr>
          <w:sz w:val="20"/>
          <w:szCs w:val="20"/>
          <w:color w:val="auto"/>
        </w:rPr>
      </w:pPr>
    </w:p>
    <w:p>
      <w:pPr>
        <w:ind w:firstLine="1620"/>
        <w:spacing w:after="0" w:line="271"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Representations, Warranties and Covenants</w:t>
      </w:r>
      <w:r>
        <w:rPr>
          <w:rFonts w:ascii="Times New Roman" w:cs="Times New Roman" w:eastAsia="Times New Roman" w:hAnsi="Times New Roman"/>
          <w:sz w:val="22"/>
          <w:szCs w:val="22"/>
          <w:color w:val="auto"/>
        </w:rPr>
        <w:t>. The Grantors jointly and severally represent, warrant and covenant to and with the Notes Collateral Agent, for the benefit of the Noteholder Secured Parties, that:</w:t>
      </w:r>
    </w:p>
    <w:p>
      <w:pPr>
        <w:spacing w:after="0" w:line="171" w:lineRule="exact"/>
        <w:rPr>
          <w:sz w:val="20"/>
          <w:szCs w:val="20"/>
          <w:color w:val="auto"/>
        </w:rPr>
      </w:pPr>
    </w:p>
    <w:p>
      <w:pPr>
        <w:ind w:left="1940" w:hanging="636"/>
        <w:spacing w:after="0"/>
        <w:tabs>
          <w:tab w:leader="none" w:pos="1940" w:val="left"/>
        </w:tabs>
        <w:numPr>
          <w:ilvl w:val="1"/>
          <w:numId w:val="4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Schedule II hereto sets forth a true and complete list, with respect to each Grantor, of</w:t>
      </w:r>
    </w:p>
    <w:p>
      <w:pPr>
        <w:spacing w:after="0" w:line="39" w:lineRule="exact"/>
        <w:rPr>
          <w:rFonts w:ascii="Times New Roman" w:cs="Times New Roman" w:eastAsia="Times New Roman" w:hAnsi="Times New Roman"/>
          <w:sz w:val="21"/>
          <w:szCs w:val="21"/>
          <w:color w:val="auto"/>
        </w:rPr>
      </w:pPr>
    </w:p>
    <w:p>
      <w:pPr>
        <w:jc w:val="both"/>
        <w:ind w:firstLine="8"/>
        <w:spacing w:after="0" w:line="245" w:lineRule="auto"/>
        <w:tabs>
          <w:tab w:leader="none" w:pos="266"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Pledged Equity Interests owned by such Grantor in the Issuer, any Intermediate Parent or any other Subsidiary and the percentage of the issued and outstanding units of each class of the Equity Interests of the issuer thereof represented by the Pledged Equity Interests owned by such Grantor and (ii) all the Pledged Debt Securities owned by such Grantor;</w:t>
      </w:r>
    </w:p>
    <w:p>
      <w:pPr>
        <w:spacing w:after="0" w:line="18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9" w:val="left"/>
        </w:tabs>
        <w:numPr>
          <w:ilvl w:val="1"/>
          <w:numId w:val="4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Pledged Equity Interests and the Pledged Debt Securities have been duly and validly authorized and issued by the issuers thereof and (i) in the case of Pledged Equity Interests, are fully paid and nonassessable and (ii) in the case of Pledged Debt Securities, are legal, valid and binding obligations of the issuers thereof, except to the extent that enforceability of such obligations may be limited by applicable bankruptcy, insolvency, and other similar laws affecting creditor’s rights generally;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representations, insofar as they relate to the Pledged Collateral issued by a Person other than Holdings, any Intermediate Parent, the Issuer or any Subsidiary, are made to the knowledge of the Grantors;</w:t>
      </w:r>
    </w:p>
    <w:p>
      <w:pPr>
        <w:spacing w:after="0" w:line="182"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1" w:val="left"/>
        </w:tabs>
        <w:numPr>
          <w:ilvl w:val="1"/>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security interests granted hereunder and under any other Notes Documents, each of the Grantors (i) is and, subject to any transfers made in compliance with the Indenture, will continue to be the direct owner, beneficially and of record, of the Pledged Securities indicated on Schedule II hereto as owned by such Grantor, (ii) holds the same free and clear of all Liens, other than Liens permitted pursuant to Section 4.12 of the Indenture and transfers made in compliance with the Indenture, (iii) will make no further assignment, pledge, hypothecation or transfer of, or create or permit to exist any security interest in or other Lien on, the Pledged Collateral, other than Liens permitted pursuant to Section 4.12 of the Indenture and transfers made in compliance with the Indenture, and (iv) will use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401" w:name="page402"/>
    <w:bookmarkEnd w:id="401"/>
    <w:p>
      <w:pPr>
        <w:jc w:val="both"/>
        <w:spacing w:after="0" w:line="257" w:lineRule="auto"/>
        <w:rPr>
          <w:sz w:val="20"/>
          <w:szCs w:val="20"/>
          <w:color w:val="auto"/>
        </w:rPr>
      </w:pPr>
      <w:r>
        <w:rPr>
          <w:rFonts w:ascii="Times New Roman" w:cs="Times New Roman" w:eastAsia="Times New Roman" w:hAnsi="Times New Roman"/>
          <w:sz w:val="22"/>
          <w:szCs w:val="22"/>
          <w:color w:val="auto"/>
        </w:rPr>
        <w:t>reasonable efforts to defend its title or interest thereto or therein against any and all Liens (other than the Liens created by this Agreement and the other Notes Documents and Liens permitted pursuant to Section 4.12 of the Indenture), however arising, of all Persons whomsoever;</w:t>
      </w:r>
    </w:p>
    <w:p>
      <w:pPr>
        <w:spacing w:after="0" w:line="186" w:lineRule="exact"/>
        <w:rPr>
          <w:sz w:val="20"/>
          <w:szCs w:val="20"/>
          <w:color w:val="auto"/>
        </w:rPr>
      </w:pPr>
    </w:p>
    <w:p>
      <w:pPr>
        <w:jc w:val="both"/>
        <w:ind w:firstLine="1304"/>
        <w:spacing w:after="0" w:line="249" w:lineRule="auto"/>
        <w:tabs>
          <w:tab w:leader="none" w:pos="1939"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restrictions and limitations imposed or permitted by the Notes Documents, Applicable Nuclear Laws or securities laws generally, the Pledged Equity Interests and, to the extent issued by Holdings, any Intermediate Parent, the Issuer or any Subsidiary, the Pledged Debt Securities are and will continue to be freely transferable and assignable, and none of the Pledged Equity Interests and, to the extent issued by Holdings, any Intermediate Parent, the Issuer or any Subsidiary, none of the Pledged Debt Securities are or will be subject to any option, right of first refusal, shareholders agreement or Organizational Document provisions of any nature that might prohibit, impair, delay or otherwise affect in any manner adverse to the Noteholder Secured Parties in any material respect the pledge of such Pledged Collateral hereunder, the sale or disposition thereof pursuant hereto or the exercise by the Notes Collateral Agent of rights and remedies hereunder;</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Grantors has the power and authority to pledge the Pledged Collateral pledged by it hereunder in the manner hereby done or contemplated;</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virtue of the execution and delivery by the Grantors of this Agreement, when any Pledged Securities are delivered to the Notes Collateral Agent in accordance with this Agreement, the Notes Collateral Agent will obtain a legal, valid and perfected lien upon and security interest in such Pledged Securities, free of any adverse claims, under the New York UCC to the extent such lien and security interest may be created and perfected under the New York UCC, as security for the payment and performance of the Notes Obligations; and</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Agreement and the Pari Passu Intercreditor Agreement and to the extent permitted by applicable law, each Grantor hereby agrees that upon the occurrence and during the continuance of an Event of Default, it will comply with the instructions of the Notes Collateral Agent with respect to the Equity Interests in such Grantor that constitute Pledged Equity Interests hereunder that are not certificated without further consent by the applicable owner or holder of such Equity Interests.</w:t>
      </w:r>
    </w:p>
    <w:p>
      <w:pPr>
        <w:spacing w:after="0" w:line="179" w:lineRule="exact"/>
        <w:rPr>
          <w:sz w:val="20"/>
          <w:szCs w:val="20"/>
          <w:color w:val="auto"/>
        </w:rPr>
      </w:pPr>
    </w:p>
    <w:p>
      <w:pPr>
        <w:jc w:val="both"/>
        <w:ind w:firstLine="1620"/>
        <w:spacing w:after="0" w:line="249"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Registration in Nominee Name; Denominations</w:t>
      </w:r>
      <w:r>
        <w:rPr>
          <w:rFonts w:ascii="Times New Roman" w:cs="Times New Roman" w:eastAsia="Times New Roman" w:hAnsi="Times New Roman"/>
          <w:sz w:val="22"/>
          <w:szCs w:val="22"/>
          <w:color w:val="auto"/>
        </w:rPr>
        <w:t>. Subject to the Pari Passu Intercreditor Agreement, if an Event of Default shall have occurred and is continuing and the Notes Collateral Agent shall have notified the Grantors in writing of its intent to exercise such rights, the Notes Collateral Agent, on behalf of the Noteholder Secured Parties, shall have the right (in its sole and absolute discretion) to hold the Pledged Securities in the name of the applicable Grantor, endorsed or assigned in blank or in favor of the Notes Collateral Agent or in its own name as pledgee or in the name of its nominee (as pledgee or as sub-agent), and each Grantor will promptly give to the Notes Collateral Agent copies of any notices or other communications received by it with respect to Pledged Securities registered in the name of such Grantor. Upon the occurrence and during the continuance of an Event of Default, the Notes Collateral Agent shall at all times have the right to exchange the certificates representing Pledged Securities for certificates of smaller or larger denominations for any reasonable purpose consistent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402" w:name="page403"/>
    <w:bookmarkEnd w:id="402"/>
    <w:p>
      <w:pPr>
        <w:jc w:val="both"/>
        <w:ind w:firstLine="1620"/>
        <w:spacing w:after="0" w:line="257"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Voting Rights; Dividends and Interest</w:t>
      </w:r>
      <w:r>
        <w:rPr>
          <w:rFonts w:ascii="Times New Roman" w:cs="Times New Roman" w:eastAsia="Times New Roman" w:hAnsi="Times New Roman"/>
          <w:sz w:val="22"/>
          <w:szCs w:val="22"/>
          <w:color w:val="auto"/>
        </w:rPr>
        <w:t>. (a) Unless and until an Event of Default shall have occurred and is continuing and the Notes Collateral Agent shall have notified the Grantors in writing that their rights under this Section 2.05 are being suspended:</w:t>
      </w:r>
    </w:p>
    <w:p>
      <w:pPr>
        <w:spacing w:after="0" w:line="186" w:lineRule="exact"/>
        <w:rPr>
          <w:sz w:val="20"/>
          <w:szCs w:val="20"/>
          <w:color w:val="auto"/>
        </w:rPr>
      </w:pPr>
    </w:p>
    <w:p>
      <w:pPr>
        <w:jc w:val="both"/>
        <w:ind w:left="660" w:firstLine="903"/>
        <w:spacing w:after="0" w:line="250" w:lineRule="auto"/>
        <w:tabs>
          <w:tab w:leader="none" w:pos="1946"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Grantor shall be entitled to exercise any and all voting and/or other consensual rights and powers inuring to an owner of Pledged Securities or any part thereof for any purpose consistent with the terms of this Agreement, the Indenture and the other Notes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rights and powers shall not be exercised in any manner that could materially and adversely affect the rights inuring to a holder of any Pledged Securities or the rights and remedies of any of the Notes Collateral Agent or the other Noteholder Secured Parties under this Agreement or any other Notes Document or the ability of the Noteholder Secured Parties to exercise the same, unless such exercise of rights and powers is in connection with an action permitted under the Indenture and the other Notes Documents;</w:t>
      </w:r>
    </w:p>
    <w:p>
      <w:pPr>
        <w:spacing w:after="0" w:line="180" w:lineRule="exact"/>
        <w:rPr>
          <w:rFonts w:ascii="Times New Roman" w:cs="Times New Roman" w:eastAsia="Times New Roman" w:hAnsi="Times New Roman"/>
          <w:sz w:val="22"/>
          <w:szCs w:val="22"/>
          <w:color w:val="auto"/>
        </w:rPr>
      </w:pPr>
    </w:p>
    <w:p>
      <w:pPr>
        <w:jc w:val="both"/>
        <w:ind w:left="660" w:firstLine="903"/>
        <w:spacing w:after="0" w:line="252" w:lineRule="auto"/>
        <w:tabs>
          <w:tab w:leader="none" w:pos="1952"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Collateral Agent shall promptly execute and deliver to each Grantor, or cause to be promptly executed and delivered to such Grantor, at such Grantor’s sole expense, all such proxies, powers of attorney and other instruments as such Grantor may reasonably request for the purpose of enabling such Grantor to exercise the voting and/or consensual rights and powers it is entitled to exercise pursuant to paragraph (a)(i) of this Section; and</w:t>
      </w:r>
    </w:p>
    <w:p>
      <w:pPr>
        <w:spacing w:after="0" w:line="192" w:lineRule="exact"/>
        <w:rPr>
          <w:rFonts w:ascii="Times New Roman" w:cs="Times New Roman" w:eastAsia="Times New Roman" w:hAnsi="Times New Roman"/>
          <w:sz w:val="22"/>
          <w:szCs w:val="22"/>
          <w:color w:val="auto"/>
        </w:rPr>
      </w:pPr>
    </w:p>
    <w:p>
      <w:pPr>
        <w:jc w:val="both"/>
        <w:ind w:left="660" w:firstLine="903"/>
        <w:spacing w:after="0" w:line="259" w:lineRule="auto"/>
        <w:tabs>
          <w:tab w:leader="none" w:pos="1945" w:val="left"/>
        </w:tabs>
        <w:numPr>
          <w:ilvl w:val="0"/>
          <w:numId w:val="4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Grantor shall be entitled to receive and retain any and all dividends, interest, principal, premium and other distributions paid on or distributed in respect of the Pledged Securities to the extent and only to the extent that such dividends, interest, principal, premium and other distributions are permitted by, and are otherwise paid or distributed in accordance with, the terms and conditions of the Indenture, the other Notes Documents and applicable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noncash dividends, interest, principal, premium or other distributions that would constitute Pledged Equity Interests or Pledged Debt Securities, whether resulting from a subdivision, combination or reclassification of the outstanding Equity Interests in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be, subject to the Pari Passu Intercreditor Agreement, held in trust for the benefit of the Trustee and the other Noteholder Secured Parties and shall be forthwith delivered to the Notes Collateral Agent in the same form as so received (with any necessary endorsements, stock or note powers and other instruments of transfer reasonably requested by the Notes Collateral Agent). So long as no Event of Default has occurred and is continuing, the Notes Collateral Agent, at such Grantor’s sole expense, shall promptly deliver to each Grantor any Pledged Securities in its possession if requested to be delivered to the issuer thereof in connection with any sale, transfer, disposition, exchange or redemption of such Pledged Securities permitted by the Indenture in accordance with this Section 2.05(a)(iii), subject to receipt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403" w:name="page404"/>
    <w:bookmarkEnd w:id="403"/>
    <w:p>
      <w:pPr>
        <w:ind w:left="500"/>
        <w:spacing w:after="0" w:line="271" w:lineRule="auto"/>
        <w:rPr>
          <w:sz w:val="20"/>
          <w:szCs w:val="20"/>
          <w:color w:val="auto"/>
        </w:rPr>
      </w:pPr>
      <w:r>
        <w:rPr>
          <w:rFonts w:ascii="Times New Roman" w:cs="Times New Roman" w:eastAsia="Times New Roman" w:hAnsi="Times New Roman"/>
          <w:sz w:val="22"/>
          <w:szCs w:val="22"/>
          <w:color w:val="auto"/>
        </w:rPr>
        <w:t>Notes Collateral Agent of a certificate of a Responsible Officer of the Issuer with respect thereto and other documents reasonably requested by the Notes Collateral Agent.</w:t>
      </w:r>
    </w:p>
    <w:p>
      <w:pPr>
        <w:spacing w:after="0" w:line="158" w:lineRule="exact"/>
        <w:rPr>
          <w:sz w:val="20"/>
          <w:szCs w:val="20"/>
          <w:color w:val="auto"/>
        </w:rPr>
      </w:pPr>
    </w:p>
    <w:p>
      <w:pPr>
        <w:jc w:val="both"/>
        <w:ind w:left="-160" w:firstLine="1304"/>
        <w:spacing w:after="0" w:line="247" w:lineRule="auto"/>
        <w:tabs>
          <w:tab w:leader="none" w:pos="1779"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and during the continuance of an Event of Default, after the Notes Collateral Agent shall have notified the Grantors of the suspension of their rights under paragraph (a)(iii) of this Section 2.05, all rights of any Grantor to dividends, interest, principal, premium or other distributions that such Grantor is authorized to receive pursuant to paragraph (a)(iii) of this Section 2.05 shall cease, and all such rights shall thereupon become vested in the Notes Collateral Agent, which shall have the sole and exclusive right and authority to receive and retain such dividends, interest, principal, premium or other distributions, subject to the Pari Passu Intercreditor Agreement. All dividends, interest, principal, premium or other distributions received by any Grantor upon the occurrence and during the continuance of an Event of Default contrary to the provisions of this Section 2.05 shall be, subject to the terms of the Pari Passu Intercreditor Agreement, held for the benefit of the Notes Collateral Agent and the other Noteholder Secured Parties and shall be segregated from other property or funds of such Grantor and shall be forthwith delivered to the Notes Collateral Agent upon demand in the same form as so received (with any necessary endorsements, stock or note powers and other instruments of transfer reasonably requested by the Notes Collateral Agent). Any and all money and other property paid over to or received by the Notes Collateral Agent pursuant to the provisions of this paragraph (b) shall be retained by the Notes Collateral Agent in an account to be established by the Notes Collateral Agent upon receipt of such money or other property and, to the extent so received, shall, subject to any applicable Intercreditor Agreement entered into pursuant to the Indenture, be applied in accordance with the provisions of Section 6.13 of the Indenture. After all Events of Default have been cured or waived and the Issuer has delivered to the Notes Collateral Agent a certificate of a Responsible Officer of the Issuer to that effect, the Notes Collateral Agent shall promptly repay to each Grantor (without interest) all dividends, interest, principal, premium or other distributions that such Grantor would otherwise be permitted to retain pursuant to the terms of paragraph (a)(iii) of this Section 2.05 and that remain in such account.</w:t>
      </w:r>
    </w:p>
    <w:p>
      <w:pPr>
        <w:spacing w:after="0" w:line="196" w:lineRule="exact"/>
        <w:rPr>
          <w:rFonts w:ascii="Times New Roman" w:cs="Times New Roman" w:eastAsia="Times New Roman" w:hAnsi="Times New Roman"/>
          <w:sz w:val="22"/>
          <w:szCs w:val="22"/>
          <w:color w:val="auto"/>
        </w:rPr>
      </w:pPr>
    </w:p>
    <w:p>
      <w:pPr>
        <w:jc w:val="both"/>
        <w:ind w:left="-160" w:firstLine="1304"/>
        <w:spacing w:after="0" w:line="249" w:lineRule="auto"/>
        <w:tabs>
          <w:tab w:leader="none" w:pos="1781"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and during the continuance of an Event of Default, and upon three (3) Business Days’ notice to the Issuer or the applicable Grantor of the suspension of such Grantor’s rights under paragraph (a)(i) of this Section 2.05, all rights of any Grantor to exercise the voting and consensual rights and powers it is entitled to exercise pursuant to paragraph (a)(i) of this Section 2.05, and the obligations of the Notes Collateral Agent under paragraph (a)(ii) of this Section 2.05, shall cease, and, subject to the Pari Passu Intercreditor Agreement, all such rights shall thereupon become vested in the Notes Collateral Agent, which shall have the sole and exclusive right and authority to exercise such voting and consensual rights and powers. After all Events of Default have been cured or waived and the Issuer has delivered to the Notes Collateral Agent a certificate of a Responsible Officer of the Issuer to that effect, all rights vested in the Notes Collateral Agent pursuant to this paragraph (c) shall cease, and the Grantors shall have the exclusive right to exercise the voting and consensual rights and powers they would otherwise be entitled to exercise pursuant to paragraph (a)(i) of this Section 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80"/>
          </w:cols>
          <w:pgMar w:left="480" w:top="1421" w:right="339" w:bottom="1440" w:gutter="0" w:footer="0" w:header="0"/>
        </w:sectPr>
      </w:pPr>
    </w:p>
    <w:bookmarkStart w:id="404" w:name="page405"/>
    <w:bookmarkEnd w:id="404"/>
    <w:p>
      <w:pPr>
        <w:jc w:val="both"/>
        <w:ind w:firstLine="1304"/>
        <w:spacing w:after="0" w:line="250" w:lineRule="auto"/>
        <w:tabs>
          <w:tab w:leader="none" w:pos="1939" w:val="left"/>
        </w:tabs>
        <w:numPr>
          <w:ilvl w:val="0"/>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notice given by the Notes Collateral Agent to the Grantors, as applicable, suspending their rights under paragraph (a) of this Section 2.05 (i) may be given by telephone if promptly confirmed in writing, (ii) may be given with respect to one or more of the Grantors at the same or different times and (iii) may suspend the rights of the Grantors under paragraph (a)(i) or paragraph (a)(iii) of this Section 2.05 in part without suspending all such rights (as specified by the Notes Collateral Agent in its sole and absolute discretion) and without waiving or otherwise affecting the Notes Collateral Agent’s rights to give additional notices from time to time suspending other rights;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Notes Collateral Agent shall only give any such notice if an Event of Default has occurred and is continuing.</w:t>
      </w:r>
    </w:p>
    <w:p>
      <w:pPr>
        <w:spacing w:after="0" w:line="180" w:lineRule="exact"/>
        <w:rPr>
          <w:sz w:val="20"/>
          <w:szCs w:val="20"/>
          <w:color w:val="auto"/>
        </w:rPr>
      </w:pPr>
    </w:p>
    <w:p>
      <w:pPr>
        <w:jc w:val="both"/>
        <w:ind w:firstLine="1620"/>
        <w:spacing w:after="0" w:line="250"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Article 8 Opt-In</w:t>
      </w:r>
      <w:r>
        <w:rPr>
          <w:rFonts w:ascii="Times New Roman" w:cs="Times New Roman" w:eastAsia="Times New Roman" w:hAnsi="Times New Roman"/>
          <w:sz w:val="22"/>
          <w:szCs w:val="22"/>
          <w:color w:val="auto"/>
        </w:rPr>
        <w:t>. No Grantor shall take any action to cause any membership interest, partnership interest, or other equity interest of any limited liability company or limited partnership owned or controlled by any Grantor comprising Collateral to be or become a “security” within the meaning of, or to be governed by Article 8 of the UCC as in effect under the laws of any state having jurisdiction and shall not cause or permit any such limited liability company or limited partnership to “opt in” or to take any other action seeking to establish any membership interest, partnership interest or other equity interest of such limited liability company or limited partnership comprising the Collateral as a “security”, without such security being a certificated security, and in each case, unless such Grantor (i) delivers all certificates evidencing such interest to the Notes Collateral Agent in accordance with and as required by Section 2.02 and (ii) provides the Notes Collateral Agent with control (as defined in Article 8-106 of the UCC) of any such security.</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Security Interests in Personal Property</w:t>
      </w:r>
    </w:p>
    <w:p>
      <w:pPr>
        <w:spacing w:after="0" w:line="233"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(a) As security for the payment or performance, as the case may be, in full of the Notes Obligations, each Grantor hereby pledges, assigns and grants to the Notes Collateral Agent, its successors and assigns, for the benefit of the Noteholder Secured Parties, a security interest (the “</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in all of such Grantor’s right, title and interest in, to and under any and all of the following assets now owned or at any time hereafter acquired by such Grantor or in which such Grantor now has or at any time in the future may acquire any right, title or interest, regardless of where located (collectively, the “</w:t>
      </w:r>
      <w:r>
        <w:rPr>
          <w:rFonts w:ascii="Times New Roman" w:cs="Times New Roman" w:eastAsia="Times New Roman" w:hAnsi="Times New Roman"/>
          <w:sz w:val="22"/>
          <w:szCs w:val="22"/>
          <w:u w:val="single" w:color="auto"/>
          <w:color w:val="auto"/>
        </w:rPr>
        <w:t>Article 9 Collateral</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940" w:hanging="377"/>
        <w:spacing w:after="0"/>
        <w:tabs>
          <w:tab w:leader="none" w:pos="1940"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w:t>
      </w:r>
    </w:p>
    <w:p>
      <w:pPr>
        <w:spacing w:after="0" w:line="219" w:lineRule="exact"/>
        <w:rPr>
          <w:rFonts w:ascii="Times New Roman" w:cs="Times New Roman" w:eastAsia="Times New Roman" w:hAnsi="Times New Roman"/>
          <w:sz w:val="22"/>
          <w:szCs w:val="22"/>
          <w:color w:val="auto"/>
        </w:rPr>
      </w:pPr>
    </w:p>
    <w:p>
      <w:pPr>
        <w:ind w:left="1940" w:hanging="377"/>
        <w:spacing w:after="0"/>
        <w:tabs>
          <w:tab w:leader="none" w:pos="1940"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Chattel Paper;</w:t>
      </w:r>
    </w:p>
    <w:p>
      <w:pPr>
        <w:spacing w:after="0" w:line="219" w:lineRule="exact"/>
        <w:rPr>
          <w:rFonts w:ascii="Times New Roman" w:cs="Times New Roman" w:eastAsia="Times New Roman" w:hAnsi="Times New Roman"/>
          <w:sz w:val="22"/>
          <w:szCs w:val="22"/>
          <w:color w:val="auto"/>
        </w:rPr>
      </w:pPr>
    </w:p>
    <w:p>
      <w:pPr>
        <w:ind w:left="1940" w:hanging="377"/>
        <w:spacing w:after="0"/>
        <w:tabs>
          <w:tab w:leader="none" w:pos="1940"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Deposit Accounts;</w:t>
      </w:r>
    </w:p>
    <w:p>
      <w:pPr>
        <w:spacing w:after="0" w:line="219" w:lineRule="exact"/>
        <w:rPr>
          <w:rFonts w:ascii="Times New Roman" w:cs="Times New Roman" w:eastAsia="Times New Roman" w:hAnsi="Times New Roman"/>
          <w:sz w:val="22"/>
          <w:szCs w:val="22"/>
          <w:color w:val="auto"/>
        </w:rPr>
      </w:pPr>
    </w:p>
    <w:p>
      <w:pPr>
        <w:ind w:left="1940" w:hanging="377"/>
        <w:spacing w:after="0"/>
        <w:tabs>
          <w:tab w:leader="none" w:pos="1940"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w:t>
      </w:r>
    </w:p>
    <w:p>
      <w:pPr>
        <w:spacing w:after="0" w:line="219" w:lineRule="exact"/>
        <w:rPr>
          <w:rFonts w:ascii="Times New Roman" w:cs="Times New Roman" w:eastAsia="Times New Roman" w:hAnsi="Times New Roman"/>
          <w:sz w:val="22"/>
          <w:szCs w:val="22"/>
          <w:color w:val="auto"/>
        </w:rPr>
      </w:pPr>
    </w:p>
    <w:p>
      <w:pPr>
        <w:ind w:left="1940" w:hanging="377"/>
        <w:spacing w:after="0"/>
        <w:tabs>
          <w:tab w:leader="none" w:pos="1940"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w:t>
      </w:r>
    </w:p>
    <w:p>
      <w:pPr>
        <w:spacing w:after="0" w:line="233" w:lineRule="exact"/>
        <w:rPr>
          <w:rFonts w:ascii="Times New Roman" w:cs="Times New Roman" w:eastAsia="Times New Roman" w:hAnsi="Times New Roman"/>
          <w:sz w:val="22"/>
          <w:szCs w:val="22"/>
          <w:color w:val="auto"/>
        </w:rPr>
      </w:pPr>
    </w:p>
    <w:p>
      <w:pPr>
        <w:ind w:left="1940" w:hanging="377"/>
        <w:spacing w:after="0"/>
        <w:tabs>
          <w:tab w:leader="none" w:pos="1940"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General Intangibles, including all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405" w:name="page406"/>
    <w:bookmarkEnd w:id="405"/>
    <w:p>
      <w:pPr>
        <w:ind w:left="1560"/>
        <w:spacing w:after="0"/>
        <w:rPr>
          <w:sz w:val="20"/>
          <w:szCs w:val="20"/>
          <w:color w:val="auto"/>
        </w:rPr>
      </w:pPr>
      <w:r>
        <w:rPr>
          <w:rFonts w:ascii="Times New Roman" w:cs="Times New Roman" w:eastAsia="Times New Roman" w:hAnsi="Times New Roman"/>
          <w:sz w:val="22"/>
          <w:szCs w:val="22"/>
          <w:color w:val="auto"/>
        </w:rPr>
        <w:t>(vii)all Instruments;</w:t>
      </w:r>
    </w:p>
    <w:p>
      <w:pPr>
        <w:spacing w:after="0" w:line="220" w:lineRule="exact"/>
        <w:rPr>
          <w:sz w:val="20"/>
          <w:szCs w:val="20"/>
          <w:color w:val="auto"/>
        </w:rPr>
      </w:pPr>
    </w:p>
    <w:p>
      <w:pPr>
        <w:ind w:left="2580" w:hanging="1017"/>
        <w:spacing w:after="0"/>
        <w:tabs>
          <w:tab w:leader="none" w:pos="258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w:t>
      </w:r>
    </w:p>
    <w:p>
      <w:pPr>
        <w:spacing w:after="0" w:line="219" w:lineRule="exact"/>
        <w:rPr>
          <w:rFonts w:ascii="Times New Roman" w:cs="Times New Roman" w:eastAsia="Times New Roman" w:hAnsi="Times New Roman"/>
          <w:sz w:val="22"/>
          <w:szCs w:val="22"/>
          <w:color w:val="auto"/>
        </w:rPr>
      </w:pPr>
    </w:p>
    <w:p>
      <w:pPr>
        <w:ind w:left="1940" w:hanging="377"/>
        <w:spacing w:after="0"/>
        <w:tabs>
          <w:tab w:leader="none" w:pos="194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Goods;</w:t>
      </w:r>
    </w:p>
    <w:p>
      <w:pPr>
        <w:spacing w:after="0" w:line="233" w:lineRule="exact"/>
        <w:rPr>
          <w:rFonts w:ascii="Times New Roman" w:cs="Times New Roman" w:eastAsia="Times New Roman" w:hAnsi="Times New Roman"/>
          <w:sz w:val="22"/>
          <w:szCs w:val="22"/>
          <w:color w:val="auto"/>
        </w:rPr>
      </w:pPr>
    </w:p>
    <w:p>
      <w:pPr>
        <w:ind w:left="1960" w:hanging="397"/>
        <w:spacing w:after="0"/>
        <w:tabs>
          <w:tab w:leader="none" w:pos="196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Investment Property;</w:t>
      </w:r>
    </w:p>
    <w:p>
      <w:pPr>
        <w:spacing w:after="0" w:line="219" w:lineRule="exact"/>
        <w:rPr>
          <w:rFonts w:ascii="Times New Roman" w:cs="Times New Roman" w:eastAsia="Times New Roman" w:hAnsi="Times New Roman"/>
          <w:sz w:val="22"/>
          <w:szCs w:val="22"/>
          <w:color w:val="auto"/>
        </w:rPr>
      </w:pPr>
    </w:p>
    <w:p>
      <w:pPr>
        <w:ind w:left="1940" w:hanging="377"/>
        <w:spacing w:after="0"/>
        <w:tabs>
          <w:tab w:leader="none" w:pos="194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Letter-of-Credit Rights;</w:t>
      </w:r>
    </w:p>
    <w:p>
      <w:pPr>
        <w:spacing w:after="0" w:line="220" w:lineRule="exact"/>
        <w:rPr>
          <w:sz w:val="20"/>
          <w:szCs w:val="20"/>
          <w:color w:val="auto"/>
        </w:rPr>
      </w:pPr>
    </w:p>
    <w:p>
      <w:pPr>
        <w:ind w:left="660" w:firstLine="907"/>
        <w:spacing w:after="0" w:line="271" w:lineRule="auto"/>
        <w:rPr>
          <w:sz w:val="20"/>
          <w:szCs w:val="20"/>
          <w:color w:val="auto"/>
        </w:rPr>
      </w:pPr>
      <w:r>
        <w:rPr>
          <w:rFonts w:ascii="Times New Roman" w:cs="Times New Roman" w:eastAsia="Times New Roman" w:hAnsi="Times New Roman"/>
          <w:sz w:val="22"/>
          <w:szCs w:val="22"/>
          <w:color w:val="auto"/>
        </w:rPr>
        <w:t>(xii)all Commercial Tort Claims specifically described on Schedule IV hereto, as such schedule may be supplemented from time to time pursuant to Section 3.04(c);</w:t>
      </w:r>
    </w:p>
    <w:p>
      <w:pPr>
        <w:spacing w:after="0" w:line="158" w:lineRule="exact"/>
        <w:rPr>
          <w:sz w:val="20"/>
          <w:szCs w:val="20"/>
          <w:color w:val="auto"/>
        </w:rPr>
      </w:pPr>
    </w:p>
    <w:p>
      <w:pPr>
        <w:ind w:left="2580" w:hanging="1017"/>
        <w:spacing w:after="0"/>
        <w:tabs>
          <w:tab w:leader="none" w:pos="2580"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and records pertaining to the Article 9 Collateral; and</w:t>
      </w:r>
    </w:p>
    <w:p>
      <w:pPr>
        <w:spacing w:after="0" w:line="233" w:lineRule="exact"/>
        <w:rPr>
          <w:rFonts w:ascii="Times New Roman" w:cs="Times New Roman" w:eastAsia="Times New Roman" w:hAnsi="Times New Roman"/>
          <w:sz w:val="22"/>
          <w:szCs w:val="22"/>
          <w:color w:val="auto"/>
        </w:rPr>
      </w:pPr>
    </w:p>
    <w:p>
      <w:pPr>
        <w:ind w:left="660" w:firstLine="903"/>
        <w:spacing w:after="0" w:line="271" w:lineRule="auto"/>
        <w:tabs>
          <w:tab w:leader="none" w:pos="2594"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the Security Interest attach to (A) any Excluded Asset (including any Excluded Equity Interest), or</w:t>
      </w:r>
    </w:p>
    <w:p>
      <w:pPr>
        <w:spacing w:after="0" w:line="39" w:lineRule="exact"/>
        <w:rPr>
          <w:sz w:val="20"/>
          <w:szCs w:val="20"/>
          <w:color w:val="auto"/>
        </w:rPr>
      </w:pPr>
    </w:p>
    <w:p>
      <w:pPr>
        <w:jc w:val="both"/>
        <w:ind w:firstLine="8"/>
        <w:spacing w:after="0" w:line="260" w:lineRule="auto"/>
        <w:tabs>
          <w:tab w:leader="none" w:pos="353" w:val="left"/>
        </w:tabs>
        <w:numPr>
          <w:ilvl w:val="0"/>
          <w:numId w:val="4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asset owned by any Grantor that the Issuer and the Notes Collateral Agent shall have agreed in writing to exclude from being Article 9 Collateral on account of the cost of creating a security interest in such asset hereunder being excessive in view of the benefits to be obtained by the Noteholder Secured Parties therefrom. It is understood that, to the extent the Security Interest shall not have attached to any such asset as a result of clauses (A) or (B) above, the term “Article 9 Collateral” shall not include any such asset;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Article 9 Collateral shall include any Proceeds, substitutions or replacements of any of the foregoing (unless such Proceeds, substitutions or replacements would constitute property referred to in clauses (A) or (B)).</w:t>
      </w:r>
    </w:p>
    <w:p>
      <w:pPr>
        <w:spacing w:after="0" w:line="201"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39" w:val="left"/>
        </w:tabs>
        <w:numPr>
          <w:ilvl w:val="1"/>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will file or cause the filing of and hereby irrevocably authorizes, but nothing in this Agreement obligates, the Notes Collateral Agent to file for the benefit of the Noteholder Secured Parties at any time and from time to time to file in any relevant U.S. jurisdiction any financing statements, with respect to the Collateral or any part thereof and amendments thereto that (i) describe the collateral covered thereby in any manner necessary or advisable, or that the Notes Collateral Agent reasonably determines to be necessary or advisable to ensure the perfection of the security interest in the Collateral granted under this Agreement, including indicating the Collateral as “all assets” of such Grantor or words of similar effect, and (ii) contain the information required by Article 9 of the UCC for the filing of any financing statement or amendment, including whether such Grantor is an organization, the type of organization and, if required, any organizational identification number issued to such Grantor. Each Grantor agrees to provide such information to the Notes Collateral Agent promptly upon request.</w:t>
      </w:r>
    </w:p>
    <w:p>
      <w:pPr>
        <w:spacing w:after="0" w:line="183"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Each Grantor further authorizes, but nothing in this Agreement obligates, the Notes Collateral Agent to file the Copyright Security Agreement, Patent Security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406" w:name="page407"/>
    <w:bookmarkEnd w:id="406"/>
    <w:p>
      <w:pPr>
        <w:jc w:val="both"/>
        <w:spacing w:after="0" w:line="251" w:lineRule="auto"/>
        <w:rPr>
          <w:sz w:val="20"/>
          <w:szCs w:val="20"/>
          <w:color w:val="auto"/>
        </w:rPr>
      </w:pPr>
      <w:r>
        <w:rPr>
          <w:rFonts w:ascii="Times New Roman" w:cs="Times New Roman" w:eastAsia="Times New Roman" w:hAnsi="Times New Roman"/>
          <w:sz w:val="22"/>
          <w:szCs w:val="22"/>
          <w:color w:val="auto"/>
        </w:rPr>
        <w:t>Trademark Security Agreement with the United States Patent and Trademark Office or United States Copyright Office (or any successor office in the United States, but not any office in any other country), as applicable, and any such additional documents pursuant to Section 3.05(b) as may be reasonably necessary or advisable for the purpose of perfecting, confirming, continuing, enforcing or protecting the Security Interest in Article 9 Collateral consisting of Patents, Trademarks or Copyrights registered or applied-for in the United States, granted by each Grantor and naming any Grantor or the Grantors as debtors and the Notes Collateral Agent as Noteholder Secured Party.</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The Security Interest and the security interest granted pursuant to Article II are granted as security only and shall not subject the Notes Collateral Agent or any other Noteholder Secured Party to, or in any way alter or modify, any obligation or liability of any Grantor with respect to or arising out of the Collateral. Each Grantor shall also file or cause the filing of, and the Notes Collateral Agent is further authorized to file, the Copyright Security Agreement, Patent Security Agreement and Trademark Security Agreement with the United States Patent and Trademark Office or United States Copyright Office (or any successor office in the United States, but not any office in any other country), as applicable, and any such additional documents pursuant to Section 3.05(b) as may be reasonably necessary or advisable for the purpose of perfecting, confirming, continuing, enforcing or protecting the Security Interest in Article 9 Collateral consisting of Patents, Trademarks or Copyrights registered or applied-for in the United States, granted by each Grantor and naming any Grantor or the Grantors as debtors and the Notes Collateral Agent as Noteholder Secured Party.</w:t>
      </w:r>
    </w:p>
    <w:p>
      <w:pPr>
        <w:spacing w:after="0" w:line="183" w:lineRule="exact"/>
        <w:rPr>
          <w:sz w:val="20"/>
          <w:szCs w:val="20"/>
          <w:color w:val="auto"/>
        </w:rPr>
      </w:pPr>
    </w:p>
    <w:p>
      <w:pPr>
        <w:jc w:val="both"/>
        <w:ind w:firstLine="1620"/>
        <w:spacing w:after="0" w:line="271"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Grantors jointly and severally represent and warrant to the Notes Collateral Agent, for the benefit of the Noteholder Secured Parties, that:</w:t>
      </w:r>
    </w:p>
    <w:p>
      <w:pPr>
        <w:spacing w:after="0" w:line="158" w:lineRule="exact"/>
        <w:rPr>
          <w:sz w:val="20"/>
          <w:szCs w:val="20"/>
          <w:color w:val="auto"/>
        </w:rPr>
      </w:pPr>
    </w:p>
    <w:p>
      <w:pPr>
        <w:jc w:val="both"/>
        <w:ind w:firstLine="1304"/>
        <w:spacing w:after="0" w:line="248" w:lineRule="auto"/>
        <w:tabs>
          <w:tab w:leader="none" w:pos="194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has good title or valid leasehold interests in the Article 9 Collateral (except for Intellectual Property) with respect to which it has purported to grant a Security Interest hereunder free and clear of any Liens, (i) except for Liens expressly permitted pursuant to Section 4.12 of the Indenture and (ii) except for minor defects in title that do not interfere with its ability to conduct its business as currently conducted or as proposed to be conducted or to utilize such properties for their intended purposes, in each case to the extent the failure to have such good title or valid leasehold interest could not reasonably be expected to have, individually or in the aggregate, a Material Adverse Effect, and has full power and authority to grant to the Notes Collateral Agent, for the benefit of the Noteholder Secured Parties, the Security Interest in such Article 9 Collateral pursuant hereto and to execute, deliver and perform its obligations in accordance with the terms of this Agreement, without the consent or approval of any other Person other than any consent or approval that has been obtained and except to the extent that failure to obtain or make such consent or approval, as the case may be, individually or in aggregate, could not reasonably be expected to have a Material Adverse Effect;</w:t>
      </w:r>
    </w:p>
    <w:p>
      <w:pPr>
        <w:spacing w:after="0" w:line="18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Perfection Certificate based on the schedules hereto has been duly prepared, completed and executed and the information set forth therein, including the exact legal name and jurisdiction of organization of each Grantor, is correct and complete in all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407" w:name="page408"/>
    <w:bookmarkEnd w:id="407"/>
    <w:p>
      <w:pPr>
        <w:jc w:val="both"/>
        <w:spacing w:after="0" w:line="259" w:lineRule="auto"/>
        <w:rPr>
          <w:sz w:val="20"/>
          <w:szCs w:val="20"/>
          <w:color w:val="auto"/>
        </w:rPr>
      </w:pPr>
      <w:r>
        <w:rPr>
          <w:rFonts w:ascii="Times New Roman" w:cs="Times New Roman" w:eastAsia="Times New Roman" w:hAnsi="Times New Roman"/>
          <w:sz w:val="21"/>
          <w:szCs w:val="21"/>
          <w:color w:val="auto"/>
        </w:rPr>
        <w:t>respects as of the Issue Date. The UCC financing statements or other appropriate filings, recordings or registrations prepared based upon the information provided in the schedules hereto for filing in each governmental, municipal or other office specified in Schedule 6 to the Perfection Certificate (or specified by notice from the Issuer to the Notes Collateral Agent after the Issue Date in the case of filings, recordings or registrations required by Section 4.17 of the Indenture) are all the filings, recordings and registrations (other than filings, recordings and registrations, if any, required to be made in the United States Patent and Trademark Office or the United States Copyright Office in order to perfect the Security Interest in Article 9 Collateral consisting of United States Patents, Trademarks or Copyrights) that are necessary to establish a legal, valid and perfected security interest in favor of the Notes Collateral Agent, for the benefit of the Noteholder Secured Parties, in respect of all Article 9 Collateral in which the Security Interest may be perfected by such filing, recording or registration in the United States, and as of the date hereof, no further or subsequent filing, refiling, recording, rerecording, registration or reregistration is necessary for such purpose, except as provided under applicable law with respect to the filing of continuation statements (and other than filings, if any, which shall be made in the United States Patent and Trademark Office or the United States Copyright Office, as applicable, to record the Security Interest in Article 9 Collateral consisting of issued, registered or applied-for United States Patents, Trademarks or Copyrights, in each case whether existing as of the date hereof or filed, acquired or developed by a Grantor after the date hereof). The Grantors represent and warrant that, if applicable, a fully executed Patent Security Agreement, Trademark Security Agreement and Copyright Security Agreement, in each case containing a list of the Article 9 Collateral consisting of United States registered Patents, United States registered Trademarks and United States registered Copyrights (and applications for any of the foregoing), as applicable, have been executed and delivered by each Grantor owning any such Article 9 Collateral and will be promptly recorded with the United States Patent and Trademark Office or the United States Copyright Office, as applicable, to evidence or establish a legal, valid and perfected security interest in favor of the Notes Collateral Agent, for the benefit of the Noteholder Secured Parties, in respect of all Article 9 Collateral consisting of registered and applied-for Patents, Trademarks and Copyrights in which a security interest may be perfected by filing, recording or registration in the United States Patent and Trademark Office or the United States Copyright Office, as applicable. Other than the filings described in this Section 3.02(b), no further or subsequent filing, refiling, recording, rerecording, registration or reregistration is necessary to perfect the Security Interest with respect to any Article 9 Collateral consisting of registered or applied-for Patents, Trademarks and Copyrights, in each case, acquired or developed by any Grantor after the date hereof);</w:t>
      </w:r>
    </w:p>
    <w:p>
      <w:pPr>
        <w:spacing w:after="0" w:line="177" w:lineRule="exact"/>
        <w:rPr>
          <w:sz w:val="20"/>
          <w:szCs w:val="20"/>
          <w:color w:val="auto"/>
        </w:rPr>
      </w:pPr>
    </w:p>
    <w:p>
      <w:pPr>
        <w:jc w:val="both"/>
        <w:ind w:firstLine="1304"/>
        <w:spacing w:after="0" w:line="250" w:lineRule="auto"/>
        <w:tabs>
          <w:tab w:leader="none" w:pos="1941"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Interest constitutes (i) a legal and valid security interest in all the Article 9 Collateral securing the payment and performance of the Notes Obligations, (ii) subject to the filings described in paragraph (b) of this Section 3.02 (including payment of applicable fees in connection therewith), a perfected security interest in all Article 9 Collateral in which a security interest may be perfected by filing, recording or registering a financing statement or analogous document in the applicable jurisdiction in the United States pursuant to the UCC, and (iii) subject to the filings described in paragraph (b) of this Section 3.02, a perfected security interest in all Article 9 Collateral in which a security interest may be perfected upon the receipt and recording of a Patent Security Agreement, a Trademark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408" w:name="page409"/>
    <w:bookmarkEnd w:id="408"/>
    <w:p>
      <w:pPr>
        <w:jc w:val="both"/>
        <w:spacing w:after="0" w:line="257" w:lineRule="auto"/>
        <w:rPr>
          <w:sz w:val="20"/>
          <w:szCs w:val="20"/>
          <w:color w:val="auto"/>
        </w:rPr>
      </w:pPr>
      <w:r>
        <w:rPr>
          <w:rFonts w:ascii="Times New Roman" w:cs="Times New Roman" w:eastAsia="Times New Roman" w:hAnsi="Times New Roman"/>
          <w:sz w:val="22"/>
          <w:szCs w:val="22"/>
          <w:color w:val="auto"/>
        </w:rPr>
        <w:t>or a Copyright Security Agreement with the United States Patent and Trademark Office or the United States Copyright Office, as applicable. The Security Interest is and shall be prior to any other Lien on any of the Article 9 Collateral, other than Liens permitted pursuant to Section 4.12 of the Indenture;</w:t>
      </w:r>
    </w:p>
    <w:p>
      <w:pPr>
        <w:spacing w:after="0" w:line="186" w:lineRule="exact"/>
        <w:rPr>
          <w:sz w:val="20"/>
          <w:szCs w:val="20"/>
          <w:color w:val="auto"/>
        </w:rPr>
      </w:pPr>
    </w:p>
    <w:p>
      <w:pPr>
        <w:ind w:left="1940" w:hanging="636"/>
        <w:spacing w:after="0"/>
        <w:tabs>
          <w:tab w:leader="none" w:pos="1940" w:val="left"/>
        </w:tabs>
        <w:numPr>
          <w:ilvl w:val="1"/>
          <w:numId w:val="4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Issue Date, Schedule III hereto sets forth a true and complete list, with respect to each Grantor, of</w:t>
      </w:r>
    </w:p>
    <w:p>
      <w:pPr>
        <w:spacing w:after="0" w:line="39" w:lineRule="exact"/>
        <w:rPr>
          <w:rFonts w:ascii="Times New Roman" w:cs="Times New Roman" w:eastAsia="Times New Roman" w:hAnsi="Times New Roman"/>
          <w:sz w:val="21"/>
          <w:szCs w:val="21"/>
          <w:color w:val="auto"/>
        </w:rPr>
      </w:pPr>
    </w:p>
    <w:p>
      <w:pPr>
        <w:jc w:val="both"/>
        <w:ind w:firstLine="8"/>
        <w:spacing w:after="0" w:line="260" w:lineRule="auto"/>
        <w:tabs>
          <w:tab w:leader="none" w:pos="267" w:val="left"/>
        </w:tabs>
        <w:numPr>
          <w:ilvl w:val="0"/>
          <w:numId w:val="4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such Grantor’s Patents and Trademarks applied for or issued or registered with the United States Patent and Trademark Office, including the name of the registered owner or applicant and the registration, application, or publication number, as applicable, of each such Patent or Trademark and (ii) all of such Grantor’s Copyrights applied for or registered with the United States Copyright Office, including the name of the registered owner and the registration number of each such Copyright; and</w:t>
      </w:r>
    </w:p>
    <w:p>
      <w:pPr>
        <w:spacing w:after="0" w:line="212" w:lineRule="exact"/>
        <w:rPr>
          <w:rFonts w:ascii="Times New Roman" w:cs="Times New Roman" w:eastAsia="Times New Roman" w:hAnsi="Times New Roman"/>
          <w:sz w:val="21"/>
          <w:szCs w:val="21"/>
          <w:color w:val="auto"/>
        </w:rPr>
      </w:pPr>
    </w:p>
    <w:p>
      <w:pPr>
        <w:jc w:val="both"/>
        <w:ind w:firstLine="1304"/>
        <w:spacing w:after="0" w:line="254" w:lineRule="auto"/>
        <w:tabs>
          <w:tab w:leader="none" w:pos="1941" w:val="left"/>
        </w:tabs>
        <w:numPr>
          <w:ilvl w:val="1"/>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Grantors has filed or consented to (i) the filing of any financing statement or analogous document, in each case with respect to a Lien, under the UCC or any other applicable laws covering any Article 9 Collateral, or</w:t>
      </w:r>
    </w:p>
    <w:p>
      <w:pPr>
        <w:spacing w:after="0" w:line="1" w:lineRule="exact"/>
        <w:rPr>
          <w:rFonts w:ascii="Times New Roman" w:cs="Times New Roman" w:eastAsia="Times New Roman" w:hAnsi="Times New Roman"/>
          <w:sz w:val="22"/>
          <w:szCs w:val="22"/>
          <w:color w:val="auto"/>
        </w:rPr>
      </w:pPr>
    </w:p>
    <w:p>
      <w:pPr>
        <w:jc w:val="both"/>
        <w:ind w:firstLine="8"/>
        <w:spacing w:after="0" w:line="245" w:lineRule="auto"/>
        <w:tabs>
          <w:tab w:leader="none" w:pos="360"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in which any Grantor assigns any Article 9 Collateral or any security agreement or similar instrument covering any Article 9 Collateral with the United States Patent and Trademark Office or the United States Copyright Office, except, in each case, for Liens expressly permitted pursuant to Section 4.12 of the Indenture.</w:t>
      </w:r>
    </w:p>
    <w:p>
      <w:pPr>
        <w:spacing w:after="0" w:line="214" w:lineRule="exact"/>
        <w:rPr>
          <w:sz w:val="20"/>
          <w:szCs w:val="20"/>
          <w:color w:val="auto"/>
        </w:rPr>
      </w:pPr>
    </w:p>
    <w:p>
      <w:pPr>
        <w:jc w:val="both"/>
        <w:ind w:firstLine="1620"/>
        <w:spacing w:after="0" w:line="262"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(a) Each Grantor shall, at its own expense, take any and all commercially reasonable actions necessary to (i) defend title to the Article 9 Collateral (other than Intellectual Property, which is governed by Section 3.05) against all Persons, except with respect to Article 9 Collateral that such Grantor determines in its reasonable business judgment is no longer necessary or beneficial to the conduct of such Grantor’s business, and (ii) defend the Security Interest of the Notes Collateral Agent in the Article 9 Collateral and the priority thereof against any Lien, in each case subject to</w:t>
      </w:r>
    </w:p>
    <w:p>
      <w:pPr>
        <w:spacing w:after="0" w:line="2" w:lineRule="exact"/>
        <w:rPr>
          <w:sz w:val="20"/>
          <w:szCs w:val="20"/>
          <w:color w:val="auto"/>
        </w:rPr>
      </w:pPr>
    </w:p>
    <w:p>
      <w:pPr>
        <w:jc w:val="both"/>
        <w:ind w:firstLine="8"/>
        <w:spacing w:after="0" w:line="249" w:lineRule="auto"/>
        <w:tabs>
          <w:tab w:leader="none" w:pos="415"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any applicable intercreditor agreement contemplated by the Indenture, (x) Liens permitted pursuant to Section 4.12 of the Indenture, (y) transfers made in compliance with the Indenture and (z) the rights of such Grantor under Sections 13.03 and 13.08 of the Indenture, as applicable, and corresponding provisions of the Collateral Documents to obtain a release of the Liens created under the Collateral Documents.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3.03(e) of this Agreement, each Grantor agrees, at its own expense, to execute, acknowledge, deliver and cause to be duly filed all such instruments and documents and take all such actions as may from time be necessary, to obtain, preserve, protect and perfect the Security Interest and the rights and remedies created hereby, including the payment of any reasonable and documented and invoiced out-of-pocket fees and Taxes required in connection with the execution and delivery of this Agreement, the granting of the Security Interest and the filing of any financing statements or other documents in connection herewith or therewith. If any amount payable to any Grantor under or in connection with any of the Article 9 Collateral shall be or become evidenced by any promissory note (which may be a global note) or other instrument (other than any promissory note or other instrument in an aggregate principal amount of less than $20,000,000 owed to the applicable Grantor by any Person), such note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409" w:name="page410"/>
    <w:bookmarkEnd w:id="409"/>
    <w:p>
      <w:pPr>
        <w:jc w:val="both"/>
        <w:spacing w:after="0" w:line="257" w:lineRule="auto"/>
        <w:rPr>
          <w:sz w:val="20"/>
          <w:szCs w:val="20"/>
          <w:color w:val="auto"/>
        </w:rPr>
      </w:pPr>
      <w:r>
        <w:rPr>
          <w:rFonts w:ascii="Times New Roman" w:cs="Times New Roman" w:eastAsia="Times New Roman" w:hAnsi="Times New Roman"/>
          <w:sz w:val="22"/>
          <w:szCs w:val="22"/>
          <w:color w:val="auto"/>
        </w:rPr>
        <w:t>instrument shall, subject to the Pari Passu Intercreditor Agreement, be promptly delivered to the Notes Collateral Agent, for the benefit of the Noteholder Secured Parties, together with an undated instrument of transfer duly executed in blank and in a manner reasonably satisfactory to the Notes Collateral Agent.</w:t>
      </w:r>
    </w:p>
    <w:p>
      <w:pPr>
        <w:spacing w:after="0" w:line="186" w:lineRule="exact"/>
        <w:rPr>
          <w:sz w:val="20"/>
          <w:szCs w:val="20"/>
          <w:color w:val="auto"/>
        </w:rPr>
      </w:pPr>
    </w:p>
    <w:p>
      <w:pPr>
        <w:jc w:val="both"/>
        <w:ind w:firstLine="1304"/>
        <w:spacing w:after="0" w:line="248" w:lineRule="auto"/>
        <w:tabs>
          <w:tab w:leader="none" w:pos="1941"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its option, the Notes Collateral Agent may, with three (3) Business Day’s prior written notice to the Issuer, discharge past due taxes, assessments, charges, fees, Liens, security interests or other encumbrances at any time levied or placed on the Article 9 Collateral and not permitted pursuant to Section 4.12 of the Indenture, and may pay for the maintenance and preservation of the Article 9 Collateral to the extent any Grantor fails to do so as required by the Indenture, this Agreement or any other Notes Document and within a reasonable period of time after the Notes Collateral Agent has reasonably requested that it do so;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paragraph shall be interpreted as excusing any Grantor from the performance of, or imposing any obligation on the Notes Collateral Agent or any Noteholder Secured Party to cure or perform, any covenants or other promises of any Grantor with respect to taxes, assessments, charges, fees, Liens, security interests or other encumbrances and maintenance as set forth herein or in the other Notes Documents.</w:t>
      </w:r>
    </w:p>
    <w:p>
      <w:pPr>
        <w:spacing w:after="0" w:line="18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shall remain liable, as between such Grantor and the relevant counterparty under each contract, agreement or instrument relating to the Article 9 Collateral, to observe and perform all the conditions and obligations to be observed and performed by it under such contract, agreement or instrument, all in accordance with the terms and conditions thereof, and each Grantor jointly and severally agrees to indemnify and hold harmless the Notes Collateral Agent and the other Noteholder Secured Parties from and against any and all liability for such performance. The exercise by the Notes Collateral Agent of any of its rights hereunder shall not release any Grantor from any of its duties or obligations under each contract, agreement or instrument relating to the Article 9 Collateral unless the Notes Collateral Agent has expressly in writing assumed such duties and obligations and each Grantor jointly and severally agrees to indemnify and hold harmless the Notes Collateral Agent and the other Noteholder Secured Parties from and against any and all liability for such performance.</w:t>
      </w:r>
    </w:p>
    <w:p>
      <w:pPr>
        <w:spacing w:after="0" w:line="17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it is understood that no Grantor shall be required by this Agreement to better assure, preserve, protect or perfect the Security Interest created hereunder by any means other than (i) filings (including financing statements) pursuant to the UCC in the office of the Secretary of State (or similar central filing office) of the relevant states or other jurisdictions, (ii) filings with the United States Patent and Trademark Office or United States Copyright Office (or any successor office), in respect of registered or applied-for Patents, Trademarks or Copyrights, (iii) in the case of Collateral that constitutes Pledged Securities, Instruments, certificated securities (in each case not credited to a Securities Account), Tangible Chattel Paper or Negotiable Documents (other than those Instruments or Negotiable Documents held in the ordinary course of business), delivery thereof to the Notes Collateral Agent in accordance with the terms hereof (together with, where applicable, undated stock or note powers or other undated proper instruments of assignment) and (iv) other actions to the extent required by Section 3.03(b) (solely with respect to the second sentence thereof) or Section 3.04 hereunder. No Grantor shall be required to (i) complete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1" w:right="339" w:bottom="1440" w:gutter="0" w:footer="0" w:header="0"/>
        </w:sectPr>
      </w:pPr>
    </w:p>
    <w:bookmarkStart w:id="410" w:name="page411"/>
    <w:bookmarkEnd w:id="410"/>
    <w:p>
      <w:pPr>
        <w:jc w:val="both"/>
        <w:spacing w:after="0" w:line="253" w:lineRule="auto"/>
        <w:rPr>
          <w:sz w:val="20"/>
          <w:szCs w:val="20"/>
          <w:color w:val="auto"/>
        </w:rPr>
      </w:pPr>
      <w:r>
        <w:rPr>
          <w:rFonts w:ascii="Times New Roman" w:cs="Times New Roman" w:eastAsia="Times New Roman" w:hAnsi="Times New Roman"/>
          <w:sz w:val="22"/>
          <w:szCs w:val="22"/>
          <w:color w:val="auto"/>
        </w:rPr>
        <w:t>filings or other action with respect to the better assurance, preservation, protection or perfection of the security interests created hereby in any jurisdiction outside of the United States or enter into any security document governed by the laws of a jurisdiction other than the United States, or to reimburse the Notes Collateral Agent for any costs incurred in connection with the same or (ii) deliver control agreements with respect to, or confer perfection by “control” over, any Deposit Accounts, Securities Accounts or Commodity Accounts.</w:t>
      </w:r>
    </w:p>
    <w:p>
      <w:pPr>
        <w:spacing w:after="0" w:line="179" w:lineRule="exact"/>
        <w:rPr>
          <w:sz w:val="20"/>
          <w:szCs w:val="20"/>
          <w:color w:val="auto"/>
        </w:rPr>
      </w:pPr>
    </w:p>
    <w:p>
      <w:pPr>
        <w:jc w:val="both"/>
        <w:ind w:firstLine="1620"/>
        <w:spacing w:after="0" w:line="257"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Other Actions</w:t>
      </w:r>
      <w:r>
        <w:rPr>
          <w:rFonts w:ascii="Times New Roman" w:cs="Times New Roman" w:eastAsia="Times New Roman" w:hAnsi="Times New Roman"/>
          <w:sz w:val="22"/>
          <w:szCs w:val="22"/>
          <w:color w:val="auto"/>
        </w:rPr>
        <w:t>. In order to further insure the attachment, perfection and priority of, and the ability of the Notes Collateral Agent to enforce, the Security Interest, each Grantor agrees, in each case at such Grantor’s own expense, to take the following actions with respect to the following Article 9 Collateral:</w:t>
      </w:r>
    </w:p>
    <w:p>
      <w:pPr>
        <w:spacing w:after="0" w:line="186" w:lineRule="exact"/>
        <w:rPr>
          <w:sz w:val="20"/>
          <w:szCs w:val="20"/>
          <w:color w:val="auto"/>
        </w:rPr>
      </w:pPr>
    </w:p>
    <w:p>
      <w:pPr>
        <w:jc w:val="both"/>
        <w:ind w:firstLine="1304"/>
        <w:spacing w:after="0" w:line="250" w:lineRule="auto"/>
        <w:tabs>
          <w:tab w:leader="none" w:pos="1941"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Instruments</w:t>
      </w:r>
      <w:r>
        <w:rPr>
          <w:rFonts w:ascii="Times New Roman" w:cs="Times New Roman" w:eastAsia="Times New Roman" w:hAnsi="Times New Roman"/>
          <w:sz w:val="22"/>
          <w:szCs w:val="22"/>
          <w:color w:val="auto"/>
        </w:rPr>
        <w:t>. If any Grantor shall at any time hold or acquire any Instruments (other than Instruments with a face amount of less than $20,000,000 individually and other than checks to be deposited in the ordinary course of business), such Grantor shall, subject to the Pari Passu Intercreditor Agreement, promptly endorse, assign and deliver the same to the Notes Collateral Agent, accompanied by such undated instruments of transfer or assignment duly executed in blank and in a manner reasonably satisfactory to the Notes Collateral Agent.</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Property</w:t>
      </w:r>
      <w:r>
        <w:rPr>
          <w:rFonts w:ascii="Times New Roman" w:cs="Times New Roman" w:eastAsia="Times New Roman" w:hAnsi="Times New Roman"/>
          <w:sz w:val="22"/>
          <w:szCs w:val="22"/>
          <w:color w:val="auto"/>
        </w:rPr>
        <w:t>. Except to the extent otherwise provided in Article II, if any Grantor shall at any time hold or acquire any certificated securities (other than certificated securities with a value of less than $20,000,000 individually), such Grantor shall, subject to the Pari Passu Intercreditor Agreement, forthwith endorse, assign and deliver the same to the Notes Collateral Agent, accompanied by such undated instruments of transfer or assignment duly executed in blank and in a manner reasonably satisfactory to the Notes Collateral Agent.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Tort Claims</w:t>
      </w:r>
      <w:r>
        <w:rPr>
          <w:rFonts w:ascii="Times New Roman" w:cs="Times New Roman" w:eastAsia="Times New Roman" w:hAnsi="Times New Roman"/>
          <w:sz w:val="22"/>
          <w:szCs w:val="22"/>
          <w:color w:val="auto"/>
        </w:rPr>
        <w:t>. If any Grantor shall at any time hold or acquire a Commercial Tort Claim (in respect of which a complaint or counterclaim has been filed by or on behalf of such Grantor) seeking damages in an amount reasonably estimated to exceed $20,000,000, such Grantor shall promptly notify the Notes Collateral Agent thereof in a writing signed by such Grantor, including a summary description of such claim, and Schedule IV hereto shall be deemed to be supplemented to include such description of such Commercial Tort Claim as set forth in such writing.</w:t>
      </w:r>
    </w:p>
    <w:p>
      <w:pPr>
        <w:spacing w:after="0" w:line="179" w:lineRule="exact"/>
        <w:rPr>
          <w:sz w:val="20"/>
          <w:szCs w:val="20"/>
          <w:color w:val="auto"/>
        </w:rPr>
      </w:pPr>
    </w:p>
    <w:p>
      <w:pPr>
        <w:ind w:left="162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Covenants Regarding Patent, Trademark and Copyright Collateral</w:t>
      </w:r>
    </w:p>
    <w:p>
      <w:pPr>
        <w:spacing w:after="0" w:line="233" w:lineRule="exact"/>
        <w:rPr>
          <w:sz w:val="20"/>
          <w:szCs w:val="20"/>
          <w:color w:val="auto"/>
        </w:rPr>
      </w:pPr>
    </w:p>
    <w:p>
      <w:pPr>
        <w:jc w:val="both"/>
        <w:ind w:firstLine="1304"/>
        <w:spacing w:after="0" w:line="250" w:lineRule="auto"/>
        <w:tabs>
          <w:tab w:leader="none" w:pos="1941"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a failure to act under this Section 3.05(a) could not reasonably be expected to have a Material Adverse Effect of the type referred to in clause (a) or (b) of the definition thereof, with respect to the registration or pending application of each item of its Intellectual Property for which such Grantor has standing and ability to do so, each Grantor agrees to take commercially reasonable steps to (i) maintain the validity and enforceability of any United States registered Intellectual Property (or applications therefor) that is material to the conduct of such Grantor’s business and to maintain such registrations and applications of such Intellectual Property in full force and effect and (ii) pursue the registration and maintenance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1" w:right="339" w:bottom="1440" w:gutter="0" w:footer="0" w:header="0"/>
        </w:sectPr>
      </w:pPr>
    </w:p>
    <w:bookmarkStart w:id="411" w:name="page412"/>
    <w:bookmarkEnd w:id="411"/>
    <w:p>
      <w:pPr>
        <w:jc w:val="both"/>
        <w:spacing w:after="0" w:line="249" w:lineRule="auto"/>
        <w:rPr>
          <w:sz w:val="20"/>
          <w:szCs w:val="20"/>
          <w:color w:val="auto"/>
        </w:rPr>
      </w:pPr>
      <w:r>
        <w:rPr>
          <w:rFonts w:ascii="Times New Roman" w:cs="Times New Roman" w:eastAsia="Times New Roman" w:hAnsi="Times New Roman"/>
          <w:sz w:val="22"/>
          <w:szCs w:val="22"/>
          <w:color w:val="auto"/>
        </w:rPr>
        <w:t>each patent, trademark or copyright registration or application included in the Intellectual Property of such Grantor that is material to the conduct of such Grantor’s business. Grantor shall take commercially reasonable steps to defend title to and ownership of any Intellectual Property that is owned by such Grantor and is material to the conduct of such Grantor’s business. Notwithstanding the foregoing, nothing in this Section 3.05 shall prevent any Grantor from disposing of, discontinuing the use or maintenance of, abandoning, failing to pursue or enforce or otherwise allowing to lapse, terminate, be invalidated or put into the public domain any of its registered or applied-for Intellectual Property that is no longer used or useful, or economically practicable to maintain, or if such Grantor determines in its reasonable business judgment that such discontinuance or such other action is desirable in the conduct of its business.</w:t>
      </w:r>
    </w:p>
    <w:p>
      <w:pPr>
        <w:spacing w:after="0" w:line="195" w:lineRule="exact"/>
        <w:rPr>
          <w:sz w:val="20"/>
          <w:szCs w:val="20"/>
          <w:color w:val="auto"/>
        </w:rPr>
      </w:pPr>
    </w:p>
    <w:p>
      <w:pPr>
        <w:jc w:val="both"/>
        <w:ind w:firstLine="1304"/>
        <w:spacing w:after="0" w:line="262" w:lineRule="auto"/>
        <w:tabs>
          <w:tab w:leader="none" w:pos="1939" w:val="left"/>
        </w:tabs>
        <w:numPr>
          <w:ilvl w:val="1"/>
          <w:numId w:val="4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Grantor agrees that, should it obtain an ownership or other interest in any Intellectual Property after the Issue Date (i) the provisions of this Agreement shall automatically apply thereto and (ii) any such Intellectual Property shall automatically become Intellectual Property subject to the terms and conditions of this Agreement, except, with respect to each of</w:t>
      </w:r>
    </w:p>
    <w:p>
      <w:pPr>
        <w:spacing w:after="0" w:line="2" w:lineRule="exact"/>
        <w:rPr>
          <w:rFonts w:ascii="Times New Roman" w:cs="Times New Roman" w:eastAsia="Times New Roman" w:hAnsi="Times New Roman"/>
          <w:sz w:val="21"/>
          <w:szCs w:val="21"/>
          <w:color w:val="auto"/>
        </w:rPr>
      </w:pPr>
    </w:p>
    <w:p>
      <w:pPr>
        <w:jc w:val="both"/>
        <w:ind w:firstLine="8"/>
        <w:spacing w:after="0" w:line="245" w:lineRule="auto"/>
        <w:tabs>
          <w:tab w:leader="none" w:pos="259"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above, if such Intellectual Property is acquired under a license from a third party under which a security interest would not be permitted. For the avoidance of doubt, a security interest shall not be granted in any Intellectual Property that constitutes an Excluded Asset.</w:t>
      </w:r>
    </w:p>
    <w:p>
      <w:pPr>
        <w:spacing w:after="0" w:line="20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Grantor, either itself or through any agent, employee, licensee or designee, shall (i) no later than five</w:t>
      </w:r>
    </w:p>
    <w:p>
      <w:pPr>
        <w:spacing w:after="0" w:line="39"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(5) Business Days after financial statements are required to be delivered pursuant to Section 4.03(a)(1) of the Indenture, deliver to the Notes Collateral Agent a schedule setting forth all of such Grantor's issued, registered and applied-for, as applicable, United States Patents, Trademarks and Copyrights, that are not listed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hereto or on a schedule previously provided to the Notes Collateral Agent pursuant to this Section 3.05(b), and (ii) promptly execute, file with the United States Patent and Trademark Office or United States Copyright Office, as may be applicable, and deliver to the Notes Collateral Agent a Patent Security Agreement, Trademark Security Agreement or Copyright Security Agreement, as applicable, in respect of such United States Patents, Trademarks and Copyrights.</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Remedies</w:t>
      </w:r>
    </w:p>
    <w:p>
      <w:pPr>
        <w:spacing w:after="0" w:line="220" w:lineRule="exact"/>
        <w:rPr>
          <w:sz w:val="20"/>
          <w:szCs w:val="20"/>
          <w:color w:val="auto"/>
        </w:rPr>
      </w:pPr>
    </w:p>
    <w:p>
      <w:pPr>
        <w:jc w:val="both"/>
        <w:ind w:firstLine="1620"/>
        <w:spacing w:after="0" w:line="250"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Remedies upon Default.</w:t>
      </w:r>
      <w:r>
        <w:rPr>
          <w:rFonts w:ascii="Times New Roman" w:cs="Times New Roman" w:eastAsia="Times New Roman" w:hAnsi="Times New Roman"/>
          <w:sz w:val="22"/>
          <w:szCs w:val="22"/>
          <w:color w:val="auto"/>
        </w:rPr>
        <w:t xml:space="preserve"> Upon the occurrence and during the continuance of an Event of Default, each Grantor agrees to deliver, on demand, each item of Collateral to the Notes Collateral Agent or any Person designated by the Notes Collateral Agent, and it is agreed that the Notes Collateral Agent shall have the right, subject to the Pari Passu Intercreditor Agreement, to exercise all remedies available to a secured party under the UCC and other applicable law, subject to Applicable Nuclear Laws, and to take any of or all the following actions at the same or different times: (a) with respect to any Article 9 Collateral consisting of Intellectual Property, on demand, to cause the Security Interest to become an assignment, transfer and conveyance of any of or all such Article 9 Collateral by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1" w:right="339" w:bottom="1440" w:gutter="0" w:footer="0" w:header="0"/>
        </w:sectPr>
      </w:pPr>
    </w:p>
    <w:bookmarkStart w:id="412" w:name="page413"/>
    <w:bookmarkEnd w:id="412"/>
    <w:p>
      <w:pPr>
        <w:jc w:val="both"/>
        <w:spacing w:after="0" w:line="260" w:lineRule="auto"/>
        <w:rPr>
          <w:sz w:val="20"/>
          <w:szCs w:val="20"/>
          <w:color w:val="auto"/>
        </w:rPr>
      </w:pPr>
      <w:r>
        <w:rPr>
          <w:rFonts w:ascii="Times New Roman" w:cs="Times New Roman" w:eastAsia="Times New Roman" w:hAnsi="Times New Roman"/>
          <w:sz w:val="21"/>
          <w:szCs w:val="21"/>
          <w:color w:val="auto"/>
        </w:rPr>
        <w:t>Grantors to the Notes Collateral Agent, in each case of the foregoing for the benefit of the Noteholder Secured Parties, in connection with the Notes Collateral Agent's exercise of its remedies hereunder, and (b) with or without legal process and with or without prior notice or demand for performance, to take possession of the Article 9 Collateral and the Pledged Collateral and enter any premises owned or, to the extent lawful and permitted, leased by any of the Grantors where the Collateral or any part thereof is assembled or located for a reasonable period in order to effectuate its rights and remedies hereunder or under the Uniform Commercial Code or other applicable law. Without limiting the generality of the foregoing, each Grantor agrees that the Notes Collateral Agent shall have the right, subject to the mandatory requirements of applicable law and the notice requirements described below, to sell or otherwise dispose of all or any part of the Collateral at a public or private sale or at any broker’s board or on any securities exchange, for cash, upon credit or for future delivery as the Notes Collateral Agent shall deem appropriate. The Notes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Notes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that such Grantor now has or may at any time in the future have under any rule of law or statute now existing or hereafter enacted.</w:t>
      </w:r>
    </w:p>
    <w:p>
      <w:pPr>
        <w:spacing w:after="0" w:line="17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The Notes Collateral Agent shall give the applicable Grantors no less than 10 days’ prior written notice (which each Grantor agrees is reasonable notice within the meaning of Section 9-611 of the New York UCC or its equivalent in other jurisdictions) of the Notes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Notes Collateral Agent may fix and state in the notice (if any) of such sale. At any such sale, the Collateral, or portion thereof, to be sold may be sold in one lot as an entirety or in separate parcels, as the Notes Collateral Agent may (in its sole and absolute discretion) determine. The Notes Collateral Agent shall not be obligated to make any sale of any Collateral if it shall determine not to do so, regardless of the fact that notice of sale of such Collateral shall have been given. The Notes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Notes Collateral Agent until the sale price is paid by the purchaser or purchasers thereof, but the Notes Collateral Agent and the other Noteholder Secured Parties shall not incur any liability in case any such purchaser or purchasers shall fail to take up and pay for the Collateral so sold and, in case of any such failure, such Collateral may be sold again upon 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413" w:name="page414"/>
    <w:bookmarkEnd w:id="413"/>
    <w:p>
      <w:pPr>
        <w:jc w:val="both"/>
        <w:spacing w:after="0" w:line="260" w:lineRule="auto"/>
        <w:rPr>
          <w:sz w:val="20"/>
          <w:szCs w:val="20"/>
          <w:color w:val="auto"/>
        </w:rPr>
      </w:pPr>
      <w:r>
        <w:rPr>
          <w:rFonts w:ascii="Times New Roman" w:cs="Times New Roman" w:eastAsia="Times New Roman" w:hAnsi="Times New Roman"/>
          <w:sz w:val="21"/>
          <w:szCs w:val="21"/>
          <w:color w:val="auto"/>
        </w:rPr>
        <w:t>notice. At any public (or, to the extent permitted by law, private) sale made pursuant to this Agreement, any Noteholder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Noteholder Secured Party from any Grantor as a credit against the purchase price, and such Noteholder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Notes Collateral Agent shall be free to carry out such sale pursuant to such agreement and no Grantor shall be entitled to the return of the Collateral or any portion thereof subject thereto, notwithstanding the fact that after the Notes Collateral Agent shall have entered into such an agreement all Events of Default shall have been remedied and the Notes Obligations paid in full. As an alternative to exercising the power of sale herein conferred upon it, the Notes Collateral Agent may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Section 4.01 shall be deemed to conform to the commercial reasonableness standards as provided in Section 9-610(b) of the New York UCC or its equivalent in other jurisdictions.</w:t>
      </w:r>
    </w:p>
    <w:p>
      <w:pPr>
        <w:spacing w:after="0" w:line="180" w:lineRule="exact"/>
        <w:rPr>
          <w:sz w:val="20"/>
          <w:szCs w:val="20"/>
          <w:color w:val="auto"/>
        </w:rPr>
      </w:pPr>
    </w:p>
    <w:p>
      <w:pPr>
        <w:jc w:val="both"/>
        <w:ind w:firstLine="1620"/>
        <w:spacing w:after="0" w:line="252"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Application of Proceeds.</w:t>
      </w:r>
      <w:r>
        <w:rPr>
          <w:rFonts w:ascii="Times New Roman" w:cs="Times New Roman" w:eastAsia="Times New Roman" w:hAnsi="Times New Roman"/>
          <w:sz w:val="22"/>
          <w:szCs w:val="22"/>
          <w:color w:val="auto"/>
        </w:rPr>
        <w:t xml:space="preserve"> Subject to the terms of any applicable Intercreditor Agreement then in effect and contemplated by the Indenture, the Notes Collateral Agent shall apply the proceeds of any collection or sale of Collateral, including any Collateral consisting of cash, in the order specified in Section 6.13 of the Indenture (the term “Trustee” as used therein being understood to refer to the Notes Collateral Agent for purposes of this Section 4.02).</w:t>
      </w:r>
    </w:p>
    <w:p>
      <w:pPr>
        <w:spacing w:after="0" w:line="19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The Notes Collateral Agent shall have sole discretion as to the time of application of any such proceeds, moneys or balances in accordance with this Agreement. Upon any sale of Collateral by the Notes Collateral Agent (including pursuant to a power of sale granted by statute or under a judicial proceeding), the receipt of the Notes Collateral Agent or of the officer making the sale shall be a sufficient discharge to the purchaser or purchasers of the Collateral so sold and such purchaser or purchasers shall not be obligated to see to the application of any part of the purchase money paid over to the Notes Collateral Agent or such officer or be answerable in any way for the misapplication thereof. The Notes Collateral Agent shall have no liability to any of the Noteholder Secured Parties for actions taken in reliance on information supplied to it as to the amounts of unpaid principal and interest and other amounts outstanding with respect to the Notes Obligations.</w:t>
      </w:r>
    </w:p>
    <w:p>
      <w:pPr>
        <w:spacing w:after="0" w:line="182"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xml:space="preserve"> In view of the position of the Grantors in relation to the Pledged Collateral,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Times New Roman" w:cs="Times New Roman" w:eastAsia="Times New Roman" w:hAnsi="Times New Roman"/>
          <w:sz w:val="22"/>
          <w:szCs w:val="22"/>
          <w:u w:val="single" w:color="auto"/>
          <w:color w:val="auto"/>
        </w:rPr>
        <w:t>Federal Securities Laws</w:t>
      </w:r>
      <w:r>
        <w:rPr>
          <w:rFonts w:ascii="Times New Roman" w:cs="Times New Roman" w:eastAsia="Times New Roman" w:hAnsi="Times New Roman"/>
          <w:sz w:val="22"/>
          <w:szCs w:val="22"/>
          <w:color w:val="auto"/>
        </w:rPr>
        <w:t>”)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1" w:right="339" w:bottom="1440" w:gutter="0" w:footer="0" w:header="0"/>
        </w:sectPr>
      </w:pPr>
    </w:p>
    <w:bookmarkStart w:id="414" w:name="page415"/>
    <w:bookmarkEnd w:id="414"/>
    <w:p>
      <w:pPr>
        <w:jc w:val="both"/>
        <w:spacing w:after="0" w:line="259" w:lineRule="auto"/>
        <w:rPr>
          <w:sz w:val="20"/>
          <w:szCs w:val="20"/>
          <w:color w:val="auto"/>
        </w:rPr>
      </w:pPr>
      <w:r>
        <w:rPr>
          <w:rFonts w:ascii="Times New Roman" w:cs="Times New Roman" w:eastAsia="Times New Roman" w:hAnsi="Times New Roman"/>
          <w:sz w:val="21"/>
          <w:szCs w:val="21"/>
          <w:color w:val="auto"/>
        </w:rPr>
        <w:t>disposition of the Pledged Collateral permitted hereunder. Each Grantor understands that compliance with the Federal Securities Laws might very strictly limit the course of conduct of the Notes Collateral Agent if the Notes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Notes Collateral Agent in any attempt to dispose of all or part of the Pledged Collateral under applicable blue sky or other state securities laws or similar laws analogous in purpose or effect. Each Grantor recognizes that in light of such restrictions and limitations the Notes Collateral Agent may, with respect to any sale of the Pledged Collateral, limit the purchasers to those who will agree, among other things, to acquire such Pledged Collateral for their own account, for investment and not with a view to the distribution or resale thereof. Each Grantor acknowledges and agrees that in light of such restrictions and limitations, the Notes Collateral Agent, in its sole and absolute discretion, (a) may proceed to make such a sale whether or not a registration statement for the purpose of registering such Pledged Collateral or part thereof shall have been filed under the Federal Securities Laws to the extent the Notes Collateral Agent has determined that such a registration is not required by any Requirements of Law and (b) may approach and negotiate with a limited number of potential purchasers (including a single potential purchaser) to effect such sale. Each Grantor acknowledges and agrees that any such sale might result in prices and other terms less favorable to the seller than if such sale were a public sale without such restrictions. In the event of any such sale, the Notes Collateral Agent and the other Noteholder Secured Parties shall incur no responsibility or liability for selling all or any part of the Pledged Collateral at a price that the Notes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limited number of purchasers (or a single purchaser) were approached. The provisions of this Section 4.03 will apply notwithstanding the existence of a public or private market upon which the quotations or sales prices may exceed substantially the price at which the Notes Collateral Agent sells</w:t>
      </w:r>
    </w:p>
    <w:p>
      <w:pPr>
        <w:spacing w:after="0" w:line="184" w:lineRule="exact"/>
        <w:rPr>
          <w:sz w:val="20"/>
          <w:szCs w:val="20"/>
          <w:color w:val="auto"/>
        </w:rPr>
      </w:pPr>
    </w:p>
    <w:p>
      <w:pPr>
        <w:jc w:val="both"/>
        <w:ind w:firstLine="1620"/>
        <w:spacing w:after="0" w:line="248"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Grant of License to Use Intellectual Property.</w:t>
      </w:r>
      <w:r>
        <w:rPr>
          <w:rFonts w:ascii="Times New Roman" w:cs="Times New Roman" w:eastAsia="Times New Roman" w:hAnsi="Times New Roman"/>
          <w:sz w:val="22"/>
          <w:szCs w:val="22"/>
          <w:color w:val="auto"/>
        </w:rPr>
        <w:t xml:space="preserve"> For the exclusive purpose of enabling the Notes Collateral Agent to exercise rights and remedies under this Agreement at such time as the Notes Collateral Agent shall be lawfully entitled to exercise such rights and remedies, each Grantor shall, upon prior written request by the Notes Collateral Agent at any time during the continuance of an Event of Default, grant to the Notes Collateral Agent a nonexclusive, non-transferable irrevocable, royalty-free, limited license (until the termination or cure of the Event of Default) to use any of the Collateral consisting of Intellectual Property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provided, however, that nothing in this Section 4.04 shall require Grantors to grant any license that is prohibited by any rule of law, statute or regulation, or is prohibited by, or constitutes a breach or default under or results in the termination of any contract, license, agreement, instrument or other document with respect to such Intellectual Property, or gives any third party any right of acceleration, modification,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1" w:right="339" w:bottom="1440" w:gutter="0" w:footer="0" w:header="0"/>
        </w:sectPr>
      </w:pPr>
    </w:p>
    <w:bookmarkStart w:id="415" w:name="page416"/>
    <w:bookmarkEnd w:id="415"/>
    <w:p>
      <w:pPr>
        <w:jc w:val="both"/>
        <w:spacing w:after="0" w:line="250" w:lineRule="auto"/>
        <w:rPr>
          <w:sz w:val="20"/>
          <w:szCs w:val="20"/>
          <w:color w:val="auto"/>
        </w:rPr>
      </w:pPr>
      <w:r>
        <w:rPr>
          <w:rFonts w:ascii="Times New Roman" w:cs="Times New Roman" w:eastAsia="Times New Roman" w:hAnsi="Times New Roman"/>
          <w:sz w:val="22"/>
          <w:szCs w:val="22"/>
          <w:color w:val="auto"/>
        </w:rPr>
        <w:t>cancellation in any such document, or otherwise unreasonably prejudices the value of such Intellectual Property to the relevant Grantor; provided further that such licenses to be granted hereunder with respect to Trademarks shall be subject to the maintenance of quality standards with respect to the goods and services on which such Trademarks are used sufficient to preserve the validity of such Trademarks. For the avoidance of doubt, the use of such license by the Notes Collateral Agent may be exercised solely during the continuation of an Event of Default and upon termination of the Event of Default; such license to the Intellectual Property shall automatically and immediately terminate and any Intellectual Property in the possession of the Notes Collateral Agent shall be returned to such Grantor.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firstLine="1620"/>
        <w:spacing w:after="0" w:line="257"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communications and notices hereunder shall (except as otherwise expressly permitted herein) be in writing and given as provided in Section 12.02 of the Indenture. All communications and notices hereunder to any Grantor shall be given to it in care of Holdings as provided in Section 12.02 of the Indenture.</w:t>
      </w:r>
    </w:p>
    <w:p>
      <w:pPr>
        <w:spacing w:after="0" w:line="173" w:lineRule="exact"/>
        <w:rPr>
          <w:sz w:val="20"/>
          <w:szCs w:val="20"/>
          <w:color w:val="auto"/>
        </w:rPr>
      </w:pPr>
    </w:p>
    <w:p>
      <w:pPr>
        <w:jc w:val="both"/>
        <w:ind w:firstLine="1620"/>
        <w:spacing w:after="0" w:line="262"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Waivers; Amendment</w:t>
      </w:r>
      <w:r>
        <w:rPr>
          <w:rFonts w:ascii="Times New Roman" w:cs="Times New Roman" w:eastAsia="Times New Roman" w:hAnsi="Times New Roman"/>
          <w:sz w:val="21"/>
          <w:szCs w:val="21"/>
          <w:color w:val="auto"/>
        </w:rPr>
        <w:t>. (a) No failure or delay by the Notes Collateral Agent or any other Noteholder Secured Party in exercising any right or power hereunder or under any other Notes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Notes Collateral Agent and the Noteholder Secured Parties hereunder and under the other Notes Documents are cumulative and are not exclusive of any rights or remedies that the Notes Collateral Agent or the other Noteholder Secured Parties would otherwise have. No waiver of any provision of this Agreement or consent to any departure by any Grantor therefrom shall in any event be effective unless the same shall be permitted by paragraph (b) of this Section 5.02, and then such waiver or consent shall be effective only in the specific instance and for the purpose for which given. No notice or demand on any Grantor in any case shall entitle any Grantor to any other or further notice or demand in similar or other circumstances.</w:t>
      </w:r>
    </w:p>
    <w:p>
      <w:pPr>
        <w:spacing w:after="0" w:line="172" w:lineRule="exact"/>
        <w:rPr>
          <w:sz w:val="20"/>
          <w:szCs w:val="20"/>
          <w:color w:val="auto"/>
        </w:rPr>
      </w:pPr>
    </w:p>
    <w:p>
      <w:pPr>
        <w:jc w:val="both"/>
        <w:ind w:firstLine="1304"/>
        <w:spacing w:after="0" w:line="263" w:lineRule="auto"/>
        <w:tabs>
          <w:tab w:leader="none" w:pos="1939"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waived, amended or modified except pursuant to an agreement or agreements in writing entered into by the Notes Collateral Agent and the Grantor or Grantors with respect to which such waiver, amendment or modification is to apply in accordance with Article 9 of the Indenture.</w:t>
      </w:r>
    </w:p>
    <w:p>
      <w:pPr>
        <w:spacing w:after="0" w:line="167" w:lineRule="exact"/>
        <w:rPr>
          <w:sz w:val="20"/>
          <w:szCs w:val="20"/>
          <w:color w:val="auto"/>
        </w:rPr>
      </w:pPr>
    </w:p>
    <w:p>
      <w:pPr>
        <w:jc w:val="both"/>
        <w:ind w:firstLine="1620"/>
        <w:spacing w:after="0" w:line="271"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Notes Collateral Agent’s Fees and Expenses; Indemnity; Exculpation</w:t>
      </w:r>
      <w:r>
        <w:rPr>
          <w:rFonts w:ascii="Times New Roman" w:cs="Times New Roman" w:eastAsia="Times New Roman" w:hAnsi="Times New Roman"/>
          <w:sz w:val="22"/>
          <w:szCs w:val="22"/>
          <w:color w:val="auto"/>
        </w:rPr>
        <w:t xml:space="preserve">. The provisions of Sections 7.07 and 13.09(aa) of the Indenture are incorporated herein by reference,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620"/>
        <w:spacing w:after="0" w:line="257"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Whenever in this Agreement any of the parties hereto is referred to, such reference shall be deemed to include the permitted successors and assigns of such party, and all covenants, promises and agreements by or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1" w:right="339" w:bottom="1440" w:gutter="0" w:footer="0" w:header="0"/>
        </w:sectPr>
      </w:pPr>
    </w:p>
    <w:bookmarkStart w:id="416" w:name="page417"/>
    <w:bookmarkEnd w:id="416"/>
    <w:p>
      <w:pPr>
        <w:jc w:val="both"/>
        <w:spacing w:after="0" w:line="271" w:lineRule="auto"/>
        <w:rPr>
          <w:sz w:val="20"/>
          <w:szCs w:val="20"/>
          <w:color w:val="auto"/>
        </w:rPr>
      </w:pPr>
      <w:r>
        <w:rPr>
          <w:rFonts w:ascii="Times New Roman" w:cs="Times New Roman" w:eastAsia="Times New Roman" w:hAnsi="Times New Roman"/>
          <w:sz w:val="22"/>
          <w:szCs w:val="22"/>
          <w:color w:val="auto"/>
        </w:rPr>
        <w:t>of any Grantor or the Notes Collateral Agent that are contained in this Agreement shall bind and inure to the benefit of their respective successors and assigns.</w:t>
      </w:r>
    </w:p>
    <w:p>
      <w:pPr>
        <w:spacing w:after="0" w:line="158" w:lineRule="exact"/>
        <w:rPr>
          <w:sz w:val="20"/>
          <w:szCs w:val="20"/>
          <w:color w:val="auto"/>
        </w:rPr>
      </w:pPr>
    </w:p>
    <w:p>
      <w:pPr>
        <w:jc w:val="both"/>
        <w:ind w:firstLine="1620"/>
        <w:spacing w:after="0" w:line="250"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Survival of Agreement</w:t>
      </w:r>
      <w:r>
        <w:rPr>
          <w:rFonts w:ascii="Times New Roman" w:cs="Times New Roman" w:eastAsia="Times New Roman" w:hAnsi="Times New Roman"/>
          <w:sz w:val="22"/>
          <w:szCs w:val="22"/>
          <w:color w:val="auto"/>
        </w:rPr>
        <w:t>. All covenants, agreements, representations and warranties made by the Grantors in this Agreement or any other Notes Document and in the certificates or other instruments delivered in connection with or pursuant to this Agreement or any other Notes Document shall be considered to have been relied upon by the Noteholder Secured Parties and shall survive the execution and delivery of the Notes Documents, regardless of any investigation made by or on behalf of any Noteholder Secured Party and notwithstanding that the Notes Collateral Agent, Trustee or any other Noteholder Secured Party may have had notice or knowledge of any Default or incorrect representation or warranty at the time any credit is extended under the Indenture or any other Notes Document, and shall be in full force and effect as long as this Agreement has not been terminated or released pursuant to Section 5.13 below.</w:t>
      </w:r>
    </w:p>
    <w:p>
      <w:pPr>
        <w:spacing w:after="0" w:line="187" w:lineRule="exact"/>
        <w:rPr>
          <w:sz w:val="20"/>
          <w:szCs w:val="20"/>
          <w:color w:val="auto"/>
        </w:rPr>
      </w:pPr>
    </w:p>
    <w:p>
      <w:pPr>
        <w:jc w:val="both"/>
        <w:ind w:firstLine="1620"/>
        <w:spacing w:after="0" w:line="259"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Counterparts; Effectiveness; Several Agreement</w:t>
      </w:r>
      <w:r>
        <w:rPr>
          <w:rFonts w:ascii="Times New Roman" w:cs="Times New Roman" w:eastAsia="Times New Roman" w:hAnsi="Times New Roman"/>
          <w:sz w:val="21"/>
          <w:szCs w:val="21"/>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executed counterpart of this Agreement. The words “execution,” “execute,” “signed,” “signature,” “delivery,” and words of like import in or relating to this Agreement hereby shall be deemed to include electronic signatures, the electronic matching of assignment terms and contract formulations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This Agreement shall become effective as to any Grantor when a counterpart hereof executed on behalf of such Grantor shall have been delivered to the Notes Collateral Agent and a counterpart hereof shall have been executed on behalf of the Notes Collateral Agent, and thereafter shall be binding upon such Grantor and the Notes Collateral Agent and their respective permitted successors and assigns, and shall inure to the benefit of such Grantor, the Notes Collateral Agent and the other Noteholder Secured Parties and their respective successors and assigns, except that no Grantor shall have the right to assign or transfer its rights or obligations hereunder or any interest herein (and any such assignment or transfer shall be void) except as expressly provided in this Agreement and the Indenture.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w:t>
      </w:r>
    </w:p>
    <w:p>
      <w:pPr>
        <w:spacing w:after="0" w:line="179" w:lineRule="exact"/>
        <w:rPr>
          <w:sz w:val="20"/>
          <w:szCs w:val="20"/>
          <w:color w:val="auto"/>
        </w:rPr>
      </w:pPr>
    </w:p>
    <w:p>
      <w:pPr>
        <w:jc w:val="both"/>
        <w:ind w:firstLine="1620"/>
        <w:spacing w:after="0" w:line="263"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1" w:right="339" w:bottom="1440" w:gutter="0" w:footer="0" w:header="0"/>
        </w:sectPr>
      </w:pPr>
    </w:p>
    <w:bookmarkStart w:id="417" w:name="page418"/>
    <w:bookmarkEnd w:id="417"/>
    <w:p>
      <w:pPr>
        <w:spacing w:after="0" w:line="271" w:lineRule="auto"/>
        <w:rPr>
          <w:sz w:val="20"/>
          <w:szCs w:val="20"/>
          <w:color w:val="auto"/>
        </w:rPr>
      </w:pPr>
      <w:r>
        <w:rPr>
          <w:rFonts w:ascii="Times New Roman" w:cs="Times New Roman" w:eastAsia="Times New Roman" w:hAnsi="Times New Roman"/>
          <w:sz w:val="22"/>
          <w:szCs w:val="22"/>
          <w:color w:val="auto"/>
        </w:rPr>
        <w:t>legality and enforceability of the remaining provisions hereof; and the invalidity of a particular provision in a particular jurisdiction shall not invalidate such provision in any other jurisdiction.</w:t>
      </w:r>
    </w:p>
    <w:p>
      <w:pPr>
        <w:spacing w:after="0" w:line="158" w:lineRule="exact"/>
        <w:rPr>
          <w:sz w:val="20"/>
          <w:szCs w:val="20"/>
          <w:color w:val="auto"/>
        </w:rPr>
      </w:pPr>
    </w:p>
    <w:p>
      <w:pPr>
        <w:ind w:left="162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5.08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620"/>
        <w:spacing w:after="0" w:line="271"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Governing Law; Jurisdiction; Consent to Service of Process; Appointment of Service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Process Agent</w:t>
      </w:r>
      <w:r>
        <w:rPr>
          <w:rFonts w:ascii="Times New Roman" w:cs="Times New Roman" w:eastAsia="Times New Roman" w:hAnsi="Times New Roman"/>
          <w:sz w:val="22"/>
          <w:szCs w:val="22"/>
          <w:color w:val="auto"/>
        </w:rPr>
        <w:t>. (a) This Agreement shall be construed in accordance with and governed by the laws of the State of New York.</w:t>
      </w:r>
    </w:p>
    <w:p>
      <w:pPr>
        <w:spacing w:after="0" w:line="158" w:lineRule="exact"/>
        <w:rPr>
          <w:sz w:val="20"/>
          <w:szCs w:val="20"/>
          <w:color w:val="auto"/>
        </w:rPr>
      </w:pPr>
    </w:p>
    <w:p>
      <w:pPr>
        <w:jc w:val="both"/>
        <w:ind w:firstLine="1304"/>
        <w:spacing w:after="0" w:line="249" w:lineRule="auto"/>
        <w:tabs>
          <w:tab w:leader="none" w:pos="1939"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Notes Collateral Agent or the Noteholder Secured Parties may otherwise have to bring any action or proceeding relating to this Agreement against any Grantor or its respective properties in the courts of any jurisdiction.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5.01. Nothing in any Notes Document will affect the right of any party to this Agreement to serve process in any other manner permitted by law.</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hereby irrevocably designates, appoints and empowers the Issuer as its designee, appointee and agent to receive, accept and acknowledge for and on its behalf, and in respect of its property, service of any and all legal process, summons, notices and documents that may be served in any such action or proceeding and the Issuer hereby accepts such designation and appointment.</w:t>
      </w:r>
    </w:p>
    <w:p>
      <w:pPr>
        <w:spacing w:after="0" w:line="176"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1" w:right="339" w:bottom="1440" w:gutter="0" w:footer="0" w:header="0"/>
        </w:sectPr>
      </w:pPr>
    </w:p>
    <w:bookmarkStart w:id="418" w:name="page419"/>
    <w:bookmarkEnd w:id="418"/>
    <w:p>
      <w:pPr>
        <w:jc w:val="both"/>
        <w:ind w:firstLine="8"/>
        <w:spacing w:after="0" w:line="253" w:lineRule="auto"/>
        <w:tabs>
          <w:tab w:leader="none" w:pos="364" w:val="left"/>
        </w:tabs>
        <w:numPr>
          <w:ilvl w:val="0"/>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5.10.</w:t>
      </w:r>
    </w:p>
    <w:p>
      <w:pPr>
        <w:spacing w:after="0" w:line="179" w:lineRule="exact"/>
        <w:rPr>
          <w:sz w:val="20"/>
          <w:szCs w:val="20"/>
          <w:color w:val="auto"/>
        </w:rPr>
      </w:pPr>
    </w:p>
    <w:p>
      <w:pPr>
        <w:jc w:val="both"/>
        <w:ind w:firstLine="1620"/>
        <w:spacing w:after="0" w:line="257"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to be taken into consideration in interpreting, this Agreement.</w:t>
      </w:r>
    </w:p>
    <w:p>
      <w:pPr>
        <w:spacing w:after="0" w:line="186" w:lineRule="exact"/>
        <w:rPr>
          <w:sz w:val="20"/>
          <w:szCs w:val="20"/>
          <w:color w:val="auto"/>
        </w:rPr>
      </w:pPr>
    </w:p>
    <w:p>
      <w:pPr>
        <w:jc w:val="both"/>
        <w:ind w:firstLine="1620"/>
        <w:spacing w:after="0" w:line="249"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Security Interest Absolute</w:t>
      </w:r>
      <w:r>
        <w:rPr>
          <w:rFonts w:ascii="Times New Roman" w:cs="Times New Roman" w:eastAsia="Times New Roman" w:hAnsi="Times New Roman"/>
          <w:sz w:val="22"/>
          <w:szCs w:val="22"/>
          <w:color w:val="auto"/>
        </w:rPr>
        <w:t>. All rights of the Notes Collateral Agent hereunder, the Security Interest, the grant of a security interest in the Pledged Collateral and all obligations of each Grantor hereunder shall be absolute and unconditional irrespective of (a) any lack of validity or enforceability of the Indenture, any other Notes Document, any agreement with respect to any of the Notes Obligations or any other agreement or instrument relating to any of the foregoing,</w:t>
      </w:r>
    </w:p>
    <w:p>
      <w:pPr>
        <w:jc w:val="both"/>
        <w:ind w:firstLine="8"/>
        <w:spacing w:after="0" w:line="246" w:lineRule="auto"/>
        <w:tabs>
          <w:tab w:leader="none" w:pos="321"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of the Notes Obligations, or any other amendment or waiver of or any consent to any departure from the Indenture, any other Notes Document or any other agreement or instrument, (c) any exchange, release or non-perfection of any Lien on other collateral, or any release or amendment or waiver of or consent under or departure from any guarantee securing or guaranteeing all or any of the Notes Obligations or (d) any other circumstance that might otherwise constitute a defense available to, or a discharge of, any Grantor in respect of the Notes Obligations or this Agreement.</w:t>
      </w:r>
    </w:p>
    <w:p>
      <w:pPr>
        <w:spacing w:after="0" w:line="189" w:lineRule="exact"/>
        <w:rPr>
          <w:sz w:val="20"/>
          <w:szCs w:val="20"/>
          <w:color w:val="auto"/>
        </w:rPr>
      </w:pPr>
    </w:p>
    <w:p>
      <w:pPr>
        <w:ind w:firstLine="1620"/>
        <w:spacing w:after="0" w:line="284"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Termination or Release</w:t>
      </w:r>
      <w:r>
        <w:rPr>
          <w:rFonts w:ascii="Times New Roman" w:cs="Times New Roman" w:eastAsia="Times New Roman" w:hAnsi="Times New Roman"/>
          <w:sz w:val="22"/>
          <w:szCs w:val="22"/>
          <w:color w:val="auto"/>
        </w:rPr>
        <w:t>. (a) This Agreement, the Security Interest and all other security interests granted hereby shall terminate automatically upon the discharge of the Notes Obligations.</w:t>
      </w:r>
    </w:p>
    <w:p>
      <w:pPr>
        <w:spacing w:after="0" w:line="144" w:lineRule="exact"/>
        <w:rPr>
          <w:sz w:val="20"/>
          <w:szCs w:val="20"/>
          <w:color w:val="auto"/>
        </w:rPr>
      </w:pPr>
    </w:p>
    <w:p>
      <w:pPr>
        <w:ind w:firstLine="1304"/>
        <w:spacing w:after="0" w:line="271" w:lineRule="auto"/>
        <w:tabs>
          <w:tab w:leader="none" w:pos="1939"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Interest and all other security interests granted hereby shall also automatically terminate and be released at the time or times and in the manner set forth in Sections 13.03 and 13.08 of the Indenture, as applicable.</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termination or release pursuant to paragraph (a) or (b) of this Section, the Notes Collateral Agent shall execute and deliver to any Grantor, at such Grantor’s expense, all documents that such Grantor shall reasonably request to evidence such termination or release so long as the applicable Grantor shall have provided the Notes Collateral Agent such certifications or documents as the Notes Collateral Agent shall reasonably request in order to demonstrate compliance with this Section 5.13. Any execution and delivery of documents by the Notes Collateral Agent pursuant to this Section shall be without recourse to, representation or warranty by the Notes Collateral Agent or any other Noteholder Secured Party.</w:t>
      </w:r>
    </w:p>
    <w:p>
      <w:pPr>
        <w:spacing w:after="0" w:line="180" w:lineRule="exact"/>
        <w:rPr>
          <w:sz w:val="20"/>
          <w:szCs w:val="20"/>
          <w:color w:val="auto"/>
        </w:rPr>
      </w:pPr>
    </w:p>
    <w:p>
      <w:pPr>
        <w:ind w:firstLine="1620"/>
        <w:spacing w:after="0" w:line="284"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Additional Subsidiaries</w:t>
      </w:r>
      <w:r>
        <w:rPr>
          <w:rFonts w:ascii="Times New Roman" w:cs="Times New Roman" w:eastAsia="Times New Roman" w:hAnsi="Times New Roman"/>
          <w:sz w:val="22"/>
          <w:szCs w:val="22"/>
          <w:color w:val="auto"/>
        </w:rPr>
        <w:t>. As required under Section 4.15 of the Indenture, the Grantors shall cause each Intermediate Parent and each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419" w:name="page420"/>
    <w:bookmarkEnd w:id="419"/>
    <w:p>
      <w:pPr>
        <w:jc w:val="both"/>
        <w:spacing w:after="0" w:line="263" w:lineRule="auto"/>
        <w:rPr>
          <w:sz w:val="20"/>
          <w:szCs w:val="20"/>
          <w:color w:val="auto"/>
        </w:rPr>
      </w:pPr>
      <w:r>
        <w:rPr>
          <w:rFonts w:ascii="Times New Roman" w:cs="Times New Roman" w:eastAsia="Times New Roman" w:hAnsi="Times New Roman"/>
          <w:sz w:val="21"/>
          <w:szCs w:val="21"/>
          <w:color w:val="auto"/>
        </w:rPr>
        <w:t>Subsidiary that is not an Excluded Subsidiary, or any other Restricted Subsidiary that the Issuer, at its option, elects to become a Grantor, to execute and deliver to the Notes Collateral Agent a Grantor Supplement and a Perfection Certificate (or a supplement thereof) regarding such Intermediate Parent or Restricted Subsidiary. Upon execution and delivery of such documents to the Notes Collateral Agent, any such Intermediate Parent or Subsidiary shall become a Grantor, as applicable, hereunder with the same force and effect as if originally named as such herein. The execution and delivery of any such instrument or document shall not require the consent of any other Grantor hereunder. The rights and obligations of each Grantor hereunder shall remain in full force and effect notwithstanding the addition of any new Grantor as a party to this Agreement.</w:t>
      </w:r>
    </w:p>
    <w:p>
      <w:pPr>
        <w:spacing w:after="0" w:line="173" w:lineRule="exact"/>
        <w:rPr>
          <w:sz w:val="20"/>
          <w:szCs w:val="20"/>
          <w:color w:val="auto"/>
        </w:rPr>
      </w:pPr>
    </w:p>
    <w:p>
      <w:pPr>
        <w:jc w:val="both"/>
        <w:ind w:firstLine="1620"/>
        <w:spacing w:after="0" w:line="247"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Notes Collateral Agent Appointed Attorney-in-Fact</w:t>
      </w:r>
      <w:r>
        <w:rPr>
          <w:rFonts w:ascii="Times New Roman" w:cs="Times New Roman" w:eastAsia="Times New Roman" w:hAnsi="Times New Roman"/>
          <w:sz w:val="22"/>
          <w:szCs w:val="22"/>
          <w:color w:val="auto"/>
        </w:rPr>
        <w:t xml:space="preserve">. Each Grantor hereby makes, constitutes and appoints the Notes Collateral Agent (and all officers, employees or agents designated by the Notes Collateral Agent) the attorney-in-fact of such Grantor for the purpose of carrying out the provisions of this Agreement and taking any action and executing any instrument that the Notes Collateral Agent may deem necessary or advisable to accomplish the purposes hereof at any time after and during the continuance of an Event of Default, which appointment is irrevocable (until termination of this Agreement in accordance with Section 5.13) and coupled with an interest. Without limiting the generality of the foregoing, the Notes Collateral Agent shall have the right, but only upon the occurrence and during the continuance of an Event of Default and, other than in the case of any Event of Default arising under Section 6.01(a)(6) or 6.01(a)(7) of the Indenture, written notice by the Notes Collateral Agent to the Issuer of its intent to exercise such rights, with full power of substitution either in the Notes Collateral Agent’s name or in the name of such Grantor: (a) to receive, indorse,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 (d) upon prior written notice to the Issuer (other than in the case of any Event of Default arising under Section 6.01(a)(6) or 6.01(a)(7) of the Indenture), to send verifications of accounts receivable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upon prior written notice to the Issuer (other than in the case of any Event of Default arising under Section 6.01(a)(6) or 6.01(a)(7) of the Indenture), to notify, or to require any Grantor to notify, Account Debtors to make payment directly to the Notes Collateral Agent; (h) to use, sell, assign, transfer, pledge, make any agreement with respect to or otherwise deal with all or any of the Collateral, and to do all other acts and things necessary to carry out the purposes of this Agreement, as fully and completely as though the Notes Collateral Agent were the absolute owner of the Collateral for all purposes, and (i) to make, settle and adjust claims in respect of Article 9 Collateral under policies of insurance, indorsing the name of such Grantor on any check, draft, instrument or other item of payment for the proceeds of such policies of insurance and for making all determinations and decisions with respect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contained shall be construed as requiring or obligating the Notes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1" w:right="339" w:bottom="1440" w:gutter="0" w:footer="0" w:header="0"/>
        </w:sectPr>
      </w:pPr>
    </w:p>
    <w:bookmarkStart w:id="420" w:name="page421"/>
    <w:bookmarkEnd w:id="420"/>
    <w:p>
      <w:pPr>
        <w:jc w:val="both"/>
        <w:spacing w:after="0" w:line="249" w:lineRule="auto"/>
        <w:rPr>
          <w:sz w:val="20"/>
          <w:szCs w:val="20"/>
          <w:color w:val="auto"/>
        </w:rPr>
      </w:pPr>
      <w:r>
        <w:rPr>
          <w:rFonts w:ascii="Times New Roman" w:cs="Times New Roman" w:eastAsia="Times New Roman" w:hAnsi="Times New Roman"/>
          <w:sz w:val="22"/>
          <w:szCs w:val="22"/>
          <w:color w:val="auto"/>
        </w:rPr>
        <w:t>to make any commitment or to make any inquiry as to the nature or sufficiency of any payment received by the Notes Collateral Agent, or to present or file any claim or notice, or to take any action with respect to the Collateral or any part thereof or the moneys due or to become due in respect thereof or any property covered thereby. The Notes Collateral Agent and the other Noteholder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or willful misconduct or that of any of their controlled Affiliates, directors, officers, employees, counsel, agents or attorneys-in-fact, in each case, as determined by a court of competent jurisdiction in a final and non-appealable judgment.</w:t>
      </w:r>
    </w:p>
    <w:p>
      <w:pPr>
        <w:spacing w:after="0" w:line="195" w:lineRule="exact"/>
        <w:rPr>
          <w:sz w:val="20"/>
          <w:szCs w:val="20"/>
          <w:color w:val="auto"/>
        </w:rPr>
      </w:pPr>
    </w:p>
    <w:p>
      <w:pPr>
        <w:jc w:val="both"/>
        <w:ind w:firstLine="1620"/>
        <w:spacing w:after="0" w:line="249"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Intercreditor Agreements Govern</w:t>
      </w:r>
      <w:r>
        <w:rPr>
          <w:rFonts w:ascii="Times New Roman" w:cs="Times New Roman" w:eastAsia="Times New Roman" w:hAnsi="Times New Roman"/>
          <w:sz w:val="22"/>
          <w:szCs w:val="22"/>
          <w:color w:val="auto"/>
        </w:rPr>
        <w:t>. Notwithstanding anything herein to the contrary, (i) the Liens and security interests granted to the Notes Collateral Agent for the benefit of the Noteholder Secured Parties pursuant to this Agreement and (ii) the exercise of any right or remedy by the Notes Collateral Agent hereunder or the application of proceeds (including insurance proceeds and condemnation proceeds) of any Collateral, are subject to the provisions of the Pari Passu Intercreditor Agreement and any other intercreditor agreement, if and to the extent applicable and/or in effect. In the event of any conflict between the terms of the Pari Passu Intercreditor Agreement and the terms of such other intercreditor agreement and the terms of this Agreement, the terms of the Pari Passu Intercreditor Agreement and such other intercreditor agreement, as applicable, shall govern.</w:t>
      </w:r>
    </w:p>
    <w:p>
      <w:pPr>
        <w:spacing w:after="0" w:line="182" w:lineRule="exact"/>
        <w:rPr>
          <w:sz w:val="20"/>
          <w:szCs w:val="20"/>
          <w:color w:val="auto"/>
        </w:rPr>
      </w:pPr>
    </w:p>
    <w:p>
      <w:pPr>
        <w:jc w:val="both"/>
        <w:ind w:firstLine="1620"/>
        <w:spacing w:after="0" w:line="249"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Delivery to Credit Agreement Collateral Agent</w:t>
      </w:r>
      <w:r>
        <w:rPr>
          <w:rFonts w:ascii="Times New Roman" w:cs="Times New Roman" w:eastAsia="Times New Roman" w:hAnsi="Times New Roman"/>
          <w:sz w:val="22"/>
          <w:szCs w:val="22"/>
          <w:color w:val="auto"/>
        </w:rPr>
        <w:t>. Notwithstanding anything herein to the contrary, prior to the Discharge of Credit Agreement Obligations (as defined in the Pari Passu Intercreditor Agreement), to the extent any Grantor is required hereunder to indorse, assign or deliver Collateral to the Notes Collateral Agent for any purpose and is unable to do so as a result of having previously indorsed, assigned or delivered such Collateral to the Credit Agreement Collateral Agent (as defined in the Pari Passu Intercreditor Agreement) in accordance with the terms of the Pari Passu Intercreditor Agreement, such Grantor’s obligations hereunder with respect to such indorsement, assignment or delivery shall be deemed satisfied by the indorsement, assignment or delivery in favor of or to the Credit Agreement Collateral Agent, acting as a gratuitous bailee of the Notes Collateral Agent.</w:t>
      </w:r>
    </w:p>
    <w:p>
      <w:pPr>
        <w:spacing w:after="0" w:line="195" w:lineRule="exact"/>
        <w:rPr>
          <w:sz w:val="20"/>
          <w:szCs w:val="20"/>
          <w:color w:val="auto"/>
        </w:rPr>
      </w:pPr>
    </w:p>
    <w:p>
      <w:pPr>
        <w:jc w:val="both"/>
        <w:ind w:firstLine="1620"/>
        <w:spacing w:after="0" w:line="248"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No Liability.</w:t>
      </w:r>
      <w:r>
        <w:rPr>
          <w:rFonts w:ascii="Times New Roman" w:cs="Times New Roman" w:eastAsia="Times New Roman" w:hAnsi="Times New Roman"/>
          <w:sz w:val="22"/>
          <w:szCs w:val="22"/>
          <w:color w:val="auto"/>
        </w:rPr>
        <w:t xml:space="preserve"> The Notes Collateral Agent shall not be responsible for or have a duty to ascertain or inquire into any representation or warranty regarding the existence, value or collectability of the Collateral, the existence, priority or perfection of the Notes Collateral Agent’s Lien thereon, the Perfection Certificate or any other certificate prepared by any Issuer or any Grantor in connection therewith and the Notes Collateral Agent shall not be responsible for filing any financing or continuation statements or recording any documents or instruments in any public office at any time or times or otherwise perfecting or maintaining the perfection of any security interest in the Collateral. Beyond the exercise of reasonable care in the custody and preservation thereof, the Notes Collateral Agent will have no duty as to any Collateral in its possession or control or in the possession or control of any sub-agent or bailee or any income therefrom or as to the preservation of rights against prior parties or any other rights pertaining thereto. The Notes Collateral Agent will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1" w:right="339" w:bottom="1440" w:gutter="0" w:footer="0" w:header="0"/>
        </w:sectPr>
      </w:pPr>
    </w:p>
    <w:bookmarkStart w:id="421" w:name="page422"/>
    <w:bookmarkEnd w:id="421"/>
    <w:p>
      <w:pPr>
        <w:jc w:val="both"/>
        <w:spacing w:after="0" w:line="256" w:lineRule="auto"/>
        <w:rPr>
          <w:sz w:val="20"/>
          <w:szCs w:val="20"/>
          <w:color w:val="auto"/>
        </w:rPr>
      </w:pPr>
      <w:r>
        <w:rPr>
          <w:rFonts w:ascii="Times New Roman" w:cs="Times New Roman" w:eastAsia="Times New Roman" w:hAnsi="Times New Roman"/>
          <w:sz w:val="22"/>
          <w:szCs w:val="22"/>
          <w:color w:val="auto"/>
        </w:rPr>
        <w:t>have exercised reasonable care in the custody and preservation of the Collateral in its possession or control if such Collateral is accorded treatment substantially equal to that which it accords its own property, and will not be liable or responsible for any loss or damage to any Collateral, or for any diminution in the value thereof, by reason of any act or omission of any sub-agent or bailee selected by the Notes Collateral Agent in good faith.</w:t>
      </w:r>
    </w:p>
    <w:p>
      <w:pPr>
        <w:spacing w:after="0" w:line="176" w:lineRule="exact"/>
        <w:rPr>
          <w:sz w:val="20"/>
          <w:szCs w:val="20"/>
          <w:color w:val="auto"/>
        </w:rPr>
      </w:pPr>
    </w:p>
    <w:p>
      <w:pPr>
        <w:jc w:val="both"/>
        <w:ind w:firstLine="1620"/>
        <w:spacing w:after="0" w:line="252"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Concerning the Notes Collateral Agent.</w:t>
      </w:r>
      <w:r>
        <w:rPr>
          <w:rFonts w:ascii="Times New Roman" w:cs="Times New Roman" w:eastAsia="Times New Roman" w:hAnsi="Times New Roman"/>
          <w:sz w:val="22"/>
          <w:szCs w:val="22"/>
          <w:color w:val="auto"/>
        </w:rPr>
        <w:t xml:space="preserve"> Wilmington Trust, National Association is entering into this Agreement solely in its capacity as Notes Collateral Agent under the Indenture and in acting hereunder shall be entitled to all of the rights, privileges, immunities and indemnities granted to it under the Indenture, as if such rights, privileges, immunities and indemnities were set forth herein.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1" w:right="339" w:bottom="1440" w:gutter="0" w:footer="0" w:header="0"/>
        </w:sectPr>
      </w:pPr>
    </w:p>
    <w:bookmarkStart w:id="422" w:name="page423"/>
    <w:bookmarkEnd w:id="422"/>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duly executed this Agreement as of the day and year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SOTERA HEALTH COMPANY</w:t>
      </w:r>
      <w:r>
        <w:rPr>
          <w:rFonts w:ascii="Times New Roman" w:cs="Times New Roman" w:eastAsia="Times New Roman" w:hAnsi="Times New Roman"/>
          <w:sz w:val="22"/>
          <w:szCs w:val="22"/>
          <w:color w:val="auto"/>
        </w:rPr>
        <w:t>, as Holdings</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830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9" w:lineRule="exact"/>
        <w:rPr>
          <w:sz w:val="20"/>
          <w:szCs w:val="20"/>
          <w:color w:val="auto"/>
        </w:rPr>
      </w:pPr>
    </w:p>
    <w:p>
      <w:pPr>
        <w:ind w:left="4220"/>
        <w:spacing w:after="0"/>
        <w:tabs>
          <w:tab w:leader="none" w:pos="5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Jonathan M. Lyons</w:t>
      </w:r>
    </w:p>
    <w:p>
      <w:pPr>
        <w:spacing w:after="0" w:line="15" w:lineRule="exact"/>
        <w:rPr>
          <w:sz w:val="20"/>
          <w:szCs w:val="20"/>
          <w:color w:val="auto"/>
        </w:rPr>
      </w:pPr>
    </w:p>
    <w:p>
      <w:pPr>
        <w:ind w:left="4220"/>
        <w:spacing w:after="0"/>
        <w:tabs>
          <w:tab w:leader="none" w:pos="4940" w:val="left"/>
        </w:tabs>
        <w:rPr>
          <w:sz w:val="20"/>
          <w:szCs w:val="20"/>
          <w:color w:val="auto"/>
        </w:rPr>
      </w:pPr>
      <w:r>
        <w:rPr>
          <w:rFonts w:ascii="Times New Roman" w:cs="Times New Roman" w:eastAsia="Times New Roman" w:hAnsi="Times New Roman"/>
          <w:sz w:val="22"/>
          <w:szCs w:val="22"/>
          <w:color w:val="auto"/>
        </w:rPr>
        <w:t>Title:</w:t>
        <w:tab/>
        <w:t>Senior Vice President and Chief Financial Officer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SOTERA HEALTH HOLDINGS, LLC</w:t>
      </w:r>
      <w:r>
        <w:rPr>
          <w:rFonts w:ascii="Times New Roman" w:cs="Times New Roman" w:eastAsia="Times New Roman" w:hAnsi="Times New Roman"/>
          <w:sz w:val="22"/>
          <w:szCs w:val="22"/>
          <w:color w:val="auto"/>
        </w:rPr>
        <w:t>, as Issuer</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Jason C.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068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8" w:lineRule="exact"/>
        <w:rPr>
          <w:sz w:val="20"/>
          <w:szCs w:val="20"/>
          <w:color w:val="auto"/>
        </w:rPr>
      </w:pPr>
    </w:p>
    <w:p>
      <w:pPr>
        <w:ind w:left="4220"/>
        <w:spacing w:after="0"/>
        <w:tabs>
          <w:tab w:leader="none" w:pos="5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Jason C. Peterson</w:t>
      </w:r>
    </w:p>
    <w:p>
      <w:pPr>
        <w:spacing w:after="0" w:line="5" w:lineRule="exact"/>
        <w:rPr>
          <w:sz w:val="20"/>
          <w:szCs w:val="20"/>
          <w:color w:val="auto"/>
        </w:rPr>
      </w:pPr>
    </w:p>
    <w:p>
      <w:pPr>
        <w:ind w:left="4220"/>
        <w:spacing w:after="0"/>
        <w:tabs>
          <w:tab w:leader="none" w:pos="4920" w:val="left"/>
        </w:tabs>
        <w:rPr>
          <w:sz w:val="20"/>
          <w:szCs w:val="20"/>
          <w:color w:val="auto"/>
        </w:rPr>
      </w:pPr>
      <w:r>
        <w:rPr>
          <w:rFonts w:ascii="Times New Roman" w:cs="Times New Roman" w:eastAsia="Times New Roman" w:hAnsi="Times New Roman"/>
          <w:sz w:val="22"/>
          <w:szCs w:val="22"/>
          <w:color w:val="auto"/>
        </w:rPr>
        <w:t>Title:</w:t>
        <w:tab/>
        <w:t>Vice President and Treasurer</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SOTERA HEALTH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3487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8" w:lineRule="exact"/>
        <w:rPr>
          <w:sz w:val="20"/>
          <w:szCs w:val="20"/>
          <w:color w:val="auto"/>
        </w:rPr>
      </w:pPr>
    </w:p>
    <w:p>
      <w:pPr>
        <w:ind w:left="4220"/>
        <w:spacing w:after="0"/>
        <w:tabs>
          <w:tab w:leader="none" w:pos="5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Jonathan M. Lyons</w:t>
      </w:r>
    </w:p>
    <w:p>
      <w:pPr>
        <w:spacing w:after="0" w:line="4" w:lineRule="exact"/>
        <w:rPr>
          <w:sz w:val="20"/>
          <w:szCs w:val="20"/>
          <w:color w:val="auto"/>
        </w:rPr>
      </w:pPr>
    </w:p>
    <w:p>
      <w:pPr>
        <w:ind w:left="4220"/>
        <w:spacing w:after="0"/>
        <w:tabs>
          <w:tab w:leader="none" w:pos="4940" w:val="left"/>
        </w:tabs>
        <w:rPr>
          <w:sz w:val="20"/>
          <w:szCs w:val="20"/>
          <w:color w:val="auto"/>
        </w:rPr>
      </w:pPr>
      <w:r>
        <w:rPr>
          <w:rFonts w:ascii="Times New Roman" w:cs="Times New Roman" w:eastAsia="Times New Roman" w:hAnsi="Times New Roman"/>
          <w:sz w:val="22"/>
          <w:szCs w:val="22"/>
          <w:color w:val="auto"/>
        </w:rPr>
        <w:t>Title:</w:t>
        <w:tab/>
        <w:t>Senior Vice President and Chief Financial Officer</w:t>
      </w: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STERIGENICS U.S.,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Jason C.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068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8" w:lineRule="exact"/>
        <w:rPr>
          <w:sz w:val="20"/>
          <w:szCs w:val="20"/>
          <w:color w:val="auto"/>
        </w:rPr>
      </w:pPr>
    </w:p>
    <w:p>
      <w:pPr>
        <w:ind w:left="4220"/>
        <w:spacing w:after="0"/>
        <w:tabs>
          <w:tab w:leader="none" w:pos="5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Jason C. Peterson</w:t>
      </w:r>
    </w:p>
    <w:p>
      <w:pPr>
        <w:spacing w:after="0" w:line="4" w:lineRule="exact"/>
        <w:rPr>
          <w:sz w:val="20"/>
          <w:szCs w:val="20"/>
          <w:color w:val="auto"/>
        </w:rPr>
      </w:pPr>
    </w:p>
    <w:p>
      <w:pPr>
        <w:ind w:left="4220"/>
        <w:spacing w:after="0"/>
        <w:tabs>
          <w:tab w:leader="none" w:pos="4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NELSON LABORATORIES,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363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436370" cy="8890"/>
                    </a:xfrm>
                    <a:prstGeom prst="rect">
                      <a:avLst/>
                    </a:prstGeom>
                    <a:noFill/>
                  </pic:spPr>
                </pic:pic>
              </a:graphicData>
            </a:graphic>
          </wp:anchor>
        </w:drawing>
      </w:r>
    </w:p>
    <w:p>
      <w:pPr>
        <w:spacing w:after="0" w:line="9" w:lineRule="exact"/>
        <w:rPr>
          <w:sz w:val="20"/>
          <w:szCs w:val="20"/>
          <w:color w:val="auto"/>
        </w:rPr>
      </w:pPr>
    </w:p>
    <w:p>
      <w:pPr>
        <w:ind w:left="4220"/>
        <w:spacing w:after="0"/>
        <w:tabs>
          <w:tab w:leader="none" w:pos="5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Joseph A. Shrawder</w:t>
      </w:r>
    </w:p>
    <w:p>
      <w:pPr>
        <w:spacing w:after="0" w:line="15" w:lineRule="exact"/>
        <w:rPr>
          <w:sz w:val="20"/>
          <w:szCs w:val="20"/>
          <w:color w:val="auto"/>
        </w:rPr>
      </w:pPr>
    </w:p>
    <w:p>
      <w:pPr>
        <w:ind w:left="4220"/>
        <w:spacing w:after="0"/>
        <w:tabs>
          <w:tab w:leader="none" w:pos="4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[Signature Page to Security Agreement]</w:t>
      </w:r>
    </w:p>
    <w:p>
      <w:pPr>
        <w:sectPr>
          <w:pgSz w:w="11900" w:h="16838" w:orient="portrait"/>
          <w:cols w:equalWidth="0" w:num="1">
            <w:col w:w="11220"/>
          </w:cols>
          <w:pgMar w:left="320" w:top="1440" w:right="359" w:bottom="1440" w:gutter="0" w:footer="0" w:header="0"/>
          <w:type w:val="continuous"/>
        </w:sectPr>
      </w:pPr>
    </w:p>
    <w:bookmarkStart w:id="423" w:name="page424"/>
    <w:bookmarkEnd w:id="423"/>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SOTERA HEALTH SERVICES,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Jason C.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3068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Jason C. Peterson</w:t>
      </w:r>
    </w:p>
    <w:p>
      <w:pPr>
        <w:spacing w:after="0" w:line="4" w:lineRule="exact"/>
        <w:rPr>
          <w:sz w:val="20"/>
          <w:szCs w:val="20"/>
          <w:color w:val="auto"/>
        </w:rPr>
      </w:pPr>
    </w:p>
    <w:p>
      <w:pPr>
        <w:ind w:left="3100"/>
        <w:spacing w:after="0"/>
        <w:tabs>
          <w:tab w:leader="none" w:pos="37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pacing w:after="0" w:line="200" w:lineRule="exact"/>
        <w:rPr>
          <w:sz w:val="20"/>
          <w:szCs w:val="20"/>
          <w:color w:val="auto"/>
        </w:rPr>
      </w:pPr>
    </w:p>
    <w:p>
      <w:pPr>
        <w:spacing w:after="0" w:line="221" w:lineRule="exact"/>
        <w:rPr>
          <w:sz w:val="20"/>
          <w:szCs w:val="20"/>
          <w:color w:val="auto"/>
        </w:rPr>
      </w:pPr>
    </w:p>
    <w:p>
      <w:pPr>
        <w:ind w:left="2780" w:right="20"/>
        <w:spacing w:after="0" w:line="275" w:lineRule="auto"/>
        <w:rPr>
          <w:sz w:val="20"/>
          <w:szCs w:val="20"/>
          <w:color w:val="auto"/>
        </w:rPr>
      </w:pPr>
      <w:r>
        <w:rPr>
          <w:rFonts w:ascii="Times New Roman" w:cs="Times New Roman" w:eastAsia="Times New Roman" w:hAnsi="Times New Roman"/>
          <w:sz w:val="22"/>
          <w:szCs w:val="22"/>
          <w:b w:val="1"/>
          <w:bCs w:val="1"/>
          <w:color w:val="auto"/>
        </w:rPr>
        <w:t>STERIGENICS RADIATION TECHNOLOGIES HOLDINGS, LLC</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Grantor</w:t>
      </w:r>
    </w:p>
    <w:p>
      <w:pPr>
        <w:spacing w:after="0" w:line="3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Alan Crompton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92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tab/>
        <w:t>Alan Crompton</w:t>
      </w:r>
    </w:p>
    <w:p>
      <w:pPr>
        <w:spacing w:after="0" w:line="4" w:lineRule="exact"/>
        <w:rPr>
          <w:sz w:val="20"/>
          <w:szCs w:val="20"/>
          <w:color w:val="auto"/>
        </w:rPr>
      </w:pPr>
    </w:p>
    <w:p>
      <w:pPr>
        <w:ind w:left="3100"/>
        <w:spacing w:after="0"/>
        <w:tabs>
          <w:tab w:leader="none" w:pos="3800" w:val="left"/>
        </w:tabs>
        <w:rPr>
          <w:sz w:val="20"/>
          <w:szCs w:val="20"/>
          <w:color w:val="auto"/>
        </w:rPr>
      </w:pPr>
      <w:r>
        <w:rPr>
          <w:rFonts w:ascii="Times New Roman" w:cs="Times New Roman" w:eastAsia="Times New Roman" w:hAnsi="Times New Roman"/>
          <w:sz w:val="22"/>
          <w:szCs w:val="22"/>
          <w:color w:val="auto"/>
        </w:rPr>
        <w:t>Title:</w:t>
        <w:tab/>
        <w:t>Vice President, Treasurer and Secretary</w:t>
      </w:r>
    </w:p>
    <w:p>
      <w:pPr>
        <w:spacing w:after="0" w:line="200" w:lineRule="exact"/>
        <w:rPr>
          <w:sz w:val="20"/>
          <w:szCs w:val="20"/>
          <w:color w:val="auto"/>
        </w:rPr>
      </w:pP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STERIGENICS RADIATION TECHNOLOGIES,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Alan Crompton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92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tab/>
        <w:t>Alan Crompton</w:t>
      </w:r>
    </w:p>
    <w:p>
      <w:pPr>
        <w:spacing w:after="0" w:line="4" w:lineRule="exact"/>
        <w:rPr>
          <w:sz w:val="20"/>
          <w:szCs w:val="20"/>
          <w:color w:val="auto"/>
        </w:rPr>
      </w:pPr>
    </w:p>
    <w:p>
      <w:pPr>
        <w:ind w:left="3100"/>
        <w:spacing w:after="0"/>
        <w:tabs>
          <w:tab w:leader="none" w:pos="3800" w:val="left"/>
        </w:tabs>
        <w:rPr>
          <w:sz w:val="20"/>
          <w:szCs w:val="20"/>
          <w:color w:val="auto"/>
        </w:rPr>
      </w:pPr>
      <w:r>
        <w:rPr>
          <w:rFonts w:ascii="Times New Roman" w:cs="Times New Roman" w:eastAsia="Times New Roman" w:hAnsi="Times New Roman"/>
          <w:sz w:val="22"/>
          <w:szCs w:val="22"/>
          <w:color w:val="auto"/>
        </w:rPr>
        <w:t>Title:</w:t>
        <w:tab/>
        <w:t>Vice President, Treasurer and Secretary</w:t>
      </w:r>
    </w:p>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NELSON LABORATORIES HOLDINGS, LLC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363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tab/>
        <w:t>Joseph A. Shrawder</w:t>
      </w:r>
    </w:p>
    <w:p>
      <w:pPr>
        <w:spacing w:after="0" w:line="4" w:lineRule="exact"/>
        <w:rPr>
          <w:sz w:val="20"/>
          <w:szCs w:val="20"/>
          <w:color w:val="auto"/>
        </w:rPr>
      </w:pPr>
    </w:p>
    <w:p>
      <w:pPr>
        <w:ind w:left="3100"/>
        <w:spacing w:after="0"/>
        <w:tabs>
          <w:tab w:leader="none" w:pos="382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NELSON LABORATORIES FAIRFIELD HOLDINGS, LLC</w:t>
      </w:r>
      <w:r>
        <w:rPr>
          <w:rFonts w:ascii="Times New Roman" w:cs="Times New Roman" w:eastAsia="Times New Roman" w:hAnsi="Times New Roman"/>
          <w:sz w:val="21"/>
          <w:szCs w:val="21"/>
          <w:color w:val="auto"/>
        </w:rPr>
        <w:t>, as a Grantor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363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tab/>
        <w:t>Joseph A. Shrawder</w:t>
      </w:r>
    </w:p>
    <w:p>
      <w:pPr>
        <w:spacing w:after="0" w:line="5" w:lineRule="exact"/>
        <w:rPr>
          <w:sz w:val="20"/>
          <w:szCs w:val="20"/>
          <w:color w:val="auto"/>
        </w:rPr>
      </w:pPr>
    </w:p>
    <w:p>
      <w:pPr>
        <w:ind w:left="3100"/>
        <w:spacing w:after="0"/>
        <w:tabs>
          <w:tab w:leader="none" w:pos="3820" w:val="left"/>
        </w:tabs>
        <w:rPr>
          <w:sz w:val="20"/>
          <w:szCs w:val="20"/>
          <w:color w:val="auto"/>
        </w:rPr>
      </w:pPr>
      <w:r>
        <w:rPr>
          <w:rFonts w:ascii="Times New Roman" w:cs="Times New Roman" w:eastAsia="Times New Roman" w:hAnsi="Times New Roman"/>
          <w:sz w:val="22"/>
          <w:szCs w:val="22"/>
          <w:color w:val="auto"/>
        </w:rPr>
        <w:t>Title:</w:t>
        <w:tab/>
        <w:t>President</w:t>
      </w:r>
    </w:p>
    <w:p>
      <w:pPr>
        <w:sectPr>
          <w:pgSz w:w="11900" w:h="16838" w:orient="portrait"/>
          <w:cols w:equalWidth="0" w:num="1">
            <w:col w:w="9600"/>
          </w:cols>
          <w:pgMar w:left="144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[Signature Page to Security Agreement]</w:t>
      </w:r>
    </w:p>
    <w:p>
      <w:pPr>
        <w:sectPr>
          <w:pgSz w:w="11900" w:h="16838" w:orient="portrait"/>
          <w:cols w:equalWidth="0" w:num="1">
            <w:col w:w="9600"/>
          </w:cols>
          <w:pgMar w:left="1440" w:top="1440" w:right="859" w:bottom="1440" w:gutter="0" w:footer="0" w:header="0"/>
          <w:type w:val="continuous"/>
        </w:sectPr>
      </w:pPr>
    </w:p>
    <w:bookmarkStart w:id="424" w:name="page425"/>
    <w:bookmarkEnd w:id="424"/>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STERIGENICS RADIATION TECHNOLOGIES IN, INC.</w:t>
      </w:r>
      <w:r>
        <w:rPr>
          <w:rFonts w:ascii="Times New Roman" w:cs="Times New Roman" w:eastAsia="Times New Roman" w:hAnsi="Times New Roman"/>
          <w:sz w:val="21"/>
          <w:szCs w:val="21"/>
          <w:color w:val="auto"/>
        </w:rPr>
        <w:t>, as a Grantor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Alan Crompton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925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tab/>
        <w:t>Alan Crompton</w:t>
      </w:r>
    </w:p>
    <w:p>
      <w:pPr>
        <w:spacing w:after="0" w:line="4" w:lineRule="exact"/>
        <w:rPr>
          <w:sz w:val="20"/>
          <w:szCs w:val="20"/>
          <w:color w:val="auto"/>
        </w:rPr>
      </w:pPr>
    </w:p>
    <w:p>
      <w:pPr>
        <w:ind w:left="3100"/>
        <w:spacing w:after="0"/>
        <w:tabs>
          <w:tab w:leader="none" w:pos="3800" w:val="left"/>
        </w:tabs>
        <w:rPr>
          <w:sz w:val="20"/>
          <w:szCs w:val="20"/>
          <w:color w:val="auto"/>
        </w:rPr>
      </w:pPr>
      <w:r>
        <w:rPr>
          <w:rFonts w:ascii="Times New Roman" w:cs="Times New Roman" w:eastAsia="Times New Roman" w:hAnsi="Times New Roman"/>
          <w:sz w:val="22"/>
          <w:szCs w:val="22"/>
          <w:color w:val="auto"/>
        </w:rPr>
        <w:t>Title:</w:t>
        <w:tab/>
        <w:t>Vice President, Treasurer and Secretary</w:t>
      </w:r>
    </w:p>
    <w:p>
      <w:pPr>
        <w:spacing w:after="0" w:line="200" w:lineRule="exact"/>
        <w:rPr>
          <w:sz w:val="20"/>
          <w:szCs w:val="20"/>
          <w:color w:val="auto"/>
        </w:rPr>
      </w:pP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NELSON LABORATORIES BOZEMAN, LLC</w:t>
      </w:r>
      <w:r>
        <w:rPr>
          <w:rFonts w:ascii="Times New Roman" w:cs="Times New Roman" w:eastAsia="Times New Roman" w:hAnsi="Times New Roman"/>
          <w:sz w:val="22"/>
          <w:szCs w:val="22"/>
          <w:color w:val="auto"/>
        </w:rPr>
        <w:t>, as a Grantor</w:t>
      </w:r>
    </w:p>
    <w:p>
      <w:pPr>
        <w:spacing w:after="0" w:line="22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363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tab/>
        <w:t>Joseph A. Shrawder</w:t>
      </w:r>
    </w:p>
    <w:p>
      <w:pPr>
        <w:spacing w:after="0" w:line="4" w:lineRule="exact"/>
        <w:rPr>
          <w:sz w:val="20"/>
          <w:szCs w:val="20"/>
          <w:color w:val="auto"/>
        </w:rPr>
      </w:pPr>
    </w:p>
    <w:p>
      <w:pPr>
        <w:ind w:left="3100"/>
        <w:spacing w:after="0"/>
        <w:tabs>
          <w:tab w:leader="none" w:pos="382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NELSON LABORATORIES FAIRFIELD, INC.</w:t>
      </w:r>
      <w:r>
        <w:rPr>
          <w:rFonts w:ascii="Times New Roman" w:cs="Times New Roman" w:eastAsia="Times New Roman" w:hAnsi="Times New Roman"/>
          <w:sz w:val="22"/>
          <w:szCs w:val="22"/>
          <w:color w:val="auto"/>
        </w:rPr>
        <w:t>, as a Grantor</w:t>
      </w:r>
    </w:p>
    <w:p>
      <w:pPr>
        <w:spacing w:after="0" w:line="200" w:lineRule="exact"/>
        <w:rPr>
          <w:sz w:val="20"/>
          <w:szCs w:val="20"/>
          <w:color w:val="auto"/>
        </w:rPr>
      </w:pPr>
    </w:p>
    <w:p>
      <w:pPr>
        <w:spacing w:after="0" w:line="2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363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tab/>
        <w:t>Joseph A. Shrawder</w:t>
      </w:r>
    </w:p>
    <w:p>
      <w:pPr>
        <w:spacing w:after="0" w:line="4" w:lineRule="exact"/>
        <w:rPr>
          <w:sz w:val="20"/>
          <w:szCs w:val="20"/>
          <w:color w:val="auto"/>
        </w:rPr>
      </w:pPr>
    </w:p>
    <w:p>
      <w:pPr>
        <w:ind w:left="3100"/>
        <w:spacing w:after="0"/>
        <w:tabs>
          <w:tab w:leader="none" w:pos="3820" w:val="left"/>
        </w:tabs>
        <w:rPr>
          <w:sz w:val="20"/>
          <w:szCs w:val="20"/>
          <w:color w:val="auto"/>
        </w:rPr>
      </w:pPr>
      <w:r>
        <w:rPr>
          <w:rFonts w:ascii="Times New Roman" w:cs="Times New Roman" w:eastAsia="Times New Roman" w:hAnsi="Times New Roman"/>
          <w:sz w:val="22"/>
          <w:szCs w:val="22"/>
          <w:color w:val="auto"/>
        </w:rPr>
        <w:t>Title:</w:t>
        <w:tab/>
        <w:t>President and Chief Executive Officer</w:t>
      </w:r>
    </w:p>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 xml:space="preserve">REGULATORY COMPLIANCE ASSOCIATES INC. </w:t>
      </w:r>
      <w:r>
        <w:rPr>
          <w:rFonts w:ascii="Times New Roman" w:cs="Times New Roman" w:eastAsia="Times New Roman" w:hAnsi="Times New Roman"/>
          <w:sz w:val="22"/>
          <w:szCs w:val="22"/>
          <w:color w:val="auto"/>
        </w:rPr>
        <w:t>as a Grantor</w:t>
      </w:r>
    </w:p>
    <w:p>
      <w:pPr>
        <w:spacing w:after="0" w:line="200" w:lineRule="exact"/>
        <w:rPr>
          <w:sz w:val="20"/>
          <w:szCs w:val="20"/>
          <w:color w:val="auto"/>
        </w:rPr>
      </w:pPr>
    </w:p>
    <w:p>
      <w:pPr>
        <w:spacing w:after="0" w:line="2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363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9" w:lineRule="exact"/>
        <w:rPr>
          <w:sz w:val="20"/>
          <w:szCs w:val="20"/>
          <w:color w:val="auto"/>
        </w:rPr>
      </w:pPr>
    </w:p>
    <w:p>
      <w:pPr>
        <w:ind w:left="310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tab/>
        <w:t>Joseph A. Shrawder</w:t>
      </w:r>
    </w:p>
    <w:p>
      <w:pPr>
        <w:spacing w:after="0" w:line="15" w:lineRule="exact"/>
        <w:rPr>
          <w:sz w:val="20"/>
          <w:szCs w:val="20"/>
          <w:color w:val="auto"/>
        </w:rPr>
      </w:pPr>
    </w:p>
    <w:p>
      <w:pPr>
        <w:ind w:left="3100"/>
        <w:spacing w:after="0"/>
        <w:tabs>
          <w:tab w:leader="none" w:pos="382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[Signature Page to Security Agreement]</w:t>
      </w:r>
    </w:p>
    <w:p>
      <w:pPr>
        <w:sectPr>
          <w:pgSz w:w="11900" w:h="16838" w:orient="portrait"/>
          <w:cols w:equalWidth="0" w:num="1">
            <w:col w:w="9380"/>
          </w:cols>
          <w:pgMar w:left="1440" w:top="1440" w:right="1079" w:bottom="1440" w:gutter="0" w:footer="0" w:header="0"/>
        </w:sectPr>
      </w:pPr>
    </w:p>
    <w:bookmarkStart w:id="425" w:name="page426"/>
    <w:bookmarkEnd w:id="425"/>
    <w:p>
      <w:pPr>
        <w:spacing w:after="0" w:line="346" w:lineRule="exact"/>
        <w:rPr>
          <w:sz w:val="20"/>
          <w:szCs w:val="20"/>
          <w:color w:val="auto"/>
        </w:rPr>
      </w:pPr>
    </w:p>
    <w:p>
      <w:pPr>
        <w:ind w:left="3420"/>
        <w:spacing w:after="0" w:line="271" w:lineRule="auto"/>
        <w:rPr>
          <w:sz w:val="20"/>
          <w:szCs w:val="20"/>
          <w:color w:val="auto"/>
        </w:rPr>
      </w:pPr>
      <w:r>
        <w:rPr>
          <w:rFonts w:ascii="Times New Roman" w:cs="Times New Roman" w:eastAsia="Times New Roman" w:hAnsi="Times New Roman"/>
          <w:sz w:val="22"/>
          <w:szCs w:val="22"/>
          <w:color w:val="auto"/>
        </w:rPr>
        <w:t>WILMINGTON TRUST, NATIONAL ASSOCIATION, as Notes Collateral Agent</w:t>
      </w:r>
    </w:p>
    <w:p>
      <w:pPr>
        <w:spacing w:after="0" w:line="37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 /s/ Iris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-13970</wp:posOffset>
            </wp:positionV>
            <wp:extent cx="9410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Iris Munoz</w:t>
      </w:r>
    </w:p>
    <w:p>
      <w:pPr>
        <w:spacing w:after="0" w:line="5" w:lineRule="exact"/>
        <w:rPr>
          <w:sz w:val="20"/>
          <w:szCs w:val="20"/>
          <w:color w:val="auto"/>
        </w:rPr>
      </w:pPr>
    </w:p>
    <w:p>
      <w:pPr>
        <w:jc w:val="center"/>
        <w:ind w:left="2260"/>
        <w:spacing w:after="0"/>
        <w:tabs>
          <w:tab w:leader="none" w:pos="240" w:val="left"/>
        </w:tabs>
        <w:rPr>
          <w:sz w:val="20"/>
          <w:szCs w:val="20"/>
          <w:color w:val="auto"/>
        </w:rPr>
      </w:pPr>
      <w:r>
        <w:rPr>
          <w:rFonts w:ascii="Times New Roman" w:cs="Times New Roman" w:eastAsia="Times New Roman" w:hAnsi="Times New Roman"/>
          <w:sz w:val="22"/>
          <w:szCs w:val="22"/>
          <w:color w:val="auto"/>
        </w:rPr>
        <w:t>Title:</w:t>
        <w:tab/>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[Signature Page to Security Agreement]</w:t>
      </w:r>
    </w:p>
    <w:p>
      <w:pPr>
        <w:sectPr>
          <w:pgSz w:w="11900" w:h="16838" w:orient="portrait"/>
          <w:cols w:equalWidth="0" w:num="1">
            <w:col w:w="10000"/>
          </w:cols>
          <w:pgMar w:left="1440" w:top="1440" w:right="459" w:bottom="1440" w:gutter="0" w:footer="0" w:header="0"/>
        </w:sectPr>
      </w:pPr>
    </w:p>
    <w:bookmarkStart w:id="426" w:name="page427"/>
    <w:bookmarkEnd w:id="4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Security Agreement]</w:t>
      </w:r>
    </w:p>
    <w:p>
      <w:pPr>
        <w:sectPr>
          <w:pgSz w:w="11900" w:h="16838" w:orient="portrait"/>
          <w:cols w:equalWidth="0" w:num="1">
            <w:col w:w="9019"/>
          </w:cols>
          <w:pgMar w:left="1440" w:top="1440" w:right="1440" w:bottom="1440" w:gutter="0" w:footer="0" w:header="0"/>
        </w:sectPr>
      </w:pPr>
    </w:p>
    <w:bookmarkStart w:id="427" w:name="page428"/>
    <w:bookmarkEnd w:id="427"/>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I to the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1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GRANTORS</w:t>
      </w:r>
    </w:p>
    <w:p>
      <w:pPr>
        <w:spacing w:after="0" w:line="292" w:lineRule="exact"/>
        <w:rPr>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Sotera Health Company</w:t>
      </w:r>
    </w:p>
    <w:p>
      <w:pPr>
        <w:spacing w:after="0" w:line="242"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Sotera Health Holdings, LLC</w:t>
      </w:r>
    </w:p>
    <w:p>
      <w:pPr>
        <w:spacing w:after="0" w:line="256"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Sotera Health LLC</w:t>
      </w:r>
    </w:p>
    <w:p>
      <w:pPr>
        <w:spacing w:after="0" w:line="242"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Sterigenics U.S., LLC</w:t>
      </w:r>
    </w:p>
    <w:p>
      <w:pPr>
        <w:spacing w:after="0" w:line="256"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Nelson Laboratories, LLC</w:t>
      </w:r>
    </w:p>
    <w:p>
      <w:pPr>
        <w:spacing w:after="0" w:line="242"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Sotera Health Services, LLC</w:t>
      </w:r>
    </w:p>
    <w:p>
      <w:pPr>
        <w:spacing w:after="0" w:line="256"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Sterigenics Radiation Technologies Holdings, LLC</w:t>
      </w:r>
    </w:p>
    <w:p>
      <w:pPr>
        <w:spacing w:after="0" w:line="242"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Sterigenics Radiation Technologies, LLC</w:t>
      </w:r>
    </w:p>
    <w:p>
      <w:pPr>
        <w:spacing w:after="0" w:line="256"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Nelson Laboratories Holdings, LLC</w:t>
      </w:r>
    </w:p>
    <w:p>
      <w:pPr>
        <w:spacing w:after="0" w:line="242"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Nelson Laboratories Fairfield Holdings, LLC</w:t>
      </w:r>
    </w:p>
    <w:p>
      <w:pPr>
        <w:spacing w:after="0" w:line="256" w:lineRule="exact"/>
        <w:rPr>
          <w:rFonts w:ascii="Times New Roman" w:cs="Times New Roman" w:eastAsia="Times New Roman" w:hAnsi="Times New Roman"/>
          <w:sz w:val="20"/>
          <w:szCs w:val="20"/>
          <w:color w:val="auto"/>
        </w:rPr>
      </w:pPr>
    </w:p>
    <w:p>
      <w:pPr>
        <w:ind w:left="301" w:hanging="301"/>
        <w:spacing w:after="0"/>
        <w:tabs>
          <w:tab w:leader="none" w:pos="30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STERIGENICS RADIATION TECHNOLOGIES IN, INC.</w:t>
      </w:r>
    </w:p>
    <w:p>
      <w:pPr>
        <w:spacing w:after="0" w:line="242"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Nelson Laboratories Bozeman, LLC</w:t>
      </w:r>
    </w:p>
    <w:p>
      <w:pPr>
        <w:spacing w:after="0" w:line="256"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Nelson Laboratories Fairfield, Inc.</w:t>
      </w:r>
    </w:p>
    <w:p>
      <w:pPr>
        <w:spacing w:after="0" w:line="242"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Associates Inc.</w:t>
      </w:r>
    </w:p>
    <w:p>
      <w:pPr>
        <w:sectPr>
          <w:pgSz w:w="11900" w:h="16838" w:orient="portrait"/>
          <w:cols w:equalWidth="0" w:num="1">
            <w:col w:w="10841"/>
          </w:cols>
          <w:pgMar w:left="719" w:top="1440" w:right="33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22"/>
          <w:szCs w:val="22"/>
          <w:color w:val="auto"/>
        </w:rPr>
        <w:t>Schedule II to the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PLEDGED EQUITY INTERESTS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[omitted pursuant to Reg S-K 601(a)(5)]</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PLEDGED DEBT SECURITIES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[omitted pursuant to Reg S-K 601(a)(5)]</w:t>
      </w:r>
    </w:p>
    <w:p>
      <w:pPr>
        <w:spacing w:after="0" w:line="200" w:lineRule="exact"/>
        <w:rPr>
          <w:sz w:val="20"/>
          <w:szCs w:val="20"/>
          <w:color w:val="auto"/>
        </w:rPr>
      </w:pPr>
    </w:p>
    <w:p>
      <w:pPr>
        <w:spacing w:after="0" w:line="24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Second Amended and Restated Intercompany Note, dated December 13, 2019, by and between each of the Restricted Subsidiaries, each as a Payor and as a Payee, as amended from time to time.</w:t>
      </w:r>
    </w:p>
    <w:p>
      <w:pPr>
        <w:sectPr>
          <w:pgSz w:w="11900" w:h="16838" w:orient="portrait"/>
          <w:cols w:equalWidth="0" w:num="1">
            <w:col w:w="11240"/>
          </w:cols>
          <w:pgMar w:left="320" w:top="1421" w:right="339" w:bottom="1440" w:gutter="0" w:footer="0" w:header="0"/>
        </w:sectPr>
      </w:pPr>
    </w:p>
    <w:bookmarkStart w:id="429" w:name="page430"/>
    <w:bookmarkEnd w:id="429"/>
    <w:p>
      <w:pPr>
        <w:jc w:val="right"/>
        <w:ind w:right="20"/>
        <w:spacing w:after="0"/>
        <w:rPr>
          <w:sz w:val="20"/>
          <w:szCs w:val="20"/>
          <w:color w:val="auto"/>
        </w:rPr>
      </w:pPr>
      <w:r>
        <w:rPr>
          <w:rFonts w:ascii="Times New Roman" w:cs="Times New Roman" w:eastAsia="Times New Roman" w:hAnsi="Times New Roman"/>
          <w:sz w:val="22"/>
          <w:szCs w:val="22"/>
          <w:color w:val="auto"/>
        </w:rPr>
        <w:t>Schedule III to the</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INTELLECTUAL PROPERTY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COPYRIGHTS</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Number</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Date</w:t>
            </w:r>
          </w:p>
        </w:tc>
      </w:tr>
      <w:tr>
        <w:trPr>
          <w:trHeight w:val="169"/>
        </w:trPr>
        <w:tc>
          <w:tcPr>
            <w:tcW w:w="28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Nelson Laboratories, LLC</w:t>
            </w:r>
          </w:p>
        </w:tc>
        <w:tc>
          <w:tcPr>
            <w:tcW w:w="2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JARIT final report : independent</w:t>
            </w:r>
          </w:p>
        </w:tc>
        <w:tc>
          <w:tcPr>
            <w:tcW w:w="2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TX0003560611</w:t>
            </w:r>
          </w:p>
        </w:tc>
        <w:tc>
          <w:tcPr>
            <w:tcW w:w="2800" w:type="dxa"/>
            <w:vAlign w:val="bottom"/>
            <w:tcBorders>
              <w:right w:val="single" w:sz="8" w:color="auto"/>
            </w:tcBorders>
          </w:tcPr>
          <w:p>
            <w:pPr>
              <w:jc w:val="right"/>
              <w:ind w:right="970"/>
              <w:spacing w:after="0" w:line="169" w:lineRule="exact"/>
              <w:rPr>
                <w:sz w:val="20"/>
                <w:szCs w:val="20"/>
                <w:color w:val="auto"/>
              </w:rPr>
            </w:pPr>
            <w:r>
              <w:rPr>
                <w:rFonts w:ascii="Times New Roman" w:cs="Times New Roman" w:eastAsia="Times New Roman" w:hAnsi="Times New Roman"/>
                <w:sz w:val="18"/>
                <w:szCs w:val="18"/>
                <w:color w:val="auto"/>
              </w:rPr>
              <w:t>8/20/1993</w:t>
            </w:r>
          </w:p>
        </w:tc>
      </w:tr>
      <w:tr>
        <w:trPr>
          <w:trHeight w:val="176"/>
        </w:trPr>
        <w:tc>
          <w:tcPr>
            <w:tcW w:w="282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laboratory test results on cleaning and</w:t>
            </w:r>
          </w:p>
        </w:tc>
        <w:tc>
          <w:tcPr>
            <w:tcW w:w="282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r>
      <w:tr>
        <w:trPr>
          <w:trHeight w:val="184"/>
        </w:trPr>
        <w:tc>
          <w:tcPr>
            <w:tcW w:w="2820" w:type="dxa"/>
            <w:vAlign w:val="bottom"/>
            <w:tcBorders>
              <w:left w:val="single" w:sz="8" w:color="auto"/>
              <w:right w:val="single" w:sz="8" w:color="auto"/>
            </w:tcBorders>
          </w:tcPr>
          <w:p>
            <w:pPr>
              <w:spacing w:after="0"/>
              <w:rPr>
                <w:sz w:val="16"/>
                <w:szCs w:val="16"/>
                <w:color w:val="auto"/>
              </w:rPr>
            </w:pPr>
          </w:p>
        </w:tc>
        <w:tc>
          <w:tcPr>
            <w:tcW w:w="28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sterilization of JARIT reusable</w:t>
            </w:r>
          </w:p>
        </w:tc>
        <w:tc>
          <w:tcPr>
            <w:tcW w:w="282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r>
      <w:tr>
        <w:trPr>
          <w:trHeight w:val="234"/>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endoscopic instruments.</w:t>
            </w:r>
          </w:p>
        </w:tc>
        <w:tc>
          <w:tcPr>
            <w:tcW w:w="28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2720" w:type="dxa"/>
            <w:vAlign w:val="bottom"/>
            <w:tcBorders>
              <w:top w:val="single" w:sz="8" w:color="auto"/>
              <w:left w:val="single" w:sz="8" w:color="auto"/>
              <w:right w:val="single" w:sz="8" w:color="auto"/>
            </w:tcBorders>
          </w:tcPr>
          <w:p>
            <w:pPr>
              <w:spacing w:after="0"/>
              <w:rPr>
                <w:sz w:val="23"/>
                <w:szCs w:val="23"/>
                <w:color w:val="auto"/>
              </w:rPr>
            </w:pPr>
          </w:p>
        </w:tc>
        <w:tc>
          <w:tcPr>
            <w:tcW w:w="3900" w:type="dxa"/>
            <w:vAlign w:val="bottom"/>
            <w:tcBorders>
              <w:top w:val="single" w:sz="8" w:color="auto"/>
              <w:right w:val="single" w:sz="8" w:color="auto"/>
            </w:tcBorders>
          </w:tcPr>
          <w:p>
            <w:pPr>
              <w:spacing w:after="0"/>
              <w:rPr>
                <w:sz w:val="23"/>
                <w:szCs w:val="23"/>
                <w:color w:val="auto"/>
              </w:rPr>
            </w:pPr>
          </w:p>
        </w:tc>
        <w:tc>
          <w:tcPr>
            <w:tcW w:w="16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30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720" w:type="dxa"/>
            <w:vAlign w:val="bottom"/>
            <w:tcBorders>
              <w:left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90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Registered Owner/Applicant</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 Patent No.</w:t>
            </w:r>
          </w:p>
        </w:tc>
        <w:tc>
          <w:tcPr>
            <w:tcW w:w="3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Filing Date/ Issue Date</w:t>
            </w: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Bio-Derived Polymers Having</w:t>
            </w:r>
          </w:p>
        </w:tc>
        <w:tc>
          <w:tcPr>
            <w:tcW w:w="390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Sterigenics U.S., LLC and Pennsylvania College of</w:t>
            </w:r>
          </w:p>
        </w:tc>
        <w:tc>
          <w:tcPr>
            <w:tcW w:w="1620" w:type="dxa"/>
            <w:vAlign w:val="bottom"/>
            <w:tcBorders>
              <w:right w:val="single" w:sz="8" w:color="auto"/>
            </w:tcBorders>
          </w:tcPr>
          <w:p>
            <w:pPr>
              <w:spacing w:after="0"/>
              <w:rPr>
                <w:sz w:val="15"/>
                <w:szCs w:val="15"/>
                <w:color w:val="auto"/>
              </w:rPr>
            </w:pPr>
          </w:p>
        </w:tc>
        <w:tc>
          <w:tcPr>
            <w:tcW w:w="30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5/13/2011 (parent PCT filing date);</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Improved Processability and</w:t>
            </w:r>
          </w:p>
        </w:tc>
        <w:tc>
          <w:tcPr>
            <w:tcW w:w="39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Technology</w:t>
            </w:r>
          </w:p>
        </w:tc>
        <w:tc>
          <w:tcPr>
            <w:tcW w:w="162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14/237989</w:t>
            </w:r>
          </w:p>
        </w:tc>
        <w:tc>
          <w:tcPr>
            <w:tcW w:w="302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2/10/2014 (national stage entry date)</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Method for the Production Thereof</w:t>
            </w:r>
            <w:r>
              <w:rPr>
                <w:rFonts w:ascii="Times New Roman" w:cs="Times New Roman" w:eastAsia="Times New Roman" w:hAnsi="Times New Roman"/>
                <w:sz w:val="23"/>
                <w:szCs w:val="23"/>
                <w:color w:val="auto"/>
                <w:vertAlign w:val="superscript"/>
              </w:rPr>
              <w:t>1</w:t>
            </w:r>
          </w:p>
        </w:tc>
        <w:tc>
          <w:tcPr>
            <w:tcW w:w="39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9,790,335</w:t>
            </w:r>
          </w:p>
        </w:tc>
        <w:tc>
          <w:tcPr>
            <w:tcW w:w="3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10/17/2017</w:t>
            </w:r>
          </w:p>
        </w:tc>
        <w:tc>
          <w:tcPr>
            <w:tcW w:w="0" w:type="dxa"/>
            <w:vAlign w:val="bottom"/>
          </w:tcPr>
          <w:p>
            <w:pPr>
              <w:spacing w:after="0"/>
              <w:rPr>
                <w:sz w:val="1"/>
                <w:szCs w:val="1"/>
                <w:color w:val="auto"/>
              </w:rPr>
            </w:pPr>
          </w:p>
        </w:tc>
      </w:tr>
      <w:tr>
        <w:trPr>
          <w:trHeight w:val="61"/>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vMerge w:val="continue"/>
          </w:tcPr>
          <w:p>
            <w:pPr>
              <w:spacing w:after="0"/>
              <w:rPr>
                <w:sz w:val="5"/>
                <w:szCs w:val="5"/>
                <w:color w:val="auto"/>
              </w:rPr>
            </w:pPr>
          </w:p>
        </w:tc>
        <w:tc>
          <w:tcPr>
            <w:tcW w:w="30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TRADEMARKS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320" w:type="dxa"/>
            <w:vAlign w:val="bottom"/>
            <w:tcBorders>
              <w:top w:val="single" w:sz="8" w:color="auto"/>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b w:val="1"/>
                <w:bCs w:val="1"/>
                <w:color w:val="auto"/>
              </w:rPr>
              <w:t>Title</w:t>
            </w:r>
          </w:p>
        </w:tc>
        <w:tc>
          <w:tcPr>
            <w:tcW w:w="340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Registered Owner/Applicant</w:t>
            </w:r>
          </w:p>
        </w:tc>
        <w:tc>
          <w:tcPr>
            <w:tcW w:w="22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Application No./</w:t>
            </w:r>
          </w:p>
        </w:tc>
        <w:tc>
          <w:tcPr>
            <w:tcW w:w="23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Filing Date/</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Registration No.</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Registration Date</w:t>
            </w:r>
          </w:p>
        </w:tc>
      </w:tr>
      <w:tr>
        <w:trPr>
          <w:trHeight w:val="196"/>
        </w:trPr>
        <w:tc>
          <w:tcPr>
            <w:tcW w:w="332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7"/>
                <w:szCs w:val="17"/>
                <w:color w:val="auto"/>
              </w:rPr>
              <w:t>CYCLEONE</w:t>
            </w:r>
            <w:r>
              <w:rPr>
                <w:rFonts w:ascii="Times New Roman" w:cs="Times New Roman" w:eastAsia="Times New Roman" w:hAnsi="Times New Roman"/>
                <w:sz w:val="22"/>
                <w:szCs w:val="22"/>
                <w:color w:val="auto"/>
                <w:vertAlign w:val="superscript"/>
              </w:rPr>
              <w:t>2</w:t>
            </w:r>
          </w:p>
        </w:tc>
        <w:tc>
          <w:tcPr>
            <w:tcW w:w="34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78/192939</w:t>
            </w:r>
          </w:p>
        </w:tc>
        <w:tc>
          <w:tcPr>
            <w:tcW w:w="23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12/10/2002</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2883082</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9/7/2004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714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6" w:lineRule="exact"/>
        <w:rPr>
          <w:sz w:val="20"/>
          <w:szCs w:val="20"/>
          <w:color w:val="auto"/>
        </w:rPr>
      </w:pPr>
    </w:p>
    <w:p>
      <w:pPr>
        <w:ind w:left="140" w:hanging="132"/>
        <w:spacing w:after="0"/>
        <w:tabs>
          <w:tab w:leader="none" w:pos="140" w:val="left"/>
        </w:tabs>
        <w:numPr>
          <w:ilvl w:val="0"/>
          <w:numId w:val="49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This patent application is excluded from collateral; it is co-owned with Pennsylvania College of Technology and is subject to 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joint ownership agreement.</w:t>
      </w:r>
    </w:p>
    <w:p>
      <w:pPr>
        <w:ind w:left="140" w:hanging="132"/>
        <w:spacing w:after="0" w:line="202" w:lineRule="auto"/>
        <w:tabs>
          <w:tab w:leader="none" w:pos="140" w:val="left"/>
        </w:tabs>
        <w:numPr>
          <w:ilvl w:val="0"/>
          <w:numId w:val="50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This registration is not being maintained and will be canceled in due course.</w:t>
      </w:r>
    </w:p>
    <w:p>
      <w:pPr>
        <w:sectPr>
          <w:pgSz w:w="11900" w:h="16838" w:orient="portrait"/>
          <w:cols w:equalWidth="0" w:num="1">
            <w:col w:w="11260"/>
          </w:cols>
          <w:pgMar w:left="320" w:top="1421" w:right="319" w:bottom="1440" w:gutter="0" w:footer="0" w:header="0"/>
        </w:sectPr>
      </w:pPr>
    </w:p>
    <w:bookmarkStart w:id="430" w:name="page431"/>
    <w:bookmarkEnd w:id="43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320" w:type="dxa"/>
            <w:vAlign w:val="bottom"/>
            <w:tcBorders>
              <w:top w:val="single" w:sz="8" w:color="auto"/>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EOSTAT</w:t>
            </w:r>
          </w:p>
        </w:tc>
        <w:tc>
          <w:tcPr>
            <w:tcW w:w="340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78/192942</w:t>
            </w:r>
          </w:p>
        </w:tc>
        <w:tc>
          <w:tcPr>
            <w:tcW w:w="23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12/10/2002</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2839257</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5/4/2004</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GAMMASTAT</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75/031303</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11/14/1995</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2017700</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11/19/1996</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76/527402</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6/23/2003</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2878762</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8/31/2004</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STERIGENICS</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75/494932</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6/2/1998</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2247799</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5/25/1999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STERIPRO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75/494839</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6/2/1998</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2294781</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11/23/1999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STERIGENICS GPS GLOBAL</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85/778207</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11/13/2012</w:t>
            </w:r>
          </w:p>
        </w:tc>
      </w:tr>
      <w:tr>
        <w:trPr>
          <w:trHeight w:val="283"/>
        </w:trPr>
        <w:tc>
          <w:tcPr>
            <w:tcW w:w="3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PROCESSING STATUS</w:t>
            </w: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4499133</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3/18/2014</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SURGICYCLE</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78/329332</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11/18/2003</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2901835</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11/9/2004</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VERICYCLE</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86/505841</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1/16/2015</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4807607</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9/8/2015</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STERIGENICS GPS</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85/778214</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11/13/2012</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4499134</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3/18/2014</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EXCELL</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86/941150</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3/15/2016</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5127205</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1/24/2017</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BECAUSE EVERY TEST</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86/305614</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6/10/2014</w:t>
            </w:r>
          </w:p>
        </w:tc>
      </w:tr>
      <w:tr>
        <w:trPr>
          <w:trHeight w:val="283"/>
        </w:trPr>
        <w:tc>
          <w:tcPr>
            <w:tcW w:w="3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MATTERS</w:t>
            </w: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4671346</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1/13/2015</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NELSON LABORATORIES</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87/506192</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6/26/2017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5457294</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5/1/2018</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NELSON LABS</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87/492473</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6/16/2017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5566779</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9/18/2018</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87/636332</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5788573</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6/25/2019</w:t>
            </w:r>
          </w:p>
        </w:tc>
      </w:tr>
    </w:tbl>
    <w:p>
      <w:pPr>
        <w:sectPr>
          <w:pgSz w:w="11900" w:h="16838" w:orient="portrait"/>
          <w:cols w:equalWidth="0" w:num="1">
            <w:col w:w="11260"/>
          </w:cols>
          <w:pgMar w:left="320" w:top="1440" w:right="319" w:bottom="1440" w:gutter="0" w:footer="0" w:header="0"/>
        </w:sectPr>
      </w:pPr>
    </w:p>
    <w:bookmarkStart w:id="431" w:name="page432"/>
    <w:bookmarkEnd w:id="43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320" w:type="dxa"/>
            <w:vAlign w:val="bottom"/>
            <w:tcBorders>
              <w:top w:val="single" w:sz="8" w:color="auto"/>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87/636328</w:t>
            </w:r>
          </w:p>
        </w:tc>
        <w:tc>
          <w:tcPr>
            <w:tcW w:w="23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5788572</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6/25/2019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87/636325</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5776362</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6/11/2019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87/636321</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5921491</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11/26/2019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87/636316</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5921490</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11/26/2019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87/636262</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5758487</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5/21/2019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87/636259</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5758486</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5/21/2019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87/636256</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5788571</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6/25/2019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87/636254</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5758485</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5/21/2019</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SOTERA HEALTH LOGO</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87/636248</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10/6/2017</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6008373</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3/10/2020</w:t>
            </w:r>
          </w:p>
        </w:tc>
      </w:tr>
      <w:tr>
        <w:trPr>
          <w:trHeight w:val="197"/>
        </w:trPr>
        <w:tc>
          <w:tcPr>
            <w:tcW w:w="332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SAFEGUARDING GLOBAL</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87/679517</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11/10/2017</w:t>
            </w:r>
          </w:p>
        </w:tc>
      </w:tr>
      <w:tr>
        <w:trPr>
          <w:trHeight w:val="283"/>
        </w:trPr>
        <w:tc>
          <w:tcPr>
            <w:tcW w:w="3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HEALTH</w:t>
            </w: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5814254</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7/23/2019</w:t>
            </w:r>
          </w:p>
        </w:tc>
      </w:tr>
    </w:tbl>
    <w:p>
      <w:pPr>
        <w:sectPr>
          <w:pgSz w:w="11900" w:h="16838" w:orient="portrait"/>
          <w:cols w:equalWidth="0" w:num="1">
            <w:col w:w="11260"/>
          </w:cols>
          <w:pgMar w:left="320" w:top="1440" w:right="319" w:bottom="1440" w:gutter="0" w:footer="0" w:header="0"/>
        </w:sectPr>
      </w:pPr>
    </w:p>
    <w:bookmarkStart w:id="432" w:name="page433"/>
    <w:bookmarkEnd w:id="43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320" w:type="dxa"/>
            <w:vAlign w:val="bottom"/>
            <w:tcBorders>
              <w:top w:val="single" w:sz="8" w:color="auto"/>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SAFEGUARDING GLOBAL</w:t>
            </w:r>
          </w:p>
        </w:tc>
        <w:tc>
          <w:tcPr>
            <w:tcW w:w="340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87/679515</w:t>
            </w:r>
          </w:p>
        </w:tc>
        <w:tc>
          <w:tcPr>
            <w:tcW w:w="23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11/10/2017</w:t>
            </w:r>
          </w:p>
        </w:tc>
      </w:tr>
      <w:tr>
        <w:trPr>
          <w:trHeight w:val="283"/>
        </w:trPr>
        <w:tc>
          <w:tcPr>
            <w:tcW w:w="3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HEALTH</w:t>
            </w: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5962048</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1/14/2020</w:t>
            </w:r>
          </w:p>
        </w:tc>
      </w:tr>
      <w:tr>
        <w:trPr>
          <w:trHeight w:val="197"/>
        </w:trPr>
        <w:tc>
          <w:tcPr>
            <w:tcW w:w="332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SAFEGUARDING GLOBAL</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87/679514</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11/10/2017</w:t>
            </w:r>
          </w:p>
        </w:tc>
      </w:tr>
      <w:tr>
        <w:trPr>
          <w:trHeight w:val="283"/>
        </w:trPr>
        <w:tc>
          <w:tcPr>
            <w:tcW w:w="3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HEALTH</w:t>
            </w: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5814253</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7/23/2019</w:t>
            </w:r>
          </w:p>
        </w:tc>
      </w:tr>
      <w:tr>
        <w:trPr>
          <w:trHeight w:val="197"/>
        </w:trPr>
        <w:tc>
          <w:tcPr>
            <w:tcW w:w="332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SAFEGUARDING GLOBAL</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87/679511</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11/10/2017</w:t>
            </w:r>
          </w:p>
        </w:tc>
      </w:tr>
      <w:tr>
        <w:trPr>
          <w:trHeight w:val="283"/>
        </w:trPr>
        <w:tc>
          <w:tcPr>
            <w:tcW w:w="3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HEALTH</w:t>
            </w:r>
          </w:p>
        </w:tc>
        <w:tc>
          <w:tcPr>
            <w:tcW w:w="3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5636034</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12/25/2018</w:t>
            </w:r>
          </w:p>
        </w:tc>
      </w:tr>
      <w:tr>
        <w:trPr>
          <w:trHeight w:val="224"/>
        </w:trPr>
        <w:tc>
          <w:tcPr>
            <w:tcW w:w="3320" w:type="dxa"/>
            <w:vAlign w:val="bottom"/>
            <w:tcBorders>
              <w:left w:val="single" w:sz="8" w:color="auto"/>
              <w:right w:val="single" w:sz="8" w:color="auto"/>
            </w:tcBorders>
          </w:tcPr>
          <w:p>
            <w:pPr>
              <w:ind w:left="80"/>
              <w:spacing w:after="0" w:line="224" w:lineRule="exact"/>
              <w:rPr>
                <w:sz w:val="20"/>
                <w:szCs w:val="20"/>
                <w:color w:val="auto"/>
              </w:rPr>
            </w:pPr>
            <w:r>
              <w:rPr>
                <w:rFonts w:ascii="Times New Roman" w:cs="Times New Roman" w:eastAsia="Times New Roman" w:hAnsi="Times New Roman"/>
                <w:sz w:val="22"/>
                <w:szCs w:val="22"/>
                <w:color w:val="auto"/>
                <w:w w:val="99"/>
              </w:rPr>
              <w:t>Experience Scientific Expertise with</w:t>
            </w:r>
          </w:p>
        </w:tc>
        <w:tc>
          <w:tcPr>
            <w:tcW w:w="3400" w:type="dxa"/>
            <w:vAlign w:val="bottom"/>
            <w:tcBorders>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2"/>
                <w:szCs w:val="22"/>
                <w:color w:val="auto"/>
              </w:rPr>
              <w:t>Nelson Laboratories Bozeman, LLC</w:t>
            </w:r>
          </w:p>
        </w:tc>
        <w:tc>
          <w:tcPr>
            <w:tcW w:w="2220" w:type="dxa"/>
            <w:vAlign w:val="bottom"/>
            <w:tcBorders>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2"/>
                <w:szCs w:val="22"/>
                <w:color w:val="auto"/>
              </w:rPr>
              <w:t>77/290433</w:t>
            </w:r>
          </w:p>
        </w:tc>
        <w:tc>
          <w:tcPr>
            <w:tcW w:w="2320" w:type="dxa"/>
            <w:vAlign w:val="bottom"/>
            <w:tcBorders>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2"/>
                <w:szCs w:val="22"/>
                <w:color w:val="auto"/>
              </w:rPr>
              <w:t>9/27/2007</w:t>
            </w:r>
          </w:p>
        </w:tc>
      </w:tr>
      <w:tr>
        <w:trPr>
          <w:trHeight w:val="371"/>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Montana Hospitality</w:t>
            </w:r>
            <w:r>
              <w:rPr>
                <w:rFonts w:ascii="Times New Roman" w:cs="Times New Roman" w:eastAsia="Times New Roman" w:hAnsi="Times New Roman"/>
                <w:sz w:val="28"/>
                <w:szCs w:val="28"/>
                <w:color w:val="auto"/>
                <w:vertAlign w:val="superscript"/>
              </w:rPr>
              <w:t>3</w:t>
            </w:r>
          </w:p>
        </w:tc>
        <w:tc>
          <w:tcPr>
            <w:tcW w:w="34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3422725</w:t>
            </w: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5/6/2008</w:t>
            </w:r>
          </w:p>
        </w:tc>
      </w:tr>
      <w:tr>
        <w:trPr>
          <w:trHeight w:val="183"/>
        </w:trPr>
        <w:tc>
          <w:tcPr>
            <w:tcW w:w="3320" w:type="dxa"/>
            <w:vAlign w:val="bottom"/>
            <w:tcBorders>
              <w:left w:val="single" w:sz="8" w:color="auto"/>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rPr>
                <w:sz w:val="15"/>
                <w:szCs w:val="15"/>
                <w:color w:val="auto"/>
              </w:rPr>
            </w:pPr>
          </w:p>
        </w:tc>
      </w:tr>
      <w:tr>
        <w:trPr>
          <w:trHeight w:val="263"/>
        </w:trPr>
        <w:tc>
          <w:tcPr>
            <w:tcW w:w="3320" w:type="dxa"/>
            <w:vAlign w:val="bottom"/>
            <w:tcBorders>
              <w:left w:val="single" w:sz="8" w:color="auto"/>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2"/>
                <w:szCs w:val="22"/>
                <w:color w:val="auto"/>
              </w:rPr>
              <w:t>GIBRALTAR LABS</w:t>
            </w:r>
            <w:r>
              <w:rPr>
                <w:rFonts w:ascii="Times New Roman" w:cs="Times New Roman" w:eastAsia="Times New Roman" w:hAnsi="Times New Roman"/>
                <w:sz w:val="28"/>
                <w:szCs w:val="28"/>
                <w:color w:val="auto"/>
                <w:vertAlign w:val="superscript"/>
              </w:rPr>
              <w:t>4</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Application Number:</w:t>
            </w: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03/16/2023</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97842247</w:t>
            </w:r>
          </w:p>
        </w:tc>
        <w:tc>
          <w:tcPr>
            <w:tcW w:w="2320" w:type="dxa"/>
            <w:vAlign w:val="bottom"/>
            <w:tcBorders>
              <w:right w:val="single" w:sz="8" w:color="auto"/>
            </w:tcBorders>
          </w:tcPr>
          <w:p>
            <w:pPr>
              <w:spacing w:after="0"/>
              <w:rPr>
                <w:sz w:val="24"/>
                <w:szCs w:val="24"/>
                <w:color w:val="auto"/>
              </w:rPr>
            </w:pPr>
          </w:p>
        </w:tc>
      </w:tr>
      <w:tr>
        <w:trPr>
          <w:trHeight w:val="499"/>
        </w:trPr>
        <w:tc>
          <w:tcPr>
            <w:tcW w:w="3320" w:type="dxa"/>
            <w:vAlign w:val="bottom"/>
            <w:tcBorders>
              <w:left w:val="single" w:sz="8" w:color="auto"/>
              <w:right w:val="single" w:sz="8" w:color="auto"/>
            </w:tcBorders>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Intent to Use</w:t>
            </w:r>
          </w:p>
        </w:tc>
        <w:tc>
          <w:tcPr>
            <w:tcW w:w="2320" w:type="dxa"/>
            <w:vAlign w:val="bottom"/>
            <w:tcBorders>
              <w:right w:val="single" w:sz="8" w:color="auto"/>
            </w:tcBorders>
          </w:tcPr>
          <w:p>
            <w:pPr>
              <w:spacing w:after="0"/>
              <w:rPr>
                <w:sz w:val="24"/>
                <w:szCs w:val="24"/>
                <w:color w:val="auto"/>
              </w:rPr>
            </w:pPr>
          </w:p>
        </w:tc>
      </w:tr>
      <w:tr>
        <w:trPr>
          <w:trHeight w:val="29"/>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196"/>
        </w:trPr>
        <w:tc>
          <w:tcPr>
            <w:tcW w:w="332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WELLNESS FOR BUSINESS</w:t>
            </w:r>
          </w:p>
        </w:tc>
        <w:tc>
          <w:tcPr>
            <w:tcW w:w="34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Regulatory Compliance Associates</w:t>
            </w:r>
          </w:p>
        </w:tc>
        <w:tc>
          <w:tcPr>
            <w:tcW w:w="22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85/163699</w:t>
            </w:r>
          </w:p>
        </w:tc>
        <w:tc>
          <w:tcPr>
            <w:tcW w:w="23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10/28/2010</w:t>
            </w:r>
          </w:p>
        </w:tc>
      </w:tr>
      <w:tr>
        <w:trPr>
          <w:trHeight w:val="283"/>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4023891</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9/6/2011</w:t>
            </w:r>
          </w:p>
        </w:tc>
      </w:tr>
      <w:tr>
        <w:trPr>
          <w:trHeight w:val="197"/>
        </w:trPr>
        <w:tc>
          <w:tcPr>
            <w:tcW w:w="33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REGULATORY COMPLIANCE</w:t>
            </w:r>
          </w:p>
        </w:tc>
        <w:tc>
          <w:tcPr>
            <w:tcW w:w="34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Regulatory Compliance Associates</w:t>
            </w:r>
          </w:p>
        </w:tc>
        <w:tc>
          <w:tcPr>
            <w:tcW w:w="22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85/768941</w:t>
            </w:r>
          </w:p>
        </w:tc>
        <w:tc>
          <w:tcPr>
            <w:tcW w:w="23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11/1/2012</w:t>
            </w:r>
          </w:p>
        </w:tc>
      </w:tr>
      <w:tr>
        <w:trPr>
          <w:trHeight w:val="283"/>
        </w:trPr>
        <w:tc>
          <w:tcPr>
            <w:tcW w:w="3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ASSOCIATES</w:t>
            </w:r>
          </w:p>
        </w:tc>
        <w:tc>
          <w:tcPr>
            <w:tcW w:w="3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4367542</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7/16/2013</w:t>
            </w:r>
          </w:p>
        </w:tc>
      </w:tr>
      <w:tr>
        <w:trPr>
          <w:trHeight w:val="264"/>
        </w:trPr>
        <w:tc>
          <w:tcPr>
            <w:tcW w:w="3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NELSON LABS TESTED</w:t>
            </w:r>
          </w:p>
        </w:tc>
        <w:tc>
          <w:tcPr>
            <w:tcW w:w="3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97206469</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1/6/2022</w:t>
            </w:r>
          </w:p>
        </w:tc>
      </w:tr>
      <w:tr>
        <w:trPr>
          <w:trHeight w:val="263"/>
        </w:trPr>
        <w:tc>
          <w:tcPr>
            <w:tcW w:w="3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NELSON LABS VERIFIED</w:t>
            </w:r>
          </w:p>
        </w:tc>
        <w:tc>
          <w:tcPr>
            <w:tcW w:w="3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Sotera Health Holdings, LLC</w:t>
            </w:r>
          </w:p>
        </w:tc>
        <w:tc>
          <w:tcPr>
            <w:tcW w:w="2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97206470</w:t>
            </w: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1714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0" w:hanging="132"/>
        <w:spacing w:after="0"/>
        <w:tabs>
          <w:tab w:leader="none" w:pos="140" w:val="left"/>
        </w:tabs>
        <w:numPr>
          <w:ilvl w:val="0"/>
          <w:numId w:val="50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This trademark will be lapsed but will not expire until 2028.</w:t>
      </w:r>
    </w:p>
    <w:p>
      <w:pPr>
        <w:spacing w:after="0" w:line="164" w:lineRule="exact"/>
        <w:rPr>
          <w:sz w:val="20"/>
          <w:szCs w:val="20"/>
          <w:color w:val="auto"/>
        </w:rPr>
      </w:pPr>
    </w:p>
    <w:p>
      <w:pPr>
        <w:ind w:left="140" w:hanging="132"/>
        <w:spacing w:after="0"/>
        <w:tabs>
          <w:tab w:leader="none" w:pos="140" w:val="left"/>
        </w:tabs>
        <w:numPr>
          <w:ilvl w:val="0"/>
          <w:numId w:val="50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This trademark application is excluded from the collateral as it is an intent-to-use application.</w:t>
      </w:r>
    </w:p>
    <w:p>
      <w:pPr>
        <w:sectPr>
          <w:pgSz w:w="11900" w:h="16838" w:orient="portrait"/>
          <w:cols w:equalWidth="0" w:num="1">
            <w:col w:w="11260"/>
          </w:cols>
          <w:pgMar w:left="320" w:top="1440" w:right="319" w:bottom="1440" w:gutter="0" w:footer="0" w:header="0"/>
        </w:sectPr>
      </w:pPr>
    </w:p>
    <w:bookmarkStart w:id="433" w:name="page434"/>
    <w:bookmarkEnd w:id="433"/>
    <w:p>
      <w:pPr>
        <w:jc w:val="right"/>
        <w:spacing w:after="0"/>
        <w:rPr>
          <w:sz w:val="20"/>
          <w:szCs w:val="20"/>
          <w:color w:val="auto"/>
        </w:rPr>
      </w:pPr>
      <w:r>
        <w:rPr>
          <w:rFonts w:ascii="Times New Roman" w:cs="Times New Roman" w:eastAsia="Times New Roman" w:hAnsi="Times New Roman"/>
          <w:sz w:val="22"/>
          <w:szCs w:val="22"/>
          <w:color w:val="auto"/>
        </w:rPr>
        <w:t>Schedule IV to the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COMMERCIAL TORT CLAIMS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1240"/>
          </w:cols>
          <w:pgMar w:left="320" w:top="1421" w:right="339"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22"/>
          <w:szCs w:val="22"/>
          <w:color w:val="auto"/>
        </w:rPr>
        <w:t>Exhibit I to the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1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SUPPLEMENT NO. [__] dated as of [______], 20[_] (this “</w:t>
      </w:r>
      <w:r>
        <w:rPr>
          <w:rFonts w:ascii="Times New Roman" w:cs="Times New Roman" w:eastAsia="Times New Roman" w:hAnsi="Times New Roman"/>
          <w:sz w:val="22"/>
          <w:szCs w:val="22"/>
          <w:u w:val="single" w:color="auto"/>
          <w:color w:val="auto"/>
        </w:rPr>
        <w:t>Grantor Supplement</w:t>
      </w:r>
      <w:r>
        <w:rPr>
          <w:rFonts w:ascii="Times New Roman" w:cs="Times New Roman" w:eastAsia="Times New Roman" w:hAnsi="Times New Roman"/>
          <w:sz w:val="22"/>
          <w:szCs w:val="22"/>
          <w:color w:val="auto"/>
        </w:rPr>
        <w:t>”) to the Notes Security</w:t>
      </w:r>
    </w:p>
    <w:p>
      <w:pPr>
        <w:spacing w:after="0" w:line="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Agreement dated as of May 30, 2024 (as amended, restated, supplemented or otherwise modified from time to time,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Security Agreement</w:t>
      </w:r>
      <w:r>
        <w:rPr>
          <w:rFonts w:ascii="Times New Roman" w:cs="Times New Roman" w:eastAsia="Times New Roman" w:hAnsi="Times New Roman"/>
          <w:sz w:val="21"/>
          <w:szCs w:val="21"/>
          <w:color w:val="auto"/>
        </w:rPr>
        <w:t>”) among SOTERA HEALTH HOLDINGS, LLC, a Delaware limited liability company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the other GRANTORS from time to time party thereto, SOTERA HEALTH COMPANY, a Delaware corporation (“</w:t>
      </w:r>
      <w:r>
        <w:rPr>
          <w:rFonts w:ascii="Times New Roman" w:cs="Times New Roman" w:eastAsia="Times New Roman" w:hAnsi="Times New Roman"/>
          <w:sz w:val="21"/>
          <w:szCs w:val="21"/>
          <w:u w:val="single" w:color="auto"/>
          <w:color w:val="auto"/>
        </w:rPr>
        <w:t>Holdings</w:t>
      </w:r>
      <w:r>
        <w:rPr>
          <w:rFonts w:ascii="Times New Roman" w:cs="Times New Roman" w:eastAsia="Times New Roman" w:hAnsi="Times New Roman"/>
          <w:sz w:val="21"/>
          <w:szCs w:val="21"/>
          <w:color w:val="auto"/>
        </w:rPr>
        <w:t>”) and WILMINGTON TRUST, NATIONAL ASSOCIATION, as notes collateral agent (in such capacity, the “</w:t>
      </w:r>
      <w:r>
        <w:rPr>
          <w:rFonts w:ascii="Times New Roman" w:cs="Times New Roman" w:eastAsia="Times New Roman" w:hAnsi="Times New Roman"/>
          <w:sz w:val="21"/>
          <w:szCs w:val="21"/>
          <w:u w:val="single" w:color="auto"/>
          <w:color w:val="auto"/>
        </w:rPr>
        <w:t>Notes Collateral Agent</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firstLine="1304"/>
        <w:spacing w:after="0" w:line="256" w:lineRule="auto"/>
        <w:tabs>
          <w:tab w:leader="none" w:pos="1815"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is made to (a) the Indenture dated as of May 30, 2024 (as amended, restated, supplemented or otherwise modified from time to time,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among Holdings, the Issuer, the guarantors from time to time party thereto and Wilmington Trust, National Association, as Trustee and Notes Collateral Agent and (b) the Notes Security Agreement.</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10"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and not otherwise defined herein shall have the meanings assigned to such terms in the Notes Security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58"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5.14 of the Notes Security Agreement provides that additional Persons may become Grantors under the Notes Security Agreement by execution and delivery of an instrument in the form of this Grantor Supplement. The undersigned (the “</w:t>
      </w:r>
      <w:r>
        <w:rPr>
          <w:rFonts w:ascii="Times New Roman" w:cs="Times New Roman" w:eastAsia="Times New Roman" w:hAnsi="Times New Roman"/>
          <w:sz w:val="22"/>
          <w:szCs w:val="22"/>
          <w:u w:val="single" w:color="auto"/>
          <w:color w:val="auto"/>
        </w:rPr>
        <w:t>New Grantor</w:t>
      </w:r>
      <w:r>
        <w:rPr>
          <w:rFonts w:ascii="Times New Roman" w:cs="Times New Roman" w:eastAsia="Times New Roman" w:hAnsi="Times New Roman"/>
          <w:sz w:val="22"/>
          <w:szCs w:val="22"/>
          <w:color w:val="auto"/>
        </w:rPr>
        <w:t>”) is executing this Grantor Supplement in accordance with the requirements of the Indenture to become a Grantor under the Notes Security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Notes Collateral Agent and the New Grantor agree as follows:</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SECTION 1. In accordance with Section 5.14 of the Notes Security Agreement, the New Grantor by its signature below becomes a Grantor under the Notes Security Agreement with the same force and effect as if originally named therein as a Grantor, and the New Grantor hereby (a) agrees to all the terms and provisions of the Notes Security Agreement applicable to it as a Grantor thereunder and (b) represents and warrants that the representations and warranties made by it as a Grantor thereunder are true and correct on and as of the date hereof. In furtherance of the foregoing, the New Grantor, as security for the payment and performance in full of the Notes Obligations, does hereby create and grant to the Notes Collateral Agent, its successors and assigns, for the benefit of the Noteholder Secured Parties, a security interest in and lien on all of the New Grantor’s right, title and interest in, to and under the Pledged Collateral and the Article 9 Collateral. Each reference to a “Grantor” in the Notes Security Agreement shall be deemed to include the New Grantor. The Notes Security Agreement is hereby incorporated herein by reference.</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SECTION 2. The New Grantor represents and warrants to the Notes Collateral Agent and the other Noteholder Secured Parties that this Grantor Supplement has been duly authorized, executed and delivered by it and constitutes its legal, valid and binding obligation, enforceable against it in accordance with its terms, except to the extent that enforceability of</w:t>
      </w:r>
    </w:p>
    <w:p>
      <w:pPr>
        <w:sectPr>
          <w:pgSz w:w="11900" w:h="16838" w:orient="portrait"/>
          <w:cols w:equalWidth="0" w:num="1">
            <w:col w:w="11240"/>
          </w:cols>
          <w:pgMar w:left="320" w:top="1421" w:right="339" w:bottom="1440" w:gutter="0" w:footer="0" w:header="0"/>
        </w:sectPr>
      </w:pPr>
    </w:p>
    <w:bookmarkStart w:id="435" w:name="page436"/>
    <w:bookmarkEnd w:id="435"/>
    <w:p>
      <w:pPr>
        <w:jc w:val="both"/>
        <w:spacing w:after="0" w:line="271" w:lineRule="auto"/>
        <w:rPr>
          <w:sz w:val="20"/>
          <w:szCs w:val="20"/>
          <w:color w:val="auto"/>
        </w:rPr>
      </w:pPr>
      <w:r>
        <w:rPr>
          <w:rFonts w:ascii="Times New Roman" w:cs="Times New Roman" w:eastAsia="Times New Roman" w:hAnsi="Times New Roman"/>
          <w:sz w:val="22"/>
          <w:szCs w:val="22"/>
          <w:color w:val="auto"/>
        </w:rPr>
        <w:t>such obligations may be limited by applicable bankruptcy, insolvency and other similar laws affecting creditors’ rights generally, provided that creditors’ enforceability rights may be subject to limitations imposed by Applicable Nuclear Laws.</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SECTION 3. This Grantor Supplement may be executed in counterparts (and by different parties hereto on different counterparts), each of which shall constitute an original but all of which when taken together shall constitute a single contract. Delivery of an executed signature page to this Grantor Supplement by facsimile or other electronic transmission shall be effective as delivery of a manually signed counterpart of this Grantor Supplement. This Grantor Supplement shall become effective as to the New Grantor when a counterpart hereof executed on behalf of the New Grantor shall have been delivered to the Notes Collateral Agent and a counterpart hereof shall have been executed on behalf of the Notes Collateral Agent, and thereafter shall be binding upon the New Grantor and the Notes Collateral Agent and their respective permitted successors and assigns, and shall inure to the benefit of the New Grantor, the Notes Collateral Agent and the other Noteholder Secured Parties and their respective successors and assigns, except that the New Grantor shall not have the right to assign or transfer its rights or obligations hereunder or any interest herein (and any such assignment or transfer shall be void) except as expressly provided in this Grantor Supplement and the Notes Documents.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SECTION 4. The New Grantor hereby represents and warrants that (a) set forth on Schedule I attached hereto is a schedule with the true and correct legal name of the New Grantor, its jurisdiction of organization and the location of its chief executive office, (b) Schedule II sets forth a true and complete list, with respect to the New Grantor, of (i) all the Equity Interests owned by the New Grantor in any Subsidiary and the percentage of the issued and outstanding units of each class of the Equity Interests of the issuer thereof represented by the Pledged Equity Interests (other than any Excluded Asset) owned by the New Grantor and (ii) all the Pledged Debt Securities (other than any Excluded Asset) owned by the New Grantor and (c) Schedule III attached hereto sets forth, as of the date hereof, (i) all of the New Grantor’s Patents, including the name of the registered owner, type, registration or application number and the expiration date (if already registered) of each such Patent owned by the New Grantor, (ii) all of the New Grantor’s Trademarks, including the name of the registered owner, the registration or application number of each such Trademark owned by the New Grantor and (iii) all of the New Grantor’s Copyrights, including the name of the registered owner, title and, if applicable, the registration number of each such Copyright owned by the New Grantor, and (d) Schedule IV attached hereto sets forth, as of the date hereof, each Commercial Tort Claim (in respect of which a complaint or counterclaim has been filed by or on behalf of such New Grantor) in an amount reasonably estimated to exceed $20,000,000.</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5. Except as expressly supplemented hereby, the Notes Security Agreement shall remain in full force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effect.</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SECTION 6. This Grantor Supplement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436" w:name="page437"/>
    <w:bookmarkEnd w:id="436"/>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SECTION 7. Any provision of this Grantor Supplement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SECTION 8. All communications and notices hereunder shall be in writing and given as provided in Section 5.01 of the Notes Security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9. The New Grantor agrees to reimburse the Notes Collateral Agent for its fees and expenses incurred hereunder and under the Notes Security Agreement as provided in Sections 7.07 and 13.09(aa) of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reference therein to the “Issuer” shall be deemed to be a reference to the “New Grantor”.</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SECTION 10. Wilmington Trust, National Association is executing this Grantor Supplement not in its individual or corporate capacity, but solely in its capacity as Notes Collateral Agent under the Indenture. In acting hereunder, the Notes Collateral Agent shall be entitled to all of the rights, privileges, immunities and indemnities granted to it under the Indenture as if such rights, privileges, immunities and indemnities were set forth herein.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437" w:name="page438"/>
    <w:bookmarkEnd w:id="437"/>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New Grantor and the Notes Collateral Agent have duly executed this Grantor Supplement to the Notes Security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OF NEW GRANTOR], as a Grantor</w:t>
      </w:r>
    </w:p>
    <w:p>
      <w:pPr>
        <w:spacing w:after="0" w:line="200" w:lineRule="exact"/>
        <w:rPr>
          <w:sz w:val="20"/>
          <w:szCs w:val="20"/>
          <w:color w:val="auto"/>
        </w:rPr>
      </w:pPr>
    </w:p>
    <w:p>
      <w:pPr>
        <w:spacing w:after="0" w:line="280" w:lineRule="exact"/>
        <w:rPr>
          <w:sz w:val="20"/>
          <w:szCs w:val="20"/>
          <w:color w:val="auto"/>
        </w:rPr>
      </w:pPr>
    </w:p>
    <w:tbl>
      <w:tblPr>
        <w:tblLayout w:type="fixed"/>
        <w:tblInd w:w="454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0" w:type="dxa"/>
            <w:vAlign w:val="bottom"/>
            <w:tcBorders>
              <w:bottom w:val="single" w:sz="8" w:color="auto"/>
            </w:tcBorders>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______</w:t>
            </w:r>
          </w:p>
        </w:tc>
      </w:tr>
      <w:tr>
        <w:trPr>
          <w:trHeight w:val="263"/>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660" w:type="dxa"/>
            <w:vAlign w:val="bottom"/>
          </w:tcPr>
          <w:p>
            <w:pPr>
              <w:spacing w:after="0"/>
              <w:rPr>
                <w:sz w:val="22"/>
                <w:szCs w:val="22"/>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660" w:type="dxa"/>
            <w:vAlign w:val="bottom"/>
          </w:tcPr>
          <w:p>
            <w:pPr>
              <w:spacing w:after="0"/>
              <w:rPr>
                <w:sz w:val="24"/>
                <w:szCs w:val="24"/>
                <w:color w:val="auto"/>
              </w:rPr>
            </w:pPr>
          </w:p>
        </w:tc>
      </w:tr>
    </w:tbl>
    <w:p>
      <w:pPr>
        <w:spacing w:after="0" w:line="200" w:lineRule="exact"/>
        <w:rPr>
          <w:sz w:val="20"/>
          <w:szCs w:val="20"/>
          <w:color w:val="auto"/>
        </w:rPr>
      </w:pPr>
    </w:p>
    <w:p>
      <w:pPr>
        <w:spacing w:after="0" w:line="260" w:lineRule="exact"/>
        <w:rPr>
          <w:sz w:val="20"/>
          <w:szCs w:val="20"/>
          <w:color w:val="auto"/>
        </w:rPr>
      </w:pPr>
    </w:p>
    <w:p>
      <w:pPr>
        <w:ind w:left="4540" w:right="120"/>
        <w:spacing w:after="0" w:line="271" w:lineRule="auto"/>
        <w:rPr>
          <w:sz w:val="20"/>
          <w:szCs w:val="20"/>
          <w:color w:val="auto"/>
        </w:rPr>
      </w:pPr>
      <w:r>
        <w:rPr>
          <w:rFonts w:ascii="Times New Roman" w:cs="Times New Roman" w:eastAsia="Times New Roman" w:hAnsi="Times New Roman"/>
          <w:sz w:val="22"/>
          <w:szCs w:val="22"/>
          <w:color w:val="auto"/>
        </w:rPr>
        <w:t>WILMINGTON TRUST, NATIONAL ASSOCIATION, as Notes Collateral Agent</w:t>
      </w:r>
    </w:p>
    <w:p>
      <w:pPr>
        <w:spacing w:after="0" w:line="3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[Grantor Supplement No. [] to Security Agreement]</w:t>
      </w:r>
    </w:p>
    <w:p>
      <w:pPr>
        <w:sectPr>
          <w:pgSz w:w="11900" w:h="16838" w:orient="portrait"/>
          <w:cols w:equalWidth="0" w:num="1">
            <w:col w:w="11240"/>
          </w:cols>
          <w:pgMar w:left="320" w:top="1421" w:right="33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Grantor Supplement No. __ to the</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NEW GRANTOR INFORMATION</w:t>
      </w:r>
    </w:p>
    <w:p>
      <w:pPr>
        <w:spacing w:after="0" w:line="247" w:lineRule="exact"/>
        <w:rPr>
          <w:sz w:val="20"/>
          <w:szCs w:val="20"/>
          <w:color w:val="auto"/>
        </w:rPr>
      </w:pPr>
    </w:p>
    <w:p>
      <w:pPr>
        <w:spacing w:after="0"/>
        <w:tabs>
          <w:tab w:leader="none" w:pos="3720" w:val="left"/>
          <w:tab w:leader="none" w:pos="7460" w:val="left"/>
        </w:tabs>
        <w:rPr>
          <w:sz w:val="20"/>
          <w:szCs w:val="20"/>
          <w:color w:val="auto"/>
        </w:rPr>
      </w:pPr>
      <w:r>
        <w:rPr>
          <w:rFonts w:ascii="Times New Roman" w:cs="Times New Roman" w:eastAsia="Times New Roman" w:hAnsi="Times New Roman"/>
          <w:sz w:val="22"/>
          <w:szCs w:val="22"/>
          <w:u w:val="single" w:color="auto"/>
          <w:color w:val="auto"/>
        </w:rPr>
        <w:t>Legal Name</w:t>
      </w:r>
      <w:r>
        <w:rPr>
          <w:sz w:val="20"/>
          <w:szCs w:val="20"/>
          <w:color w:val="auto"/>
        </w:rPr>
        <w:tab/>
      </w:r>
      <w:r>
        <w:rPr>
          <w:rFonts w:ascii="Times New Roman" w:cs="Times New Roman" w:eastAsia="Times New Roman" w:hAnsi="Times New Roman"/>
          <w:sz w:val="22"/>
          <w:szCs w:val="22"/>
          <w:u w:val="single" w:color="auto"/>
          <w:color w:val="auto"/>
        </w:rPr>
        <w:t>Jurisdiction of Organization</w:t>
      </w:r>
      <w:r>
        <w:rPr>
          <w:sz w:val="20"/>
          <w:szCs w:val="20"/>
          <w:color w:val="auto"/>
        </w:rPr>
        <w:tab/>
      </w:r>
      <w:r>
        <w:rPr>
          <w:rFonts w:ascii="Times New Roman" w:cs="Times New Roman" w:eastAsia="Times New Roman" w:hAnsi="Times New Roman"/>
          <w:sz w:val="21"/>
          <w:szCs w:val="21"/>
          <w:u w:val="single" w:color="auto"/>
          <w:color w:val="auto"/>
        </w:rPr>
        <w:t>Chief Executive Office</w:t>
      </w:r>
    </w:p>
    <w:p>
      <w:pPr>
        <w:sectPr>
          <w:pgSz w:w="11900" w:h="16838" w:orient="portrait"/>
          <w:cols w:equalWidth="0" w:num="1">
            <w:col w:w="11220"/>
          </w:cols>
          <w:pgMar w:left="340" w:top="1421" w:right="33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22"/>
          <w:szCs w:val="22"/>
          <w:color w:val="auto"/>
        </w:rPr>
        <w:t>Schedule II</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Grantor Supplement No. __ to the</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3"/>
          </w:tcPr>
          <w:p>
            <w:pPr>
              <w:jc w:val="center"/>
              <w:ind w:left="92"/>
              <w:spacing w:after="0"/>
              <w:rPr>
                <w:sz w:val="20"/>
                <w:szCs w:val="20"/>
                <w:color w:val="auto"/>
              </w:rPr>
            </w:pPr>
            <w:r>
              <w:rPr>
                <w:rFonts w:ascii="Times New Roman" w:cs="Times New Roman" w:eastAsia="Times New Roman" w:hAnsi="Times New Roman"/>
                <w:sz w:val="22"/>
                <w:szCs w:val="22"/>
                <w:color w:val="auto"/>
                <w:w w:val="98"/>
              </w:rPr>
              <w:t>PLEDGED EQUITY INTERESTS</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01"/>
        </w:trPr>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color w:val="auto"/>
                <w:w w:val="98"/>
              </w:rPr>
              <w:t>Number and</w:t>
            </w: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6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20" w:type="dxa"/>
            <w:vAlign w:val="bottom"/>
            <w:gridSpan w:val="3"/>
          </w:tcPr>
          <w:p>
            <w:pPr>
              <w:jc w:val="center"/>
              <w:ind w:left="72"/>
              <w:spacing w:after="0"/>
              <w:rPr>
                <w:sz w:val="20"/>
                <w:szCs w:val="20"/>
                <w:color w:val="auto"/>
              </w:rPr>
            </w:pPr>
            <w:r>
              <w:rPr>
                <w:rFonts w:ascii="Times New Roman" w:cs="Times New Roman" w:eastAsia="Times New Roman" w:hAnsi="Times New Roman"/>
                <w:sz w:val="22"/>
                <w:szCs w:val="22"/>
                <w:color w:val="auto"/>
                <w:w w:val="97"/>
              </w:rPr>
              <w:t>Number of</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7"/>
              </w:rPr>
              <w:t>Class of</w:t>
            </w:r>
          </w:p>
        </w:tc>
        <w:tc>
          <w:tcPr>
            <w:tcW w:w="236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color w:val="auto"/>
                <w:w w:val="97"/>
              </w:rPr>
              <w:t>Percentage</w:t>
            </w:r>
          </w:p>
        </w:tc>
      </w:tr>
      <w:tr>
        <w:trPr>
          <w:trHeight w:val="250"/>
        </w:trPr>
        <w:tc>
          <w:tcPr>
            <w:tcW w:w="68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6"/>
              </w:rPr>
              <w:t>Grantor</w:t>
            </w:r>
          </w:p>
        </w:tc>
        <w:tc>
          <w:tcPr>
            <w:tcW w:w="2400" w:type="dxa"/>
            <w:vAlign w:val="bottom"/>
            <w:gridSpan w:val="3"/>
          </w:tcPr>
          <w:p>
            <w:pPr>
              <w:ind w:left="1640"/>
              <w:spacing w:after="0" w:line="223" w:lineRule="exact"/>
              <w:rPr>
                <w:sz w:val="20"/>
                <w:szCs w:val="20"/>
                <w:color w:val="auto"/>
              </w:rPr>
            </w:pPr>
            <w:r>
              <w:rPr>
                <w:rFonts w:ascii="Times New Roman" w:cs="Times New Roman" w:eastAsia="Times New Roman" w:hAnsi="Times New Roman"/>
                <w:sz w:val="22"/>
                <w:szCs w:val="22"/>
                <w:color w:val="auto"/>
              </w:rPr>
              <w:t>Issuer</w:t>
            </w:r>
          </w:p>
        </w:tc>
        <w:tc>
          <w:tcPr>
            <w:tcW w:w="1280" w:type="dxa"/>
            <w:vAlign w:val="bottom"/>
          </w:tcPr>
          <w:p>
            <w:pPr>
              <w:spacing w:after="0"/>
              <w:rPr>
                <w:sz w:val="21"/>
                <w:szCs w:val="21"/>
                <w:color w:val="auto"/>
              </w:rPr>
            </w:pPr>
          </w:p>
        </w:tc>
        <w:tc>
          <w:tcPr>
            <w:tcW w:w="2040" w:type="dxa"/>
            <w:vAlign w:val="bottom"/>
            <w:gridSpan w:val="2"/>
          </w:tcPr>
          <w:p>
            <w:pPr>
              <w:jc w:val="center"/>
              <w:ind w:right="1120"/>
              <w:spacing w:after="0" w:line="223" w:lineRule="exact"/>
              <w:rPr>
                <w:sz w:val="20"/>
                <w:szCs w:val="20"/>
                <w:color w:val="auto"/>
              </w:rPr>
            </w:pPr>
            <w:r>
              <w:rPr>
                <w:rFonts w:ascii="Times New Roman" w:cs="Times New Roman" w:eastAsia="Times New Roman" w:hAnsi="Times New Roman"/>
                <w:sz w:val="22"/>
                <w:szCs w:val="22"/>
                <w:color w:val="auto"/>
                <w:w w:val="99"/>
              </w:rPr>
              <w:t>Certificate</w:t>
            </w:r>
          </w:p>
        </w:tc>
        <w:tc>
          <w:tcPr>
            <w:tcW w:w="1360" w:type="dxa"/>
            <w:vAlign w:val="bottom"/>
            <w:tcBorders>
              <w:bottom w:val="single" w:sz="8" w:color="auto"/>
            </w:tcBorders>
          </w:tcPr>
          <w:p>
            <w:pPr>
              <w:jc w:val="center"/>
              <w:spacing w:after="0" w:line="210" w:lineRule="exact"/>
              <w:rPr>
                <w:sz w:val="20"/>
                <w:szCs w:val="20"/>
                <w:color w:val="auto"/>
              </w:rPr>
            </w:pPr>
            <w:r>
              <w:rPr>
                <w:rFonts w:ascii="Times New Roman" w:cs="Times New Roman" w:eastAsia="Times New Roman" w:hAnsi="Times New Roman"/>
                <w:sz w:val="22"/>
                <w:szCs w:val="22"/>
                <w:color w:val="auto"/>
                <w:w w:val="98"/>
              </w:rPr>
              <w:t>Equity Interests</w:t>
            </w:r>
          </w:p>
        </w:tc>
        <w:tc>
          <w:tcPr>
            <w:tcW w:w="260" w:type="dxa"/>
            <w:vAlign w:val="bottom"/>
          </w:tcPr>
          <w:p>
            <w:pPr>
              <w:spacing w:after="0"/>
              <w:rPr>
                <w:sz w:val="21"/>
                <w:szCs w:val="21"/>
                <w:color w:val="auto"/>
              </w:rPr>
            </w:pPr>
          </w:p>
        </w:tc>
        <w:tc>
          <w:tcPr>
            <w:tcW w:w="2360" w:type="dxa"/>
            <w:vAlign w:val="bottom"/>
            <w:gridSpan w:val="2"/>
          </w:tcPr>
          <w:p>
            <w:pPr>
              <w:jc w:val="center"/>
              <w:ind w:left="152"/>
              <w:spacing w:after="0" w:line="223" w:lineRule="exact"/>
              <w:rPr>
                <w:sz w:val="20"/>
                <w:szCs w:val="20"/>
                <w:color w:val="auto"/>
              </w:rPr>
            </w:pPr>
            <w:r>
              <w:rPr>
                <w:rFonts w:ascii="Times New Roman" w:cs="Times New Roman" w:eastAsia="Times New Roman" w:hAnsi="Times New Roman"/>
                <w:sz w:val="22"/>
                <w:szCs w:val="22"/>
                <w:color w:val="auto"/>
                <w:w w:val="97"/>
              </w:rPr>
              <w:t>of Total Equity Interests</w:t>
            </w:r>
          </w:p>
        </w:tc>
      </w:tr>
      <w:tr>
        <w:trPr>
          <w:trHeight w:val="20"/>
        </w:trPr>
        <w:tc>
          <w:tcPr>
            <w:tcW w:w="6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PLEDGED DEBT SECURITIES</w:t>
      </w:r>
    </w:p>
    <w:p>
      <w:pPr>
        <w:sectPr>
          <w:pgSz w:w="11900" w:h="16838" w:orient="portrait"/>
          <w:cols w:equalWidth="0" w:num="1">
            <w:col w:w="10460"/>
          </w:cols>
          <w:pgMar w:left="1100" w:top="14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u w:val="single" w:color="auto"/>
          <w:color w:val="auto"/>
        </w:rPr>
        <w:t>Grantor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9"/>
          <w:szCs w:val="19"/>
          <w:u w:val="single" w:color="auto"/>
          <w:color w:val="auto"/>
        </w:rPr>
        <w:t>Issuer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u w:val="single" w:color="auto"/>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Date of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Maturity Date</w:t>
      </w:r>
    </w:p>
    <w:p>
      <w:pPr>
        <w:sectPr>
          <w:pgSz w:w="11900" w:h="16838" w:orient="portrait"/>
          <w:cols w:equalWidth="0" w:num="5">
            <w:col w:w="1620" w:space="720"/>
            <w:col w:w="1340" w:space="720"/>
            <w:col w:w="1200" w:space="720"/>
            <w:col w:w="1680" w:space="720"/>
            <w:col w:w="1740"/>
          </w:cols>
          <w:pgMar w:left="1100" w:top="1421" w:right="339" w:bottom="1440" w:gutter="0" w:footer="0" w:header="0"/>
          <w:type w:val="continuous"/>
        </w:sectPr>
      </w:pPr>
    </w:p>
    <w:bookmarkStart w:id="440" w:name="page441"/>
    <w:bookmarkEnd w:id="440"/>
    <w:p>
      <w:pPr>
        <w:jc w:val="right"/>
        <w:spacing w:after="0"/>
        <w:rPr>
          <w:sz w:val="20"/>
          <w:szCs w:val="20"/>
          <w:color w:val="auto"/>
        </w:rPr>
      </w:pPr>
      <w:r>
        <w:rPr>
          <w:rFonts w:ascii="Times New Roman" w:cs="Times New Roman" w:eastAsia="Times New Roman" w:hAnsi="Times New Roman"/>
          <w:sz w:val="22"/>
          <w:szCs w:val="22"/>
          <w:color w:val="auto"/>
        </w:rPr>
        <w:t>Schedule III</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Grantor Supplement No. __ to the</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20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INTELLECTUAL PROPERTY</w:t>
      </w:r>
    </w:p>
    <w:p>
      <w:pPr>
        <w:sectPr>
          <w:pgSz w:w="11900" w:h="16838" w:orient="portrait"/>
          <w:cols w:equalWidth="0" w:num="1">
            <w:col w:w="10120"/>
          </w:cols>
          <w:pgMar w:left="1440" w:top="1421" w:right="339" w:bottom="1440" w:gutter="0" w:footer="0" w:header="0"/>
        </w:sectPr>
      </w:pPr>
    </w:p>
    <w:bookmarkStart w:id="441" w:name="page442"/>
    <w:bookmarkEnd w:id="441"/>
    <w:p>
      <w:pPr>
        <w:jc w:val="right"/>
        <w:spacing w:after="0"/>
        <w:rPr>
          <w:sz w:val="20"/>
          <w:szCs w:val="20"/>
          <w:color w:val="auto"/>
        </w:rPr>
      </w:pPr>
      <w:r>
        <w:rPr>
          <w:rFonts w:ascii="Times New Roman" w:cs="Times New Roman" w:eastAsia="Times New Roman" w:hAnsi="Times New Roman"/>
          <w:sz w:val="22"/>
          <w:szCs w:val="22"/>
          <w:color w:val="auto"/>
        </w:rPr>
        <w:t>Schedule IV</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Grantor Supplement No. __ to the</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20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COMMERCIAL TORT CLAIMS</w:t>
      </w:r>
    </w:p>
    <w:p>
      <w:pPr>
        <w:sectPr>
          <w:pgSz w:w="11900" w:h="16838" w:orient="portrait"/>
          <w:cols w:equalWidth="0" w:num="1">
            <w:col w:w="10120"/>
          </w:cols>
          <w:pgMar w:left="1440" w:top="1421" w:right="339" w:bottom="1440" w:gutter="0" w:footer="0" w:header="0"/>
        </w:sectPr>
      </w:pPr>
    </w:p>
    <w:bookmarkStart w:id="442" w:name="page443"/>
    <w:bookmarkEnd w:id="442"/>
    <w:p>
      <w:pPr>
        <w:jc w:val="right"/>
        <w:spacing w:after="0"/>
        <w:rPr>
          <w:sz w:val="20"/>
          <w:szCs w:val="20"/>
          <w:color w:val="auto"/>
        </w:rPr>
      </w:pPr>
      <w:r>
        <w:rPr>
          <w:rFonts w:ascii="Times New Roman" w:cs="Times New Roman" w:eastAsia="Times New Roman" w:hAnsi="Times New Roman"/>
          <w:sz w:val="22"/>
          <w:szCs w:val="22"/>
          <w:color w:val="auto"/>
        </w:rPr>
        <w:t>Exhibit II to the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196" w:lineRule="exact"/>
        <w:rPr>
          <w:sz w:val="20"/>
          <w:szCs w:val="20"/>
          <w:color w:val="auto"/>
        </w:rPr>
      </w:pPr>
    </w:p>
    <w:p>
      <w:pPr>
        <w:jc w:val="both"/>
        <w:ind w:firstLine="1282"/>
        <w:spacing w:after="0" w:line="284" w:lineRule="auto"/>
        <w:rPr>
          <w:sz w:val="20"/>
          <w:szCs w:val="20"/>
          <w:color w:val="auto"/>
        </w:rPr>
      </w:pPr>
      <w:r>
        <w:rPr>
          <w:rFonts w:ascii="Times New Roman" w:cs="Times New Roman" w:eastAsia="Times New Roman" w:hAnsi="Times New Roman"/>
          <w:sz w:val="22"/>
          <w:szCs w:val="22"/>
          <w:color w:val="auto"/>
        </w:rPr>
        <w:t>COPYRIGHT SECURITY AGREEMENT, dated as of [_], 20[_]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[_] (the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and Wilmington Trust, National Association, as notes collateral agent (in such capacity, the “</w:t>
      </w:r>
      <w:r>
        <w:rPr>
          <w:rFonts w:ascii="Times New Roman" w:cs="Times New Roman" w:eastAsia="Times New Roman" w:hAnsi="Times New Roman"/>
          <w:sz w:val="22"/>
          <w:szCs w:val="22"/>
          <w:u w:val="single" w:color="auto"/>
          <w:color w:val="auto"/>
        </w:rPr>
        <w:t>Notes Collateral Agent</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Reference is made to (a) the Indenture dated as of May 30, 2024 (as amended, restated, supplemented or</w:t>
      </w:r>
    </w:p>
    <w:p>
      <w:pPr>
        <w:spacing w:after="0" w:line="1" w:lineRule="exact"/>
        <w:rPr>
          <w:sz w:val="20"/>
          <w:szCs w:val="20"/>
          <w:color w:val="auto"/>
        </w:rPr>
      </w:pPr>
    </w:p>
    <w:p>
      <w:pPr>
        <w:jc w:val="both"/>
        <w:ind w:left="80" w:right="60"/>
        <w:spacing w:after="0" w:line="221" w:lineRule="auto"/>
        <w:rPr>
          <w:sz w:val="20"/>
          <w:szCs w:val="20"/>
          <w:color w:val="auto"/>
        </w:rPr>
      </w:pPr>
      <w:r>
        <w:rPr>
          <w:rFonts w:ascii="Times New Roman" w:cs="Times New Roman" w:eastAsia="Times New Roman" w:hAnsi="Times New Roman"/>
          <w:sz w:val="21"/>
          <w:szCs w:val="21"/>
          <w:color w:val="auto"/>
        </w:rPr>
        <w:t>otherwise modified from time to time,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among SOTERA HEALTH COMPANY, a Delaware corporation (“</w:t>
      </w:r>
      <w:r>
        <w:rPr>
          <w:rFonts w:ascii="Times New Roman" w:cs="Times New Roman" w:eastAsia="Times New Roman" w:hAnsi="Times New Roman"/>
          <w:sz w:val="21"/>
          <w:szCs w:val="21"/>
          <w:u w:val="single" w:color="auto"/>
          <w:color w:val="auto"/>
        </w:rPr>
        <w:t>Holdings</w:t>
      </w:r>
      <w:r>
        <w:rPr>
          <w:rFonts w:ascii="Times New Roman" w:cs="Times New Roman" w:eastAsia="Times New Roman" w:hAnsi="Times New Roman"/>
          <w:sz w:val="21"/>
          <w:szCs w:val="21"/>
          <w:color w:val="auto"/>
        </w:rPr>
        <w:t>”), SOTERA HEALTH HOLDINGS, LLC, a Delaware limited liability company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the guarantors from</w:t>
      </w:r>
    </w:p>
    <w:p>
      <w:pPr>
        <w:spacing w:after="0" w:line="1" w:lineRule="exact"/>
        <w:rPr>
          <w:sz w:val="20"/>
          <w:szCs w:val="20"/>
          <w:color w:val="auto"/>
        </w:rPr>
      </w:pPr>
    </w:p>
    <w:p>
      <w:pPr>
        <w:jc w:val="both"/>
        <w:ind w:left="80" w:right="60"/>
        <w:spacing w:after="0" w:line="223" w:lineRule="auto"/>
        <w:rPr>
          <w:sz w:val="20"/>
          <w:szCs w:val="20"/>
          <w:color w:val="auto"/>
        </w:rPr>
      </w:pPr>
      <w:r>
        <w:rPr>
          <w:rFonts w:ascii="Times New Roman" w:cs="Times New Roman" w:eastAsia="Times New Roman" w:hAnsi="Times New Roman"/>
          <w:sz w:val="22"/>
          <w:szCs w:val="22"/>
          <w:color w:val="auto"/>
        </w:rPr>
        <w:t>time to time party thereto and WILMINGTON TRUST, NATIONAL ASSOCIATION, as trustee and Notes Collateral Agent, and (b) the Notes Security Agreement dated of May 30, 2024 (as amended, restated, supplemented or otherwise modified from time to time, the “</w:t>
      </w:r>
      <w:r>
        <w:rPr>
          <w:rFonts w:ascii="Times New Roman" w:cs="Times New Roman" w:eastAsia="Times New Roman" w:hAnsi="Times New Roman"/>
          <w:sz w:val="22"/>
          <w:szCs w:val="22"/>
          <w:u w:val="single" w:color="auto"/>
          <w:color w:val="auto"/>
        </w:rPr>
        <w:t>Notes Security Agreement</w:t>
      </w:r>
      <w:r>
        <w:rPr>
          <w:rFonts w:ascii="Times New Roman" w:cs="Times New Roman" w:eastAsia="Times New Roman" w:hAnsi="Times New Roman"/>
          <w:sz w:val="22"/>
          <w:szCs w:val="22"/>
          <w:color w:val="auto"/>
        </w:rPr>
        <w:t>”) among the Issuer, the other Grantors from time to time party thereto, Holdings, and the Notes Collateral Agent. The Grantor is an Affiliate of the Issuer and will derive substantial benefits from the issuance of the notes pursuant to the Indenture.</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200" w:lineRule="exact"/>
        <w:rPr>
          <w:sz w:val="20"/>
          <w:szCs w:val="20"/>
          <w:color w:val="auto"/>
        </w:rPr>
      </w:pPr>
    </w:p>
    <w:p>
      <w:pPr>
        <w:spacing w:after="0" w:line="26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Terms</w:t>
      </w:r>
      <w:r>
        <w:rPr>
          <w:rFonts w:ascii="Times New Roman" w:cs="Times New Roman" w:eastAsia="Times New Roman" w:hAnsi="Times New Roman"/>
          <w:sz w:val="22"/>
          <w:szCs w:val="22"/>
          <w:color w:val="auto"/>
        </w:rPr>
        <w:t>. Capitalized terms used in this Agreement and not otherwise defined herein have the meanings specified in the Notes Security Agreement. The rules of construction specified in Section 1.01(b) of the Notes Security Agreement also apply to this Agreement.</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As security for the payment or performance, as the case may be, in full of the Notes Obligations, the Grantor hereby grants to the Notes Collateral Agent, its successors and assigns, for the benefit of the Noteholder Secured Parties, a security interest (the “</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in all of such Grantor’s right, title and interest in, to and under the United States Copyrights listed on Schedule I attached hereto (collectively, the “</w:t>
      </w:r>
      <w:r>
        <w:rPr>
          <w:rFonts w:ascii="Times New Roman" w:cs="Times New Roman" w:eastAsia="Times New Roman" w:hAnsi="Times New Roman"/>
          <w:sz w:val="22"/>
          <w:szCs w:val="22"/>
          <w:u w:val="single" w:color="auto"/>
          <w:color w:val="auto"/>
        </w:rPr>
        <w:t>Copyright Collateral</w:t>
      </w:r>
      <w:r>
        <w:rPr>
          <w:rFonts w:ascii="Times New Roman" w:cs="Times New Roman" w:eastAsia="Times New Roman" w:hAnsi="Times New Roman"/>
          <w:sz w:val="22"/>
          <w:szCs w:val="22"/>
          <w:color w:val="auto"/>
        </w:rPr>
        <w:t>”). This Agreement is not to be construed as an assignment of any copyright or copyright application.</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Notes Security Agreement</w:t>
      </w:r>
      <w:r>
        <w:rPr>
          <w:rFonts w:ascii="Times New Roman" w:cs="Times New Roman" w:eastAsia="Times New Roman" w:hAnsi="Times New Roman"/>
          <w:sz w:val="22"/>
          <w:szCs w:val="22"/>
          <w:color w:val="auto"/>
        </w:rPr>
        <w:t>. The Grantor hereby acknowledges and affirms that the rights and remedies of the Notes Collateral Agent with respect to the Copyright Collateral are more fully set forth in the Notes Security Agreement, the terms and provisions of which are hereby incorporated herein by reference as if fully set forth herein. In the event of any conflict between the terms of this Agreement and the Notes Security Agreement, the terms of the Notes Security Agreement shall govern.</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Subject to Section 5.13 of the Notes Security Agreement, upon the discharge of the Notes Obligations, the security interest granted herein shall terminate and the Notes Collateral Agent shall, at the sole expense of the Grantor, execute, acknowledge, and deliver to the Grantors all instruments in writing in recordable form, reasonably requested by the Grantor, to evidence and release the collateral pledge, grant, lien and security interest in the Copyright Collateral under this Agreement.</w:t>
      </w:r>
    </w:p>
    <w:p>
      <w:pPr>
        <w:sectPr>
          <w:pgSz w:w="11900" w:h="16838" w:orient="portrait"/>
          <w:cols w:equalWidth="0" w:num="1">
            <w:col w:w="11240"/>
          </w:cols>
          <w:pgMar w:left="320" w:top="1421" w:right="339" w:bottom="1440" w:gutter="0" w:footer="0" w:header="0"/>
        </w:sectPr>
      </w:pPr>
    </w:p>
    <w:bookmarkStart w:id="443" w:name="page444"/>
    <w:bookmarkEnd w:id="443"/>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of this Agreement by facsimile or other electronic transmission shall be as effective as delivery of a manually executed counterpart hereof. The words “execution,” “execute,” “signed,” “signature,” “delivery,” and words of like import in or relating to this Agreement hereby shall be deemed to include electronic signatures, the electronic matching of assignment terms and contract formulations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and governed by the laws of the State of New York.</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Concerning the Notes Collateral Agent.</w:t>
      </w:r>
      <w:r>
        <w:rPr>
          <w:rFonts w:ascii="Times New Roman" w:cs="Times New Roman" w:eastAsia="Times New Roman" w:hAnsi="Times New Roman"/>
          <w:sz w:val="22"/>
          <w:szCs w:val="22"/>
          <w:color w:val="auto"/>
        </w:rPr>
        <w:t xml:space="preserve"> Wilmington Trust, National Association is executing this Agreement not in its individual or corporate capacity, but solely in its capacity as Notes Collateral Agent under the Indenture. In acting hereunder, the Notes Collateral Agent shall be entitled to all of the rights, privileges, immunities and indemnities granted to it under the Indenture as if such rights, privileges, immunities and indemnities were set forth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444" w:name="page445"/>
    <w:bookmarkEnd w:id="444"/>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duly executed this Agreement as of the day and year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 as Grantor</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-13970</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40" w:right="100"/>
        <w:spacing w:after="0" w:line="271" w:lineRule="auto"/>
        <w:rPr>
          <w:sz w:val="20"/>
          <w:szCs w:val="20"/>
          <w:color w:val="auto"/>
        </w:rPr>
      </w:pPr>
      <w:r>
        <w:rPr>
          <w:rFonts w:ascii="Times New Roman" w:cs="Times New Roman" w:eastAsia="Times New Roman" w:hAnsi="Times New Roman"/>
          <w:sz w:val="22"/>
          <w:szCs w:val="22"/>
          <w:color w:val="auto"/>
        </w:rPr>
        <w:t>WILMINGTON TRUST, NATIONAL ASSOCIATION, as Notes Collateral Agent</w:t>
      </w:r>
    </w:p>
    <w:p>
      <w:pPr>
        <w:spacing w:after="0" w:line="3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[Signature Page to Copyright Security Agreement]</w:t>
      </w:r>
    </w:p>
    <w:p>
      <w:pPr>
        <w:sectPr>
          <w:pgSz w:w="11900" w:h="16838" w:orient="portrait"/>
          <w:cols w:equalWidth="0" w:num="1">
            <w:col w:w="11220"/>
          </w:cols>
          <w:pgMar w:left="320" w:top="1421" w:right="359" w:bottom="1440" w:gutter="0" w:footer="0" w:header="0"/>
        </w:sectPr>
      </w:pPr>
    </w:p>
    <w:bookmarkStart w:id="445" w:name="page446"/>
    <w:bookmarkEnd w:id="445"/>
    <w:p>
      <w:pPr>
        <w:jc w:val="center"/>
        <w:ind w:right="19"/>
        <w:spacing w:after="0"/>
        <w:rPr>
          <w:sz w:val="20"/>
          <w:szCs w:val="20"/>
          <w:color w:val="auto"/>
        </w:rPr>
      </w:pPr>
      <w:r>
        <w:rPr>
          <w:rFonts w:ascii="Times New Roman" w:cs="Times New Roman" w:eastAsia="Times New Roman" w:hAnsi="Times New Roman"/>
          <w:sz w:val="21"/>
          <w:szCs w:val="21"/>
          <w:color w:val="auto"/>
        </w:rPr>
        <w:t>Schedule I</w:t>
      </w:r>
    </w:p>
    <w:p>
      <w:pPr>
        <w:sectPr>
          <w:pgSz w:w="11900" w:h="16838" w:orient="portrait"/>
          <w:cols w:equalWidth="0" w:num="1">
            <w:col w:w="9019"/>
          </w:cols>
          <w:pgMar w:left="1440" w:top="1421" w:right="1440" w:bottom="1440" w:gutter="0" w:footer="0" w:header="0"/>
        </w:sectPr>
      </w:pPr>
    </w:p>
    <w:bookmarkStart w:id="446" w:name="page447"/>
    <w:bookmarkEnd w:id="446"/>
    <w:p>
      <w:pPr>
        <w:jc w:val="right"/>
        <w:spacing w:after="0"/>
        <w:rPr>
          <w:sz w:val="20"/>
          <w:szCs w:val="20"/>
          <w:color w:val="auto"/>
        </w:rPr>
      </w:pPr>
      <w:r>
        <w:rPr>
          <w:rFonts w:ascii="Times New Roman" w:cs="Times New Roman" w:eastAsia="Times New Roman" w:hAnsi="Times New Roman"/>
          <w:sz w:val="22"/>
          <w:szCs w:val="22"/>
          <w:color w:val="auto"/>
        </w:rPr>
        <w:t>Exhibit III to the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196" w:lineRule="exact"/>
        <w:rPr>
          <w:sz w:val="20"/>
          <w:szCs w:val="20"/>
          <w:color w:val="auto"/>
        </w:rPr>
      </w:pPr>
    </w:p>
    <w:p>
      <w:pPr>
        <w:jc w:val="both"/>
        <w:ind w:firstLine="1282"/>
        <w:spacing w:after="0" w:line="284" w:lineRule="auto"/>
        <w:rPr>
          <w:sz w:val="20"/>
          <w:szCs w:val="20"/>
          <w:color w:val="auto"/>
        </w:rPr>
      </w:pPr>
      <w:r>
        <w:rPr>
          <w:rFonts w:ascii="Times New Roman" w:cs="Times New Roman" w:eastAsia="Times New Roman" w:hAnsi="Times New Roman"/>
          <w:sz w:val="22"/>
          <w:szCs w:val="22"/>
          <w:color w:val="auto"/>
        </w:rPr>
        <w:t>PATENT SECURITY AGREEMENT, dated as of [_], 20[_]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[_] (the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and Wilmington Trust, National Association, as notes collateral agent (in such capacity, the “</w:t>
      </w:r>
      <w:r>
        <w:rPr>
          <w:rFonts w:ascii="Times New Roman" w:cs="Times New Roman" w:eastAsia="Times New Roman" w:hAnsi="Times New Roman"/>
          <w:sz w:val="22"/>
          <w:szCs w:val="22"/>
          <w:u w:val="single" w:color="auto"/>
          <w:color w:val="auto"/>
        </w:rPr>
        <w:t>Notes Collateral Agent</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Reference is made to (a) the Indenture dated as of May 30, 2024 (as amended, restated, supplemented or</w:t>
      </w:r>
    </w:p>
    <w:p>
      <w:pPr>
        <w:spacing w:after="0" w:line="1" w:lineRule="exact"/>
        <w:rPr>
          <w:sz w:val="20"/>
          <w:szCs w:val="20"/>
          <w:color w:val="auto"/>
        </w:rPr>
      </w:pPr>
    </w:p>
    <w:p>
      <w:pPr>
        <w:jc w:val="both"/>
        <w:ind w:left="80" w:right="60"/>
        <w:spacing w:after="0" w:line="221" w:lineRule="auto"/>
        <w:rPr>
          <w:sz w:val="20"/>
          <w:szCs w:val="20"/>
          <w:color w:val="auto"/>
        </w:rPr>
      </w:pPr>
      <w:r>
        <w:rPr>
          <w:rFonts w:ascii="Times New Roman" w:cs="Times New Roman" w:eastAsia="Times New Roman" w:hAnsi="Times New Roman"/>
          <w:sz w:val="21"/>
          <w:szCs w:val="21"/>
          <w:color w:val="auto"/>
        </w:rPr>
        <w:t>otherwise modified from time to time,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among SOTERA HEALTH COMPANY, a Delaware corporation (“</w:t>
      </w:r>
      <w:r>
        <w:rPr>
          <w:rFonts w:ascii="Times New Roman" w:cs="Times New Roman" w:eastAsia="Times New Roman" w:hAnsi="Times New Roman"/>
          <w:sz w:val="21"/>
          <w:szCs w:val="21"/>
          <w:u w:val="single" w:color="auto"/>
          <w:color w:val="auto"/>
        </w:rPr>
        <w:t>Holdings</w:t>
      </w:r>
      <w:r>
        <w:rPr>
          <w:rFonts w:ascii="Times New Roman" w:cs="Times New Roman" w:eastAsia="Times New Roman" w:hAnsi="Times New Roman"/>
          <w:sz w:val="21"/>
          <w:szCs w:val="21"/>
          <w:color w:val="auto"/>
        </w:rPr>
        <w:t>”), SOTERA HEALTH HOLDINGS, LLC, a Delaware limited liability company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the guarantors from</w:t>
      </w:r>
    </w:p>
    <w:p>
      <w:pPr>
        <w:spacing w:after="0" w:line="1" w:lineRule="exact"/>
        <w:rPr>
          <w:sz w:val="20"/>
          <w:szCs w:val="20"/>
          <w:color w:val="auto"/>
        </w:rPr>
      </w:pPr>
    </w:p>
    <w:p>
      <w:pPr>
        <w:jc w:val="both"/>
        <w:ind w:left="80" w:right="60"/>
        <w:spacing w:after="0" w:line="223" w:lineRule="auto"/>
        <w:rPr>
          <w:sz w:val="20"/>
          <w:szCs w:val="20"/>
          <w:color w:val="auto"/>
        </w:rPr>
      </w:pPr>
      <w:r>
        <w:rPr>
          <w:rFonts w:ascii="Times New Roman" w:cs="Times New Roman" w:eastAsia="Times New Roman" w:hAnsi="Times New Roman"/>
          <w:sz w:val="22"/>
          <w:szCs w:val="22"/>
          <w:color w:val="auto"/>
        </w:rPr>
        <w:t>time to time party thereto and WILMINGTON TRUST, NATIONAL ASSOCIATION, as trustee and Notes Collateral Agent, and (b) the Notes Security Agreement dated of May 30, 2024 (as amended, restated, supplemented or otherwise modified from time to time, the “</w:t>
      </w:r>
      <w:r>
        <w:rPr>
          <w:rFonts w:ascii="Times New Roman" w:cs="Times New Roman" w:eastAsia="Times New Roman" w:hAnsi="Times New Roman"/>
          <w:sz w:val="22"/>
          <w:szCs w:val="22"/>
          <w:u w:val="single" w:color="auto"/>
          <w:color w:val="auto"/>
        </w:rPr>
        <w:t>Notes Security Agreement</w:t>
      </w:r>
      <w:r>
        <w:rPr>
          <w:rFonts w:ascii="Times New Roman" w:cs="Times New Roman" w:eastAsia="Times New Roman" w:hAnsi="Times New Roman"/>
          <w:sz w:val="22"/>
          <w:szCs w:val="22"/>
          <w:color w:val="auto"/>
        </w:rPr>
        <w:t>”) among the Issuer, the other Grantors from time to time party thereto, Holdings, and the Notes Collateral Agent. The Grantor is an Affiliate of the Issuer and will derive substantial benefits from the issuance of the notes pursuant to the Indenture.</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200" w:lineRule="exact"/>
        <w:rPr>
          <w:sz w:val="20"/>
          <w:szCs w:val="20"/>
          <w:color w:val="auto"/>
        </w:rPr>
      </w:pPr>
    </w:p>
    <w:p>
      <w:pPr>
        <w:spacing w:after="0" w:line="26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Terms</w:t>
      </w:r>
      <w:r>
        <w:rPr>
          <w:rFonts w:ascii="Times New Roman" w:cs="Times New Roman" w:eastAsia="Times New Roman" w:hAnsi="Times New Roman"/>
          <w:sz w:val="22"/>
          <w:szCs w:val="22"/>
          <w:color w:val="auto"/>
        </w:rPr>
        <w:t>. Capitalized terms used in this Agreement and not otherwise defined herein have the meanings specified in the Notes Security Agreement. The rules of construction specified in Section 1.01(b) of the Notes Security Agreement also apply to this Agreement.</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As security for the payment or performance, as the case may be, in full of the Notes Obligations, the Grantor hereby grants to the Notes Collateral Agent, its successors and assigns, for the benefit of the Noteholder Secured Parties, a security interest (the “</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in all of such Grantor’s right, title and interest in, to and under the United States Patents listed on Schedule I attached hereto (the “</w:t>
      </w:r>
      <w:r>
        <w:rPr>
          <w:rFonts w:ascii="Times New Roman" w:cs="Times New Roman" w:eastAsia="Times New Roman" w:hAnsi="Times New Roman"/>
          <w:sz w:val="22"/>
          <w:szCs w:val="22"/>
          <w:u w:val="single" w:color="auto"/>
          <w:color w:val="auto"/>
        </w:rPr>
        <w:t>Patent Collateral</w:t>
      </w:r>
      <w:r>
        <w:rPr>
          <w:rFonts w:ascii="Times New Roman" w:cs="Times New Roman" w:eastAsia="Times New Roman" w:hAnsi="Times New Roman"/>
          <w:sz w:val="22"/>
          <w:szCs w:val="22"/>
          <w:color w:val="auto"/>
        </w:rPr>
        <w:t>”). This Agreement is not to be construed as an assignment of any patent or patent application.</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Notes Security Agreement</w:t>
      </w:r>
      <w:r>
        <w:rPr>
          <w:rFonts w:ascii="Times New Roman" w:cs="Times New Roman" w:eastAsia="Times New Roman" w:hAnsi="Times New Roman"/>
          <w:sz w:val="22"/>
          <w:szCs w:val="22"/>
          <w:color w:val="auto"/>
        </w:rPr>
        <w:t>. The Grantor hereby acknowledges and affirms that the rights and remedies of the Notes Collateral Agent with respect to the Patent Collateral are more fully set forth in the Notes Security Agreement, the terms and provisions of which are hereby incorporated herein by reference as if fully set forth herein. In the event of any conflict between the terms of this Agreement and the Notes Security Agreement, the terms of the Notes Security Agreement shall govern.</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Subject to Section 5.13 of the Notes Security Agreement, upon the discharge of the Notes Obligations, the security interest granted herein shall terminate and the Notes Collateral Agent shall, at the sole expense of the Grantor, execute, acknowledge, and deliver to the Grantors all instruments in writing in recordable form, reasonably requested by the Grantor, to evidence and release the collateral pledge, grant, lien and security interest in the Patent Collateral under this Agreement.</w:t>
      </w:r>
    </w:p>
    <w:p>
      <w:pPr>
        <w:sectPr>
          <w:pgSz w:w="11900" w:h="16838" w:orient="portrait"/>
          <w:cols w:equalWidth="0" w:num="1">
            <w:col w:w="11240"/>
          </w:cols>
          <w:pgMar w:left="320" w:top="1421" w:right="339" w:bottom="1440" w:gutter="0" w:footer="0" w:header="0"/>
        </w:sectPr>
      </w:pPr>
    </w:p>
    <w:bookmarkStart w:id="447" w:name="page448"/>
    <w:bookmarkEnd w:id="447"/>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of this Agreement by facsimile or other electronic transmission shall be as effective as delivery of a manually executed counterpart hereof. The words “execution,” “execute,” “signed,” “signature,” “delivery,” and words of like import in or relating to this Agreement hereby shall be deemed to include electronic signatures, the electronic matching of assignment terms and contract formulations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and governed by the laws of the State of New York.</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Concerning the Notes Collateral Agent.</w:t>
      </w:r>
      <w:r>
        <w:rPr>
          <w:rFonts w:ascii="Times New Roman" w:cs="Times New Roman" w:eastAsia="Times New Roman" w:hAnsi="Times New Roman"/>
          <w:sz w:val="22"/>
          <w:szCs w:val="22"/>
          <w:color w:val="auto"/>
        </w:rPr>
        <w:t xml:space="preserve"> Wilmington Trust, National Association is executing this Agreement not in its individual or corporate capacity, but solely in its capacity as Notes Collateral Agent under the Indenture. In acting hereunder, the Notes Collateral Agent shall be entitled to all of the rights, privileges, immunities and indemnities granted to it under the Indenture as if such rights, privileges, immunities and indemnities were set forth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448" w:name="page449"/>
    <w:bookmarkEnd w:id="448"/>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duly executed this Agreement as of the day and year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 as Grantor</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-13970</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40" w:right="100"/>
        <w:spacing w:after="0" w:line="271" w:lineRule="auto"/>
        <w:rPr>
          <w:sz w:val="20"/>
          <w:szCs w:val="20"/>
          <w:color w:val="auto"/>
        </w:rPr>
      </w:pPr>
      <w:r>
        <w:rPr>
          <w:rFonts w:ascii="Times New Roman" w:cs="Times New Roman" w:eastAsia="Times New Roman" w:hAnsi="Times New Roman"/>
          <w:sz w:val="22"/>
          <w:szCs w:val="22"/>
          <w:color w:val="auto"/>
        </w:rPr>
        <w:t>WILMINGTON TRUST, NATIONAL ASSOCIATION, as Notes Collateral Agent</w:t>
      </w:r>
    </w:p>
    <w:p>
      <w:pPr>
        <w:spacing w:after="0" w:line="3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[Signature Page Patent Security Agreement]</w:t>
      </w:r>
    </w:p>
    <w:p>
      <w:pPr>
        <w:sectPr>
          <w:pgSz w:w="11900" w:h="16838" w:orient="portrait"/>
          <w:cols w:equalWidth="0" w:num="1">
            <w:col w:w="11220"/>
          </w:cols>
          <w:pgMar w:left="320" w:top="1421" w:right="359" w:bottom="1440" w:gutter="0" w:footer="0" w:header="0"/>
        </w:sectPr>
      </w:pPr>
    </w:p>
    <w:bookmarkStart w:id="449" w:name="page450"/>
    <w:bookmarkEnd w:id="449"/>
    <w:p>
      <w:pPr>
        <w:jc w:val="center"/>
        <w:ind w:right="19"/>
        <w:spacing w:after="0"/>
        <w:rPr>
          <w:sz w:val="20"/>
          <w:szCs w:val="20"/>
          <w:color w:val="auto"/>
        </w:rPr>
      </w:pPr>
      <w:r>
        <w:rPr>
          <w:rFonts w:ascii="Times New Roman" w:cs="Times New Roman" w:eastAsia="Times New Roman" w:hAnsi="Times New Roman"/>
          <w:sz w:val="21"/>
          <w:szCs w:val="21"/>
          <w:color w:val="auto"/>
        </w:rPr>
        <w:t>Schedule I</w:t>
      </w:r>
    </w:p>
    <w:p>
      <w:pPr>
        <w:sectPr>
          <w:pgSz w:w="11900" w:h="16838" w:orient="portrait"/>
          <w:cols w:equalWidth="0" w:num="1">
            <w:col w:w="9019"/>
          </w:cols>
          <w:pgMar w:left="1440" w:top="1421" w:right="1440" w:bottom="1440" w:gutter="0" w:footer="0" w:header="0"/>
        </w:sectPr>
      </w:pPr>
    </w:p>
    <w:bookmarkStart w:id="450" w:name="page451"/>
    <w:bookmarkEnd w:id="450"/>
    <w:p>
      <w:pPr>
        <w:jc w:val="right"/>
        <w:spacing w:after="0"/>
        <w:rPr>
          <w:sz w:val="20"/>
          <w:szCs w:val="20"/>
          <w:color w:val="auto"/>
        </w:rPr>
      </w:pPr>
      <w:r>
        <w:rPr>
          <w:rFonts w:ascii="Times New Roman" w:cs="Times New Roman" w:eastAsia="Times New Roman" w:hAnsi="Times New Roman"/>
          <w:sz w:val="22"/>
          <w:szCs w:val="22"/>
          <w:color w:val="auto"/>
        </w:rPr>
        <w:t>Exhibit IV to the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Notes Security Agreement</w:t>
      </w:r>
    </w:p>
    <w:p>
      <w:pPr>
        <w:spacing w:after="0" w:line="200" w:lineRule="exact"/>
        <w:rPr>
          <w:sz w:val="20"/>
          <w:szCs w:val="20"/>
          <w:color w:val="auto"/>
        </w:rPr>
      </w:pPr>
    </w:p>
    <w:p>
      <w:pPr>
        <w:spacing w:after="0" w:line="212" w:lineRule="exact"/>
        <w:rPr>
          <w:sz w:val="20"/>
          <w:szCs w:val="20"/>
          <w:color w:val="auto"/>
        </w:rPr>
      </w:pPr>
    </w:p>
    <w:p>
      <w:pPr>
        <w:jc w:val="both"/>
        <w:ind w:right="20" w:firstLine="1282"/>
        <w:spacing w:after="0" w:line="309" w:lineRule="auto"/>
        <w:rPr>
          <w:sz w:val="20"/>
          <w:szCs w:val="20"/>
          <w:color w:val="auto"/>
        </w:rPr>
      </w:pPr>
      <w:r>
        <w:rPr>
          <w:rFonts w:ascii="Times New Roman" w:cs="Times New Roman" w:eastAsia="Times New Roman" w:hAnsi="Times New Roman"/>
          <w:sz w:val="21"/>
          <w:szCs w:val="21"/>
          <w:color w:val="auto"/>
        </w:rPr>
        <w:t>TRADEMARK SECURITY AGREEMENT, dated as of [_], 20[_]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[_] (the “</w:t>
      </w:r>
      <w:r>
        <w:rPr>
          <w:rFonts w:ascii="Times New Roman" w:cs="Times New Roman" w:eastAsia="Times New Roman" w:hAnsi="Times New Roman"/>
          <w:sz w:val="21"/>
          <w:szCs w:val="21"/>
          <w:u w:val="single" w:color="auto"/>
          <w:color w:val="auto"/>
        </w:rPr>
        <w:t>Grantor</w:t>
      </w:r>
      <w:r>
        <w:rPr>
          <w:rFonts w:ascii="Times New Roman" w:cs="Times New Roman" w:eastAsia="Times New Roman" w:hAnsi="Times New Roman"/>
          <w:sz w:val="21"/>
          <w:szCs w:val="21"/>
          <w:color w:val="auto"/>
        </w:rPr>
        <w:t>”) and Wilmington Trust, National Association, as notes collateral agent (in such capacity, the “</w:t>
      </w:r>
      <w:r>
        <w:rPr>
          <w:rFonts w:ascii="Times New Roman" w:cs="Times New Roman" w:eastAsia="Times New Roman" w:hAnsi="Times New Roman"/>
          <w:sz w:val="21"/>
          <w:szCs w:val="21"/>
          <w:u w:val="single" w:color="auto"/>
          <w:color w:val="auto"/>
        </w:rPr>
        <w:t>Notes Collateral Agent</w:t>
      </w:r>
      <w:r>
        <w:rPr>
          <w:rFonts w:ascii="Times New Roman" w:cs="Times New Roman" w:eastAsia="Times New Roman" w:hAnsi="Times New Roman"/>
          <w:sz w:val="21"/>
          <w:szCs w:val="21"/>
          <w:color w:val="auto"/>
        </w:rPr>
        <w: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Reference is made to (a) the Indenture dated as of May 30, 2024 (as amended, restated, supplemented or</w:t>
      </w:r>
    </w:p>
    <w:p>
      <w:pPr>
        <w:spacing w:after="0" w:line="1" w:lineRule="exact"/>
        <w:rPr>
          <w:sz w:val="20"/>
          <w:szCs w:val="20"/>
          <w:color w:val="auto"/>
        </w:rPr>
      </w:pPr>
    </w:p>
    <w:p>
      <w:pPr>
        <w:jc w:val="both"/>
        <w:ind w:left="80" w:right="60"/>
        <w:spacing w:after="0" w:line="221" w:lineRule="auto"/>
        <w:rPr>
          <w:sz w:val="20"/>
          <w:szCs w:val="20"/>
          <w:color w:val="auto"/>
        </w:rPr>
      </w:pPr>
      <w:r>
        <w:rPr>
          <w:rFonts w:ascii="Times New Roman" w:cs="Times New Roman" w:eastAsia="Times New Roman" w:hAnsi="Times New Roman"/>
          <w:sz w:val="21"/>
          <w:szCs w:val="21"/>
          <w:color w:val="auto"/>
        </w:rPr>
        <w:t>otherwise modified from time to time,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among SOTERA HEALTH COMPANY, a Delaware corporation (“</w:t>
      </w:r>
      <w:r>
        <w:rPr>
          <w:rFonts w:ascii="Times New Roman" w:cs="Times New Roman" w:eastAsia="Times New Roman" w:hAnsi="Times New Roman"/>
          <w:sz w:val="21"/>
          <w:szCs w:val="21"/>
          <w:u w:val="single" w:color="auto"/>
          <w:color w:val="auto"/>
        </w:rPr>
        <w:t>Holdings</w:t>
      </w:r>
      <w:r>
        <w:rPr>
          <w:rFonts w:ascii="Times New Roman" w:cs="Times New Roman" w:eastAsia="Times New Roman" w:hAnsi="Times New Roman"/>
          <w:sz w:val="21"/>
          <w:szCs w:val="21"/>
          <w:color w:val="auto"/>
        </w:rPr>
        <w:t>”), SOTERA HEALTH HOLDINGS, LLC, a Delaware limited liability company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the guarantors from</w:t>
      </w:r>
    </w:p>
    <w:p>
      <w:pPr>
        <w:spacing w:after="0" w:line="1" w:lineRule="exact"/>
        <w:rPr>
          <w:sz w:val="20"/>
          <w:szCs w:val="20"/>
          <w:color w:val="auto"/>
        </w:rPr>
      </w:pPr>
    </w:p>
    <w:p>
      <w:pPr>
        <w:jc w:val="both"/>
        <w:ind w:left="80" w:right="60"/>
        <w:spacing w:after="0" w:line="223" w:lineRule="auto"/>
        <w:rPr>
          <w:sz w:val="20"/>
          <w:szCs w:val="20"/>
          <w:color w:val="auto"/>
        </w:rPr>
      </w:pPr>
      <w:r>
        <w:rPr>
          <w:rFonts w:ascii="Times New Roman" w:cs="Times New Roman" w:eastAsia="Times New Roman" w:hAnsi="Times New Roman"/>
          <w:sz w:val="22"/>
          <w:szCs w:val="22"/>
          <w:color w:val="auto"/>
        </w:rPr>
        <w:t>time to time party thereto and WILMINGTON TRUST, NATIONAL ASSOCIATION, as trustee and Notes Collateral Agent, and (b) the Notes Security Agreement dated of May 30, 2024 (as amended, restated, supplemented or otherwise modified from time to time, the “</w:t>
      </w:r>
      <w:r>
        <w:rPr>
          <w:rFonts w:ascii="Times New Roman" w:cs="Times New Roman" w:eastAsia="Times New Roman" w:hAnsi="Times New Roman"/>
          <w:sz w:val="22"/>
          <w:szCs w:val="22"/>
          <w:u w:val="single" w:color="auto"/>
          <w:color w:val="auto"/>
        </w:rPr>
        <w:t>Notes Security Agreement</w:t>
      </w:r>
      <w:r>
        <w:rPr>
          <w:rFonts w:ascii="Times New Roman" w:cs="Times New Roman" w:eastAsia="Times New Roman" w:hAnsi="Times New Roman"/>
          <w:sz w:val="22"/>
          <w:szCs w:val="22"/>
          <w:color w:val="auto"/>
        </w:rPr>
        <w:t>”) among the Issuer, the other Grantors from time to time party thereto, Holdings, and the Notes Collateral Agent. The Grantor is an Affiliate of the Issuer and will derive substantial benefits from the issuance of the notes pursuant to the Indenture.</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200" w:lineRule="exact"/>
        <w:rPr>
          <w:sz w:val="20"/>
          <w:szCs w:val="20"/>
          <w:color w:val="auto"/>
        </w:rPr>
      </w:pPr>
    </w:p>
    <w:p>
      <w:pPr>
        <w:spacing w:after="0" w:line="26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Terms</w:t>
      </w:r>
      <w:r>
        <w:rPr>
          <w:rFonts w:ascii="Times New Roman" w:cs="Times New Roman" w:eastAsia="Times New Roman" w:hAnsi="Times New Roman"/>
          <w:sz w:val="22"/>
          <w:szCs w:val="22"/>
          <w:color w:val="auto"/>
        </w:rPr>
        <w:t>. Capitalized terms used in this Agreement and not otherwise defined herein have the meanings specified in the Notes Security Agreement. The rules of construction specified in Section 1.01(b) of the Notes Security Agreement also apply to this Agreement.</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As security for the payment or performance, as the case may be, in full of the Notes Obligations, the Grantor hereby grants to the Notes Collateral Agent, its successors and assigns, for the benefit of the Noteholder Secured Parties, a security interest (the “</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in all of such Grantor’s right, title and interest in, to and under the United States Trademarks listed on Schedule I attached hereto (the “</w:t>
      </w:r>
      <w:r>
        <w:rPr>
          <w:rFonts w:ascii="Times New Roman" w:cs="Times New Roman" w:eastAsia="Times New Roman" w:hAnsi="Times New Roman"/>
          <w:sz w:val="22"/>
          <w:szCs w:val="22"/>
          <w:u w:val="single" w:color="auto"/>
          <w:color w:val="auto"/>
        </w:rPr>
        <w:t>Trademark Collateral</w:t>
      </w:r>
      <w:r>
        <w:rPr>
          <w:rFonts w:ascii="Times New Roman" w:cs="Times New Roman" w:eastAsia="Times New Roman" w:hAnsi="Times New Roman"/>
          <w:sz w:val="22"/>
          <w:szCs w:val="22"/>
          <w:color w:val="auto"/>
        </w:rPr>
        <w:t>”). This Agreement is not to be construed as an assignment of any trademark or trademark application. Notwithstanding anything herein to the contrary, the Trademark Collateral shall not include, and in no event shall the Security Interest attach to,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Notes Security Agreement</w:t>
      </w:r>
      <w:r>
        <w:rPr>
          <w:rFonts w:ascii="Times New Roman" w:cs="Times New Roman" w:eastAsia="Times New Roman" w:hAnsi="Times New Roman"/>
          <w:sz w:val="22"/>
          <w:szCs w:val="22"/>
          <w:color w:val="auto"/>
        </w:rPr>
        <w:t>. The Grantor hereby acknowledges and affirms that the rights and remedies of the Notes Collateral Agent with respect to the Trademark Collateral are more fully set forth in the Notes Security Agreement, the terms and provisions of which are hereby incorporated herein by reference as if fully set forth herein. In the event of any</w:t>
      </w:r>
    </w:p>
    <w:p>
      <w:pPr>
        <w:sectPr>
          <w:pgSz w:w="11900" w:h="16838" w:orient="portrait"/>
          <w:cols w:equalWidth="0" w:num="1">
            <w:col w:w="11240"/>
          </w:cols>
          <w:pgMar w:left="320" w:top="1421" w:right="339" w:bottom="1440" w:gutter="0" w:footer="0" w:header="0"/>
        </w:sectPr>
      </w:pPr>
    </w:p>
    <w:bookmarkStart w:id="451" w:name="page452"/>
    <w:bookmarkEnd w:id="45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conflict between the terms of this Agreement and the Notes Security Agreement, the terms of the Notes Security Agreement shall govern.</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Subject to Section 5.13 of the Notes Security Agreement, upon the discharge of the Notes Obligations, the security interest granted herein shall terminate and the Notes Collateral Agent shall, at the sole expense of the Grantor, execute, acknowledge, and deliver to the Grantors all instruments in writing in recordable form, reasonably requested by the Grantor, to evidence and release the collateral pledge, grant, lien and security interest in the Trademark Collateral under this Agreement.</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of this Agreement by facsimile or other electronic transmission shall be as effective as delivery of a manually executed counterpart hereof. The words “execution,” “execute,” “signed,” “signature,” “delivery,” and words of like import in or relating to this Agreement hereby shall be deemed to include electronic signatures, the electronic matching of assignment terms and contract formulations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and governed by the laws of the State of New York.</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Concerning the Notes Collateral Agent.</w:t>
      </w:r>
      <w:r>
        <w:rPr>
          <w:rFonts w:ascii="Times New Roman" w:cs="Times New Roman" w:eastAsia="Times New Roman" w:hAnsi="Times New Roman"/>
          <w:sz w:val="22"/>
          <w:szCs w:val="22"/>
          <w:color w:val="auto"/>
        </w:rPr>
        <w:t xml:space="preserve"> Wilmington Trust, National Association is executing this Agreement not in its individual or corporate capacity, but solely in its capacity as Notes Collateral Agent under the Indenture. In acting hereunder, the Notes Collateral Agent shall be entitled to all of the rights, privileges, immunities and indemnities granted to it under the Indenture as if such rights, privileges, immunities and indemnities were set forth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452" w:name="page453"/>
    <w:bookmarkEnd w:id="452"/>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duly executed this Agreement as of the day and year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 as Grantor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w:t>
      </w:r>
    </w:p>
    <w:p>
      <w:pPr>
        <w:spacing w:after="0" w:line="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540" w:right="100"/>
        <w:spacing w:after="0" w:line="271" w:lineRule="auto"/>
        <w:rPr>
          <w:sz w:val="20"/>
          <w:szCs w:val="20"/>
          <w:color w:val="auto"/>
        </w:rPr>
      </w:pPr>
      <w:r>
        <w:rPr>
          <w:rFonts w:ascii="Times New Roman" w:cs="Times New Roman" w:eastAsia="Times New Roman" w:hAnsi="Times New Roman"/>
          <w:sz w:val="22"/>
          <w:szCs w:val="22"/>
          <w:color w:val="auto"/>
        </w:rPr>
        <w:t>WILMINGTON TRUST, NATIONAL ASSOCIATION, as Notes Collateral Agent</w:t>
      </w:r>
    </w:p>
    <w:p>
      <w:pPr>
        <w:spacing w:after="0" w:line="3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11220"/>
          </w:cols>
          <w:pgMar w:left="320" w:top="1421" w:right="359" w:bottom="1440" w:gutter="0" w:footer="0" w:header="0"/>
        </w:sectPr>
      </w:pPr>
    </w:p>
    <w:bookmarkStart w:id="453" w:name="page454"/>
    <w:bookmarkEnd w:id="453"/>
    <w:p>
      <w:pPr>
        <w:jc w:val="center"/>
        <w:ind w:right="19"/>
        <w:spacing w:after="0"/>
        <w:rPr>
          <w:sz w:val="20"/>
          <w:szCs w:val="20"/>
          <w:color w:val="auto"/>
        </w:rPr>
      </w:pPr>
      <w:r>
        <w:rPr>
          <w:rFonts w:ascii="Times New Roman" w:cs="Times New Roman" w:eastAsia="Times New Roman" w:hAnsi="Times New Roman"/>
          <w:sz w:val="21"/>
          <w:szCs w:val="21"/>
          <w:color w:val="auto"/>
        </w:rPr>
        <w:t>Schedule I</w:t>
      </w:r>
    </w:p>
    <w:p>
      <w:pPr>
        <w:sectPr>
          <w:pgSz w:w="11900" w:h="16838" w:orient="portrait"/>
          <w:cols w:equalWidth="0" w:num="1">
            <w:col w:w="9019"/>
          </w:cols>
          <w:pgMar w:left="1440" w:top="1421" w:right="1440" w:bottom="1440" w:gutter="0" w:footer="0" w:header="0"/>
        </w:sectPr>
      </w:pPr>
    </w:p>
    <w:bookmarkStart w:id="454" w:name="page455"/>
    <w:bookmarkEnd w:id="45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ind w:right="80" w:firstLine="8"/>
        <w:spacing w:after="0" w:line="288" w:lineRule="auto"/>
        <w:tabs>
          <w:tab w:leader="none" w:pos="348" w:val="left"/>
        </w:tabs>
        <w:numPr>
          <w:ilvl w:val="0"/>
          <w:numId w:val="50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Indicates that certain information in this exhibit has been excluded because it is both (i) not material and (ii) is the type that the registrant customarily and actually treats as private or confidential.</w:t>
      </w:r>
    </w:p>
    <w:p>
      <w:pPr>
        <w:spacing w:after="0" w:line="32"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328" w:lineRule="exact"/>
        <w:rPr>
          <w:sz w:val="20"/>
          <w:szCs w:val="20"/>
          <w:color w:val="auto"/>
        </w:rPr>
      </w:pPr>
    </w:p>
    <w:p>
      <w:pPr>
        <w:jc w:val="both"/>
        <w:ind w:left="700" w:right="460" w:firstLine="1296"/>
        <w:spacing w:after="0" w:line="253" w:lineRule="auto"/>
        <w:rPr>
          <w:sz w:val="20"/>
          <w:szCs w:val="20"/>
          <w:color w:val="auto"/>
        </w:rPr>
      </w:pPr>
      <w:r>
        <w:rPr>
          <w:rFonts w:ascii="Times New Roman" w:cs="Times New Roman" w:eastAsia="Times New Roman" w:hAnsi="Times New Roman"/>
          <w:sz w:val="20"/>
          <w:szCs w:val="20"/>
          <w:color w:val="auto"/>
        </w:rPr>
        <w:t>AMENDMENT NO. 4 TO FIRST LIEN CREDIT AGREEMENT, dated as of May 30,2024 (this “Amendment”), is made and entered into by and among Sotera Health Company (f/k/a Sotera Health Topco, Inc.), a Delaware corporation (“Holdings”), SOTERA HEALTH HOLDINGS, LLC, a Delaware limited liability company (the “Borrower”), each 2024 Refinancing Term Lender party hereto, each Revolving Lender party hereto, JPMorgan Chase Bank, N.A., as First Lien Administrative Agent (solely in such capacity, the “Administrative Agent”), and, for purposes of Sections 7 and 9 hereof only, the other Loan Parties as of the date 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337" w:lineRule="exact"/>
        <w:rPr>
          <w:sz w:val="20"/>
          <w:szCs w:val="20"/>
          <w:color w:val="auto"/>
        </w:rPr>
      </w:pPr>
    </w:p>
    <w:p>
      <w:pPr>
        <w:jc w:val="both"/>
        <w:ind w:left="700" w:right="460" w:firstLine="1296"/>
        <w:spacing w:after="0" w:line="251" w:lineRule="auto"/>
        <w:rPr>
          <w:sz w:val="20"/>
          <w:szCs w:val="20"/>
          <w:color w:val="auto"/>
        </w:rPr>
      </w:pPr>
      <w:r>
        <w:rPr>
          <w:rFonts w:ascii="Times New Roman" w:cs="Times New Roman" w:eastAsia="Times New Roman" w:hAnsi="Times New Roman"/>
          <w:sz w:val="20"/>
          <w:szCs w:val="20"/>
          <w:color w:val="auto"/>
        </w:rPr>
        <w:t>WHEREAS, reference is made to the First Lien Credit Agreement dated as of December 13, 2019 (as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to First Lien Credit Agreement, dated as of March 21, 2023, as further amended by that certain Amendment to the First Lien Credit Agreement, dated as of June 22, 2023, as further amended by that certain Amendment No. 3 to First Lien Credit Agreement, dated as of March 1, 2024, and as further amended,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Holdings, the Borrower, the lenders from time to time party thereto and the Administrative Agent;</w:t>
      </w:r>
    </w:p>
    <w:p>
      <w:pPr>
        <w:spacing w:after="0" w:line="192" w:lineRule="exact"/>
        <w:rPr>
          <w:sz w:val="20"/>
          <w:szCs w:val="20"/>
          <w:color w:val="auto"/>
        </w:rPr>
      </w:pPr>
    </w:p>
    <w:p>
      <w:pPr>
        <w:jc w:val="both"/>
        <w:ind w:left="700" w:right="460" w:firstLine="1296"/>
        <w:spacing w:after="0" w:line="253" w:lineRule="auto"/>
        <w:rPr>
          <w:sz w:val="20"/>
          <w:szCs w:val="20"/>
          <w:color w:val="auto"/>
        </w:rPr>
      </w:pPr>
      <w:r>
        <w:rPr>
          <w:rFonts w:ascii="Times New Roman" w:cs="Times New Roman" w:eastAsia="Times New Roman" w:hAnsi="Times New Roman"/>
          <w:sz w:val="20"/>
          <w:szCs w:val="20"/>
          <w:color w:val="auto"/>
        </w:rPr>
        <w:t>WHEREAS, pursuant to Section 2.21 of the Existing Credit Agreement, the Borrower may incur Credit Agreement Refinancing Indebtedness in order to refinance the entire outstanding principal amount of the Term Loans (the “</w:t>
      </w:r>
      <w:r>
        <w:rPr>
          <w:rFonts w:ascii="Times New Roman" w:cs="Times New Roman" w:eastAsia="Times New Roman" w:hAnsi="Times New Roman"/>
          <w:sz w:val="20"/>
          <w:szCs w:val="20"/>
          <w:u w:val="single" w:color="auto"/>
          <w:color w:val="auto"/>
        </w:rPr>
        <w:t>Existing Term Loans</w:t>
      </w:r>
      <w:r>
        <w:rPr>
          <w:rFonts w:ascii="Times New Roman" w:cs="Times New Roman" w:eastAsia="Times New Roman" w:hAnsi="Times New Roman"/>
          <w:sz w:val="20"/>
          <w:szCs w:val="20"/>
          <w:color w:val="auto"/>
        </w:rPr>
        <w:t>”) outstanding under the Existing Credit Agreement immediately prior to the funding of such Credit Agreement Refinancing Indebtedness by, among other things, entering into this Amendment pursuant to the terms and conditions of the Existing Credit Agreement with Term Lenders and Additional Lenders agreeing to provide such Credit Agreement Refinancing Indebtedness;</w:t>
      </w:r>
    </w:p>
    <w:p>
      <w:pPr>
        <w:spacing w:after="0" w:line="219" w:lineRule="exact"/>
        <w:rPr>
          <w:sz w:val="20"/>
          <w:szCs w:val="20"/>
          <w:color w:val="auto"/>
        </w:rPr>
      </w:pPr>
    </w:p>
    <w:p>
      <w:pPr>
        <w:jc w:val="both"/>
        <w:ind w:left="700" w:right="460" w:firstLine="1296"/>
        <w:spacing w:after="0" w:line="250" w:lineRule="auto"/>
        <w:rPr>
          <w:sz w:val="20"/>
          <w:szCs w:val="20"/>
          <w:color w:val="auto"/>
        </w:rPr>
      </w:pPr>
      <w:r>
        <w:rPr>
          <w:rFonts w:ascii="Times New Roman" w:cs="Times New Roman" w:eastAsia="Times New Roman" w:hAnsi="Times New Roman"/>
          <w:sz w:val="20"/>
          <w:szCs w:val="20"/>
          <w:color w:val="auto"/>
        </w:rPr>
        <w:t>WHEREAS, the Borrower has requested that (a) JPMorgan Chase Bank, N.A. (in such capacity, the “</w:t>
      </w:r>
      <w:r>
        <w:rPr>
          <w:rFonts w:ascii="Times New Roman" w:cs="Times New Roman" w:eastAsia="Times New Roman" w:hAnsi="Times New Roman"/>
          <w:sz w:val="20"/>
          <w:szCs w:val="20"/>
          <w:u w:val="single" w:color="auto"/>
          <w:color w:val="auto"/>
        </w:rPr>
        <w:t>2024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Refinancing Term Lender</w:t>
      </w:r>
      <w:r>
        <w:rPr>
          <w:rFonts w:ascii="Times New Roman" w:cs="Times New Roman" w:eastAsia="Times New Roman" w:hAnsi="Times New Roman"/>
          <w:sz w:val="20"/>
          <w:szCs w:val="20"/>
          <w:color w:val="auto"/>
        </w:rPr>
        <w:t>”) provide Other First Lien Term Loans in an aggregate principal amount of $1,509,350,000 (the “</w:t>
      </w:r>
      <w:r>
        <w:rPr>
          <w:rFonts w:ascii="Times New Roman" w:cs="Times New Roman" w:eastAsia="Times New Roman" w:hAnsi="Times New Roman"/>
          <w:sz w:val="20"/>
          <w:szCs w:val="20"/>
          <w:u w:val="single" w:color="auto"/>
          <w:color w:val="auto"/>
        </w:rPr>
        <w:t>2024 Refinancing Term Loans</w:t>
      </w:r>
      <w:r>
        <w:rPr>
          <w:rFonts w:ascii="Times New Roman" w:cs="Times New Roman" w:eastAsia="Times New Roman" w:hAnsi="Times New Roman"/>
          <w:sz w:val="20"/>
          <w:szCs w:val="20"/>
          <w:color w:val="auto"/>
        </w:rPr>
        <w:t>” and the Other First Lien Term Commitments of the 2024 Refinancing Term Lender with respect to the 2024 Refinancing Term Loans, the “</w:t>
      </w:r>
      <w:r>
        <w:rPr>
          <w:rFonts w:ascii="Times New Roman" w:cs="Times New Roman" w:eastAsia="Times New Roman" w:hAnsi="Times New Roman"/>
          <w:sz w:val="20"/>
          <w:szCs w:val="20"/>
          <w:u w:val="single" w:color="auto"/>
          <w:color w:val="auto"/>
        </w:rPr>
        <w:t>2024 Refinancing Term Commitments</w:t>
      </w:r>
      <w:r>
        <w:rPr>
          <w:rFonts w:ascii="Times New Roman" w:cs="Times New Roman" w:eastAsia="Times New Roman" w:hAnsi="Times New Roman"/>
          <w:sz w:val="20"/>
          <w:szCs w:val="20"/>
          <w:color w:val="auto"/>
        </w:rPr>
        <w:t>”) the proceeds of which, together with the proceeds of certain other secured debt in the aggregate amount of $750,000,000 (the “</w:t>
      </w:r>
      <w:r>
        <w:rPr>
          <w:rFonts w:ascii="Times New Roman" w:cs="Times New Roman" w:eastAsia="Times New Roman" w:hAnsi="Times New Roman"/>
          <w:sz w:val="20"/>
          <w:szCs w:val="20"/>
          <w:u w:val="single" w:color="auto"/>
          <w:color w:val="auto"/>
        </w:rPr>
        <w:t>Other Secured Debt</w:t>
      </w:r>
      <w:r>
        <w:rPr>
          <w:rFonts w:ascii="Times New Roman" w:cs="Times New Roman" w:eastAsia="Times New Roman" w:hAnsi="Times New Roman"/>
          <w:sz w:val="20"/>
          <w:szCs w:val="20"/>
          <w:color w:val="auto"/>
        </w:rPr>
        <w:t>”) shall be used to, (i) refinance the Existing Term Loans and (ii) refinance in full all of the term loans (the “</w:t>
      </w:r>
      <w:r>
        <w:rPr>
          <w:rFonts w:ascii="Times New Roman" w:cs="Times New Roman" w:eastAsia="Times New Roman" w:hAnsi="Times New Roman"/>
          <w:sz w:val="20"/>
          <w:szCs w:val="20"/>
          <w:u w:val="single" w:color="auto"/>
          <w:color w:val="auto"/>
        </w:rPr>
        <w:t>Sidecar Term Loans</w:t>
      </w:r>
      <w:r>
        <w:rPr>
          <w:rFonts w:ascii="Times New Roman" w:cs="Times New Roman" w:eastAsia="Times New Roman" w:hAnsi="Times New Roman"/>
          <w:sz w:val="20"/>
          <w:szCs w:val="20"/>
          <w:color w:val="auto"/>
        </w:rPr>
        <w:t>”) outstanding under that certain Credit Agreement, dated as of February 23, 2023, by and among Holdings, the Borrower, the lenders from time to time party and JPMorgan Chase Bank, N.A., as administrative agent and collateral agent (as amended, supplemented or otherwise modified prior to the date hereof, the “</w:t>
      </w:r>
      <w:r>
        <w:rPr>
          <w:rFonts w:ascii="Times New Roman" w:cs="Times New Roman" w:eastAsia="Times New Roman" w:hAnsi="Times New Roman"/>
          <w:sz w:val="20"/>
          <w:szCs w:val="20"/>
          <w:u w:val="single" w:color="auto"/>
          <w:color w:val="auto"/>
        </w:rPr>
        <w:t>Existing Sidecar Credit Agreement</w:t>
      </w:r>
      <w:r>
        <w:rPr>
          <w:rFonts w:ascii="Times New Roman" w:cs="Times New Roman" w:eastAsia="Times New Roman" w:hAnsi="Times New Roman"/>
          <w:sz w:val="20"/>
          <w:szCs w:val="20"/>
          <w:color w:val="auto"/>
        </w:rPr>
        <w:t>”) and (iii) pay accrued unpaid interest and fees owing under the Existing Credit Agreement and Existing Sidecar Credit Agreement in connection with this Amendment and (b) the Lenders agree to certain amendments to the Existing Credit Agreement to effect the 2024 Refinancing Term Loans and as otherwise provided for herein (the transactions described in this paragraph collectively, the “</w:t>
      </w:r>
      <w:r>
        <w:rPr>
          <w:rFonts w:ascii="Times New Roman" w:cs="Times New Roman" w:eastAsia="Times New Roman" w:hAnsi="Times New Roman"/>
          <w:sz w:val="20"/>
          <w:szCs w:val="20"/>
          <w:u w:val="single" w:color="auto"/>
          <w:color w:val="auto"/>
        </w:rPr>
        <w:t>Amendment No. 4 Transactions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00" w:right="460" w:firstLine="1295"/>
        <w:spacing w:after="0" w:line="283" w:lineRule="auto"/>
        <w:rPr>
          <w:sz w:val="20"/>
          <w:szCs w:val="20"/>
          <w:color w:val="auto"/>
        </w:rPr>
      </w:pPr>
      <w:r>
        <w:rPr>
          <w:rFonts w:ascii="Times New Roman" w:cs="Times New Roman" w:eastAsia="Times New Roman" w:hAnsi="Times New Roman"/>
          <w:sz w:val="20"/>
          <w:szCs w:val="20"/>
          <w:color w:val="auto"/>
        </w:rPr>
        <w:t>WHEREAS, the 2024 Refinancing Term Lender is willing to provide the 2024 Refinancing Term Loan to the Borrower on the Amendment No. 4 Effective Date (as defined below) and</w:t>
      </w:r>
    </w:p>
    <w:p>
      <w:pPr>
        <w:sectPr>
          <w:pgSz w:w="11900" w:h="16838" w:orient="portrait"/>
          <w:cols w:equalWidth="0" w:num="1">
            <w:col w:w="11240"/>
          </w:cols>
          <w:pgMar w:left="320" w:top="100" w:right="339" w:bottom="1440" w:gutter="0" w:footer="0" w:header="0"/>
        </w:sectPr>
      </w:pPr>
    </w:p>
    <w:bookmarkStart w:id="455" w:name="page456"/>
    <w:bookmarkEnd w:id="455"/>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line="336" w:lineRule="exact"/>
        <w:rPr>
          <w:sz w:val="20"/>
          <w:szCs w:val="20"/>
          <w:color w:val="auto"/>
        </w:rPr>
      </w:pPr>
    </w:p>
    <w:p>
      <w:pPr>
        <w:jc w:val="both"/>
        <w:ind w:left="700" w:right="460"/>
        <w:spacing w:after="0" w:line="261" w:lineRule="auto"/>
        <w:rPr>
          <w:sz w:val="20"/>
          <w:szCs w:val="20"/>
          <w:color w:val="auto"/>
        </w:rPr>
      </w:pPr>
      <w:r>
        <w:rPr>
          <w:rFonts w:ascii="Times New Roman" w:cs="Times New Roman" w:eastAsia="Times New Roman" w:hAnsi="Times New Roman"/>
          <w:sz w:val="20"/>
          <w:szCs w:val="20"/>
          <w:color w:val="auto"/>
        </w:rPr>
        <w:t>immediately after giving effect to the incurrence of the 2024 Refinancing Term Loans, the parties hereto, which include the Required Lenders and the Required Revolving Lenders, wish to amend the Existing Credit Agreement on the terms and subject to the conditions set forth herein and in the Existing Credit Agreement; and</w:t>
      </w:r>
    </w:p>
    <w:p>
      <w:pPr>
        <w:spacing w:after="0" w:line="208" w:lineRule="exact"/>
        <w:rPr>
          <w:sz w:val="20"/>
          <w:szCs w:val="20"/>
          <w:color w:val="auto"/>
        </w:rPr>
      </w:pPr>
    </w:p>
    <w:p>
      <w:pPr>
        <w:jc w:val="both"/>
        <w:ind w:left="700" w:right="460" w:firstLine="1296"/>
        <w:spacing w:after="0" w:line="257" w:lineRule="auto"/>
        <w:rPr>
          <w:sz w:val="20"/>
          <w:szCs w:val="20"/>
          <w:color w:val="auto"/>
        </w:rPr>
      </w:pPr>
      <w:r>
        <w:rPr>
          <w:rFonts w:ascii="Times New Roman" w:cs="Times New Roman" w:eastAsia="Times New Roman" w:hAnsi="Times New Roman"/>
          <w:sz w:val="20"/>
          <w:szCs w:val="20"/>
          <w:color w:val="auto"/>
        </w:rPr>
        <w:t>WHEREAS, J.P. Morgan Securities LLC, Goldman Sachs Bank USA, Citibank, N.A., Jefferies Finance LLC, RBC Capital Markets</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Barclays Bank PLC, Banco Santander, S.A., New York Branch, BNP Paribas Securities Corp., KeyBanc Capital Markets Inc. and Citizens Bank, N.A. shall each act as a joint lead arranger and joint bookrunner in connection with this Amendment and the 2024 Refinancing Term Loans (in such capacity, the “</w:t>
      </w:r>
      <w:r>
        <w:rPr>
          <w:rFonts w:ascii="Times New Roman" w:cs="Times New Roman" w:eastAsia="Times New Roman" w:hAnsi="Times New Roman"/>
          <w:sz w:val="20"/>
          <w:szCs w:val="20"/>
          <w:u w:val="single" w:color="auto"/>
          <w:color w:val="auto"/>
        </w:rPr>
        <w:t>Amendment No.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left="700" w:right="460" w:firstLine="1296"/>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mutual agreements herein contained and other good and valuable consideration, the sufficiency and receipt of which are hereby acknowledged, the parties hereto agree as follows:</w:t>
      </w:r>
    </w:p>
    <w:p>
      <w:pPr>
        <w:spacing w:after="0" w:line="169" w:lineRule="exact"/>
        <w:rPr>
          <w:sz w:val="20"/>
          <w:szCs w:val="20"/>
          <w:color w:val="auto"/>
        </w:rPr>
      </w:pPr>
    </w:p>
    <w:p>
      <w:pPr>
        <w:jc w:val="both"/>
        <w:ind w:left="700" w:right="460" w:firstLine="1296"/>
        <w:spacing w:after="0" w:line="26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b w:val="1"/>
          <w:bCs w:val="1"/>
          <w:i w:val="1"/>
          <w:iCs w:val="1"/>
          <w:color w:val="auto"/>
        </w:rPr>
        <w:t>Defined Terms; Interpretation; Etc</w:t>
      </w:r>
      <w:r>
        <w:rPr>
          <w:rFonts w:ascii="Times New Roman" w:cs="Times New Roman" w:eastAsia="Times New Roman" w:hAnsi="Times New Roman"/>
          <w:sz w:val="20"/>
          <w:szCs w:val="20"/>
          <w:color w:val="auto"/>
        </w:rPr>
        <w:t>. Capitalized terms used and not defined herein shall have the meanings assigned to such terms in the Credit Agreement. This Amendment is a “Refinancing Amendment” and a “First Lien Loan Document”, each as defined in the Credit Agreement.</w:t>
      </w:r>
    </w:p>
    <w:p>
      <w:pPr>
        <w:spacing w:after="0" w:line="148" w:lineRule="exact"/>
        <w:rPr>
          <w:sz w:val="20"/>
          <w:szCs w:val="20"/>
          <w:color w:val="auto"/>
        </w:rPr>
      </w:pPr>
    </w:p>
    <w:p>
      <w:pPr>
        <w:jc w:val="both"/>
        <w:ind w:left="700" w:right="460" w:firstLine="1296"/>
        <w:spacing w:after="0" w:line="252"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b w:val="1"/>
          <w:bCs w:val="1"/>
          <w:i w:val="1"/>
          <w:iCs w:val="1"/>
          <w:color w:val="auto"/>
        </w:rPr>
        <w:t>Amendments</w:t>
      </w:r>
      <w:r>
        <w:rPr>
          <w:rFonts w:ascii="Times New Roman" w:cs="Times New Roman" w:eastAsia="Times New Roman" w:hAnsi="Times New Roman"/>
          <w:sz w:val="20"/>
          <w:szCs w:val="20"/>
          <w:color w:val="auto"/>
        </w:rPr>
        <w:t xml:space="preserve">. Each of the parties hereto agrees that, effective on the Amendment No. 4 Effective Date, (a) the Existing Credit Agreement is hereby amended and restated in the form as set forth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whereby the Existing Credit Agreement is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and (b) the Schedules to the Credit Agreement shall be replaced in their entirety with the Schedules attached hereto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Except as expressly set forth in this Amendment, the 2024 Refinancing Term Loans shall be subject to the provisions of the Credit Agreement and the other First Lien Loan Documents.</w:t>
      </w:r>
    </w:p>
    <w:p>
      <w:pPr>
        <w:spacing w:after="0" w:line="24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b w:val="1"/>
          <w:bCs w:val="1"/>
          <w:i w:val="1"/>
          <w:iCs w:val="1"/>
          <w:color w:val="auto"/>
        </w:rPr>
        <w:t>Refinancing Term Commitments</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jc w:val="both"/>
        <w:ind w:left="3200" w:right="460" w:firstLine="645"/>
        <w:spacing w:after="0" w:line="266" w:lineRule="auto"/>
        <w:tabs>
          <w:tab w:leader="none" w:pos="4539" w:val="left"/>
        </w:tabs>
        <w:numPr>
          <w:ilvl w:val="0"/>
          <w:numId w:val="5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2024 Refinancing Term Lender hereby agrees, to make 2024 Refinancing Term Loans to the Borrower on the Amendment No. 4 Effective Date in an aggregate principal amount equal to the amount set forth opposite such 2024 Refinancing Term Lender’s name on Schedule I attached hereto, on the terms set forth herein and in the Credit Agreement, and subject to the conditions set forth below and upon funding the 2024 Refinancing Term Loans shall constitute a new and separate Class of Term Loans. The 2024 Refinancing Term Loans shall be used to repay and refinance the Existing Term Loans and the Sidecar Term Loans.</w:t>
      </w:r>
    </w:p>
    <w:p>
      <w:pPr>
        <w:spacing w:after="0" w:line="181" w:lineRule="exact"/>
        <w:rPr>
          <w:rFonts w:ascii="Times New Roman" w:cs="Times New Roman" w:eastAsia="Times New Roman" w:hAnsi="Times New Roman"/>
          <w:sz w:val="19"/>
          <w:szCs w:val="19"/>
          <w:color w:val="auto"/>
        </w:rPr>
      </w:pPr>
    </w:p>
    <w:p>
      <w:pPr>
        <w:jc w:val="both"/>
        <w:ind w:left="3200" w:right="460" w:firstLine="645"/>
        <w:spacing w:after="0" w:line="253" w:lineRule="auto"/>
        <w:tabs>
          <w:tab w:leader="none" w:pos="4537"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2024 Refinancing Term Loans are “Other First Lien Term Loans” and the 2024 Refinancing Term Commitments are “Other First Lien Term Commitments”, in each case as contemplated by Section 2.21 of the Credit Agreement. The 2024 Refinancing Term Loans shall be deemed to be “Term Loans” as defined in the Credit Agreement for all purposes of the Credit Agreement and the other First Lien Loan Documents having terms</w:t>
      </w:r>
    </w:p>
    <w:p>
      <w:pPr>
        <w:spacing w:after="0" w:line="200" w:lineRule="exact"/>
        <w:rPr>
          <w:sz w:val="20"/>
          <w:szCs w:val="20"/>
          <w:color w:val="auto"/>
        </w:rPr>
      </w:pPr>
    </w:p>
    <w:p>
      <w:pPr>
        <w:spacing w:after="0" w:line="235" w:lineRule="exact"/>
        <w:rPr>
          <w:sz w:val="20"/>
          <w:szCs w:val="20"/>
          <w:color w:val="auto"/>
        </w:rPr>
      </w:pPr>
    </w:p>
    <w:p>
      <w:pPr>
        <w:ind w:left="100" w:hanging="92"/>
        <w:spacing w:after="0"/>
        <w:tabs>
          <w:tab w:leader="none" w:pos="100" w:val="left"/>
        </w:tabs>
        <w:numPr>
          <w:ilvl w:val="0"/>
          <w:numId w:val="50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RBC Capital Markets is a marketing name for the capital markets activities of Royal Bank of Canada and its affiliates.</w:t>
      </w:r>
    </w:p>
    <w:p>
      <w:pPr>
        <w:sectPr>
          <w:pgSz w:w="11900" w:h="16838" w:orient="portrait"/>
          <w:cols w:equalWidth="0" w:num="1">
            <w:col w:w="11240"/>
          </w:cols>
          <w:pgMar w:left="320" w:top="118" w:right="339" w:bottom="1440" w:gutter="0" w:footer="0" w:header="0"/>
        </w:sectPr>
      </w:pPr>
    </w:p>
    <w:bookmarkStart w:id="456" w:name="page457"/>
    <w:bookmarkEnd w:id="456"/>
    <w:p>
      <w:pPr>
        <w:jc w:val="right"/>
        <w:spacing w:after="0"/>
        <w:rPr>
          <w:sz w:val="20"/>
          <w:szCs w:val="20"/>
          <w:color w:val="auto"/>
        </w:rPr>
      </w:pPr>
      <w:r>
        <w:rPr>
          <w:rFonts w:ascii="Times New Roman" w:cs="Times New Roman" w:eastAsia="Times New Roman" w:hAnsi="Times New Roman"/>
          <w:sz w:val="20"/>
          <w:szCs w:val="20"/>
          <w:color w:val="auto"/>
        </w:rPr>
        <w:t>3</w:t>
      </w:r>
    </w:p>
    <w:p>
      <w:pPr>
        <w:spacing w:after="0" w:line="336" w:lineRule="exact"/>
        <w:rPr>
          <w:sz w:val="20"/>
          <w:szCs w:val="20"/>
          <w:color w:val="auto"/>
        </w:rPr>
      </w:pPr>
    </w:p>
    <w:p>
      <w:pPr>
        <w:ind w:left="2500" w:right="560"/>
        <w:spacing w:after="0" w:line="269" w:lineRule="auto"/>
        <w:rPr>
          <w:sz w:val="20"/>
          <w:szCs w:val="20"/>
          <w:color w:val="auto"/>
        </w:rPr>
      </w:pPr>
      <w:r>
        <w:rPr>
          <w:rFonts w:ascii="Times New Roman" w:cs="Times New Roman" w:eastAsia="Times New Roman" w:hAnsi="Times New Roman"/>
          <w:sz w:val="20"/>
          <w:szCs w:val="20"/>
          <w:color w:val="auto"/>
        </w:rPr>
        <w:t>and provisions identical to those applicable to the Existing Term Loans except as otherwise set forth in this Amendment.</w:t>
      </w:r>
    </w:p>
    <w:p>
      <w:pPr>
        <w:spacing w:after="0" w:line="159" w:lineRule="exact"/>
        <w:rPr>
          <w:sz w:val="20"/>
          <w:szCs w:val="20"/>
          <w:color w:val="auto"/>
        </w:rPr>
      </w:pPr>
    </w:p>
    <w:p>
      <w:pPr>
        <w:jc w:val="both"/>
        <w:ind w:left="2500" w:right="460" w:firstLine="645"/>
        <w:spacing w:after="0" w:line="249" w:lineRule="auto"/>
        <w:tabs>
          <w:tab w:leader="none" w:pos="384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2024 Refinancing Term Lender (i) confirms that a copy of the Credit Agreement and the other applicable First Lien Loan Documents, together with copies of the financial statements referred to therein and such other documents and information as it has deemed appropriate to make its own credit analysis and decision to enter into this Amendment and make the 2024 Refinancing Term Loans, has been made available to the 2024 Refinancing Term Lender; (ii) agrees that it will (together with any affiliates that it acts through as it deems appropriate), independently and without reliance upon the Administrative Agent, the Amendment No. 4 Arrangers, or any other Lender or agent and based on such documents and information as it shall deem appropriate at the time, continue to make its own credit decisions in taking or not taking action under the Credit Agreement or the other applicable First Lien Loan Documents, including this Amendment; (iii) appoints and authorizes the Administrative Agent and the Collateral Agent to take such action as agent on its behalf and to exercise such powers under the Credit Agreement and the other First Lien Loan Documents as are delegated to the Administrative Agent and the Collateral Agent, as the case may be, by the terms thereof, together with such powers as are reasonably incidental thereto; and (iv) acknowledges and agrees that upon the Amendment No. 4 Effective Date such 2024 Refinancing Term Lender shall be a “Lender” and an “Additional Term Lender” under, and for all purposes of, the Credit Agreement and the other First Lien Loan Documents, and shall be subject to and bound by the terms thereof, and shall perform all the obligations of and shall have all rights of a Lender and an Additional Term Lender thereunder.</w:t>
      </w:r>
    </w:p>
    <w:p>
      <w:pPr>
        <w:spacing w:after="0" w:line="192" w:lineRule="exact"/>
        <w:rPr>
          <w:sz w:val="20"/>
          <w:szCs w:val="20"/>
          <w:color w:val="auto"/>
        </w:rPr>
      </w:pPr>
    </w:p>
    <w:p>
      <w:pPr>
        <w:jc w:val="both"/>
        <w:ind w:right="460" w:firstLine="1295"/>
        <w:spacing w:after="0" w:line="273"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The parties hereto agree that this Amendment shall constitute notice to each Lender by the Administrative Agent as required by Section 2.21 of the Credit Agreement.</w:t>
      </w:r>
    </w:p>
    <w:p>
      <w:pPr>
        <w:spacing w:after="0" w:line="152" w:lineRule="exact"/>
        <w:rPr>
          <w:sz w:val="20"/>
          <w:szCs w:val="20"/>
          <w:color w:val="auto"/>
        </w:rPr>
      </w:pPr>
    </w:p>
    <w:p>
      <w:pPr>
        <w:jc w:val="both"/>
        <w:ind w:right="460" w:firstLine="1295"/>
        <w:spacing w:after="0" w:line="250"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b w:val="1"/>
          <w:bCs w:val="1"/>
          <w:i w:val="1"/>
          <w:iCs w:val="1"/>
          <w:color w:val="auto"/>
        </w:rPr>
        <w:t>Conditions to the Effectiveness of the 2024 Refinancing Term Loans</w:t>
      </w:r>
      <w:r>
        <w:rPr>
          <w:rFonts w:ascii="Times New Roman" w:cs="Times New Roman" w:eastAsia="Times New Roman" w:hAnsi="Times New Roman"/>
          <w:sz w:val="20"/>
          <w:szCs w:val="20"/>
          <w:color w:val="auto"/>
        </w:rPr>
        <w:t>. This Amendment, and the 2024 Refinancing Term Lender’s obligation to provide the 2024 Refinancing Term Loans pursuant to this Amendment, shall become effective as of the date on which the following conditions precedent are satisfied or waived by the 2024 Refinancing Term Lender and the Required Revolving Lenders (such date, the “</w:t>
      </w:r>
      <w:r>
        <w:rPr>
          <w:rFonts w:ascii="Times New Roman" w:cs="Times New Roman" w:eastAsia="Times New Roman" w:hAnsi="Times New Roman"/>
          <w:sz w:val="20"/>
          <w:szCs w:val="20"/>
          <w:u w:val="single" w:color="auto"/>
          <w:color w:val="auto"/>
        </w:rPr>
        <w:t>Amendment No. 4 Effective Date</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2500" w:right="460" w:firstLine="731"/>
        <w:spacing w:after="0" w:line="253" w:lineRule="auto"/>
        <w:tabs>
          <w:tab w:leader="none" w:pos="3845"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Holdings, the Borrower, each other Loan Party, the 2024 Refinancing Term Lender and Revolving Lenders constituting Required Revolving Lenders,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w:t>
      </w:r>
    </w:p>
    <w:p>
      <w:pPr>
        <w:spacing w:after="0" w:line="205" w:lineRule="exact"/>
        <w:rPr>
          <w:rFonts w:ascii="Times New Roman" w:cs="Times New Roman" w:eastAsia="Times New Roman" w:hAnsi="Times New Roman"/>
          <w:sz w:val="20"/>
          <w:szCs w:val="20"/>
          <w:color w:val="auto"/>
        </w:rPr>
      </w:pPr>
    </w:p>
    <w:p>
      <w:pPr>
        <w:jc w:val="both"/>
        <w:ind w:left="2500" w:right="460" w:firstLine="732"/>
        <w:spacing w:after="0" w:line="245" w:lineRule="auto"/>
        <w:tabs>
          <w:tab w:leader="none" w:pos="3843"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written opinion (addressed to the Administrative Agent, the 2024 Refinancing Term Lender and each Revolving Lender party hereto, and dated the Amendment No. 4 Effective Date) of each of (i) Cleary Gottlieb Steen &amp; Hamilton LLP, New York counsel for the Loan Parties and (ii) Richards, Layton &amp; Finger, P.A., Delaware counsel for the Loan Parties, in each case in form and substance reasonably satisfactory to the Administrative Agent.</w:t>
      </w:r>
    </w:p>
    <w:p>
      <w:pPr>
        <w:sectPr>
          <w:pgSz w:w="11900" w:h="16838" w:orient="portrait"/>
          <w:cols w:equalWidth="0" w:num="1">
            <w:col w:w="10540"/>
          </w:cols>
          <w:pgMar w:left="1020" w:top="118" w:right="339" w:bottom="1440" w:gutter="0" w:footer="0" w:header="0"/>
        </w:sectPr>
      </w:pPr>
    </w:p>
    <w:bookmarkStart w:id="457" w:name="page458"/>
    <w:bookmarkEnd w:id="457"/>
    <w:p>
      <w:pPr>
        <w:jc w:val="right"/>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39" w:lineRule="exact"/>
        <w:rPr>
          <w:sz w:val="20"/>
          <w:szCs w:val="20"/>
          <w:color w:val="auto"/>
        </w:rPr>
      </w:pPr>
    </w:p>
    <w:p>
      <w:pPr>
        <w:jc w:val="both"/>
        <w:ind w:left="2080" w:right="460" w:firstLine="731"/>
        <w:spacing w:after="0" w:line="267" w:lineRule="auto"/>
        <w:tabs>
          <w:tab w:leader="none" w:pos="3425" w:val="left"/>
        </w:tabs>
        <w:numPr>
          <w:ilvl w:val="2"/>
          <w:numId w:val="5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certificate of each Loan Party, dated the Amendment No. 4 Effective Date, in form and substance reasonably satisfactory to the Administrative Agent, executed by any Responsible Officer of such Loan Party and including or attaching the documents or certifications, as applicable, referred to in paragraph</w:t>
      </w:r>
    </w:p>
    <w:p>
      <w:pPr>
        <w:spacing w:after="0" w:line="1" w:lineRule="exact"/>
        <w:rPr>
          <w:rFonts w:ascii="Times New Roman" w:cs="Times New Roman" w:eastAsia="Times New Roman" w:hAnsi="Times New Roman"/>
          <w:sz w:val="19"/>
          <w:szCs w:val="19"/>
          <w:color w:val="auto"/>
        </w:rPr>
      </w:pPr>
    </w:p>
    <w:p>
      <w:pPr>
        <w:ind w:left="2360" w:hanging="283"/>
        <w:spacing w:after="0"/>
        <w:tabs>
          <w:tab w:leader="none" w:pos="2360" w:val="left"/>
        </w:tabs>
        <w:numPr>
          <w:ilvl w:val="0"/>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below.</w:t>
      </w:r>
    </w:p>
    <w:p>
      <w:pPr>
        <w:spacing w:after="0" w:line="200" w:lineRule="exact"/>
        <w:rPr>
          <w:rFonts w:ascii="Times New Roman" w:cs="Times New Roman" w:eastAsia="Times New Roman" w:hAnsi="Times New Roman"/>
          <w:sz w:val="20"/>
          <w:szCs w:val="20"/>
          <w:color w:val="auto"/>
        </w:rPr>
      </w:pPr>
    </w:p>
    <w:p>
      <w:pPr>
        <w:ind w:left="3420" w:hanging="609"/>
        <w:spacing w:after="0"/>
        <w:tabs>
          <w:tab w:leader="none" w:pos="3420" w:val="left"/>
        </w:tabs>
        <w:numPr>
          <w:ilvl w:val="2"/>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as to each Loan Party, either</w:t>
      </w:r>
    </w:p>
    <w:p>
      <w:pPr>
        <w:spacing w:after="0" w:line="28" w:lineRule="exact"/>
        <w:rPr>
          <w:rFonts w:ascii="Times New Roman" w:cs="Times New Roman" w:eastAsia="Times New Roman" w:hAnsi="Times New Roman"/>
          <w:sz w:val="20"/>
          <w:szCs w:val="20"/>
          <w:color w:val="auto"/>
        </w:rPr>
      </w:pPr>
    </w:p>
    <w:p>
      <w:pPr>
        <w:jc w:val="both"/>
        <w:ind w:left="2080" w:right="460" w:hanging="3"/>
        <w:spacing w:after="0" w:line="260" w:lineRule="auto"/>
        <w:tabs>
          <w:tab w:leader="none" w:pos="2411" w:val="left"/>
        </w:tabs>
        <w:numPr>
          <w:ilvl w:val="1"/>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each Organizational Document of such Loan Party certified, to the extent applicable, as of a recent date by the applicable Governmental Authority or (y) written certification by such Loan Party’s secretary, assistant secretary or other Responsible Officer that such Loan Party’s Organizational Documents most recently certified and delivered to the Administrative Agent prior to the Amendment No. 4 Effective Date pursuant to the First Lien Loan Documents remain in full force and effect on the Amendment No. 4 Effective Date without modification or amendment since such original delivery, (ii) as to each Loan Party, either (x) signature and incumbency certificates of the Responsible Officers of such Loan Party executing the First Lien Loan Documents to which it is a party or (y) written certification by such Loan Party’s secretary, assistant secretary or other Responsible Officer that such Loan Party’s signature and incumbency certificates most recently delivered to the Administrative Agent prior to the Amendment No. 4 Effective Date pursuant to the First Lien Loan Documents remain true and correct as of the Amendment No. 4 Effective Date, (iii) copies of resolutions of the board of directors and/or similar governing bodies of each Loan Party approving and authorizing the execution, delivery and performance of this Amendment, certified as of the Amendment No. 4 Effective Date by a secretary, an assistant secretary or a Responsible Officer of such Loan Party as being in full force and effect without modification or amendment, and</w:t>
      </w:r>
    </w:p>
    <w:p>
      <w:pPr>
        <w:spacing w:after="0" w:line="12" w:lineRule="exact"/>
        <w:rPr>
          <w:rFonts w:ascii="Times New Roman" w:cs="Times New Roman" w:eastAsia="Times New Roman" w:hAnsi="Times New Roman"/>
          <w:sz w:val="19"/>
          <w:szCs w:val="19"/>
          <w:color w:val="auto"/>
        </w:rPr>
      </w:pPr>
    </w:p>
    <w:p>
      <w:pPr>
        <w:jc w:val="both"/>
        <w:ind w:left="2080" w:right="460" w:hanging="2"/>
        <w:spacing w:after="0" w:line="253" w:lineRule="auto"/>
        <w:tabs>
          <w:tab w:leader="none" w:pos="2478" w:val="left"/>
        </w:tabs>
        <w:numPr>
          <w:ilvl w:val="1"/>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good standing certificate (to the extent such concept exists) from the applicable Governmental Authority of each Loan Party’s jurisdiction of incorporation, organization or formation as of a reasonably recent date.</w:t>
      </w:r>
    </w:p>
    <w:p>
      <w:pPr>
        <w:spacing w:after="0" w:line="161" w:lineRule="exact"/>
        <w:rPr>
          <w:rFonts w:ascii="Times New Roman" w:cs="Times New Roman" w:eastAsia="Times New Roman" w:hAnsi="Times New Roman"/>
          <w:sz w:val="20"/>
          <w:szCs w:val="20"/>
          <w:color w:val="auto"/>
        </w:rPr>
      </w:pPr>
    </w:p>
    <w:p>
      <w:pPr>
        <w:jc w:val="both"/>
        <w:ind w:left="2080" w:right="460" w:firstLine="731"/>
        <w:spacing w:after="0" w:line="249" w:lineRule="auto"/>
        <w:tabs>
          <w:tab w:leader="none" w:pos="3425" w:val="left"/>
        </w:tabs>
        <w:numPr>
          <w:ilvl w:val="2"/>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certificate from the chief financial officer of the Borrower certifying as to the solvency of the Borrower and its Subsidiaries on a consolidated basis after giving effect to the Amendment No. 4 Transactions, substantially in the form of </w:t>
      </w:r>
      <w:r>
        <w:rPr>
          <w:rFonts w:ascii="Times New Roman" w:cs="Times New Roman" w:eastAsia="Times New Roman" w:hAnsi="Times New Roman"/>
          <w:sz w:val="20"/>
          <w:szCs w:val="20"/>
          <w:u w:val="single" w:color="auto"/>
          <w:color w:val="auto"/>
        </w:rPr>
        <w:t>Exhibit P</w:t>
      </w:r>
      <w:r>
        <w:rPr>
          <w:rFonts w:ascii="Times New Roman" w:cs="Times New Roman" w:eastAsia="Times New Roman" w:hAnsi="Times New Roman"/>
          <w:sz w:val="20"/>
          <w:szCs w:val="20"/>
          <w:color w:val="auto"/>
        </w:rPr>
        <w:t xml:space="preserve"> of the Credit Agreement.</w:t>
      </w:r>
    </w:p>
    <w:p>
      <w:pPr>
        <w:spacing w:after="0" w:line="179" w:lineRule="exact"/>
        <w:rPr>
          <w:rFonts w:ascii="Times New Roman" w:cs="Times New Roman" w:eastAsia="Times New Roman" w:hAnsi="Times New Roman"/>
          <w:sz w:val="20"/>
          <w:szCs w:val="20"/>
          <w:color w:val="auto"/>
        </w:rPr>
      </w:pPr>
    </w:p>
    <w:p>
      <w:pPr>
        <w:jc w:val="both"/>
        <w:ind w:left="2080" w:right="460" w:firstLine="731"/>
        <w:spacing w:after="0" w:line="254" w:lineRule="auto"/>
        <w:tabs>
          <w:tab w:leader="none" w:pos="3417" w:val="left"/>
        </w:tabs>
        <w:numPr>
          <w:ilvl w:val="2"/>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for the account of the 2024 Refinancing Term Lender all fees required to be paid by the Borrower as may be agreed in writing.</w:t>
      </w:r>
    </w:p>
    <w:p>
      <w:pPr>
        <w:spacing w:after="0" w:line="174" w:lineRule="exact"/>
        <w:rPr>
          <w:rFonts w:ascii="Times New Roman" w:cs="Times New Roman" w:eastAsia="Times New Roman" w:hAnsi="Times New Roman"/>
          <w:sz w:val="20"/>
          <w:szCs w:val="20"/>
          <w:color w:val="auto"/>
        </w:rPr>
      </w:pPr>
    </w:p>
    <w:p>
      <w:pPr>
        <w:jc w:val="both"/>
        <w:ind w:left="2080" w:right="460" w:firstLine="732"/>
        <w:spacing w:after="0" w:line="250" w:lineRule="auto"/>
        <w:tabs>
          <w:tab w:leader="none" w:pos="3423" w:val="left"/>
        </w:tabs>
        <w:numPr>
          <w:ilvl w:val="2"/>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to the extent invoiced at least three Business Days prior to the Amendment No. 4 Effective Date, all reasonable and documented out-of-pocket expenses (including reasonable and documented fees, charges and disbursements of counsel (subject to Section 9 below)) required to be reimbursed or paid on or prior to the Amendment No. 4 Effective Date.</w:t>
      </w:r>
    </w:p>
    <w:p>
      <w:pPr>
        <w:spacing w:after="0" w:line="165" w:lineRule="exact"/>
        <w:rPr>
          <w:rFonts w:ascii="Times New Roman" w:cs="Times New Roman" w:eastAsia="Times New Roman" w:hAnsi="Times New Roman"/>
          <w:sz w:val="20"/>
          <w:szCs w:val="20"/>
          <w:color w:val="auto"/>
        </w:rPr>
      </w:pPr>
    </w:p>
    <w:p>
      <w:pPr>
        <w:ind w:left="3420" w:hanging="609"/>
        <w:spacing w:after="0"/>
        <w:tabs>
          <w:tab w:leader="none" w:pos="3420" w:val="left"/>
        </w:tabs>
        <w:numPr>
          <w:ilvl w:val="2"/>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set forth in Section 6 of this Amendment shall be</w:t>
      </w:r>
    </w:p>
    <w:p>
      <w:pPr>
        <w:spacing w:after="0" w:line="21" w:lineRule="exact"/>
        <w:rPr>
          <w:rFonts w:ascii="Times New Roman" w:cs="Times New Roman" w:eastAsia="Times New Roman" w:hAnsi="Times New Roman"/>
          <w:sz w:val="20"/>
          <w:szCs w:val="20"/>
          <w:color w:val="auto"/>
        </w:rPr>
      </w:pPr>
    </w:p>
    <w:p>
      <w:pPr>
        <w:ind w:left="2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true and correct.</w:t>
      </w:r>
    </w:p>
    <w:p>
      <w:pPr>
        <w:spacing w:after="0" w:line="207" w:lineRule="exact"/>
        <w:rPr>
          <w:rFonts w:ascii="Times New Roman" w:cs="Times New Roman" w:eastAsia="Times New Roman" w:hAnsi="Times New Roman"/>
          <w:sz w:val="20"/>
          <w:szCs w:val="20"/>
          <w:color w:val="auto"/>
        </w:rPr>
      </w:pPr>
    </w:p>
    <w:p>
      <w:pPr>
        <w:ind w:left="2080" w:right="460" w:firstLine="731"/>
        <w:spacing w:after="0" w:line="269" w:lineRule="auto"/>
        <w:tabs>
          <w:tab w:leader="none" w:pos="3419" w:val="left"/>
        </w:tabs>
        <w:numPr>
          <w:ilvl w:val="2"/>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at least three Business Days prior to the Amendment No. 4 Effective Date, all</w:t>
      </w:r>
    </w:p>
    <w:p>
      <w:pPr>
        <w:sectPr>
          <w:pgSz w:w="11900" w:h="16838" w:orient="portrait"/>
          <w:cols w:equalWidth="0" w:num="1">
            <w:col w:w="10120"/>
          </w:cols>
          <w:pgMar w:left="1440" w:top="118" w:right="339" w:bottom="1440" w:gutter="0" w:footer="0" w:header="0"/>
        </w:sectPr>
      </w:pPr>
    </w:p>
    <w:bookmarkStart w:id="458" w:name="page459"/>
    <w:bookmarkEnd w:id="458"/>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52" w:lineRule="exact"/>
        <w:rPr>
          <w:sz w:val="20"/>
          <w:szCs w:val="20"/>
          <w:color w:val="auto"/>
        </w:rPr>
      </w:pPr>
    </w:p>
    <w:p>
      <w:pPr>
        <w:jc w:val="both"/>
        <w:ind w:left="2500" w:right="460"/>
        <w:spacing w:after="0" w:line="257" w:lineRule="auto"/>
        <w:rPr>
          <w:sz w:val="20"/>
          <w:szCs w:val="20"/>
          <w:color w:val="auto"/>
        </w:rPr>
      </w:pPr>
      <w:r>
        <w:rPr>
          <w:rFonts w:ascii="Times New Roman" w:cs="Times New Roman" w:eastAsia="Times New Roman" w:hAnsi="Times New Roman"/>
          <w:sz w:val="20"/>
          <w:szCs w:val="20"/>
          <w:color w:val="auto"/>
        </w:rPr>
        <w:t>documentation and other information about the Borrower and the other Loan Parties as shall have been reasonably requested in writing at least ten Business Days prior to the Amendment No. 4 Effective Date by the Administrative Agent that it shall have reasonably determined is required by regulatory authorities under applicable “know your customer” and anti- money laundering rules and regulations, including without limitation the USA PATRIOT Act.</w:t>
      </w:r>
    </w:p>
    <w:p>
      <w:pPr>
        <w:spacing w:after="0" w:line="173" w:lineRule="exact"/>
        <w:rPr>
          <w:sz w:val="20"/>
          <w:szCs w:val="20"/>
          <w:color w:val="auto"/>
        </w:rPr>
      </w:pPr>
    </w:p>
    <w:p>
      <w:pPr>
        <w:jc w:val="both"/>
        <w:ind w:left="2500" w:right="460" w:firstLine="731"/>
        <w:spacing w:after="0" w:line="276" w:lineRule="auto"/>
        <w:tabs>
          <w:tab w:leader="none" w:pos="3839" w:val="left"/>
        </w:tabs>
        <w:numPr>
          <w:ilvl w:val="0"/>
          <w:numId w:val="5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evidence reasonably satisfactory to it that all of the Sidecar Term Loans and the Existing Term Loans, together with all accrued and unpaid interest with respect thereto, will be repaid substantially concurrently with the funding of the 2024 Refinancing Term Loan on the Amendment No. 4 Effective Date.</w:t>
      </w:r>
    </w:p>
    <w:p>
      <w:pPr>
        <w:spacing w:after="0" w:line="156" w:lineRule="exact"/>
        <w:rPr>
          <w:rFonts w:ascii="Times New Roman" w:cs="Times New Roman" w:eastAsia="Times New Roman" w:hAnsi="Times New Roman"/>
          <w:sz w:val="19"/>
          <w:szCs w:val="19"/>
          <w:color w:val="auto"/>
        </w:rPr>
      </w:pPr>
    </w:p>
    <w:p>
      <w:pPr>
        <w:jc w:val="both"/>
        <w:ind w:left="2500" w:right="480" w:firstLine="732"/>
        <w:spacing w:after="0" w:line="261" w:lineRule="auto"/>
        <w:tabs>
          <w:tab w:leader="none" w:pos="3843"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the Borrowing Request with respect to the 2024 Refinancing Term Loans at least one Business Day prior to the Amendment No. 4 Effective Date.</w:t>
      </w:r>
    </w:p>
    <w:p>
      <w:pPr>
        <w:spacing w:after="0" w:line="154" w:lineRule="exact"/>
        <w:rPr>
          <w:sz w:val="20"/>
          <w:szCs w:val="20"/>
          <w:color w:val="auto"/>
        </w:rPr>
      </w:pPr>
    </w:p>
    <w:p>
      <w:pPr>
        <w:ind w:right="840" w:firstLine="647"/>
        <w:spacing w:after="0" w:line="269" w:lineRule="auto"/>
        <w:rPr>
          <w:sz w:val="20"/>
          <w:szCs w:val="20"/>
          <w:color w:val="auto"/>
        </w:rPr>
      </w:pPr>
      <w:r>
        <w:rPr>
          <w:rFonts w:ascii="Times New Roman" w:cs="Times New Roman" w:eastAsia="Times New Roman" w:hAnsi="Times New Roman"/>
          <w:sz w:val="20"/>
          <w:szCs w:val="20"/>
          <w:color w:val="auto"/>
        </w:rPr>
        <w:t>The Administrative Agent shall notify Holdings, the Borrower and the Lenders of the Amendment No. 4 Effective Date, and such notice shall be conclusive and binding.</w:t>
      </w:r>
    </w:p>
    <w:p>
      <w:pPr>
        <w:spacing w:after="0" w:line="155" w:lineRule="exact"/>
        <w:rPr>
          <w:sz w:val="20"/>
          <w:szCs w:val="20"/>
          <w:color w:val="auto"/>
        </w:rPr>
      </w:pPr>
    </w:p>
    <w:p>
      <w:pPr>
        <w:jc w:val="both"/>
        <w:ind w:right="460" w:firstLine="1296"/>
        <w:spacing w:after="0" w:line="270" w:lineRule="auto"/>
        <w:rPr>
          <w:sz w:val="20"/>
          <w:szCs w:val="20"/>
          <w:color w:val="auto"/>
        </w:rPr>
      </w:pPr>
      <w:r>
        <w:rPr>
          <w:rFonts w:ascii="Times New Roman" w:cs="Times New Roman" w:eastAsia="Times New Roman" w:hAnsi="Times New Roman"/>
          <w:sz w:val="19"/>
          <w:szCs w:val="19"/>
          <w:color w:val="auto"/>
        </w:rPr>
        <w:t xml:space="preserve">SECTION 6. </w:t>
      </w:r>
      <w:r>
        <w:rPr>
          <w:rFonts w:ascii="Times New Roman" w:cs="Times New Roman" w:eastAsia="Times New Roman" w:hAnsi="Times New Roman"/>
          <w:sz w:val="19"/>
          <w:szCs w:val="19"/>
          <w:b w:val="1"/>
          <w:bCs w:val="1"/>
          <w:i w:val="1"/>
          <w:iCs w:val="1"/>
          <w:color w:val="auto"/>
        </w:rPr>
        <w:t>Representations and Warranties</w:t>
      </w:r>
      <w:r>
        <w:rPr>
          <w:rFonts w:ascii="Times New Roman" w:cs="Times New Roman" w:eastAsia="Times New Roman" w:hAnsi="Times New Roman"/>
          <w:sz w:val="19"/>
          <w:szCs w:val="19"/>
          <w:color w:val="auto"/>
        </w:rPr>
        <w:t xml:space="preserve">. The Borrower hereby represents and warrants that after giving effect to this Amendment, (i) no Event of Default has occurred and is continuing and (ii) the representations and warranties of each Loan Party set forth in the First Lien Loan Documents are true and correct in all material respects on and as of the Amendment No. 4 Effective Date; provided that, in each case, to the extent that such representations and warranties specifically refer to an earlier date, they are true and correct in all material respects as of such earlier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in each case, any representation and warranty that is qualified as to “materiality,” “Material Adverse Effect” or similar language is true and correct in all respects on the Amendment No. 4 Effective Date or on such earlier date, as the case may be.</w:t>
      </w:r>
    </w:p>
    <w:p>
      <w:pPr>
        <w:spacing w:after="0" w:line="156" w:lineRule="exact"/>
        <w:rPr>
          <w:sz w:val="20"/>
          <w:szCs w:val="20"/>
          <w:color w:val="auto"/>
        </w:rPr>
      </w:pPr>
    </w:p>
    <w:p>
      <w:pPr>
        <w:jc w:val="both"/>
        <w:ind w:right="460" w:firstLine="1296"/>
        <w:spacing w:after="0" w:line="245"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b w:val="1"/>
          <w:bCs w:val="1"/>
          <w:i w:val="1"/>
          <w:iCs w:val="1"/>
          <w:color w:val="auto"/>
        </w:rPr>
        <w:t>Reaffirmation of Guarantees and Security Interests</w:t>
      </w:r>
      <w:r>
        <w:rPr>
          <w:rFonts w:ascii="Times New Roman" w:cs="Times New Roman" w:eastAsia="Times New Roman" w:hAnsi="Times New Roman"/>
          <w:sz w:val="20"/>
          <w:szCs w:val="20"/>
          <w:color w:val="auto"/>
        </w:rPr>
        <w:t>. Each Loan Party hereby acknowledges its receipt of a copy of this Amendment and its review of the terms and conditions hereof and consents to the terms and conditions of this Amendment and the transactions contemplated hereby, including any extension of credit under the 2024 Refinancing Term Loans. Each Loan Party hereby (a) affirms and confirms its guarantees, pledges, grants and other undertakings under the Credit Agreement and the other First Lien Loan Documents to which it is a party, (b) agrees that (i) each First Lien Loan Document to which it is a party shall continue to be in full force and effect and (ii) all guarantees, pledges, grants and other undertakings thereunder shall continue to be in full force and effect and shall accrue to the benefit of the Secured Parties, including the 2024 Refinancing Term Lender, and (c) acknowledges that from and after the date hereof, the 2024 Refinancing Term Loans shall be deemed to be Secured Obligations.</w:t>
      </w:r>
    </w:p>
    <w:p>
      <w:pPr>
        <w:spacing w:after="0" w:line="182" w:lineRule="exact"/>
        <w:rPr>
          <w:sz w:val="20"/>
          <w:szCs w:val="20"/>
          <w:color w:val="auto"/>
        </w:rPr>
      </w:pPr>
    </w:p>
    <w:p>
      <w:pPr>
        <w:jc w:val="both"/>
        <w:ind w:right="460" w:firstLine="1295"/>
        <w:spacing w:after="0" w:line="250"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b w:val="1"/>
          <w:bCs w:val="1"/>
          <w:i w:val="1"/>
          <w:iCs w:val="1"/>
          <w:color w:val="auto"/>
        </w:rPr>
        <w:t>Expenses; Indemnity; Damage Waiver</w:t>
      </w:r>
      <w:r>
        <w:rPr>
          <w:rFonts w:ascii="Times New Roman" w:cs="Times New Roman" w:eastAsia="Times New Roman" w:hAnsi="Times New Roman"/>
          <w:sz w:val="20"/>
          <w:szCs w:val="20"/>
          <w:color w:val="auto"/>
        </w:rPr>
        <w:t xml:space="preserve">. Sections 9.03(a), (b), (d), (e), (f) and (g) of the Credit Agreement are hereby incorporated,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by reference as if such Sections were set forth in full herein; provided that, notwithstanding anything else therein, such expense reimbursement provisions of Section 9.03(a) of the Credit Agreement shall only apply as provided hereinabove if the Amendment No. 4 Effective Date occurs.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b w:val="1"/>
          <w:bCs w:val="1"/>
          <w:i w:val="1"/>
          <w:iCs w:val="1"/>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480" w:hanging="335"/>
        <w:spacing w:after="0"/>
        <w:tabs>
          <w:tab w:leader="none" w:pos="3480"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2500" w:right="480" w:firstLine="731"/>
        <w:spacing w:after="0" w:line="260" w:lineRule="auto"/>
        <w:tabs>
          <w:tab w:leader="none" w:pos="3842" w:val="left"/>
        </w:tabs>
        <w:numPr>
          <w:ilvl w:val="1"/>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Tax Forms</w:t>
      </w:r>
      <w:r>
        <w:rPr>
          <w:rFonts w:ascii="Times New Roman" w:cs="Times New Roman" w:eastAsia="Times New Roman" w:hAnsi="Times New Roman"/>
          <w:sz w:val="20"/>
          <w:szCs w:val="20"/>
          <w:color w:val="auto"/>
        </w:rPr>
        <w:t>. The 2024 Refinancing Term Lender shall have delivered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Administrative Agent and the Borrower such forms, certificates or other evidence with respect to United States federal income tax withholding matters as the 2024 Refinancing Term Lender may be</w:t>
      </w:r>
    </w:p>
    <w:p>
      <w:pPr>
        <w:sectPr>
          <w:pgSz w:w="11900" w:h="16838" w:orient="portrait"/>
          <w:cols w:equalWidth="0" w:num="1">
            <w:col w:w="10540"/>
          </w:cols>
          <w:pgMar w:left="1020" w:top="118" w:right="339" w:bottom="1440" w:gutter="0" w:footer="0" w:header="0"/>
        </w:sectPr>
      </w:pPr>
    </w:p>
    <w:bookmarkStart w:id="459" w:name="page460"/>
    <w:bookmarkEnd w:id="459"/>
    <w:p>
      <w:pPr>
        <w:jc w:val="right"/>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352" w:lineRule="exact"/>
        <w:rPr>
          <w:sz w:val="20"/>
          <w:szCs w:val="20"/>
          <w:color w:val="auto"/>
        </w:rPr>
      </w:pPr>
    </w:p>
    <w:p>
      <w:pPr>
        <w:ind w:left="2080" w:right="480"/>
        <w:spacing w:after="0" w:line="283" w:lineRule="auto"/>
        <w:rPr>
          <w:sz w:val="20"/>
          <w:szCs w:val="20"/>
          <w:color w:val="auto"/>
        </w:rPr>
      </w:pPr>
      <w:r>
        <w:rPr>
          <w:rFonts w:ascii="Times New Roman" w:cs="Times New Roman" w:eastAsia="Times New Roman" w:hAnsi="Times New Roman"/>
          <w:sz w:val="20"/>
          <w:szCs w:val="20"/>
          <w:color w:val="auto"/>
        </w:rPr>
        <w:t>required to deliver to the Administrative Agent and the Borrower pursuant to Section 2.17(f) of the Credit Agreement.</w:t>
      </w:r>
    </w:p>
    <w:p>
      <w:pPr>
        <w:spacing w:after="0" w:line="156" w:lineRule="exact"/>
        <w:rPr>
          <w:sz w:val="20"/>
          <w:szCs w:val="20"/>
          <w:color w:val="auto"/>
        </w:rPr>
      </w:pPr>
    </w:p>
    <w:p>
      <w:pPr>
        <w:jc w:val="both"/>
        <w:ind w:left="2080" w:right="460" w:firstLine="732"/>
        <w:spacing w:after="0" w:line="256" w:lineRule="auto"/>
        <w:tabs>
          <w:tab w:leader="none" w:pos="3425"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Amendment, Modification and Waiver</w:t>
      </w:r>
      <w:r>
        <w:rPr>
          <w:rFonts w:ascii="Times New Roman" w:cs="Times New Roman" w:eastAsia="Times New Roman" w:hAnsi="Times New Roman"/>
          <w:sz w:val="20"/>
          <w:szCs w:val="20"/>
          <w:color w:val="auto"/>
        </w:rPr>
        <w:t>. This Amendment may not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amended nor may any provision hereof be waived except pursuant to a writing signed by each of the parties hereto.</w:t>
      </w:r>
    </w:p>
    <w:p>
      <w:pPr>
        <w:spacing w:after="0" w:line="155" w:lineRule="exact"/>
        <w:rPr>
          <w:rFonts w:ascii="Times New Roman" w:cs="Times New Roman" w:eastAsia="Times New Roman" w:hAnsi="Times New Roman"/>
          <w:sz w:val="20"/>
          <w:szCs w:val="20"/>
          <w:color w:val="auto"/>
        </w:rPr>
      </w:pPr>
    </w:p>
    <w:p>
      <w:pPr>
        <w:jc w:val="both"/>
        <w:ind w:left="2080" w:right="460" w:firstLine="732"/>
        <w:spacing w:after="0" w:line="251" w:lineRule="auto"/>
        <w:tabs>
          <w:tab w:leader="none" w:pos="3423"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Entire Agreement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Amendment, the Credit Agreement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hereby) and the other First Lien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60" w:lineRule="exact"/>
        <w:rPr>
          <w:rFonts w:ascii="Times New Roman" w:cs="Times New Roman" w:eastAsia="Times New Roman" w:hAnsi="Times New Roman"/>
          <w:sz w:val="20"/>
          <w:szCs w:val="20"/>
          <w:color w:val="auto"/>
        </w:rPr>
      </w:pPr>
    </w:p>
    <w:p>
      <w:pPr>
        <w:ind w:left="2080" w:right="480" w:firstLine="732"/>
        <w:spacing w:after="0" w:line="273" w:lineRule="auto"/>
        <w:tabs>
          <w:tab w:leader="none" w:pos="3425"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Governing Law. </w:t>
      </w:r>
      <w:r>
        <w:rPr>
          <w:rFonts w:ascii="Times New Roman" w:cs="Times New Roman" w:eastAsia="Times New Roman" w:hAnsi="Times New Roman"/>
          <w:sz w:val="20"/>
          <w:szCs w:val="20"/>
          <w:color w:val="auto"/>
        </w:rPr>
        <w:t>This Amendment shall be construed in accordance with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governed by the laws of the State of New York.</w:t>
      </w:r>
    </w:p>
    <w:p>
      <w:pPr>
        <w:spacing w:after="0" w:line="165" w:lineRule="exact"/>
        <w:rPr>
          <w:rFonts w:ascii="Times New Roman" w:cs="Times New Roman" w:eastAsia="Times New Roman" w:hAnsi="Times New Roman"/>
          <w:sz w:val="20"/>
          <w:szCs w:val="20"/>
          <w:color w:val="auto"/>
        </w:rPr>
      </w:pPr>
    </w:p>
    <w:p>
      <w:pPr>
        <w:jc w:val="both"/>
        <w:ind w:left="2080" w:right="460" w:firstLine="732"/>
        <w:spacing w:after="0" w:line="249" w:lineRule="auto"/>
        <w:tabs>
          <w:tab w:leader="none" w:pos="3417"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Jurisdiction. </w:t>
      </w:r>
      <w:r>
        <w:rPr>
          <w:rFonts w:ascii="Times New Roman" w:cs="Times New Roman" w:eastAsia="Times New Roman" w:hAnsi="Times New Roman"/>
          <w:sz w:val="20"/>
          <w:szCs w:val="20"/>
          <w:color w:val="auto"/>
        </w:rPr>
        <w:t>Each party hereto hereby irrevocably and unconditionally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Administrative Agent, any Revolving Lender and any Term Lender may otherwise have to bring any action or proceeding relating to this Amendment against Holdings or the Borrower or their respective properties in the courts of any jurisdiction.</w:t>
      </w:r>
    </w:p>
    <w:p>
      <w:pPr>
        <w:spacing w:after="0" w:line="200" w:lineRule="exact"/>
        <w:rPr>
          <w:rFonts w:ascii="Times New Roman" w:cs="Times New Roman" w:eastAsia="Times New Roman" w:hAnsi="Times New Roman"/>
          <w:sz w:val="20"/>
          <w:szCs w:val="20"/>
          <w:color w:val="auto"/>
        </w:rPr>
      </w:pPr>
    </w:p>
    <w:p>
      <w:pPr>
        <w:spacing w:after="0" w:line="239" w:lineRule="exact"/>
        <w:rPr>
          <w:rFonts w:ascii="Times New Roman" w:cs="Times New Roman" w:eastAsia="Times New Roman" w:hAnsi="Times New Roman"/>
          <w:sz w:val="20"/>
          <w:szCs w:val="20"/>
          <w:color w:val="auto"/>
        </w:rPr>
      </w:pPr>
    </w:p>
    <w:p>
      <w:pPr>
        <w:jc w:val="both"/>
        <w:ind w:left="2080" w:right="460" w:firstLine="732"/>
        <w:spacing w:after="0" w:line="252" w:lineRule="auto"/>
        <w:tabs>
          <w:tab w:leader="none" w:pos="3423"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Waiver of Objection to Venue and Forum Non Conveniens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Each party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hereto hereby irrevocably and unconditionally waives, to the fullest extent it may legally and effectively do so, any objection that it may now or hereafter have to the laying of venue of any suit, action or proceeding arising out of or relating to this Amendment in any court referred to in Section 9(f) above. Each of the parties hereto hereby irrevocably waives, to the fullest extent permitted by law, the defense of an inconvenient forum to the maintenance of such action or proceeding in any such court.</w:t>
      </w:r>
    </w:p>
    <w:p>
      <w:pPr>
        <w:spacing w:after="0" w:line="186" w:lineRule="exact"/>
        <w:rPr>
          <w:rFonts w:ascii="Times New Roman" w:cs="Times New Roman" w:eastAsia="Times New Roman" w:hAnsi="Times New Roman"/>
          <w:sz w:val="20"/>
          <w:szCs w:val="20"/>
          <w:color w:val="auto"/>
        </w:rPr>
      </w:pPr>
    </w:p>
    <w:p>
      <w:pPr>
        <w:jc w:val="both"/>
        <w:ind w:left="2080" w:right="480" w:firstLine="731"/>
        <w:spacing w:after="0" w:line="250" w:lineRule="auto"/>
        <w:tabs>
          <w:tab w:leader="none" w:pos="3423"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Consent to Service of Process. </w:t>
      </w:r>
      <w:r>
        <w:rPr>
          <w:rFonts w:ascii="Times New Roman" w:cs="Times New Roman" w:eastAsia="Times New Roman" w:hAnsi="Times New Roman"/>
          <w:sz w:val="20"/>
          <w:szCs w:val="20"/>
          <w:color w:val="auto"/>
        </w:rPr>
        <w:t>Each party to this Amendment irrevocably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consents to service of process in the manner provided for notices in Section 9.01 of the Credit Agreement. Nothing in any First Lien Loan Document will affect the right of any party to this Amendment to serve process in any other manner permitted by law.</w:t>
      </w:r>
    </w:p>
    <w:p>
      <w:pPr>
        <w:spacing w:after="0" w:line="162" w:lineRule="exact"/>
        <w:rPr>
          <w:rFonts w:ascii="Times New Roman" w:cs="Times New Roman" w:eastAsia="Times New Roman" w:hAnsi="Times New Roman"/>
          <w:sz w:val="20"/>
          <w:szCs w:val="20"/>
          <w:color w:val="auto"/>
        </w:rPr>
      </w:pPr>
    </w:p>
    <w:p>
      <w:pPr>
        <w:jc w:val="both"/>
        <w:ind w:left="2080" w:right="460" w:firstLine="731"/>
        <w:spacing w:after="0" w:line="260" w:lineRule="auto"/>
        <w:tabs>
          <w:tab w:leader="none" w:pos="3419"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WAIVER OF JURY TRIAL</w:t>
      </w:r>
      <w:r>
        <w:rPr>
          <w:rFonts w:ascii="Times New Roman" w:cs="Times New Roman" w:eastAsia="Times New Roman" w:hAnsi="Times New Roman"/>
          <w:sz w:val="20"/>
          <w:szCs w:val="20"/>
          <w:b w:val="1"/>
          <w:bCs w:val="1"/>
          <w:color w:val="auto"/>
        </w:rPr>
        <w:t>. EACH PARTY HERETO HEREBY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WAIVES, TO THE FULLEST EXTENT PERMITTED BY APPLICABLE LAW, ANY RIGHT IT MAY HAVE TO A TRIAL BY JURY IN ANY LEGAL PROCEEDING DIRECTLY OR</w:t>
      </w:r>
    </w:p>
    <w:p>
      <w:pPr>
        <w:sectPr>
          <w:pgSz w:w="11900" w:h="16838" w:orient="portrait"/>
          <w:cols w:equalWidth="0" w:num="1">
            <w:col w:w="10120"/>
          </w:cols>
          <w:pgMar w:left="1440" w:top="118" w:right="339" w:bottom="1440" w:gutter="0" w:footer="0" w:header="0"/>
        </w:sectPr>
      </w:pPr>
    </w:p>
    <w:bookmarkStart w:id="460" w:name="page461"/>
    <w:bookmarkEnd w:id="460"/>
    <w:p>
      <w:pPr>
        <w:jc w:val="right"/>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335" w:lineRule="exact"/>
        <w:rPr>
          <w:sz w:val="20"/>
          <w:szCs w:val="20"/>
          <w:color w:val="auto"/>
        </w:rPr>
      </w:pPr>
    </w:p>
    <w:p>
      <w:pPr>
        <w:jc w:val="both"/>
        <w:ind w:left="2080" w:right="460"/>
        <w:spacing w:after="0" w:line="252" w:lineRule="auto"/>
        <w:rPr>
          <w:sz w:val="20"/>
          <w:szCs w:val="20"/>
          <w:color w:val="auto"/>
        </w:rPr>
      </w:pPr>
      <w:r>
        <w:rPr>
          <w:rFonts w:ascii="Times New Roman" w:cs="Times New Roman" w:eastAsia="Times New Roman" w:hAnsi="Times New Roman"/>
          <w:sz w:val="20"/>
          <w:szCs w:val="20"/>
          <w:b w:val="1"/>
          <w:bCs w:val="1"/>
          <w:color w:val="auto"/>
        </w:rPr>
        <w:t>INDIRECTLY ARISING OUT OF OR RELATING TO THIS AMENDMENT OR THE AMENDMENT NO. 4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77" w:lineRule="exact"/>
        <w:rPr>
          <w:sz w:val="20"/>
          <w:szCs w:val="20"/>
          <w:color w:val="auto"/>
        </w:rPr>
      </w:pPr>
    </w:p>
    <w:p>
      <w:pPr>
        <w:jc w:val="both"/>
        <w:ind w:left="2080" w:right="460" w:firstLine="731"/>
        <w:spacing w:after="0" w:line="254" w:lineRule="auto"/>
        <w:tabs>
          <w:tab w:leader="none" w:pos="3419"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Severability</w:t>
      </w:r>
      <w:r>
        <w:rPr>
          <w:rFonts w:ascii="Times New Roman" w:cs="Times New Roman" w:eastAsia="Times New Roman" w:hAnsi="Times New Roman"/>
          <w:sz w:val="20"/>
          <w:szCs w:val="20"/>
          <w:color w:val="auto"/>
        </w:rPr>
        <w:t>. Any term or provision of this Amendment which is invalid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72" w:lineRule="exact"/>
        <w:rPr>
          <w:rFonts w:ascii="Times New Roman" w:cs="Times New Roman" w:eastAsia="Times New Roman" w:hAnsi="Times New Roman"/>
          <w:sz w:val="20"/>
          <w:szCs w:val="20"/>
          <w:color w:val="auto"/>
        </w:rPr>
      </w:pPr>
    </w:p>
    <w:p>
      <w:pPr>
        <w:jc w:val="both"/>
        <w:ind w:left="2080" w:right="460" w:firstLine="732"/>
        <w:spacing w:after="0" w:line="251" w:lineRule="auto"/>
        <w:tabs>
          <w:tab w:leader="none" w:pos="3423"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Counterparts</w:t>
      </w:r>
      <w:r>
        <w:rPr>
          <w:rFonts w:ascii="Times New Roman" w:cs="Times New Roman" w:eastAsia="Times New Roman" w:hAnsi="Times New Roman"/>
          <w:sz w:val="20"/>
          <w:szCs w:val="20"/>
          <w:color w:val="auto"/>
        </w:rPr>
        <w:t>. This Amendment may be executed in counterparts, each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shall be deemed to be an original, but all of which shall constitute one and the same agreement. Delivery of an executed counterpart of a signature page of this Amendment by facsimile or electronic transmission shall be as effective as delivery of a manually executed counterpart hereof.</w:t>
      </w: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2080" w:right="480" w:firstLine="731"/>
        <w:spacing w:after="0" w:line="287" w:lineRule="auto"/>
        <w:tabs>
          <w:tab w:leader="none" w:pos="3419"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Headings</w:t>
      </w:r>
      <w:r>
        <w:rPr>
          <w:rFonts w:ascii="Times New Roman" w:cs="Times New Roman" w:eastAsia="Times New Roman" w:hAnsi="Times New Roman"/>
          <w:sz w:val="20"/>
          <w:szCs w:val="20"/>
          <w:color w:val="auto"/>
        </w:rPr>
        <w:t>. The headings of this Amendment are for purposes of reference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only and shall not limit or otherwise affect the meaning hereof.</w:t>
      </w:r>
    </w:p>
    <w:p>
      <w:pPr>
        <w:spacing w:after="0" w:line="124" w:lineRule="exact"/>
        <w:rPr>
          <w:rFonts w:ascii="Times New Roman" w:cs="Times New Roman" w:eastAsia="Times New Roman" w:hAnsi="Times New Roman"/>
          <w:sz w:val="20"/>
          <w:szCs w:val="20"/>
          <w:color w:val="auto"/>
        </w:rPr>
      </w:pPr>
    </w:p>
    <w:p>
      <w:pPr>
        <w:jc w:val="both"/>
        <w:ind w:left="2080" w:right="460" w:firstLine="732"/>
        <w:spacing w:after="0" w:line="252" w:lineRule="auto"/>
        <w:tabs>
          <w:tab w:leader="none" w:pos="3424"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Continued Effectiveness</w:t>
      </w:r>
      <w:r>
        <w:rPr>
          <w:rFonts w:ascii="Times New Roman" w:cs="Times New Roman" w:eastAsia="Times New Roman" w:hAnsi="Times New Roman"/>
          <w:sz w:val="20"/>
          <w:szCs w:val="20"/>
          <w:color w:val="auto"/>
        </w:rPr>
        <w:t>. Notwithstanding anything contained herein,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terms of this Amendment are not intended to and do not serve to effect a novation as to the Existing Credit Agreement. The parties hereto expressly do not intend to extinguish the Existing Credit Agreement. Instead, it is the express intention of the parties hereto to reaffirm the indebtedness created under the Existing Credit Agreement which is secured by the Collateral and the Liens and guarantees thereunder. The Existing Credit Agreement (as amended hereby) and each of the First Lien Loan Documents remain in full force and effect.</w:t>
      </w:r>
    </w:p>
    <w:p>
      <w:pPr>
        <w:spacing w:after="0" w:line="199" w:lineRule="exact"/>
        <w:rPr>
          <w:rFonts w:ascii="Times New Roman" w:cs="Times New Roman" w:eastAsia="Times New Roman" w:hAnsi="Times New Roman"/>
          <w:sz w:val="20"/>
          <w:szCs w:val="20"/>
          <w:color w:val="auto"/>
        </w:rPr>
      </w:pPr>
    </w:p>
    <w:p>
      <w:pPr>
        <w:jc w:val="both"/>
        <w:ind w:left="2080" w:right="460" w:firstLine="731"/>
        <w:spacing w:after="0" w:line="252" w:lineRule="auto"/>
        <w:tabs>
          <w:tab w:leader="none" w:pos="3422"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Electronic Signatures</w:t>
      </w:r>
      <w:r>
        <w:rPr>
          <w:rFonts w:ascii="Times New Roman" w:cs="Times New Roman" w:eastAsia="Times New Roman" w:hAnsi="Times New Roman"/>
          <w:sz w:val="20"/>
          <w:szCs w:val="20"/>
          <w:color w:val="auto"/>
        </w:rPr>
        <w:t>. Delivery of an executed counterpart of a signature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page of this Amendment, that is an 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w:t>
      </w:r>
    </w:p>
    <w:p>
      <w:pPr>
        <w:sectPr>
          <w:pgSz w:w="11900" w:h="16838" w:orient="portrait"/>
          <w:cols w:equalWidth="0" w:num="1">
            <w:col w:w="10120"/>
          </w:cols>
          <w:pgMar w:left="1440" w:top="118" w:right="339" w:bottom="1440" w:gutter="0" w:footer="0" w:header="0"/>
        </w:sectPr>
      </w:pPr>
    </w:p>
    <w:bookmarkStart w:id="461" w:name="page462"/>
    <w:bookmarkEnd w:id="461"/>
    <w:p>
      <w:pPr>
        <w:jc w:val="right"/>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366" w:lineRule="exact"/>
        <w:rPr>
          <w:sz w:val="20"/>
          <w:szCs w:val="20"/>
          <w:color w:val="auto"/>
        </w:rPr>
      </w:pPr>
    </w:p>
    <w:p>
      <w:pPr>
        <w:jc w:val="both"/>
        <w:ind w:left="2080" w:right="460"/>
        <w:spacing w:after="0" w:line="249" w:lineRule="auto"/>
        <w:rPr>
          <w:sz w:val="20"/>
          <w:szCs w:val="20"/>
          <w:color w:val="auto"/>
        </w:rPr>
      </w:pPr>
      <w:r>
        <w:rPr>
          <w:rFonts w:ascii="Times New Roman" w:cs="Times New Roman" w:eastAsia="Times New Roman" w:hAnsi="Times New Roman"/>
          <w:sz w:val="20"/>
          <w:szCs w:val="20"/>
          <w:color w:val="auto"/>
        </w:rPr>
        <w:t>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(including the 2024 Refinancing Term Lender )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(including the 2024 Refinancing Term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(including the 2024 Refinancing Term Lender), and the Borrower, Electronic Signatures transmitted by telecopy, emailed pdf. or any other electronic means that reproduces an image of an actual executed signature page and/or any electronic images of this Amendment, any other First Lien Loan Document 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Times New Roman" w:cs="Times New Roman" w:eastAsia="Times New Roman" w:hAnsi="Times New Roman"/>
          <w:sz w:val="20"/>
          <w:szCs w:val="20"/>
          <w:u w:val="single" w:color="auto"/>
          <w:color w:val="auto"/>
        </w:rPr>
        <w:t>Electronic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this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0120"/>
          </w:cols>
          <w:pgMar w:left="1440" w:top="118" w:right="339" w:bottom="1440" w:gutter="0" w:footer="0" w:header="0"/>
        </w:sectPr>
      </w:pPr>
    </w:p>
    <w:bookmarkStart w:id="462" w:name="page463"/>
    <w:bookmarkEnd w:id="462"/>
    <w:p>
      <w:pPr>
        <w:ind w:firstLine="647"/>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SOTERA HEALTH</w:t>
      </w:r>
    </w:p>
    <w:p>
      <w:pPr>
        <w:spacing w:after="0" w:line="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HOLDINGS, LLC</w:t>
      </w:r>
      <w:r>
        <w:rPr>
          <w:rFonts w:ascii="Times New Roman" w:cs="Times New Roman" w:eastAsia="Times New Roman" w:hAnsi="Times New Roman"/>
          <w:sz w:val="20"/>
          <w:szCs w:val="20"/>
          <w:color w:val="auto"/>
        </w:rPr>
        <w:t>,</w:t>
      </w:r>
    </w:p>
    <w:p>
      <w:pPr>
        <w:ind w:left="3900"/>
        <w:spacing w:after="0"/>
        <w:rPr>
          <w:sz w:val="20"/>
          <w:szCs w:val="20"/>
          <w:color w:val="auto"/>
        </w:rPr>
      </w:pPr>
      <w:r>
        <w:rPr>
          <w:rFonts w:ascii="Times New Roman" w:cs="Times New Roman" w:eastAsia="Times New Roman" w:hAnsi="Times New Roman"/>
          <w:sz w:val="20"/>
          <w:szCs w:val="20"/>
          <w:color w:val="auto"/>
        </w:rPr>
        <w:t>as Borrower</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color w:val="auto"/>
        </w:rPr>
        <w:t>/s/ Jason C.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17145</wp:posOffset>
            </wp:positionV>
            <wp:extent cx="1423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Jason C. Peterson</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 Vice President and</w:t>
      </w:r>
    </w:p>
    <w:p>
      <w:pPr>
        <w:jc w:val="center"/>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SOTERA HEALTH</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ind w:left="3900"/>
        <w:spacing w:after="0"/>
        <w:rPr>
          <w:sz w:val="20"/>
          <w:szCs w:val="20"/>
          <w:color w:val="auto"/>
        </w:rPr>
      </w:pPr>
      <w:r>
        <w:rPr>
          <w:rFonts w:ascii="Times New Roman" w:cs="Times New Roman" w:eastAsia="Times New Roman" w:hAnsi="Times New Roman"/>
          <w:sz w:val="20"/>
          <w:szCs w:val="20"/>
          <w:color w:val="auto"/>
        </w:rPr>
        <w:t>as Holdings</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13335</wp:posOffset>
            </wp:positionV>
            <wp:extent cx="15430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Jonathan M. Lyons</w:t>
      </w:r>
    </w:p>
    <w:p>
      <w:pPr>
        <w:spacing w:after="0" w:line="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 Senior Vice</w:t>
      </w:r>
    </w:p>
    <w:p>
      <w:pPr>
        <w:ind w:left="5160"/>
        <w:spacing w:after="0" w:line="233" w:lineRule="auto"/>
        <w:rPr>
          <w:sz w:val="20"/>
          <w:szCs w:val="20"/>
          <w:color w:val="auto"/>
        </w:rPr>
      </w:pPr>
      <w:r>
        <w:rPr>
          <w:rFonts w:ascii="Times New Roman" w:cs="Times New Roman" w:eastAsia="Times New Roman" w:hAnsi="Times New Roman"/>
          <w:sz w:val="20"/>
          <w:szCs w:val="20"/>
          <w:color w:val="auto"/>
        </w:rPr>
        <w:t>President and</w:t>
      </w:r>
    </w:p>
    <w:p>
      <w:pPr>
        <w:ind w:left="5160"/>
        <w:spacing w:after="0" w:line="226" w:lineRule="auto"/>
        <w:rPr>
          <w:sz w:val="20"/>
          <w:szCs w:val="20"/>
          <w:color w:val="auto"/>
        </w:rPr>
      </w:pPr>
      <w:r>
        <w:rPr>
          <w:rFonts w:ascii="Times New Roman" w:cs="Times New Roman" w:eastAsia="Times New Roman" w:hAnsi="Times New Roman"/>
          <w:sz w:val="20"/>
          <w:szCs w:val="20"/>
          <w:color w:val="auto"/>
        </w:rPr>
        <w:t>Chief Financial</w:t>
      </w:r>
    </w:p>
    <w:p>
      <w:pPr>
        <w:ind w:left="516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9680"/>
          </w:cols>
          <w:pgMar w:left="1020" w:top="1413" w:right="1199" w:bottom="1440" w:gutter="0" w:footer="0" w:header="0"/>
        </w:sectPr>
      </w:pPr>
    </w:p>
    <w:bookmarkStart w:id="463" w:name="page464"/>
    <w:bookmarkEnd w:id="463"/>
    <w:p>
      <w:pPr>
        <w:spacing w:after="0" w:line="200" w:lineRule="exact"/>
        <w:rPr>
          <w:sz w:val="20"/>
          <w:szCs w:val="20"/>
          <w:color w:val="auto"/>
        </w:rPr>
      </w:pPr>
    </w:p>
    <w:p>
      <w:pPr>
        <w:spacing w:after="0" w:line="30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u w:val="single" w:color="auto"/>
          <w:color w:val="auto"/>
        </w:rPr>
        <w:t>With respect only to Section 7 and Section 9:</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SOTERA HEALTH LLC</w:t>
      </w:r>
    </w:p>
    <w:p>
      <w:pPr>
        <w:spacing w:after="0" w:line="200" w:lineRule="exact"/>
        <w:rPr>
          <w:sz w:val="20"/>
          <w:szCs w:val="20"/>
          <w:color w:val="auto"/>
        </w:rPr>
      </w:pPr>
    </w:p>
    <w:p>
      <w:pPr>
        <w:spacing w:after="0" w:line="396" w:lineRule="exact"/>
        <w:rPr>
          <w:sz w:val="20"/>
          <w:szCs w:val="20"/>
          <w:color w:val="auto"/>
        </w:rPr>
      </w:pPr>
    </w:p>
    <w:p>
      <w:pPr>
        <w:ind w:left="3480"/>
        <w:spacing w:after="0"/>
        <w:tabs>
          <w:tab w:leader="none" w:pos="4020" w:val="left"/>
        </w:tabs>
        <w:rPr>
          <w:sz w:val="20"/>
          <w:szCs w:val="20"/>
          <w:color w:val="auto"/>
        </w:rPr>
      </w:pPr>
      <w:r>
        <w:rPr>
          <w:rFonts w:ascii="Times New Roman" w:cs="Times New Roman" w:eastAsia="Times New Roman" w:hAnsi="Times New Roman"/>
          <w:sz w:val="20"/>
          <w:szCs w:val="20"/>
          <w:color w:val="auto"/>
        </w:rPr>
        <w:t>By:</w:t>
        <w:tab/>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22860</wp:posOffset>
            </wp:positionV>
            <wp:extent cx="15430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Jonathan M. Lyons</w:t>
      </w:r>
    </w:p>
    <w:p>
      <w:pPr>
        <w:spacing w:after="0" w:line="5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 Senior Vice</w:t>
      </w:r>
    </w:p>
    <w:p>
      <w:pPr>
        <w:spacing w:after="0" w:line="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President and Chief</w:t>
      </w:r>
    </w:p>
    <w:p>
      <w:pPr>
        <w:ind w:left="4740"/>
        <w:spacing w:after="0"/>
        <w:rPr>
          <w:sz w:val="20"/>
          <w:szCs w:val="20"/>
          <w:color w:val="auto"/>
        </w:rPr>
      </w:pPr>
      <w:r>
        <w:rPr>
          <w:rFonts w:ascii="Times New Roman" w:cs="Times New Roman" w:eastAsia="Times New Roman" w:hAnsi="Times New Roman"/>
          <w:sz w:val="20"/>
          <w:szCs w:val="20"/>
          <w:color w:val="auto"/>
        </w:rPr>
        <w:t>Financial Officer</w:t>
      </w:r>
    </w:p>
    <w:p>
      <w:pPr>
        <w:spacing w:after="0" w:line="3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STERIGENICS U.S., LLC</w:t>
      </w:r>
    </w:p>
    <w:p>
      <w:pPr>
        <w:spacing w:after="0" w:line="200" w:lineRule="exact"/>
        <w:rPr>
          <w:sz w:val="20"/>
          <w:szCs w:val="20"/>
          <w:color w:val="auto"/>
        </w:rPr>
      </w:pPr>
    </w:p>
    <w:p>
      <w:pPr>
        <w:spacing w:after="0" w:line="396" w:lineRule="exact"/>
        <w:rPr>
          <w:sz w:val="20"/>
          <w:szCs w:val="20"/>
          <w:color w:val="auto"/>
        </w:rPr>
      </w:pPr>
    </w:p>
    <w:p>
      <w:pPr>
        <w:ind w:left="3480"/>
        <w:spacing w:after="0"/>
        <w:tabs>
          <w:tab w:leader="none" w:pos="4020" w:val="left"/>
        </w:tabs>
        <w:rPr>
          <w:sz w:val="20"/>
          <w:szCs w:val="20"/>
          <w:color w:val="auto"/>
        </w:rPr>
      </w:pPr>
      <w:r>
        <w:rPr>
          <w:rFonts w:ascii="Times New Roman" w:cs="Times New Roman" w:eastAsia="Times New Roman" w:hAnsi="Times New Roman"/>
          <w:sz w:val="20"/>
          <w:szCs w:val="20"/>
          <w:color w:val="auto"/>
        </w:rPr>
        <w:t>By:</w:t>
        <w:tab/>
        <w:t>/s/ Jason C.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22860</wp:posOffset>
            </wp:positionV>
            <wp:extent cx="14230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Jason C. Peterson</w:t>
      </w:r>
    </w:p>
    <w:p>
      <w:pPr>
        <w:spacing w:after="0" w:line="3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 Vice President and</w:t>
      </w:r>
    </w:p>
    <w:p>
      <w:pPr>
        <w:jc w:val="center"/>
        <w:ind w:right="179"/>
        <w:spacing w:after="0"/>
        <w:rPr>
          <w:sz w:val="20"/>
          <w:szCs w:val="20"/>
          <w:color w:val="auto"/>
        </w:rPr>
      </w:pPr>
      <w:r>
        <w:rPr>
          <w:rFonts w:ascii="Times New Roman" w:cs="Times New Roman" w:eastAsia="Times New Roman" w:hAnsi="Times New Roman"/>
          <w:sz w:val="20"/>
          <w:szCs w:val="20"/>
          <w:color w:val="auto"/>
        </w:rPr>
        <w:t>Treasurer</w:t>
      </w:r>
    </w:p>
    <w:p>
      <w:pPr>
        <w:spacing w:after="0" w:line="33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NELSON LABORATORIES, LLC</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NELSON LABORATORIES HOLDINGS, LLC NELSON</w:t>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LABORATORIES FAIRFIELD HOLDINGS, LLC</w:t>
      </w:r>
    </w:p>
    <w:p>
      <w:pPr>
        <w:ind w:left="3460"/>
        <w:spacing w:after="0"/>
        <w:rPr>
          <w:sz w:val="20"/>
          <w:szCs w:val="20"/>
          <w:color w:val="auto"/>
        </w:rPr>
      </w:pPr>
      <w:r>
        <w:rPr>
          <w:rFonts w:ascii="Times New Roman" w:cs="Times New Roman" w:eastAsia="Times New Roman" w:hAnsi="Times New Roman"/>
          <w:sz w:val="19"/>
          <w:szCs w:val="19"/>
          <w:b w:val="1"/>
          <w:bCs w:val="1"/>
          <w:color w:val="auto"/>
        </w:rPr>
        <w:t>NELSON LABORATORIES BOZEMAN, LLC REGULATORY</w:t>
      </w:r>
    </w:p>
    <w:p>
      <w:pPr>
        <w:spacing w:after="0" w:line="1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COMPLIANCE ASSOCIATES INC.</w:t>
      </w:r>
    </w:p>
    <w:p>
      <w:pPr>
        <w:spacing w:after="0" w:line="275" w:lineRule="exact"/>
        <w:rPr>
          <w:sz w:val="20"/>
          <w:szCs w:val="20"/>
          <w:color w:val="auto"/>
        </w:rPr>
      </w:pPr>
    </w:p>
    <w:p>
      <w:pPr>
        <w:ind w:left="3480"/>
        <w:spacing w:after="0"/>
        <w:tabs>
          <w:tab w:leader="none" w:pos="4020" w:val="left"/>
        </w:tabs>
        <w:rPr>
          <w:sz w:val="20"/>
          <w:szCs w:val="20"/>
          <w:color w:val="auto"/>
        </w:rPr>
      </w:pPr>
      <w:r>
        <w:rPr>
          <w:rFonts w:ascii="Times New Roman" w:cs="Times New Roman" w:eastAsia="Times New Roman" w:hAnsi="Times New Roman"/>
          <w:sz w:val="20"/>
          <w:szCs w:val="20"/>
          <w:color w:val="auto"/>
        </w:rPr>
        <w:t>By:</w:t>
        <w:tab/>
        <w:t>/s/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31115</wp:posOffset>
            </wp:positionV>
            <wp:extent cx="15684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Joseph A. Shrawder</w:t>
      </w:r>
    </w:p>
    <w:p>
      <w:pPr>
        <w:spacing w:after="0" w:line="2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31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SOTERA HEALTH SERVICES, LLC</w:t>
      </w:r>
    </w:p>
    <w:p>
      <w:pPr>
        <w:spacing w:after="0" w:line="200" w:lineRule="exact"/>
        <w:rPr>
          <w:sz w:val="20"/>
          <w:szCs w:val="20"/>
          <w:color w:val="auto"/>
        </w:rPr>
      </w:pPr>
    </w:p>
    <w:p>
      <w:pPr>
        <w:spacing w:after="0" w:line="398" w:lineRule="exact"/>
        <w:rPr>
          <w:sz w:val="20"/>
          <w:szCs w:val="20"/>
          <w:color w:val="auto"/>
        </w:rPr>
      </w:pPr>
    </w:p>
    <w:p>
      <w:pPr>
        <w:ind w:left="3480"/>
        <w:spacing w:after="0"/>
        <w:tabs>
          <w:tab w:leader="none" w:pos="4020" w:val="left"/>
        </w:tabs>
        <w:rPr>
          <w:sz w:val="20"/>
          <w:szCs w:val="20"/>
          <w:color w:val="auto"/>
        </w:rPr>
      </w:pPr>
      <w:r>
        <w:rPr>
          <w:rFonts w:ascii="Times New Roman" w:cs="Times New Roman" w:eastAsia="Times New Roman" w:hAnsi="Times New Roman"/>
          <w:sz w:val="20"/>
          <w:szCs w:val="20"/>
          <w:color w:val="auto"/>
        </w:rPr>
        <w:t>By:</w:t>
        <w:tab/>
        <w:t>/s/ Jason C.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22860</wp:posOffset>
            </wp:positionV>
            <wp:extent cx="14230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Jason C. Peterson</w:t>
      </w:r>
    </w:p>
    <w:p>
      <w:pPr>
        <w:spacing w:after="0" w:line="3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 Vice President and</w:t>
      </w:r>
    </w:p>
    <w:p>
      <w:pPr>
        <w:jc w:val="center"/>
        <w:ind w:right="179"/>
        <w:spacing w:after="0"/>
        <w:rPr>
          <w:sz w:val="20"/>
          <w:szCs w:val="20"/>
          <w:color w:val="auto"/>
        </w:rPr>
      </w:pPr>
      <w:r>
        <w:rPr>
          <w:rFonts w:ascii="Times New Roman" w:cs="Times New Roman" w:eastAsia="Times New Roman" w:hAnsi="Times New Roman"/>
          <w:sz w:val="20"/>
          <w:szCs w:val="20"/>
          <w:color w:val="auto"/>
        </w:rPr>
        <w:t>Treasurer</w:t>
      </w:r>
    </w:p>
    <w:p>
      <w:pPr>
        <w:sectPr>
          <w:pgSz w:w="11900" w:h="16838" w:orient="portrait"/>
          <w:cols w:equalWidth="0" w:num="1">
            <w:col w:w="9019"/>
          </w:cols>
          <w:pgMar w:left="1440" w:top="1440" w:right="1440" w:bottom="1440" w:gutter="0" w:footer="0" w:header="0"/>
        </w:sectPr>
      </w:pPr>
    </w:p>
    <w:bookmarkStart w:id="464" w:name="page465"/>
    <w:bookmarkEnd w:id="464"/>
    <w:p>
      <w:pPr>
        <w:ind w:left="3460"/>
        <w:spacing w:after="0" w:line="246" w:lineRule="auto"/>
        <w:rPr>
          <w:sz w:val="20"/>
          <w:szCs w:val="20"/>
          <w:color w:val="auto"/>
        </w:rPr>
      </w:pPr>
      <w:r>
        <w:rPr>
          <w:rFonts w:ascii="Times New Roman" w:cs="Times New Roman" w:eastAsia="Times New Roman" w:hAnsi="Times New Roman"/>
          <w:sz w:val="20"/>
          <w:szCs w:val="20"/>
          <w:b w:val="1"/>
          <w:bCs w:val="1"/>
          <w:color w:val="auto"/>
        </w:rPr>
        <w:t>STERIGENICS RADIATION TECHNOLOGIES HOLDINGS, LLC STERIGENICS RADIATION TECHNOLOGIES,</w:t>
      </w:r>
    </w:p>
    <w:p>
      <w:pPr>
        <w:ind w:left="3460"/>
        <w:spacing w:after="0"/>
        <w:rPr>
          <w:sz w:val="20"/>
          <w:szCs w:val="20"/>
          <w:color w:val="auto"/>
        </w:rPr>
      </w:pPr>
      <w:r>
        <w:rPr>
          <w:rFonts w:ascii="Times New Roman" w:cs="Times New Roman" w:eastAsia="Times New Roman" w:hAnsi="Times New Roman"/>
          <w:sz w:val="20"/>
          <w:szCs w:val="20"/>
          <w:b w:val="1"/>
          <w:bCs w:val="1"/>
          <w:color w:val="auto"/>
        </w:rPr>
        <w:t>LLC</w:t>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STERIGENICS RADIATION TECHNOLOGIES IN, INC.</w:t>
      </w:r>
    </w:p>
    <w:p>
      <w:pPr>
        <w:spacing w:after="0" w:line="200" w:lineRule="exact"/>
        <w:rPr>
          <w:sz w:val="20"/>
          <w:szCs w:val="20"/>
          <w:color w:val="auto"/>
        </w:rPr>
      </w:pPr>
    </w:p>
    <w:p>
      <w:pPr>
        <w:spacing w:after="0" w:line="351" w:lineRule="exact"/>
        <w:rPr>
          <w:sz w:val="20"/>
          <w:szCs w:val="20"/>
          <w:color w:val="auto"/>
        </w:rPr>
      </w:pPr>
    </w:p>
    <w:p>
      <w:pPr>
        <w:ind w:left="3480"/>
        <w:spacing w:after="0"/>
        <w:tabs>
          <w:tab w:leader="none" w:pos="4020" w:val="left"/>
        </w:tabs>
        <w:rPr>
          <w:sz w:val="20"/>
          <w:szCs w:val="20"/>
          <w:color w:val="auto"/>
        </w:rPr>
      </w:pPr>
      <w:r>
        <w:rPr>
          <w:rFonts w:ascii="Times New Roman" w:cs="Times New Roman" w:eastAsia="Times New Roman" w:hAnsi="Times New Roman"/>
          <w:sz w:val="20"/>
          <w:szCs w:val="20"/>
          <w:color w:val="auto"/>
        </w:rPr>
        <w:t>By:</w:t>
        <w:tab/>
        <w:t>/s/ Alan Crompton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31115</wp:posOffset>
            </wp:positionV>
            <wp:extent cx="17659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3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Alan Crompton</w:t>
      </w:r>
    </w:p>
    <w:p>
      <w:pPr>
        <w:spacing w:after="0" w:line="3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 Vice President, Treasurer</w:t>
      </w:r>
    </w:p>
    <w:p>
      <w:pPr>
        <w:jc w:val="center"/>
        <w:ind w:right="400"/>
        <w:spacing w:after="0"/>
        <w:rPr>
          <w:sz w:val="20"/>
          <w:szCs w:val="20"/>
          <w:color w:val="auto"/>
        </w:rPr>
      </w:pPr>
      <w:r>
        <w:rPr>
          <w:rFonts w:ascii="Times New Roman" w:cs="Times New Roman" w:eastAsia="Times New Roman" w:hAnsi="Times New Roman"/>
          <w:sz w:val="20"/>
          <w:szCs w:val="20"/>
          <w:color w:val="auto"/>
        </w:rPr>
        <w:t>and Secretary</w:t>
      </w:r>
    </w:p>
    <w:p>
      <w:pPr>
        <w:spacing w:after="0" w:line="2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NELSON LABORATORIES FAIRFIELD, INC.</w:t>
      </w:r>
    </w:p>
    <w:p>
      <w:pPr>
        <w:spacing w:after="0" w:line="200" w:lineRule="exact"/>
        <w:rPr>
          <w:sz w:val="20"/>
          <w:szCs w:val="20"/>
          <w:color w:val="auto"/>
        </w:rPr>
      </w:pPr>
    </w:p>
    <w:p>
      <w:pPr>
        <w:spacing w:after="0" w:line="398" w:lineRule="exact"/>
        <w:rPr>
          <w:sz w:val="20"/>
          <w:szCs w:val="20"/>
          <w:color w:val="auto"/>
        </w:rPr>
      </w:pPr>
    </w:p>
    <w:p>
      <w:pPr>
        <w:ind w:left="3480"/>
        <w:spacing w:after="0"/>
        <w:tabs>
          <w:tab w:leader="none" w:pos="4020" w:val="left"/>
        </w:tabs>
        <w:rPr>
          <w:sz w:val="20"/>
          <w:szCs w:val="20"/>
          <w:color w:val="auto"/>
        </w:rPr>
      </w:pPr>
      <w:r>
        <w:rPr>
          <w:rFonts w:ascii="Times New Roman" w:cs="Times New Roman" w:eastAsia="Times New Roman" w:hAnsi="Times New Roman"/>
          <w:sz w:val="20"/>
          <w:szCs w:val="20"/>
          <w:color w:val="auto"/>
        </w:rPr>
        <w:t>By:</w:t>
        <w:tab/>
        <w:t>/s/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22860</wp:posOffset>
            </wp:positionV>
            <wp:extent cx="17659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Joseph A. Shrawder</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 President and Chief</w:t>
      </w:r>
    </w:p>
    <w:p>
      <w:pPr>
        <w:spacing w:after="0" w:line="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Executive Officer</w:t>
      </w:r>
    </w:p>
    <w:p>
      <w:pPr>
        <w:sectPr>
          <w:pgSz w:w="11900" w:h="16838" w:orient="portrait"/>
          <w:cols w:equalWidth="0" w:num="1">
            <w:col w:w="9580"/>
          </w:cols>
          <w:pgMar w:left="1440" w:top="1409" w:right="879" w:bottom="1440" w:gutter="0" w:footer="0" w:header="0"/>
        </w:sectPr>
      </w:pPr>
    </w:p>
    <w:bookmarkStart w:id="465" w:name="page466"/>
    <w:bookmarkEnd w:id="465"/>
    <w:p>
      <w:pPr>
        <w:spacing w:after="0" w:line="200" w:lineRule="exact"/>
        <w:rPr>
          <w:sz w:val="20"/>
          <w:szCs w:val="20"/>
          <w:color w:val="auto"/>
        </w:rPr>
      </w:pPr>
    </w:p>
    <w:p>
      <w:pPr>
        <w:spacing w:after="0" w:line="28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b w:val="1"/>
          <w:bCs w:val="1"/>
          <w:color w:val="auto"/>
        </w:rPr>
        <w:t>JPMORGAN CHASE BANK,</w:t>
      </w:r>
    </w:p>
    <w:p>
      <w:pPr>
        <w:spacing w:after="0" w:line="2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N.A.</w:t>
      </w:r>
      <w:r>
        <w:rPr>
          <w:rFonts w:ascii="Times New Roman" w:cs="Times New Roman" w:eastAsia="Times New Roman" w:hAnsi="Times New Roman"/>
          <w:sz w:val="20"/>
          <w:szCs w:val="20"/>
          <w:color w:val="auto"/>
        </w:rPr>
        <w:t>, as</w:t>
      </w:r>
    </w:p>
    <w:p>
      <w:pPr>
        <w:ind w:left="3480"/>
        <w:spacing w:after="0"/>
        <w:rPr>
          <w:sz w:val="20"/>
          <w:szCs w:val="20"/>
          <w:color w:val="auto"/>
        </w:rPr>
      </w:pPr>
      <w:r>
        <w:rPr>
          <w:rFonts w:ascii="Times New Roman" w:cs="Times New Roman" w:eastAsia="Times New Roman" w:hAnsi="Times New Roman"/>
          <w:sz w:val="19"/>
          <w:szCs w:val="19"/>
          <w:color w:val="auto"/>
        </w:rPr>
        <w:t>Administrative Agent and as the</w:t>
      </w:r>
    </w:p>
    <w:p>
      <w:pPr>
        <w:spacing w:after="0" w:line="1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2024 Refinancing Term Lender</w:t>
      </w:r>
    </w:p>
    <w:p>
      <w:pPr>
        <w:spacing w:after="0" w:line="6" w:lineRule="exact"/>
        <w:rPr>
          <w:sz w:val="20"/>
          <w:szCs w:val="20"/>
          <w:color w:val="auto"/>
        </w:rPr>
      </w:pPr>
    </w:p>
    <w:p>
      <w:pPr>
        <w:ind w:left="3480"/>
        <w:spacing w:after="0"/>
        <w:tabs>
          <w:tab w:leader="none" w:pos="4020" w:val="left"/>
        </w:tabs>
        <w:rPr>
          <w:sz w:val="20"/>
          <w:szCs w:val="20"/>
          <w:color w:val="auto"/>
        </w:rPr>
      </w:pPr>
      <w:r>
        <w:rPr>
          <w:rFonts w:ascii="Times New Roman" w:cs="Times New Roman" w:eastAsia="Times New Roman" w:hAnsi="Times New Roman"/>
          <w:sz w:val="20"/>
          <w:szCs w:val="20"/>
          <w:color w:val="auto"/>
        </w:rPr>
        <w:t>By:</w:t>
        <w:tab/>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30480</wp:posOffset>
            </wp:positionV>
            <wp:extent cx="16198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Joon Hur</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Title: Executive Director</w:t>
      </w:r>
    </w:p>
    <w:p>
      <w:pPr>
        <w:sectPr>
          <w:pgSz w:w="11900" w:h="16838" w:orient="portrait"/>
          <w:cols w:equalWidth="0" w:num="1">
            <w:col w:w="9019"/>
          </w:cols>
          <w:pgMar w:left="1440" w:top="1440" w:right="1440" w:bottom="1440" w:gutter="0" w:footer="0" w:header="0"/>
        </w:sectPr>
      </w:pPr>
    </w:p>
    <w:bookmarkStart w:id="466" w:name="page467"/>
    <w:bookmarkEnd w:id="466"/>
    <w:p>
      <w:pPr>
        <w:spacing w:after="0" w:line="25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4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as a Revolving Lender</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8890</wp:posOffset>
            </wp:positionV>
            <wp:extent cx="16802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Joon Hur</w:t>
      </w:r>
    </w:p>
    <w:p>
      <w:pPr>
        <w:ind w:left="4040"/>
        <w:spacing w:after="0" w:line="233" w:lineRule="auto"/>
        <w:rPr>
          <w:sz w:val="20"/>
          <w:szCs w:val="20"/>
          <w:color w:val="auto"/>
        </w:rPr>
      </w:pPr>
      <w:r>
        <w:rPr>
          <w:rFonts w:ascii="Times New Roman" w:cs="Times New Roman" w:eastAsia="Times New Roman" w:hAnsi="Times New Roman"/>
          <w:sz w:val="20"/>
          <w:szCs w:val="20"/>
          <w:color w:val="auto"/>
        </w:rPr>
        <w:t>Title: Executive Director</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9019"/>
          </w:cols>
          <w:pgMar w:left="1440" w:top="1440" w:right="1440" w:bottom="1440" w:gutter="0" w:footer="0" w:header="0"/>
        </w:sectPr>
      </w:pPr>
    </w:p>
    <w:bookmarkStart w:id="467" w:name="page468"/>
    <w:bookmarkEnd w:id="467"/>
    <w:p>
      <w:pPr>
        <w:spacing w:after="0" w:line="200" w:lineRule="exact"/>
        <w:rPr>
          <w:sz w:val="20"/>
          <w:szCs w:val="20"/>
          <w:color w:val="auto"/>
        </w:rPr>
      </w:pPr>
    </w:p>
    <w:p>
      <w:pPr>
        <w:spacing w:after="0" w:line="30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Goldman Sachs Bank USA, as a</w:t>
      </w:r>
    </w:p>
    <w:p>
      <w:pPr>
        <w:spacing w:after="0" w:line="2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Revolving Lender</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/s/ Priyankush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13335</wp:posOffset>
            </wp:positionV>
            <wp:extent cx="16198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3"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20"/>
          <w:szCs w:val="20"/>
          <w:color w:val="auto"/>
        </w:rPr>
        <w:t>Name: Priyankush Goswami</w:t>
      </w:r>
    </w:p>
    <w:p>
      <w:pPr>
        <w:ind w:left="4040"/>
        <w:spacing w:after="0" w:line="225" w:lineRule="auto"/>
        <w:rPr>
          <w:sz w:val="20"/>
          <w:szCs w:val="20"/>
          <w:color w:val="auto"/>
        </w:rPr>
      </w:pPr>
      <w:r>
        <w:rPr>
          <w:rFonts w:ascii="Times New Roman" w:cs="Times New Roman" w:eastAsia="Times New Roman" w:hAnsi="Times New Roman"/>
          <w:sz w:val="20"/>
          <w:szCs w:val="20"/>
          <w:color w:val="auto"/>
        </w:rPr>
        <w:t>Title: Authorized Signatory</w:t>
      </w:r>
    </w:p>
    <w:p>
      <w:pPr>
        <w:ind w:left="404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9019"/>
          </w:cols>
          <w:pgMar w:left="1440" w:top="1440" w:right="1440" w:bottom="1440" w:gutter="0" w:footer="0" w:header="0"/>
        </w:sectPr>
      </w:pPr>
    </w:p>
    <w:bookmarkStart w:id="468" w:name="page469"/>
    <w:bookmarkEnd w:id="468"/>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as a</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Revolving Lender</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/s/ Albert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13335</wp:posOffset>
            </wp:positionV>
            <wp:extent cx="13112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8"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0"/>
          <w:szCs w:val="20"/>
          <w:color w:val="auto"/>
        </w:rPr>
        <w:t>Name: Albert Sutton</w:t>
      </w:r>
    </w:p>
    <w:p>
      <w:pPr>
        <w:spacing w:after="0" w:line="4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Title: Authorized</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Signatory</w:t>
      </w:r>
    </w:p>
    <w:p>
      <w:pPr>
        <w:ind w:left="406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9019"/>
          </w:cols>
          <w:pgMar w:left="1440" w:top="1440" w:right="1440" w:bottom="1440" w:gutter="0" w:footer="0" w:header="0"/>
        </w:sectPr>
      </w:pPr>
    </w:p>
    <w:bookmarkStart w:id="469" w:name="page470"/>
    <w:bookmarkEnd w:id="469"/>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b w:val="1"/>
          <w:bCs w:val="1"/>
          <w:color w:val="auto"/>
        </w:rPr>
        <w:t>JEFFERIES FINANCE, LLC</w:t>
      </w:r>
      <w:r>
        <w:rPr>
          <w:rFonts w:ascii="Times New Roman" w:cs="Times New Roman" w:eastAsia="Times New Roman" w:hAnsi="Times New Roman"/>
          <w:sz w:val="19"/>
          <w:szCs w:val="19"/>
          <w:color w:val="auto"/>
        </w:rPr>
        <w:t>, as a</w:t>
      </w:r>
    </w:p>
    <w:p>
      <w:pPr>
        <w:spacing w:after="0" w:line="3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Revolving Lender</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/s/ JR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13335</wp:posOffset>
            </wp:positionV>
            <wp:extent cx="17576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1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JR Young</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9019"/>
          </w:cols>
          <w:pgMar w:left="1440" w:top="1440" w:right="1440" w:bottom="1440" w:gutter="0" w:footer="0" w:header="0"/>
        </w:sectPr>
      </w:pPr>
    </w:p>
    <w:bookmarkStart w:id="470" w:name="page471"/>
    <w:bookmarkEnd w:id="470"/>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b w:val="1"/>
          <w:bCs w:val="1"/>
          <w:color w:val="auto"/>
        </w:rPr>
        <w:t>ROYAL BANK OF CANADA</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as a Revolving Lender</w:t>
      </w:r>
    </w:p>
    <w:p>
      <w:pPr>
        <w:spacing w:after="0" w:line="1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/s/ Sean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8890</wp:posOffset>
            </wp:positionV>
            <wp:extent cx="15430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20"/>
          <w:szCs w:val="20"/>
          <w:color w:val="auto"/>
        </w:rPr>
        <w:t>Name: Sean Young</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 Authorized</w:t>
      </w:r>
    </w:p>
    <w:p>
      <w:pPr>
        <w:ind w:left="4040"/>
        <w:spacing w:after="0" w:line="219" w:lineRule="auto"/>
        <w:rPr>
          <w:sz w:val="20"/>
          <w:szCs w:val="20"/>
          <w:color w:val="auto"/>
        </w:rPr>
      </w:pPr>
      <w:r>
        <w:rPr>
          <w:rFonts w:ascii="Times New Roman" w:cs="Times New Roman" w:eastAsia="Times New Roman" w:hAnsi="Times New Roman"/>
          <w:sz w:val="20"/>
          <w:szCs w:val="20"/>
          <w:color w:val="auto"/>
        </w:rPr>
        <w:t>Signatory</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9019"/>
          </w:cols>
          <w:pgMar w:left="1440" w:top="1440" w:right="1440" w:bottom="1440" w:gutter="0" w:footer="0" w:header="0"/>
        </w:sectPr>
      </w:pPr>
    </w:p>
    <w:bookmarkStart w:id="471" w:name="page472"/>
    <w:bookmarkEnd w:id="471"/>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BANCO SANTANDER, S.A.,</w:t>
      </w:r>
    </w:p>
    <w:p>
      <w:pPr>
        <w:spacing w:after="0" w:line="1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NEW YORK</w:t>
      </w:r>
    </w:p>
    <w:p>
      <w:pPr>
        <w:ind w:left="3480"/>
        <w:spacing w:after="0"/>
        <w:rPr>
          <w:sz w:val="20"/>
          <w:szCs w:val="20"/>
          <w:color w:val="auto"/>
        </w:rPr>
      </w:pPr>
      <w:r>
        <w:rPr>
          <w:rFonts w:ascii="Times New Roman" w:cs="Times New Roman" w:eastAsia="Times New Roman" w:hAnsi="Times New Roman"/>
          <w:sz w:val="20"/>
          <w:szCs w:val="20"/>
          <w:b w:val="1"/>
          <w:bCs w:val="1"/>
          <w:color w:val="auto"/>
        </w:rPr>
        <w:t>BRANCH</w:t>
      </w:r>
      <w:r>
        <w:rPr>
          <w:rFonts w:ascii="Times New Roman" w:cs="Times New Roman" w:eastAsia="Times New Roman" w:hAnsi="Times New Roman"/>
          <w:sz w:val="20"/>
          <w:szCs w:val="20"/>
          <w:color w:val="auto"/>
        </w:rPr>
        <w:t>, as a Revolving</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Lender</w:t>
      </w:r>
    </w:p>
    <w:p>
      <w:pPr>
        <w:spacing w:after="0" w:line="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8890</wp:posOffset>
            </wp:positionV>
            <wp:extent cx="1465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20"/>
          <w:szCs w:val="20"/>
          <w:color w:val="auto"/>
        </w:rPr>
        <w:t>Name: Andres Barbosa</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80"/>
        <w:spacing w:after="0"/>
        <w:tabs>
          <w:tab w:leader="none" w:pos="4020" w:val="left"/>
        </w:tabs>
        <w:rPr>
          <w:sz w:val="20"/>
          <w:szCs w:val="20"/>
          <w:color w:val="auto"/>
        </w:rPr>
      </w:pPr>
      <w:r>
        <w:rPr>
          <w:rFonts w:ascii="Times New Roman" w:cs="Times New Roman" w:eastAsia="Times New Roman" w:hAnsi="Times New Roman"/>
          <w:sz w:val="20"/>
          <w:szCs w:val="20"/>
          <w:color w:val="auto"/>
        </w:rPr>
        <w:t>By:</w:t>
        <w:tab/>
        <w:t>/s/ Michael Leonardos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22860</wp:posOffset>
            </wp:positionV>
            <wp:extent cx="1482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Michael</w:t>
      </w:r>
    </w:p>
    <w:p>
      <w:pPr>
        <w:spacing w:after="0" w:line="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Leonardos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Title: Executive Director</w:t>
      </w:r>
    </w:p>
    <w:p>
      <w:pPr>
        <w:sectPr>
          <w:pgSz w:w="11900" w:h="16838" w:orient="portrait"/>
          <w:cols w:equalWidth="0" w:num="1">
            <w:col w:w="9019"/>
          </w:cols>
          <w:pgMar w:left="1440" w:top="1440" w:right="1440" w:bottom="1440" w:gutter="0" w:footer="0" w:header="0"/>
        </w:sectPr>
      </w:pPr>
    </w:p>
    <w:bookmarkStart w:id="472" w:name="page473"/>
    <w:bookmarkEnd w:id="472"/>
    <w:p>
      <w:pPr>
        <w:spacing w:after="0" w:line="200" w:lineRule="exact"/>
        <w:rPr>
          <w:sz w:val="20"/>
          <w:szCs w:val="20"/>
          <w:color w:val="auto"/>
        </w:rPr>
      </w:pPr>
    </w:p>
    <w:p>
      <w:pPr>
        <w:spacing w:after="0" w:line="30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KEYBANK NATIONAL</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ASSOCIATION, as a</w:t>
      </w:r>
    </w:p>
    <w:p>
      <w:pPr>
        <w:ind w:left="3480"/>
        <w:spacing w:after="0"/>
        <w:rPr>
          <w:sz w:val="20"/>
          <w:szCs w:val="20"/>
          <w:color w:val="auto"/>
        </w:rPr>
      </w:pPr>
      <w:r>
        <w:rPr>
          <w:rFonts w:ascii="Times New Roman" w:cs="Times New Roman" w:eastAsia="Times New Roman" w:hAnsi="Times New Roman"/>
          <w:sz w:val="20"/>
          <w:szCs w:val="20"/>
          <w:color w:val="auto"/>
        </w:rPr>
        <w:t>Revolving Lender</w:t>
      </w:r>
    </w:p>
    <w:p>
      <w:pPr>
        <w:spacing w:after="0" w:line="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/s/ Ryan Stilphen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8890</wp:posOffset>
            </wp:positionV>
            <wp:extent cx="15176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20"/>
          <w:szCs w:val="20"/>
          <w:color w:val="auto"/>
        </w:rPr>
        <w:t>Name: Ryan Stilphen</w:t>
      </w:r>
    </w:p>
    <w:p>
      <w:pPr>
        <w:spacing w:after="0" w:line="54"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9019"/>
          </w:cols>
          <w:pgMar w:left="1440" w:top="1440" w:right="1440" w:bottom="1440" w:gutter="0" w:footer="0" w:header="0"/>
        </w:sectPr>
      </w:pPr>
    </w:p>
    <w:bookmarkStart w:id="473" w:name="page474"/>
    <w:bookmarkEnd w:id="473"/>
    <w:p>
      <w:pPr>
        <w:spacing w:after="0" w:line="200" w:lineRule="exact"/>
        <w:rPr>
          <w:sz w:val="20"/>
          <w:szCs w:val="20"/>
          <w:color w:val="auto"/>
        </w:rPr>
      </w:pPr>
    </w:p>
    <w:p>
      <w:pPr>
        <w:spacing w:after="0" w:line="30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CITIZENS BANK, N.A., as a</w:t>
      </w:r>
    </w:p>
    <w:p>
      <w:pPr>
        <w:spacing w:after="0" w:line="2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Revolving Lender</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/s/ Luis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13335</wp:posOffset>
            </wp:positionV>
            <wp:extent cx="16033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1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Luis Gutierrez</w:t>
      </w:r>
    </w:p>
    <w:p>
      <w:pPr>
        <w:spacing w:after="0" w:line="40"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9019"/>
          </w:cols>
          <w:pgMar w:left="1440" w:top="1440" w:right="1440" w:bottom="1440" w:gutter="0" w:footer="0" w:header="0"/>
        </w:sectPr>
      </w:pPr>
    </w:p>
    <w:bookmarkStart w:id="474" w:name="page475"/>
    <w:bookmarkEnd w:id="474"/>
    <w:p>
      <w:pPr>
        <w:jc w:val="center"/>
        <w:ind w:right="-4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As of the Amendment No. 4 Effective Date:</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2024 Refinancing Term Lender</w:t>
            </w:r>
          </w:p>
        </w:tc>
        <w:tc>
          <w:tcPr>
            <w:tcW w:w="4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2024 Refinancing Term Commitments</w:t>
            </w:r>
          </w:p>
        </w:tc>
      </w:tr>
      <w:tr>
        <w:trPr>
          <w:trHeight w:val="35"/>
        </w:trPr>
        <w:tc>
          <w:tcPr>
            <w:tcW w:w="4660" w:type="dxa"/>
            <w:vAlign w:val="bottom"/>
            <w:tcBorders>
              <w:left w:val="single" w:sz="8" w:color="auto"/>
              <w:bottom w:val="single" w:sz="8" w:color="auto"/>
              <w:right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60"/>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JPMorgan Chase Bank, N.A.</w:t>
            </w:r>
          </w:p>
        </w:tc>
        <w:tc>
          <w:tcPr>
            <w:tcW w:w="4640" w:type="dxa"/>
            <w:vAlign w:val="bottom"/>
            <w:tcBorders>
              <w:bottom w:val="single" w:sz="8" w:color="auto"/>
              <w:right w:val="single" w:sz="8" w:color="auto"/>
            </w:tcBorders>
          </w:tcPr>
          <w:p>
            <w:pPr>
              <w:jc w:val="right"/>
              <w:ind w:right="1481"/>
              <w:spacing w:after="0"/>
              <w:rPr>
                <w:sz w:val="20"/>
                <w:szCs w:val="20"/>
                <w:color w:val="auto"/>
              </w:rPr>
            </w:pPr>
            <w:r>
              <w:rPr>
                <w:rFonts w:ascii="Times New Roman" w:cs="Times New Roman" w:eastAsia="Times New Roman" w:hAnsi="Times New Roman"/>
                <w:sz w:val="20"/>
                <w:szCs w:val="20"/>
                <w:color w:val="auto"/>
              </w:rPr>
              <w:t>$1,509,350,000.00</w:t>
            </w:r>
          </w:p>
        </w:tc>
      </w:tr>
    </w:tbl>
    <w:p>
      <w:pPr>
        <w:sectPr>
          <w:pgSz w:w="11900" w:h="16838" w:orient="portrait"/>
          <w:cols w:equalWidth="0" w:num="1">
            <w:col w:w="9439"/>
          </w:cols>
          <w:pgMar w:left="1020" w:top="1409" w:right="1440" w:bottom="1440" w:gutter="0" w:footer="0" w:header="0"/>
        </w:sectPr>
      </w:pPr>
    </w:p>
    <w:bookmarkStart w:id="475" w:name="page476"/>
    <w:bookmarkEnd w:id="475"/>
    <w:p>
      <w:pPr>
        <w:spacing w:after="0" w:line="7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b w:val="1"/>
          <w:bCs w:val="1"/>
          <w:u w:val="single" w:color="auto"/>
          <w:color w:val="auto"/>
        </w:rPr>
        <w:t>Annex A (Amended Credit</w:t>
      </w:r>
    </w:p>
    <w:p>
      <w:pPr>
        <w:spacing w:after="0" w:line="2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ectPr>
          <w:pgSz w:w="11900" w:h="16838" w:orient="portrait"/>
          <w:cols w:equalWidth="0" w:num="1">
            <w:col w:w="9019"/>
          </w:cols>
          <w:pgMar w:left="1440" w:top="1440" w:right="1440" w:bottom="1440" w:gutter="0" w:footer="0" w:header="0"/>
        </w:sectPr>
      </w:pPr>
    </w:p>
    <w:bookmarkStart w:id="476" w:name="page477"/>
    <w:bookmarkEnd w:id="476"/>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00" w:lineRule="exact"/>
        <w:rPr>
          <w:sz w:val="20"/>
          <w:szCs w:val="20"/>
          <w:color w:val="auto"/>
        </w:rPr>
      </w:pPr>
    </w:p>
    <w:p>
      <w:pPr>
        <w:spacing w:after="0" w:line="25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3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dated as of December 13, 2019</w:t>
      </w:r>
    </w:p>
    <w:p>
      <w:pPr>
        <w:spacing w:after="0" w:line="117" w:lineRule="exact"/>
        <w:rPr>
          <w:sz w:val="20"/>
          <w:szCs w:val="20"/>
          <w:color w:val="auto"/>
        </w:rPr>
      </w:pPr>
    </w:p>
    <w:p>
      <w:pPr>
        <w:jc w:val="cente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dated as of March 21, 2023, as further amended by that certain Amendment to the First Lien Credit Agreement, dated as of June 22, 2023,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as further amended by that certain Amendment No. 3 dated as of March 1, 2024 </w:t>
      </w:r>
      <w:r>
        <w:rPr>
          <w:rFonts w:ascii="Times New Roman" w:cs="Times New Roman" w:eastAsia="Times New Roman" w:hAnsi="Times New Roman"/>
          <w:sz w:val="18"/>
          <w:szCs w:val="18"/>
          <w:u w:val="single" w:color="auto"/>
          <w:color w:val="0000FF"/>
        </w:rPr>
        <w:t>and as further amended by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certain Amendment No.4 dated as of May 30, 2024</w:t>
      </w:r>
    </w:p>
    <w:p>
      <w:pPr>
        <w:spacing w:after="0" w:line="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among</w:t>
      </w:r>
    </w:p>
    <w:p>
      <w:pPr>
        <w:spacing w:after="0" w:line="2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SOTERA HEALTH COMPANY (f/k/a SOTERA HEALTH TOPCO, INC.),</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as Holdings,</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as Borrower,</w:t>
      </w:r>
    </w:p>
    <w:p>
      <w:pPr>
        <w:spacing w:after="0" w:line="3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the Lenders and Issuing Banks party hereto and</w:t>
      </w:r>
    </w:p>
    <w:p>
      <w:pPr>
        <w:spacing w:after="0" w:line="1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as First Lien Administrative Agent and First Lien Collateral Agent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JEFFERIES FINANCE LLC, JPMORGAN CHASE</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BANK, N.A., BARCLAYS BANK PLC</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RBC CAPITAL MARKETS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and ING CAPITAL LLC</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hanging="108"/>
        <w:spacing w:after="0"/>
        <w:tabs>
          <w:tab w:leader="none" w:pos="200" w:val="left"/>
        </w:tabs>
        <w:numPr>
          <w:ilvl w:val="0"/>
          <w:numId w:val="5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RBC Capital Markets is a marketing name for the capital markets activities of Royal Bank of Canada and its affiliates.</w:t>
      </w:r>
    </w:p>
    <w:p>
      <w:pPr>
        <w:sectPr>
          <w:pgSz w:w="11900" w:h="16838" w:orient="portrait"/>
          <w:cols w:equalWidth="0" w:num="1">
            <w:col w:w="10180"/>
          </w:cols>
          <w:pgMar w:left="920" w:top="1012" w:right="799" w:bottom="1440" w:gutter="0" w:footer="0" w:header="0"/>
        </w:sectPr>
      </w:pPr>
    </w:p>
    <w:bookmarkStart w:id="477" w:name="page478"/>
    <w:bookmarkEnd w:id="477"/>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1.01</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3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83"/>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1.02</w:t>
            </w:r>
          </w:p>
        </w:tc>
        <w:tc>
          <w:tcPr>
            <w:tcW w:w="3500" w:type="dxa"/>
            <w:vAlign w:val="bottom"/>
            <w:gridSpan w:val="18"/>
          </w:tcPr>
          <w:p>
            <w:pPr>
              <w:ind w:left="16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99"/>
              </w:rPr>
              <w:t>72</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0000FF"/>
                <w:w w:val="88"/>
              </w:rPr>
              <w:t>73</w:t>
            </w:r>
          </w:p>
        </w:tc>
        <w:tc>
          <w:tcPr>
            <w:tcW w:w="2500" w:type="dxa"/>
            <w:vAlign w:val="bottom"/>
          </w:tcPr>
          <w:p>
            <w:pPr>
              <w:spacing w:after="0"/>
              <w:rPr>
                <w:sz w:val="24"/>
                <w:szCs w:val="24"/>
                <w:color w:val="auto"/>
              </w:rPr>
            </w:pPr>
          </w:p>
        </w:tc>
      </w:tr>
      <w:tr>
        <w:trPr>
          <w:trHeight w:val="304"/>
        </w:trPr>
        <w:tc>
          <w:tcPr>
            <w:tcW w:w="1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1.03</w:t>
            </w:r>
          </w:p>
        </w:tc>
        <w:tc>
          <w:tcPr>
            <w:tcW w:w="14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Terms Generally</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FF0000"/>
                <w:strike w:val="1"/>
                <w:w w:val="88"/>
              </w:rPr>
              <w:t>2</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45"/>
        </w:trPr>
        <w:tc>
          <w:tcPr>
            <w:tcW w:w="1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1.04</w:t>
            </w:r>
          </w:p>
        </w:tc>
        <w:tc>
          <w:tcPr>
            <w:tcW w:w="2540" w:type="dxa"/>
            <w:vAlign w:val="bottom"/>
            <w:gridSpan w:val="11"/>
          </w:tcPr>
          <w:p>
            <w:pPr>
              <w:ind w:left="80"/>
              <w:spacing w:after="0"/>
              <w:rPr>
                <w:sz w:val="20"/>
                <w:szCs w:val="20"/>
                <w:color w:val="auto"/>
              </w:rPr>
            </w:pPr>
            <w:r>
              <w:rPr>
                <w:rFonts w:ascii="Times New Roman" w:cs="Times New Roman" w:eastAsia="Times New Roman" w:hAnsi="Times New Roman"/>
                <w:sz w:val="18"/>
                <w:szCs w:val="18"/>
                <w:color w:val="auto"/>
              </w:rPr>
              <w:t>Accounting Terms; GAAP  73</w:t>
            </w: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83"/>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1.05</w:t>
            </w:r>
          </w:p>
        </w:tc>
        <w:tc>
          <w:tcPr>
            <w:tcW w:w="258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Effectuation of Transactions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9"/>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04"/>
        </w:trPr>
        <w:tc>
          <w:tcPr>
            <w:tcW w:w="1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1.06</w:t>
            </w:r>
          </w:p>
        </w:tc>
        <w:tc>
          <w:tcPr>
            <w:tcW w:w="2580" w:type="dxa"/>
            <w:vAlign w:val="bottom"/>
            <w:gridSpan w:val="12"/>
          </w:tcPr>
          <w:p>
            <w:pPr>
              <w:jc w:val="center"/>
              <w:ind w:left="150"/>
              <w:spacing w:after="0"/>
              <w:rPr>
                <w:sz w:val="20"/>
                <w:szCs w:val="20"/>
                <w:color w:val="auto"/>
              </w:rPr>
            </w:pPr>
            <w:r>
              <w:rPr>
                <w:rFonts w:ascii="Times New Roman" w:cs="Times New Roman" w:eastAsia="Times New Roman" w:hAnsi="Times New Roman"/>
                <w:sz w:val="18"/>
                <w:szCs w:val="18"/>
                <w:color w:val="auto"/>
                <w:w w:val="99"/>
              </w:rPr>
              <w:t>Limited Condition Transactions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44"/>
        </w:trPr>
        <w:tc>
          <w:tcPr>
            <w:tcW w:w="1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1.07</w:t>
            </w:r>
          </w:p>
        </w:tc>
        <w:tc>
          <w:tcPr>
            <w:tcW w:w="194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Certain Determinations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74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1.08</w:t>
            </w:r>
          </w:p>
        </w:tc>
        <w:tc>
          <w:tcPr>
            <w:tcW w:w="258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83"/>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1.09</w:t>
            </w:r>
          </w:p>
        </w:tc>
        <w:tc>
          <w:tcPr>
            <w:tcW w:w="350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75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76</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45"/>
        </w:trPr>
        <w:tc>
          <w:tcPr>
            <w:tcW w:w="1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1.10</w:t>
            </w:r>
          </w:p>
        </w:tc>
        <w:tc>
          <w:tcPr>
            <w:tcW w:w="17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Change in Currency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76</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83"/>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1.11</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Divisions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76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0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1.12</w:t>
            </w:r>
          </w:p>
        </w:tc>
        <w:tc>
          <w:tcPr>
            <w:tcW w:w="13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color w:val="0000FF"/>
                <w:w w:val="99"/>
              </w:rPr>
              <w:t>77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
        </w:trPr>
        <w:tc>
          <w:tcPr>
            <w:tcW w:w="3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72"/>
        </w:trPr>
        <w:tc>
          <w:tcPr>
            <w:tcW w:w="314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ARTICLE II THE CREDITS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77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5"/>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2.01</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3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77</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8"/>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2.02</w:t>
            </w:r>
          </w:p>
        </w:tc>
        <w:tc>
          <w:tcPr>
            <w:tcW w:w="19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Loans and Borrowings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77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2.03</w:t>
            </w:r>
          </w:p>
        </w:tc>
        <w:tc>
          <w:tcPr>
            <w:tcW w:w="19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9"/>
              </w:rPr>
              <w:t>Requests for Borrowings</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2.04</w:t>
            </w:r>
          </w:p>
        </w:tc>
        <w:tc>
          <w:tcPr>
            <w:tcW w:w="14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Swingline Loans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2.05</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Letters of Credit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2.06</w:t>
            </w:r>
          </w:p>
        </w:tc>
        <w:tc>
          <w:tcPr>
            <w:tcW w:w="19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Funding of Borrowings</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2.07</w:t>
            </w:r>
          </w:p>
        </w:tc>
        <w:tc>
          <w:tcPr>
            <w:tcW w:w="14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Interest Elections</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2.08</w:t>
            </w:r>
          </w:p>
        </w:tc>
        <w:tc>
          <w:tcPr>
            <w:tcW w:w="350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88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7"/>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2.09</w:t>
            </w:r>
          </w:p>
        </w:tc>
        <w:tc>
          <w:tcPr>
            <w:tcW w:w="458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ml:space="preserve">Repayment of Loans; Evidence of Debt  </w:t>
            </w:r>
            <w:r>
              <w:rPr>
                <w:rFonts w:ascii="Times New Roman" w:cs="Times New Roman" w:eastAsia="Times New Roman" w:hAnsi="Times New Roman"/>
                <w:sz w:val="18"/>
                <w:szCs w:val="18"/>
                <w:color w:val="0000FF"/>
              </w:rPr>
              <w:t>89</w:t>
            </w:r>
            <w:r>
              <w:rPr>
                <w:rFonts w:ascii="Times New Roman" w:cs="Times New Roman" w:eastAsia="Times New Roman" w:hAnsi="Times New Roman"/>
                <w:sz w:val="18"/>
                <w:szCs w:val="18"/>
                <w:color w:val="auto"/>
              </w:rPr>
              <w:t xml:space="preserve"> SECTION 2.10</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Term Loans  89</w:t>
            </w:r>
          </w:p>
        </w:tc>
      </w:tr>
      <w:tr>
        <w:trPr>
          <w:trHeight w:val="277"/>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2.11</w:t>
            </w:r>
          </w:p>
        </w:tc>
        <w:tc>
          <w:tcPr>
            <w:tcW w:w="17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Prepayment of Loans</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2.12</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2.13</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2.14</w:t>
            </w:r>
          </w:p>
        </w:tc>
        <w:tc>
          <w:tcPr>
            <w:tcW w:w="19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w w:val="99"/>
              </w:rPr>
              <w:t>Alternate Rate of Interest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101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2.15</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2.16</w:t>
            </w:r>
          </w:p>
        </w:tc>
        <w:tc>
          <w:tcPr>
            <w:tcW w:w="19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8"/>
              </w:rPr>
              <w:t>Break Funding Payments</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105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2.17</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2.18</w:t>
            </w:r>
          </w:p>
        </w:tc>
        <w:tc>
          <w:tcPr>
            <w:tcW w:w="458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2.19</w:t>
            </w:r>
          </w:p>
        </w:tc>
        <w:tc>
          <w:tcPr>
            <w:tcW w:w="458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Mitigation Obligations; Replacement of Lenders  110</w:t>
            </w:r>
          </w:p>
        </w:tc>
        <w:tc>
          <w:tcPr>
            <w:tcW w:w="2500" w:type="dxa"/>
            <w:vAlign w:val="bottom"/>
          </w:tcPr>
          <w:p>
            <w:pPr>
              <w:spacing w:after="0"/>
              <w:rPr>
                <w:sz w:val="24"/>
                <w:szCs w:val="24"/>
                <w:color w:val="auto"/>
              </w:rPr>
            </w:pPr>
          </w:p>
        </w:tc>
      </w:tr>
      <w:tr>
        <w:trPr>
          <w:trHeight w:val="284"/>
        </w:trPr>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2.20</w:t>
            </w:r>
          </w:p>
        </w:tc>
        <w:tc>
          <w:tcPr>
            <w:tcW w:w="24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Incremental Credit Extensions</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FF0000"/>
                <w:strike w:val="1"/>
                <w:w w:val="88"/>
              </w:rPr>
              <w:t>110</w:t>
            </w: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ectPr>
          <w:pgSz w:w="11900" w:h="16838" w:orient="portrait"/>
          <w:cols w:equalWidth="0" w:num="1">
            <w:col w:w="9980"/>
          </w:cols>
          <w:pgMar w:left="1020" w:top="1332" w:right="899" w:bottom="1440" w:gutter="0" w:footer="0" w:header="0"/>
        </w:sectPr>
      </w:pPr>
    </w:p>
    <w:bookmarkStart w:id="478" w:name="page479"/>
    <w:bookmarkEnd w:id="478"/>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58"/>
        </w:trPr>
        <w:tc>
          <w:tcPr>
            <w:tcW w:w="14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6"/>
              </w:rPr>
              <w:t>2.21F</w:t>
            </w: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2.21</w:t>
            </w:r>
          </w:p>
        </w:tc>
        <w:tc>
          <w:tcPr>
            <w:tcW w:w="180" w:type="dxa"/>
            <w:vAlign w:val="bottom"/>
          </w:tcPr>
          <w:p>
            <w:pPr>
              <w:spacing w:after="0"/>
              <w:rPr>
                <w:sz w:val="24"/>
                <w:szCs w:val="24"/>
                <w:color w:val="auto"/>
              </w:rPr>
            </w:pPr>
          </w:p>
        </w:tc>
        <w:tc>
          <w:tcPr>
            <w:tcW w:w="2020" w:type="dxa"/>
            <w:vAlign w:val="bottom"/>
            <w:gridSpan w:val="7"/>
          </w:tcPr>
          <w:p>
            <w:pPr>
              <w:jc w:val="right"/>
              <w:ind w:right="50"/>
              <w:spacing w:after="0"/>
              <w:rPr>
                <w:sz w:val="20"/>
                <w:szCs w:val="20"/>
                <w:color w:val="auto"/>
              </w:rPr>
            </w:pPr>
            <w:r>
              <w:rPr>
                <w:rFonts w:ascii="Times New Roman" w:cs="Times New Roman" w:eastAsia="Times New Roman" w:hAnsi="Times New Roman"/>
                <w:sz w:val="18"/>
                <w:szCs w:val="18"/>
                <w:color w:val="auto"/>
                <w:w w:val="98"/>
              </w:rPr>
              <w:t>Refinancing Amendments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45"/>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2.22</w:t>
            </w: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Defaulting Lenders</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2.23</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Illegality</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2.24</w:t>
            </w:r>
          </w:p>
        </w:tc>
        <w:tc>
          <w:tcPr>
            <w:tcW w:w="21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Loan Modification Offers</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116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0"/>
        </w:trPr>
        <w:tc>
          <w:tcPr>
            <w:tcW w:w="4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ARTICLE III REPRESENTATIONS AND WARRANTIES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38"/>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3.01</w:t>
            </w:r>
          </w:p>
        </w:tc>
        <w:tc>
          <w:tcPr>
            <w:tcW w:w="17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Organization; Powers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38"/>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3.02</w:t>
            </w: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3.03</w:t>
            </w:r>
          </w:p>
        </w:tc>
        <w:tc>
          <w:tcPr>
            <w:tcW w:w="2960" w:type="dxa"/>
            <w:vAlign w:val="bottom"/>
            <w:gridSpan w:val="11"/>
          </w:tcPr>
          <w:p>
            <w:pPr>
              <w:ind w:left="8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3.04</w:t>
            </w:r>
          </w:p>
        </w:tc>
        <w:tc>
          <w:tcPr>
            <w:tcW w:w="3740" w:type="dxa"/>
            <w:vAlign w:val="bottom"/>
            <w:gridSpan w:val="14"/>
          </w:tcPr>
          <w:p>
            <w:pPr>
              <w:ind w:left="80"/>
              <w:spacing w:after="0"/>
              <w:rPr>
                <w:sz w:val="20"/>
                <w:szCs w:val="20"/>
                <w:color w:val="auto"/>
              </w:rPr>
            </w:pPr>
            <w:r>
              <w:rPr>
                <w:rFonts w:ascii="Times New Roman" w:cs="Times New Roman" w:eastAsia="Times New Roman" w:hAnsi="Times New Roman"/>
                <w:sz w:val="18"/>
                <w:szCs w:val="18"/>
                <w:color w:val="auto"/>
              </w:rPr>
              <w:t>Financial Condition; No Material Adverse Effect</w:t>
            </w:r>
          </w:p>
        </w:tc>
        <w:tc>
          <w:tcPr>
            <w:tcW w:w="4460" w:type="dxa"/>
            <w:vAlign w:val="bottom"/>
          </w:tcPr>
          <w:p>
            <w:pPr>
              <w:jc w:val="right"/>
              <w:ind w:right="4050"/>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3.05</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38"/>
        </w:trPr>
        <w:tc>
          <w:tcPr>
            <w:tcW w:w="4700" w:type="dxa"/>
            <w:vAlign w:val="bottom"/>
            <w:gridSpan w:val="12"/>
          </w:tcPr>
          <w:p>
            <w:pPr>
              <w:ind w:left="640"/>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119</w:t>
            </w: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64"/>
        </w:trPr>
        <w:tc>
          <w:tcPr>
            <w:tcW w:w="1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SECTION 3.07</w:t>
            </w:r>
          </w:p>
        </w:tc>
        <w:tc>
          <w:tcPr>
            <w:tcW w:w="3740" w:type="dxa"/>
            <w:vAlign w:val="bottom"/>
            <w:gridSpan w:val="14"/>
          </w:tcPr>
          <w:p>
            <w:pPr>
              <w:ind w:left="26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446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119</w:t>
            </w:r>
          </w:p>
        </w:tc>
      </w:tr>
      <w:tr>
        <w:trPr>
          <w:trHeight w:val="283"/>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3.08</w:t>
            </w:r>
          </w:p>
        </w:tc>
        <w:tc>
          <w:tcPr>
            <w:tcW w:w="21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w w:val="99"/>
              </w:rPr>
              <w:t>Investment Company Status</w:t>
            </w:r>
          </w:p>
        </w:tc>
        <w:tc>
          <w:tcPr>
            <w:tcW w:w="120" w:type="dxa"/>
            <w:vAlign w:val="bottom"/>
          </w:tcPr>
          <w:p>
            <w:pPr>
              <w:spacing w:after="0"/>
              <w:rPr>
                <w:sz w:val="24"/>
                <w:szCs w:val="24"/>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0"/>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3.09</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2"/>
              </w:rPr>
              <w:t>Taxes</w:t>
            </w:r>
          </w:p>
        </w:tc>
        <w:tc>
          <w:tcPr>
            <w:tcW w:w="8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3.10</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ERISA  119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3.11</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3.12</w:t>
            </w: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Subsidiaries  120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3.13</w:t>
            </w:r>
          </w:p>
        </w:tc>
        <w:tc>
          <w:tcPr>
            <w:tcW w:w="3740" w:type="dxa"/>
            <w:vAlign w:val="bottom"/>
            <w:gridSpan w:val="14"/>
          </w:tcPr>
          <w:p>
            <w:pPr>
              <w:ind w:left="80"/>
              <w:spacing w:after="0"/>
              <w:rPr>
                <w:sz w:val="20"/>
                <w:szCs w:val="20"/>
                <w:color w:val="auto"/>
              </w:rPr>
            </w:pPr>
            <w:r>
              <w:rPr>
                <w:rFonts w:ascii="Times New Roman" w:cs="Times New Roman" w:eastAsia="Times New Roman" w:hAnsi="Times New Roman"/>
                <w:sz w:val="18"/>
                <w:szCs w:val="18"/>
                <w:color w:val="auto"/>
              </w:rPr>
              <w:t>Intellectual Property; Licenses, Etc  120</w:t>
            </w: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3.14</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3.15</w:t>
            </w:r>
          </w:p>
        </w:tc>
        <w:tc>
          <w:tcPr>
            <w:tcW w:w="224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3.16</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3.17</w:t>
            </w:r>
          </w:p>
        </w:tc>
        <w:tc>
          <w:tcPr>
            <w:tcW w:w="224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9"/>
              </w:rPr>
              <w:t>Patriot Act; OFAC and FCPA</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97"/>
        </w:trPr>
        <w:tc>
          <w:tcPr>
            <w:tcW w:w="2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IV CONDITIONS  122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51"/>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4.01</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Effective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4.02</w:t>
            </w: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Each Credit Event</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123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97"/>
        </w:trPr>
        <w:tc>
          <w:tcPr>
            <w:tcW w:w="3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51"/>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5.01</w:t>
            </w:r>
          </w:p>
        </w:tc>
        <w:tc>
          <w:tcPr>
            <w:tcW w:w="3740" w:type="dxa"/>
            <w:vAlign w:val="bottom"/>
            <w:gridSpan w:val="14"/>
          </w:tcPr>
          <w:p>
            <w:pPr>
              <w:ind w:left="80"/>
              <w:spacing w:after="0"/>
              <w:rPr>
                <w:sz w:val="20"/>
                <w:szCs w:val="20"/>
                <w:color w:val="auto"/>
              </w:rPr>
            </w:pPr>
            <w:r>
              <w:rPr>
                <w:rFonts w:ascii="Times New Roman" w:cs="Times New Roman" w:eastAsia="Times New Roman" w:hAnsi="Times New Roman"/>
                <w:sz w:val="18"/>
                <w:szCs w:val="18"/>
                <w:color w:val="auto"/>
              </w:rPr>
              <w:t>Financial Statements and Other Information  124</w:t>
            </w: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5.02</w:t>
            </w:r>
          </w:p>
        </w:tc>
        <w:tc>
          <w:tcPr>
            <w:tcW w:w="21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5.03</w:t>
            </w:r>
          </w:p>
        </w:tc>
        <w:tc>
          <w:tcPr>
            <w:tcW w:w="252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5.04</w:t>
            </w:r>
          </w:p>
        </w:tc>
        <w:tc>
          <w:tcPr>
            <w:tcW w:w="252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5.05</w:t>
            </w:r>
          </w:p>
        </w:tc>
        <w:tc>
          <w:tcPr>
            <w:tcW w:w="17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Payment of Taxes, etc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5.06</w:t>
            </w:r>
          </w:p>
        </w:tc>
        <w:tc>
          <w:tcPr>
            <w:tcW w:w="21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5.07</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5.08</w:t>
            </w:r>
          </w:p>
        </w:tc>
        <w:tc>
          <w:tcPr>
            <w:tcW w:w="3740" w:type="dxa"/>
            <w:vAlign w:val="bottom"/>
            <w:gridSpan w:val="14"/>
          </w:tcPr>
          <w:p>
            <w:pPr>
              <w:ind w:left="80"/>
              <w:spacing w:after="0"/>
              <w:rPr>
                <w:sz w:val="20"/>
                <w:szCs w:val="20"/>
                <w:color w:val="auto"/>
              </w:rPr>
            </w:pPr>
            <w:r>
              <w:rPr>
                <w:rFonts w:ascii="Times New Roman" w:cs="Times New Roman" w:eastAsia="Times New Roman" w:hAnsi="Times New Roman"/>
                <w:sz w:val="18"/>
                <w:szCs w:val="18"/>
                <w:color w:val="auto"/>
              </w:rPr>
              <w:t>Books and Records; Inspection and Audit Rights</w:t>
            </w:r>
          </w:p>
        </w:tc>
        <w:tc>
          <w:tcPr>
            <w:tcW w:w="446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rPr>
              <w:t>128</w:t>
            </w:r>
          </w:p>
        </w:tc>
      </w:tr>
      <w:tr>
        <w:trPr>
          <w:trHeight w:val="378"/>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5.09</w:t>
            </w:r>
          </w:p>
        </w:tc>
        <w:tc>
          <w:tcPr>
            <w:tcW w:w="17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Compliance with Laws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32"/>
        </w:trPr>
        <w:tc>
          <w:tcPr>
            <w:tcW w:w="1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5.10</w:t>
            </w:r>
          </w:p>
        </w:tc>
        <w:tc>
          <w:tcPr>
            <w:tcW w:w="2960" w:type="dxa"/>
            <w:vAlign w:val="bottom"/>
            <w:gridSpan w:val="11"/>
          </w:tcPr>
          <w:p>
            <w:pPr>
              <w:ind w:left="80"/>
              <w:spacing w:after="0"/>
              <w:rPr>
                <w:sz w:val="20"/>
                <w:szCs w:val="20"/>
                <w:color w:val="auto"/>
              </w:rPr>
            </w:pPr>
            <w:r>
              <w:rPr>
                <w:rFonts w:ascii="Times New Roman" w:cs="Times New Roman" w:eastAsia="Times New Roman" w:hAnsi="Times New Roman"/>
                <w:sz w:val="18"/>
                <w:szCs w:val="18"/>
                <w:color w:val="auto"/>
              </w:rPr>
              <w:t>Use of Proceeds and Letters of Credit</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6"/>
              </w:rPr>
              <w:t>129</w:t>
            </w: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0060"/>
          </w:cols>
          <w:pgMar w:left="1020" w:top="1089" w:right="819" w:bottom="1440" w:gutter="0" w:footer="0" w:header="0"/>
        </w:sectPr>
      </w:pPr>
    </w:p>
    <w:bookmarkStart w:id="479" w:name="page480"/>
    <w:bookmarkEnd w:id="479"/>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5.11</w:t>
            </w:r>
          </w:p>
        </w:tc>
        <w:tc>
          <w:tcPr>
            <w:tcW w:w="19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Additional Subsidiaries</w:t>
            </w:r>
          </w:p>
        </w:tc>
        <w:tc>
          <w:tcPr>
            <w:tcW w:w="3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5.12</w:t>
            </w:r>
          </w:p>
        </w:tc>
        <w:tc>
          <w:tcPr>
            <w:tcW w:w="164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9"/>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5.13</w:t>
            </w:r>
          </w:p>
        </w:tc>
        <w:tc>
          <w:tcPr>
            <w:tcW w:w="218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40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8"/>
        </w:trPr>
        <w:tc>
          <w:tcPr>
            <w:tcW w:w="3780" w:type="dxa"/>
            <w:vAlign w:val="bottom"/>
            <w:gridSpan w:val="26"/>
          </w:tcPr>
          <w:p>
            <w:pPr>
              <w:ind w:left="40"/>
              <w:spacing w:after="0"/>
              <w:rPr>
                <w:sz w:val="20"/>
                <w:szCs w:val="20"/>
                <w:color w:val="auto"/>
              </w:rPr>
            </w:pPr>
            <w:r>
              <w:rPr>
                <w:rFonts w:ascii="Times New Roman" w:cs="Times New Roman" w:eastAsia="Times New Roman" w:hAnsi="Times New Roman"/>
                <w:sz w:val="18"/>
                <w:szCs w:val="18"/>
                <w:color w:val="auto"/>
              </w:rPr>
              <w:t>SECTION 5.14   Certain Post-Closing Obligations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130</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6"/>
              </w:rPr>
              <w:t>131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5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840" w:type="dxa"/>
            <w:vAlign w:val="bottom"/>
            <w:gridSpan w:val="49"/>
          </w:tcPr>
          <w:p>
            <w:pPr>
              <w:ind w:left="80"/>
              <w:spacing w:after="0"/>
              <w:rPr>
                <w:sz w:val="20"/>
                <w:szCs w:val="20"/>
                <w:color w:val="auto"/>
              </w:rPr>
            </w:pPr>
            <w:r>
              <w:rPr>
                <w:rFonts w:ascii="Times New Roman" w:cs="Times New Roman" w:eastAsia="Times New Roman" w:hAnsi="Times New Roman"/>
                <w:sz w:val="18"/>
                <w:szCs w:val="18"/>
                <w:color w:val="auto"/>
              </w:rPr>
              <w:t>Maintenance of Rating of Borrower and the Facilities  131</w:t>
            </w:r>
          </w:p>
        </w:tc>
      </w:tr>
      <w:tr>
        <w:trPr>
          <w:trHeight w:val="418"/>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5.16</w:t>
            </w:r>
          </w:p>
        </w:tc>
        <w:tc>
          <w:tcPr>
            <w:tcW w:w="190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Lines of Business  131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3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4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6.01</w:t>
            </w:r>
          </w:p>
        </w:tc>
        <w:tc>
          <w:tcPr>
            <w:tcW w:w="7840" w:type="dxa"/>
            <w:vAlign w:val="bottom"/>
            <w:gridSpan w:val="49"/>
          </w:tcPr>
          <w:p>
            <w:pPr>
              <w:ind w:left="120"/>
              <w:spacing w:after="0"/>
              <w:rPr>
                <w:sz w:val="20"/>
                <w:szCs w:val="20"/>
                <w:color w:val="auto"/>
              </w:rPr>
            </w:pPr>
            <w:r>
              <w:rPr>
                <w:rFonts w:ascii="Times New Roman" w:cs="Times New Roman" w:eastAsia="Times New Roman" w:hAnsi="Times New Roman"/>
                <w:sz w:val="18"/>
                <w:szCs w:val="18"/>
                <w:color w:val="auto"/>
              </w:rPr>
              <w:t>Indebtedness; Certain Equity Securities  131</w:t>
            </w:r>
          </w:p>
        </w:tc>
      </w:tr>
      <w:tr>
        <w:trPr>
          <w:trHeight w:val="378"/>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6.02</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138</w:t>
            </w:r>
          </w:p>
        </w:tc>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6"/>
              </w:rPr>
              <w:t>136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98"/>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6.03</w:t>
            </w:r>
          </w:p>
        </w:tc>
        <w:tc>
          <w:tcPr>
            <w:tcW w:w="3400" w:type="dxa"/>
            <w:vAlign w:val="bottom"/>
            <w:gridSpan w:val="34"/>
          </w:tcPr>
          <w:p>
            <w:pPr>
              <w:ind w:left="120"/>
              <w:spacing w:after="0"/>
              <w:rPr>
                <w:sz w:val="20"/>
                <w:szCs w:val="20"/>
                <w:color w:val="auto"/>
              </w:rPr>
            </w:pPr>
            <w:r>
              <w:rPr>
                <w:rFonts w:ascii="Times New Roman" w:cs="Times New Roman" w:eastAsia="Times New Roman" w:hAnsi="Times New Roman"/>
                <w:sz w:val="18"/>
                <w:szCs w:val="18"/>
                <w:color w:val="auto"/>
              </w:rPr>
              <w:t>Fundamental Changes; Holdings Covenant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140</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6.04</w:t>
            </w:r>
          </w:p>
        </w:tc>
        <w:tc>
          <w:tcPr>
            <w:tcW w:w="4620" w:type="dxa"/>
            <w:vAlign w:val="bottom"/>
            <w:gridSpan w:val="41"/>
          </w:tcPr>
          <w:p>
            <w:pPr>
              <w:ind w:left="8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142</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w w:val="88"/>
              </w:rPr>
              <w:t>141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1"/>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Asset Sales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144</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143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0"/>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6.06</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146</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145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2"/>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6.07</w:t>
            </w:r>
          </w:p>
        </w:tc>
        <w:tc>
          <w:tcPr>
            <w:tcW w:w="4360" w:type="dxa"/>
            <w:vAlign w:val="bottom"/>
            <w:gridSpan w:val="40"/>
          </w:tcPr>
          <w:p>
            <w:pPr>
              <w:jc w:val="center"/>
              <w:ind w:right="20"/>
              <w:spacing w:after="0"/>
              <w:rPr>
                <w:sz w:val="20"/>
                <w:szCs w:val="20"/>
                <w:color w:val="auto"/>
              </w:rPr>
            </w:pPr>
            <w:r>
              <w:rPr>
                <w:rFonts w:ascii="Times New Roman" w:cs="Times New Roman" w:eastAsia="Times New Roman" w:hAnsi="Times New Roman"/>
                <w:sz w:val="18"/>
                <w:szCs w:val="18"/>
                <w:color w:val="auto"/>
                <w:w w:val="99"/>
              </w:rPr>
              <w:t>Restricted Payments; Certain Payments of Indebtedness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146</w:t>
            </w:r>
          </w:p>
        </w:tc>
        <w:tc>
          <w:tcPr>
            <w:tcW w:w="6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0000FF"/>
                <w:w w:val="88"/>
              </w:rPr>
              <w:t>145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0"/>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6.08</w:t>
            </w:r>
          </w:p>
        </w:tc>
        <w:tc>
          <w:tcPr>
            <w:tcW w:w="218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FF0000"/>
                <w:strike w:val="1"/>
                <w:w w:val="81"/>
              </w:rPr>
              <w:t>150</w:t>
            </w:r>
          </w:p>
        </w:tc>
        <w:tc>
          <w:tcPr>
            <w:tcW w:w="3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w w:val="88"/>
              </w:rPr>
              <w:t>149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0"/>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6.09</w:t>
            </w:r>
          </w:p>
        </w:tc>
        <w:tc>
          <w:tcPr>
            <w:tcW w:w="190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Restrictive Agreements</w:t>
            </w:r>
          </w:p>
        </w:tc>
        <w:tc>
          <w:tcPr>
            <w:tcW w:w="6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151</w:t>
            </w:r>
          </w:p>
        </w:tc>
        <w:tc>
          <w:tcPr>
            <w:tcW w:w="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150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1"/>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6.10</w:t>
            </w:r>
          </w:p>
        </w:tc>
        <w:tc>
          <w:tcPr>
            <w:tcW w:w="2580" w:type="dxa"/>
            <w:vAlign w:val="bottom"/>
            <w:gridSpan w:val="23"/>
          </w:tcPr>
          <w:p>
            <w:pPr>
              <w:ind w:left="120"/>
              <w:spacing w:after="0"/>
              <w:rPr>
                <w:sz w:val="20"/>
                <w:szCs w:val="20"/>
                <w:color w:val="auto"/>
              </w:rPr>
            </w:pPr>
            <w:r>
              <w:rPr>
                <w:rFonts w:ascii="Times New Roman" w:cs="Times New Roman" w:eastAsia="Times New Roman" w:hAnsi="Times New Roman"/>
                <w:sz w:val="18"/>
                <w:szCs w:val="18"/>
                <w:color w:val="auto"/>
              </w:rPr>
              <w:t>Amendment of Junior Financing</w:t>
            </w:r>
          </w:p>
        </w:tc>
        <w:tc>
          <w:tcPr>
            <w:tcW w:w="4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rPr>
              <w:t>152</w:t>
            </w: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151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6.11</w:t>
            </w:r>
          </w:p>
        </w:tc>
        <w:tc>
          <w:tcPr>
            <w:tcW w:w="2580" w:type="dxa"/>
            <w:vAlign w:val="bottom"/>
            <w:gridSpan w:val="23"/>
          </w:tcPr>
          <w:p>
            <w:pPr>
              <w:ind w:left="120"/>
              <w:spacing w:after="0"/>
              <w:rPr>
                <w:sz w:val="20"/>
                <w:szCs w:val="20"/>
                <w:color w:val="auto"/>
              </w:rPr>
            </w:pPr>
            <w:r>
              <w:rPr>
                <w:rFonts w:ascii="Times New Roman" w:cs="Times New Roman" w:eastAsia="Times New Roman" w:hAnsi="Times New Roman"/>
                <w:sz w:val="18"/>
                <w:szCs w:val="18"/>
                <w:color w:val="auto"/>
              </w:rPr>
              <w:t>Financial Performance Covenant</w:t>
            </w:r>
          </w:p>
        </w:tc>
        <w:tc>
          <w:tcPr>
            <w:tcW w:w="40" w:type="dxa"/>
            <w:vAlign w:val="bottom"/>
          </w:tcPr>
          <w:p>
            <w:pPr>
              <w:spacing w:after="0"/>
              <w:rPr>
                <w:sz w:val="24"/>
                <w:szCs w:val="24"/>
                <w:color w:val="auto"/>
              </w:rPr>
            </w:pPr>
          </w:p>
        </w:tc>
        <w:tc>
          <w:tcPr>
            <w:tcW w:w="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FF0000"/>
                <w:strike w:val="1"/>
              </w:rPr>
              <w:t>152</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000FF"/>
                <w:w w:val="88"/>
              </w:rPr>
              <w:t>151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98"/>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6.12</w:t>
            </w:r>
          </w:p>
        </w:tc>
        <w:tc>
          <w:tcPr>
            <w:tcW w:w="218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Changes in Fiscal Periods</w:t>
            </w:r>
          </w:p>
        </w:tc>
        <w:tc>
          <w:tcPr>
            <w:tcW w:w="2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FF0000"/>
                <w:strike w:val="1"/>
                <w:w w:val="88"/>
              </w:rPr>
              <w:t>152</w:t>
            </w:r>
          </w:p>
        </w:tc>
        <w:tc>
          <w:tcPr>
            <w:tcW w:w="380" w:type="dxa"/>
            <w:vAlign w:val="bottom"/>
            <w:gridSpan w:val="8"/>
          </w:tcPr>
          <w:p>
            <w:pPr>
              <w:jc w:val="right"/>
              <w:ind w:right="120"/>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99"/>
        </w:trPr>
        <w:tc>
          <w:tcPr>
            <w:tcW w:w="3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88"/>
              </w:rPr>
              <w:t>153</w:t>
            </w:r>
          </w:p>
        </w:tc>
        <w:tc>
          <w:tcPr>
            <w:tcW w:w="26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18"/>
                <w:szCs w:val="18"/>
                <w:color w:val="0000FF"/>
                <w:w w:val="88"/>
              </w:rPr>
              <w:t>152</w:t>
            </w:r>
          </w:p>
        </w:tc>
        <w:tc>
          <w:tcPr>
            <w:tcW w:w="20" w:type="dxa"/>
            <w:vAlign w:val="bottom"/>
            <w:tcBorders>
              <w:top w:val="single" w:sz="8" w:color="0000FF"/>
              <w:bottom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2"/>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7.01</w:t>
            </w:r>
          </w:p>
        </w:tc>
        <w:tc>
          <w:tcPr>
            <w:tcW w:w="164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Events of Default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81"/>
              </w:rPr>
              <w:t>153</w:t>
            </w:r>
          </w:p>
        </w:tc>
        <w:tc>
          <w:tcPr>
            <w:tcW w:w="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152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1"/>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7.02</w:t>
            </w:r>
          </w:p>
        </w:tc>
        <w:tc>
          <w:tcPr>
            <w:tcW w:w="164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Right to Cure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73"/>
              </w:rPr>
              <w:t>154</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90"/>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7.03</w:t>
            </w:r>
          </w:p>
        </w:tc>
        <w:tc>
          <w:tcPr>
            <w:tcW w:w="218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9"/>
              </w:rPr>
              <w:t>Application of Proceeds</w:t>
            </w: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FF0000"/>
                <w:strike w:val="1"/>
                <w:w w:val="88"/>
              </w:rPr>
              <w:t>156</w:t>
            </w:r>
          </w:p>
        </w:tc>
        <w:tc>
          <w:tcPr>
            <w:tcW w:w="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155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53"/>
        </w:trPr>
        <w:tc>
          <w:tcPr>
            <w:tcW w:w="34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VIII ADMINISTRATIVE AGENT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8"/>
        </w:trPr>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SECTION 8.01</w:t>
            </w:r>
          </w:p>
        </w:tc>
        <w:tc>
          <w:tcPr>
            <w:tcW w:w="218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Appointment and Authority</w:t>
            </w: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157</w:t>
            </w:r>
          </w:p>
        </w:tc>
        <w:tc>
          <w:tcPr>
            <w:tcW w:w="2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156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0"/>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8.02</w:t>
            </w:r>
          </w:p>
        </w:tc>
        <w:tc>
          <w:tcPr>
            <w:tcW w:w="164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Rights as a Lender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157</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6"/>
              </w:rPr>
              <w:t>156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8.03</w:t>
            </w:r>
          </w:p>
        </w:tc>
        <w:tc>
          <w:tcPr>
            <w:tcW w:w="190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Exculpatory Provisions</w:t>
            </w:r>
          </w:p>
        </w:tc>
        <w:tc>
          <w:tcPr>
            <w:tcW w:w="6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rPr>
              <w:t>157</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FF"/>
                <w:w w:val="96"/>
              </w:rPr>
              <w:t>156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SECTION 8.04   Reliance by First Lien Administrative</w:t>
            </w:r>
          </w:p>
        </w:tc>
      </w:t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0000FF"/>
                <w:w w:val="88"/>
              </w:rPr>
              <w:t>157</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90"/>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8.05</w:t>
            </w:r>
          </w:p>
        </w:tc>
        <w:tc>
          <w:tcPr>
            <w:tcW w:w="164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9"/>
              </w:rPr>
              <w:t>Delegation of Duties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158</w:t>
            </w:r>
          </w:p>
        </w:tc>
        <w:tc>
          <w:tcPr>
            <w:tcW w:w="2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FF"/>
                <w:w w:val="88"/>
              </w:rPr>
              <w:t>157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1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00" w:type="dxa"/>
            <w:vAlign w:val="bottom"/>
            <w:gridSpan w:val="1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8.06</w:t>
            </w:r>
          </w:p>
        </w:tc>
        <w:tc>
          <w:tcPr>
            <w:tcW w:w="3720" w:type="dxa"/>
            <w:vAlign w:val="bottom"/>
            <w:gridSpan w:val="36"/>
          </w:tcPr>
          <w:p>
            <w:pPr>
              <w:ind w:left="120"/>
              <w:spacing w:after="0"/>
              <w:rPr>
                <w:sz w:val="20"/>
                <w:szCs w:val="20"/>
                <w:color w:val="auto"/>
              </w:rPr>
            </w:pPr>
            <w:r>
              <w:rPr>
                <w:rFonts w:ascii="Times New Roman" w:cs="Times New Roman" w:eastAsia="Times New Roman" w:hAnsi="Times New Roman"/>
                <w:sz w:val="18"/>
                <w:szCs w:val="18"/>
                <w:color w:val="auto"/>
              </w:rPr>
              <w:t>Resignation of First Lien Administrative Agent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159</w:t>
            </w:r>
          </w:p>
        </w:tc>
        <w:tc>
          <w:tcPr>
            <w:tcW w:w="1280" w:type="dxa"/>
            <w:vAlign w:val="bottom"/>
            <w:gridSpan w:val="8"/>
          </w:tcPr>
          <w:p>
            <w:pPr>
              <w:jc w:val="right"/>
              <w:ind w:right="1020"/>
              <w:spacing w:after="0"/>
              <w:rPr>
                <w:sz w:val="20"/>
                <w:szCs w:val="20"/>
                <w:color w:val="auto"/>
              </w:rPr>
            </w:pPr>
            <w:r>
              <w:rPr>
                <w:rFonts w:ascii="Times New Roman" w:cs="Times New Roman" w:eastAsia="Times New Roman" w:hAnsi="Times New Roman"/>
                <w:sz w:val="18"/>
                <w:szCs w:val="18"/>
                <w:color w:val="0000FF"/>
                <w:w w:val="88"/>
              </w:rPr>
              <w:t>158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1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80" w:type="dxa"/>
            <w:vAlign w:val="bottom"/>
            <w:gridSpan w:val="14"/>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90"/>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8.07</w:t>
            </w:r>
          </w:p>
        </w:tc>
        <w:tc>
          <w:tcPr>
            <w:tcW w:w="5280" w:type="dxa"/>
            <w:vAlign w:val="bottom"/>
            <w:gridSpan w:val="46"/>
          </w:tcPr>
          <w:p>
            <w:pPr>
              <w:ind w:left="120"/>
              <w:spacing w:after="0"/>
              <w:rPr>
                <w:sz w:val="20"/>
                <w:szCs w:val="20"/>
                <w:color w:val="auto"/>
              </w:rPr>
            </w:pPr>
            <w:r>
              <w:rPr>
                <w:rFonts w:ascii="Times New Roman" w:cs="Times New Roman" w:eastAsia="Times New Roman" w:hAnsi="Times New Roman"/>
                <w:sz w:val="18"/>
                <w:szCs w:val="18"/>
                <w:color w:val="auto"/>
              </w:rPr>
              <w:t>Non-Reliance on First Lien Administrative Agent and Other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160</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159 </w:t>
            </w:r>
            <w:r>
              <w:rPr>
                <w:rFonts w:ascii="Times New Roman" w:cs="Times New Roman" w:eastAsia="Times New Roman" w:hAnsi="Times New Roman"/>
                <w:sz w:val="18"/>
                <w:szCs w:val="18"/>
                <w:color w:val="000000"/>
              </w:rPr>
              <w:t>SECTION 8.08  No Other</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-4019550</wp:posOffset>
            </wp:positionV>
            <wp:extent cx="285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3" w:lineRule="exact"/>
        <w:rPr>
          <w:sz w:val="20"/>
          <w:szCs w:val="20"/>
          <w:color w:val="auto"/>
        </w:rPr>
      </w:pPr>
    </w:p>
    <w:p>
      <w:pPr>
        <w:ind w:left="180"/>
        <w:spacing w:after="0"/>
        <w:tabs>
          <w:tab w:leader="none" w:pos="1180" w:val="left"/>
        </w:tabs>
        <w:rPr>
          <w:sz w:val="20"/>
          <w:szCs w:val="20"/>
          <w:color w:val="auto"/>
        </w:rPr>
      </w:pPr>
      <w:r>
        <w:rPr>
          <w:rFonts w:ascii="Times New Roman" w:cs="Times New Roman" w:eastAsia="Times New Roman" w:hAnsi="Times New Roman"/>
          <w:sz w:val="18"/>
          <w:szCs w:val="18"/>
          <w:color w:val="auto"/>
        </w:rPr>
        <w:t>Duties, Etc.</w:t>
      </w:r>
      <w:r>
        <w:rPr>
          <w:sz w:val="20"/>
          <w:szCs w:val="20"/>
          <w:color w:val="auto"/>
        </w:rPr>
        <w:tab/>
      </w:r>
      <w:r>
        <w:rPr>
          <w:rFonts w:ascii="Times New Roman" w:cs="Times New Roman" w:eastAsia="Times New Roman" w:hAnsi="Times New Roman"/>
          <w:sz w:val="17"/>
          <w:szCs w:val="17"/>
          <w:color w:val="FF0000"/>
          <w:strike w:val="1"/>
        </w:rPr>
        <w:t>160</w:t>
      </w:r>
      <w:r>
        <w:rPr>
          <w:rFonts w:ascii="Times New Roman" w:cs="Times New Roman" w:eastAsia="Times New Roman" w:hAnsi="Times New Roman"/>
          <w:sz w:val="17"/>
          <w:szCs w:val="17"/>
          <w:u w:val="single" w:color="auto"/>
          <w:color w:val="0000FF"/>
          <w:strike w:val="1"/>
        </w:rPr>
        <w:t>159</w:t>
      </w:r>
    </w:p>
    <w:p>
      <w:pPr>
        <w:sectPr>
          <w:pgSz w:w="11900" w:h="16838" w:orient="portrait"/>
          <w:cols w:equalWidth="0" w:num="1">
            <w:col w:w="9240"/>
          </w:cols>
          <w:pgMar w:left="1440" w:top="1174" w:right="1219" w:bottom="1440" w:gutter="0" w:footer="0" w:header="0"/>
        </w:sectPr>
      </w:pPr>
    </w:p>
    <w:bookmarkStart w:id="480" w:name="page481"/>
    <w:bookmarkEnd w:id="4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83" w:lineRule="exact"/>
        <w:rPr>
          <w:sz w:val="20"/>
          <w:szCs w:val="20"/>
          <w:color w:val="auto"/>
        </w:rPr>
      </w:pPr>
    </w:p>
    <w:tbl>
      <w:tblPr>
        <w:tblLayout w:type="fixed"/>
        <w:tblInd w:w="180" w:type="dxa"/>
        <w:tblCellMar>
          <w:top w:w="0" w:type="dxa"/>
          <w:left w:w="0" w:type="dxa"/>
          <w:bottom w:w="0" w:type="dxa"/>
          <w:right w:w="0" w:type="dxa"/>
        </w:tblCellMar>
      </w:tblPr>
      <w:tr>
        <w:trPr>
          <w:trHeight w:val="33"/>
        </w:trPr>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SECTION 8.09</w:t>
            </w:r>
          </w:p>
        </w:tc>
        <w:tc>
          <w:tcPr>
            <w:tcW w:w="4520" w:type="dxa"/>
            <w:vAlign w:val="bottom"/>
            <w:gridSpan w:val="30"/>
            <w:vMerge w:val="restart"/>
          </w:tcPr>
          <w:p>
            <w:pPr>
              <w:ind w:left="260"/>
              <w:spacing w:after="0"/>
              <w:rPr>
                <w:sz w:val="20"/>
                <w:szCs w:val="20"/>
                <w:color w:val="auto"/>
              </w:rPr>
            </w:pPr>
            <w:r>
              <w:rPr>
                <w:rFonts w:ascii="Times New Roman" w:cs="Times New Roman" w:eastAsia="Times New Roman" w:hAnsi="Times New Roman"/>
                <w:sz w:val="18"/>
                <w:szCs w:val="18"/>
                <w:color w:val="auto"/>
              </w:rPr>
              <w:t>First Lien Administrative Agent May File Proofs of Claim</w:t>
            </w: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160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159</w:t>
            </w:r>
          </w:p>
        </w:tc>
        <w:tc>
          <w:tcPr>
            <w:tcW w:w="0" w:type="dxa"/>
            <w:vAlign w:val="bottom"/>
          </w:tcPr>
          <w:p>
            <w:pPr>
              <w:spacing w:after="0" w:line="20" w:lineRule="exact"/>
              <w:rPr>
                <w:sz w:val="1"/>
                <w:szCs w:val="1"/>
                <w:color w:val="auto"/>
              </w:rPr>
            </w:pPr>
          </w:p>
        </w:tc>
      </w:tr>
      <w:tr>
        <w:trPr>
          <w:trHeight w:val="179"/>
        </w:trPr>
        <w:tc>
          <w:tcPr>
            <w:tcW w:w="1260" w:type="dxa"/>
            <w:vAlign w:val="bottom"/>
            <w:vMerge w:val="continue"/>
          </w:tcPr>
          <w:p>
            <w:pPr>
              <w:spacing w:after="0"/>
              <w:rPr>
                <w:sz w:val="15"/>
                <w:szCs w:val="15"/>
                <w:color w:val="auto"/>
              </w:rPr>
            </w:pPr>
          </w:p>
        </w:tc>
        <w:tc>
          <w:tcPr>
            <w:tcW w:w="4520" w:type="dxa"/>
            <w:vAlign w:val="bottom"/>
            <w:gridSpan w:val="30"/>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6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3800" w:type="dxa"/>
            <w:vAlign w:val="bottom"/>
            <w:gridSpan w:val="24"/>
          </w:tcPr>
          <w:p>
            <w:pPr>
              <w:ind w:left="22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161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6"/>
              </w:rPr>
              <w:t>160</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ERISA Matters.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rPr>
              <w:t>161</w:t>
            </w:r>
          </w:p>
        </w:tc>
        <w:tc>
          <w:tcPr>
            <w:tcW w:w="3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0000FF"/>
                <w:w w:val="96"/>
              </w:rPr>
              <w:t>160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162</w:t>
            </w:r>
          </w:p>
        </w:tc>
        <w:tc>
          <w:tcPr>
            <w:tcW w:w="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161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Waivers; Amendments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164</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163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334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168</w:t>
            </w:r>
          </w:p>
        </w:tc>
        <w:tc>
          <w:tcPr>
            <w:tcW w:w="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167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Successors and Assigns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rPr>
              <w:t>170</w:t>
            </w: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96"/>
              </w:rPr>
              <w:t>169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w:t>
            </w:r>
          </w:p>
        </w:tc>
        <w:tc>
          <w:tcPr>
            <w:tcW w:w="1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176</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6"/>
              </w:rPr>
              <w:t>175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9.06</w:t>
            </w:r>
          </w:p>
        </w:tc>
        <w:tc>
          <w:tcPr>
            <w:tcW w:w="3340" w:type="dxa"/>
            <w:vAlign w:val="bottom"/>
            <w:gridSpan w:val="18"/>
          </w:tcPr>
          <w:p>
            <w:pPr>
              <w:ind w:left="26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176</w:t>
            </w: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0000FF"/>
                <w:w w:val="96"/>
              </w:rPr>
              <w:t>175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9.07</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10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9.08</w:t>
            </w: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Setoff</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rPr>
              <w:t>177</w:t>
            </w:r>
          </w:p>
        </w:tc>
        <w:tc>
          <w:tcPr>
            <w:tcW w:w="2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176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4520" w:type="dxa"/>
            <w:vAlign w:val="bottom"/>
            <w:gridSpan w:val="30"/>
          </w:tcPr>
          <w:p>
            <w:pPr>
              <w:ind w:left="8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177</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176</w:t>
            </w: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WAIVER OF JURY TRIAL</w:t>
            </w: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178</w:t>
            </w:r>
          </w:p>
        </w:tc>
        <w:tc>
          <w:tcPr>
            <w:tcW w:w="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w w:val="96"/>
              </w:rPr>
              <w:t>177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9.11</w:t>
            </w: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178</w:t>
            </w: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177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9.12</w:t>
            </w: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FF0000"/>
                <w:strike w:val="1"/>
                <w:w w:val="88"/>
              </w:rPr>
              <w:t>178</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177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FF0000"/>
                <w:strike w:val="1"/>
                <w:w w:val="96"/>
              </w:rPr>
              <w:t>179</w:t>
            </w:r>
          </w:p>
        </w:tc>
        <w:tc>
          <w:tcPr>
            <w:tcW w:w="2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w w:val="70"/>
              </w:rPr>
              <w:t>178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9.14</w:t>
            </w:r>
          </w:p>
        </w:tc>
        <w:tc>
          <w:tcPr>
            <w:tcW w:w="294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Release of Liens and Guarantees</w:t>
            </w:r>
          </w:p>
        </w:tc>
        <w:tc>
          <w:tcPr>
            <w:tcW w:w="200" w:type="dxa"/>
            <w:vAlign w:val="bottom"/>
            <w:tcBorders>
              <w:top w:val="single" w:sz="8" w:color="0000FF"/>
            </w:tcBorders>
            <w:gridSpan w:val="3"/>
          </w:tcPr>
          <w:p>
            <w:pPr>
              <w:spacing w:after="0"/>
              <w:rPr>
                <w:sz w:val="24"/>
                <w:szCs w:val="24"/>
                <w:color w:val="auto"/>
              </w:rPr>
            </w:pPr>
          </w:p>
        </w:tc>
        <w:tc>
          <w:tcPr>
            <w:tcW w:w="200" w:type="dxa"/>
            <w:vAlign w:val="bottom"/>
            <w:gridSpan w:val="4"/>
          </w:tcPr>
          <w:p>
            <w:pPr>
              <w:spacing w:after="0"/>
              <w:rPr>
                <w:sz w:val="24"/>
                <w:szCs w:val="24"/>
                <w:color w:val="auto"/>
              </w:rPr>
            </w:pPr>
          </w:p>
        </w:tc>
        <w:tc>
          <w:tcPr>
            <w:tcW w:w="3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9.15</w:t>
            </w:r>
          </w:p>
        </w:tc>
        <w:tc>
          <w:tcPr>
            <w:tcW w:w="334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179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00" w:type="dxa"/>
            <w:vAlign w:val="bottom"/>
            <w:gridSpan w:val="6"/>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181</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180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FF0000"/>
                <w:strike w:val="1"/>
              </w:rPr>
              <w:t>181</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w w:val="70"/>
              </w:rPr>
              <w:t>180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tbl>
      <w:tblPr>
        <w:tblLayout w:type="fixed"/>
        <w:tblInd w:w="180" w:type="dxa"/>
        <w:tblCellMar>
          <w:top w:w="0" w:type="dxa"/>
          <w:left w:w="0" w:type="dxa"/>
          <w:bottom w:w="0" w:type="dxa"/>
          <w:right w:w="0" w:type="dxa"/>
        </w:tblCellMar>
      </w:tblPr>
      <w:tr>
        <w:trPr>
          <w:trHeight w:val="3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9.18</w:t>
            </w:r>
          </w:p>
        </w:tc>
        <w:tc>
          <w:tcPr>
            <w:tcW w:w="5760" w:type="dxa"/>
            <w:vAlign w:val="bottom"/>
            <w:gridSpan w:val="8"/>
            <w:vMerge w:val="restart"/>
          </w:tcPr>
          <w:p>
            <w:pPr>
              <w:ind w:left="180"/>
              <w:spacing w:after="0"/>
              <w:rPr>
                <w:sz w:val="20"/>
                <w:szCs w:val="20"/>
                <w:color w:val="auto"/>
              </w:rPr>
            </w:pPr>
            <w:r>
              <w:rPr>
                <w:rFonts w:ascii="Times New Roman" w:cs="Times New Roman" w:eastAsia="Times New Roman" w:hAnsi="Times New Roman"/>
                <w:sz w:val="18"/>
                <w:szCs w:val="18"/>
                <w:color w:val="010101"/>
              </w:rPr>
              <w:t>Acknowledgement and Consent to Bail-In of Affected Financial Institutions</w:t>
            </w:r>
            <w:r>
              <w:rPr>
                <w:rFonts w:ascii="Times New Roman" w:cs="Times New Roman" w:eastAsia="Times New Roman" w:hAnsi="Times New Roman"/>
                <w:sz w:val="18"/>
                <w:szCs w:val="18"/>
                <w:color w:val="000000"/>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88"/>
              </w:rPr>
              <w:t>181</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6"/>
              </w:rPr>
              <w:t>180</w:t>
            </w:r>
          </w:p>
        </w:tc>
        <w:tc>
          <w:tcPr>
            <w:tcW w:w="0" w:type="dxa"/>
            <w:vAlign w:val="bottom"/>
          </w:tcPr>
          <w:p>
            <w:pPr>
              <w:spacing w:after="0" w:line="20" w:lineRule="exact"/>
              <w:rPr>
                <w:sz w:val="1"/>
                <w:szCs w:val="1"/>
                <w:color w:val="auto"/>
              </w:rPr>
            </w:pPr>
          </w:p>
        </w:tc>
      </w:tr>
      <w:tr>
        <w:trPr>
          <w:trHeight w:val="179"/>
        </w:trPr>
        <w:tc>
          <w:tcPr>
            <w:tcW w:w="1160" w:type="dxa"/>
            <w:vAlign w:val="bottom"/>
            <w:gridSpan w:val="2"/>
            <w:vMerge w:val="continue"/>
          </w:tcPr>
          <w:p>
            <w:pPr>
              <w:spacing w:after="0"/>
              <w:rPr>
                <w:sz w:val="15"/>
                <w:szCs w:val="15"/>
                <w:color w:val="auto"/>
              </w:rPr>
            </w:pPr>
          </w:p>
        </w:tc>
        <w:tc>
          <w:tcPr>
            <w:tcW w:w="5760" w:type="dxa"/>
            <w:vAlign w:val="bottom"/>
            <w:gridSpan w:val="8"/>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9.19</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Intercreditor Agreement</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182</w:t>
            </w:r>
          </w:p>
        </w:tc>
        <w:tc>
          <w:tcPr>
            <w:tcW w:w="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0000FF"/>
                <w:w w:val="88"/>
              </w:rPr>
              <w:t>181</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9.20</w:t>
            </w:r>
          </w:p>
        </w:tc>
        <w:tc>
          <w:tcPr>
            <w:tcW w:w="100" w:type="dxa"/>
            <w:vAlign w:val="bottom"/>
          </w:tcPr>
          <w:p>
            <w:pPr>
              <w:spacing w:after="0"/>
              <w:rPr>
                <w:sz w:val="24"/>
                <w:szCs w:val="24"/>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Cashless Settlement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182</w:t>
            </w:r>
          </w:p>
        </w:tc>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6"/>
              </w:rPr>
              <w:t>181</w:t>
            </w:r>
          </w:p>
        </w:tc>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9.21</w:t>
            </w:r>
          </w:p>
        </w:tc>
        <w:tc>
          <w:tcPr>
            <w:tcW w:w="40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1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9.22</w:t>
            </w:r>
          </w:p>
        </w:tc>
        <w:tc>
          <w:tcPr>
            <w:tcW w:w="100" w:type="dxa"/>
            <w:vAlign w:val="bottom"/>
          </w:tcPr>
          <w:p>
            <w:pPr>
              <w:spacing w:after="0"/>
              <w:rPr>
                <w:sz w:val="24"/>
                <w:szCs w:val="24"/>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Erroneous Payments</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-539115</wp:posOffset>
            </wp:positionV>
            <wp:extent cx="285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9019"/>
          </w:cols>
          <w:pgMar w:left="1440" w:top="1075" w:right="1440" w:bottom="1440" w:gutter="0" w:footer="0" w:header="0"/>
        </w:sectPr>
      </w:pPr>
    </w:p>
    <w:bookmarkStart w:id="481" w:name="page482"/>
    <w:bookmarkEnd w:id="481"/>
    <w:p>
      <w:pPr>
        <w:ind w:left="40"/>
        <w:spacing w:after="0"/>
        <w:rPr>
          <w:sz w:val="20"/>
          <w:szCs w:val="20"/>
          <w:color w:val="auto"/>
        </w:rPr>
      </w:pP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0"/>
        <w:spacing w:after="0"/>
        <w:tabs>
          <w:tab w:leader="none" w:pos="1220" w:val="left"/>
          <w:tab w:leader="none" w:pos="1580" w:val="left"/>
        </w:tabs>
        <w:rPr>
          <w:sz w:val="20"/>
          <w:szCs w:val="20"/>
          <w:color w:val="auto"/>
        </w:rPr>
      </w:pPr>
      <w:r>
        <w:rPr>
          <w:rFonts w:ascii="Times New Roman" w:cs="Times New Roman" w:eastAsia="Times New Roman" w:hAnsi="Times New Roman"/>
          <w:sz w:val="18"/>
          <w:szCs w:val="18"/>
          <w:color w:val="auto"/>
        </w:rPr>
        <w:t>Schedule 1.01</w:t>
        <w:tab/>
        <w:t>—</w:t>
      </w:r>
      <w:r>
        <w:rPr>
          <w:sz w:val="20"/>
          <w:szCs w:val="20"/>
          <w:color w:val="auto"/>
        </w:rPr>
        <w:tab/>
      </w:r>
      <w:r>
        <w:rPr>
          <w:rFonts w:ascii="Times New Roman" w:cs="Times New Roman" w:eastAsia="Times New Roman" w:hAnsi="Times New Roman"/>
          <w:sz w:val="17"/>
          <w:szCs w:val="17"/>
          <w:color w:val="auto"/>
        </w:rPr>
        <w:t>Excluded Subsidiaries Schedule</w:t>
      </w:r>
    </w:p>
    <w:p>
      <w:pPr>
        <w:spacing w:after="0" w:line="27" w:lineRule="exact"/>
        <w:rPr>
          <w:sz w:val="20"/>
          <w:szCs w:val="20"/>
          <w:color w:val="auto"/>
        </w:rPr>
      </w:pPr>
    </w:p>
    <w:p>
      <w:pPr>
        <w:ind w:left="40" w:right="3839"/>
        <w:spacing w:after="0" w:line="250" w:lineRule="auto"/>
        <w:rPr>
          <w:sz w:val="20"/>
          <w:szCs w:val="20"/>
          <w:color w:val="auto"/>
        </w:rPr>
      </w:pPr>
      <w:r>
        <w:rPr>
          <w:rFonts w:ascii="Times New Roman" w:cs="Times New Roman" w:eastAsia="Times New Roman" w:hAnsi="Times New Roman"/>
          <w:sz w:val="18"/>
          <w:szCs w:val="18"/>
          <w:color w:val="auto"/>
        </w:rPr>
        <w:t>2.01 — Commitments and Loans Schedule 2.05 — Existing Letters of Credit</w:t>
      </w:r>
    </w:p>
    <w:p>
      <w:pPr>
        <w:spacing w:after="0" w:line="216" w:lineRule="exact"/>
        <w:rPr>
          <w:sz w:val="20"/>
          <w:szCs w:val="20"/>
          <w:color w:val="auto"/>
        </w:rPr>
      </w:pPr>
    </w:p>
    <w:p>
      <w:pPr>
        <w:ind w:left="40" w:right="2799"/>
        <w:spacing w:after="0" w:line="250" w:lineRule="auto"/>
        <w:rPr>
          <w:sz w:val="20"/>
          <w:szCs w:val="20"/>
          <w:color w:val="auto"/>
        </w:rPr>
      </w:pPr>
      <w:r>
        <w:rPr>
          <w:rFonts w:ascii="Times New Roman" w:cs="Times New Roman" w:eastAsia="Times New Roman" w:hAnsi="Times New Roman"/>
          <w:sz w:val="18"/>
          <w:szCs w:val="18"/>
          <w:color w:val="auto"/>
        </w:rPr>
        <w:t>Schedule 3.03 — Government Approvals; No Conflicts Schedule 3.06 — Litigation and Environmental Matters Schedule 3.12 — Subsidiaries</w:t>
      </w:r>
    </w:p>
    <w:p>
      <w:pPr>
        <w:spacing w:after="0" w:line="1" w:lineRule="exact"/>
        <w:rPr>
          <w:sz w:val="20"/>
          <w:szCs w:val="20"/>
          <w:color w:val="auto"/>
        </w:rPr>
      </w:pPr>
    </w:p>
    <w:p>
      <w:pPr>
        <w:ind w:left="40" w:right="3299"/>
        <w:spacing w:after="0" w:line="250" w:lineRule="auto"/>
        <w:rPr>
          <w:sz w:val="20"/>
          <w:szCs w:val="20"/>
          <w:color w:val="auto"/>
        </w:rPr>
      </w:pPr>
      <w:r>
        <w:rPr>
          <w:rFonts w:ascii="Times New Roman" w:cs="Times New Roman" w:eastAsia="Times New Roman" w:hAnsi="Times New Roman"/>
          <w:sz w:val="18"/>
          <w:szCs w:val="18"/>
          <w:color w:val="auto"/>
        </w:rPr>
        <w:t>Schedule 5.14 — Certain Post-Closing Obligations Schedule 6.01 — Existing Indebtedness</w:t>
      </w:r>
    </w:p>
    <w:p>
      <w:pPr>
        <w:spacing w:after="0" w:line="1" w:lineRule="exact"/>
        <w:rPr>
          <w:sz w:val="20"/>
          <w:szCs w:val="20"/>
          <w:color w:val="auto"/>
        </w:rPr>
      </w:pPr>
    </w:p>
    <w:p>
      <w:pPr>
        <w:ind w:left="40"/>
        <w:spacing w:after="0"/>
        <w:tabs>
          <w:tab w:leader="none" w:pos="1220" w:val="left"/>
          <w:tab w:leader="none" w:pos="1580" w:val="left"/>
          <w:tab w:leader="none" w:pos="3900" w:val="left"/>
        </w:tabs>
        <w:rPr>
          <w:sz w:val="20"/>
          <w:szCs w:val="20"/>
          <w:color w:val="auto"/>
        </w:rPr>
      </w:pPr>
      <w:r>
        <w:rPr>
          <w:rFonts w:ascii="Times New Roman" w:cs="Times New Roman" w:eastAsia="Times New Roman" w:hAnsi="Times New Roman"/>
          <w:sz w:val="18"/>
          <w:szCs w:val="18"/>
          <w:color w:val="auto"/>
        </w:rPr>
        <w:t>Schedule 6.02</w:t>
        <w:tab/>
        <w:t>—</w:t>
        <w:tab/>
        <w:t>Existing Liens Schedule 6.04</w:t>
      </w:r>
      <w:r>
        <w:rPr>
          <w:sz w:val="20"/>
          <w:szCs w:val="20"/>
          <w:color w:val="auto"/>
        </w:rPr>
        <w:tab/>
      </w:r>
      <w:r>
        <w:rPr>
          <w:rFonts w:ascii="Times New Roman" w:cs="Times New Roman" w:eastAsia="Times New Roman" w:hAnsi="Times New Roman"/>
          <w:sz w:val="17"/>
          <w:szCs w:val="17"/>
          <w:color w:val="auto"/>
        </w:rPr>
        <w:t>— Existing</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ind w:left="40" w:right="3559"/>
        <w:spacing w:after="0" w:line="260" w:lineRule="auto"/>
        <w:rPr>
          <w:sz w:val="20"/>
          <w:szCs w:val="20"/>
          <w:color w:val="auto"/>
        </w:rPr>
      </w:pPr>
      <w:r>
        <w:rPr>
          <w:rFonts w:ascii="Times New Roman" w:cs="Times New Roman" w:eastAsia="Times New Roman" w:hAnsi="Times New Roman"/>
          <w:sz w:val="18"/>
          <w:szCs w:val="18"/>
          <w:color w:val="auto"/>
        </w:rPr>
        <w:t>Schedule 6.08 — Existing Affiliate Transactions Schedule 6.09 — Existing Restrictions</w:t>
      </w:r>
    </w:p>
    <w:p>
      <w:pPr>
        <w:spacing w:after="0" w:line="73" w:lineRule="exact"/>
        <w:rPr>
          <w:sz w:val="20"/>
          <w:szCs w:val="20"/>
          <w:color w:val="auto"/>
        </w:rPr>
      </w:pPr>
    </w:p>
    <w:p>
      <w:pPr>
        <w:ind w:left="40"/>
        <w:spacing w:after="0"/>
        <w:tabs>
          <w:tab w:leader="none" w:pos="1220" w:val="left"/>
          <w:tab w:leader="none" w:pos="1580" w:val="left"/>
        </w:tabs>
        <w:rPr>
          <w:sz w:val="20"/>
          <w:szCs w:val="20"/>
          <w:color w:val="auto"/>
        </w:rPr>
      </w:pPr>
      <w:r>
        <w:rPr>
          <w:rFonts w:ascii="Times New Roman" w:cs="Times New Roman" w:eastAsia="Times New Roman" w:hAnsi="Times New Roman"/>
          <w:sz w:val="18"/>
          <w:szCs w:val="18"/>
          <w:color w:val="auto"/>
        </w:rPr>
        <w:t>Schedule 9.01</w:t>
        <w:tab/>
        <w:t>—</w:t>
      </w:r>
      <w:r>
        <w:rPr>
          <w:sz w:val="20"/>
          <w:szCs w:val="20"/>
          <w:color w:val="auto"/>
        </w:rPr>
        <w:tab/>
      </w:r>
      <w:r>
        <w:rPr>
          <w:rFonts w:ascii="Times New Roman" w:cs="Times New Roman" w:eastAsia="Times New Roman" w:hAnsi="Times New Roman"/>
          <w:sz w:val="17"/>
          <w:szCs w:val="17"/>
          <w:color w:val="auto"/>
        </w:rPr>
        <w:t xml:space="preserve">Notices </w:t>
      </w:r>
      <w:r>
        <w:rPr>
          <w:rFonts w:ascii="Times New Roman" w:cs="Times New Roman" w:eastAsia="Times New Roman" w:hAnsi="Times New Roman"/>
          <w:sz w:val="17"/>
          <w:szCs w:val="17"/>
          <w:u w:val="single" w:color="auto"/>
          <w:color w:val="auto"/>
        </w:rPr>
        <w:t>EXHIBITS</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ind w:left="40" w:right="2899"/>
        <w:spacing w:after="0" w:line="257" w:lineRule="auto"/>
        <w:rPr>
          <w:sz w:val="20"/>
          <w:szCs w:val="20"/>
          <w:color w:val="auto"/>
        </w:rPr>
      </w:pPr>
      <w:r>
        <w:rPr>
          <w:rFonts w:ascii="Times New Roman" w:cs="Times New Roman" w:eastAsia="Times New Roman" w:hAnsi="Times New Roman"/>
          <w:sz w:val="18"/>
          <w:szCs w:val="18"/>
          <w:color w:val="auto"/>
        </w:rPr>
        <w:t>Exhibit A — Form of Assignment and Assumption Exhibit B — Form of First Lien Guarantee Agreement Exhibit C — Form of Perfection Certificate Exhibit D — Form of First Lien Collateral Agreement</w:t>
      </w:r>
    </w:p>
    <w:p>
      <w:pPr>
        <w:spacing w:after="0" w:line="1" w:lineRule="exact"/>
        <w:rPr>
          <w:sz w:val="20"/>
          <w:szCs w:val="20"/>
          <w:color w:val="auto"/>
        </w:rPr>
      </w:pPr>
    </w:p>
    <w:p>
      <w:pPr>
        <w:jc w:val="both"/>
        <w:ind w:left="40" w:right="2079"/>
        <w:spacing w:after="0" w:line="250" w:lineRule="auto"/>
        <w:rPr>
          <w:sz w:val="20"/>
          <w:szCs w:val="20"/>
          <w:color w:val="auto"/>
        </w:rPr>
      </w:pPr>
      <w:r>
        <w:rPr>
          <w:rFonts w:ascii="Times New Roman" w:cs="Times New Roman" w:eastAsia="Times New Roman" w:hAnsi="Times New Roman"/>
          <w:sz w:val="18"/>
          <w:szCs w:val="18"/>
          <w:color w:val="auto"/>
        </w:rPr>
        <w:t>Exhibit E-1 — Form of First Lien Pari Passu Intercreditor Agreement Exhibit E-2 — Form of First/Second Lien Intercreditor Agreement Exhibit E-3 — Form of ABL Intercreditor Agreement Exhibit F — Form of Intercompany Note</w:t>
      </w:r>
    </w:p>
    <w:p>
      <w:pPr>
        <w:spacing w:after="0" w:line="1" w:lineRule="exact"/>
        <w:rPr>
          <w:sz w:val="20"/>
          <w:szCs w:val="20"/>
          <w:color w:val="auto"/>
        </w:rPr>
      </w:pPr>
    </w:p>
    <w:p>
      <w:pPr>
        <w:ind w:left="40" w:right="2159"/>
        <w:spacing w:after="0" w:line="250" w:lineRule="auto"/>
        <w:rPr>
          <w:sz w:val="20"/>
          <w:szCs w:val="20"/>
          <w:color w:val="auto"/>
        </w:rPr>
      </w:pPr>
      <w:r>
        <w:rPr>
          <w:rFonts w:ascii="Times New Roman" w:cs="Times New Roman" w:eastAsia="Times New Roman" w:hAnsi="Times New Roman"/>
          <w:sz w:val="18"/>
          <w:szCs w:val="18"/>
          <w:color w:val="auto"/>
        </w:rPr>
        <w:t>Exhibit G — Form of Specified Discount Prepayment Notice Exhibit H — Form of Specified Discount Prepayment Response Exhibit I — Form of Discount Range Prepayment Notice Exhibit</w:t>
      </w:r>
    </w:p>
    <w:p>
      <w:pPr>
        <w:spacing w:after="0" w:line="1" w:lineRule="exact"/>
        <w:rPr>
          <w:sz w:val="20"/>
          <w:szCs w:val="20"/>
          <w:color w:val="auto"/>
        </w:rPr>
      </w:pPr>
    </w:p>
    <w:p>
      <w:pPr>
        <w:ind w:left="40" w:right="2139" w:hanging="9"/>
        <w:spacing w:after="0" w:line="250" w:lineRule="auto"/>
        <w:tabs>
          <w:tab w:leader="none" w:pos="29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Discount Range Prepayment Offer Exhibit K — Form of Solicited Discounted Prepayment Notice Exhibit L — Form of Solicited Discounted Prepayment Offer Exhibit M — Form of Acceptance and Prepayment Notice</w:t>
      </w:r>
    </w:p>
    <w:p>
      <w:pPr>
        <w:spacing w:after="0" w:line="1" w:lineRule="exact"/>
        <w:rPr>
          <w:rFonts w:ascii="Times New Roman" w:cs="Times New Roman" w:eastAsia="Times New Roman" w:hAnsi="Times New Roman"/>
          <w:sz w:val="18"/>
          <w:szCs w:val="18"/>
          <w:color w:val="auto"/>
        </w:rPr>
      </w:pPr>
    </w:p>
    <w:p>
      <w:pPr>
        <w:ind w:left="40" w:right="17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N-1 — Form of United States Tax Compliance Certificate 1 Exhibit N-2 — Form of United States Tax Compliance Certificate 2 Exhibit N-3 — Form of United States Tax Compliance Certificate 3 Exhibit N-4 — Form of United States Tax Compliance Certificate 4 Exhibit O — Form of Note Exhibit P — Form of Solvency Certificate</w:t>
      </w:r>
    </w:p>
    <w:p>
      <w:pPr>
        <w:spacing w:after="0" w:line="1" w:lineRule="exact"/>
        <w:rPr>
          <w:rFonts w:ascii="Times New Roman" w:cs="Times New Roman" w:eastAsia="Times New Roman" w:hAnsi="Times New Roman"/>
          <w:sz w:val="18"/>
          <w:szCs w:val="18"/>
          <w:color w:val="auto"/>
        </w:rPr>
      </w:pPr>
    </w:p>
    <w:p>
      <w:pPr>
        <w:ind w:right="5359" w:firstLine="35"/>
        <w:spacing w:after="0" w:line="2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Q — Form of Notice of Borrowing Exhibit R — Form of Letter of Credit Request Exhibit X — Form of Beneficial Ownership Certificate</w:t>
      </w:r>
    </w:p>
    <w:p>
      <w:pPr>
        <w:sectPr>
          <w:pgSz w:w="11900" w:h="16838" w:orient="portrait"/>
          <w:cols w:equalWidth="0" w:num="1">
            <w:col w:w="9479"/>
          </w:cols>
          <w:pgMar w:left="980" w:top="1417" w:right="1440" w:bottom="1440" w:gutter="0" w:footer="0" w:header="0"/>
        </w:sectPr>
      </w:pPr>
    </w:p>
    <w:bookmarkStart w:id="482" w:name="page483"/>
    <w:bookmarkEnd w:id="482"/>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FIRST LIEN CREDIT AGREEMENT dated as of December 13, 2019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TOPCO, INC., a Delaware corporation (the “</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SOTERA HEALTH HOLDINGS,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Delaware limited company, the LENDERS and ISSUING BANKS party hereto and JPMORGAN CHASE BANK, N.A., (“JPMorgan”) (formerly Jefferies Finance LLC) as First Lien Administrative Agent and First Lien Collateral Agent.</w:t>
      </w:r>
    </w:p>
    <w:p>
      <w:pPr>
        <w:spacing w:after="0" w:line="20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w:t>
      </w:r>
    </w:p>
    <w:p>
      <w:pPr>
        <w:spacing w:after="0" w:line="2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Borrower has requested that the Lenders extend credit to the Borrower in the form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$157,500,000 in Amendment No. 1 Revolving Commitment Increase on the Amendment No. 1 Effective Date</w:t>
      </w:r>
      <w:r>
        <w:rPr>
          <w:rFonts w:ascii="Times New Roman" w:cs="Times New Roman" w:eastAsia="Times New Roman" w:hAnsi="Times New Roman"/>
          <w:sz w:val="18"/>
          <w:szCs w:val="18"/>
          <w:color w:val="1E487C"/>
        </w:rPr>
        <w:t>.</w:t>
      </w:r>
    </w:p>
    <w:p>
      <w:pPr>
        <w:spacing w:after="0" w:line="234" w:lineRule="exact"/>
        <w:rPr>
          <w:sz w:val="20"/>
          <w:szCs w:val="20"/>
          <w:color w:val="auto"/>
        </w:rPr>
      </w:pPr>
    </w:p>
    <w:p>
      <w:pPr>
        <w:ind w:right="2180" w:firstLine="1296"/>
        <w:spacing w:after="0" w:line="312" w:lineRule="auto"/>
        <w:rPr>
          <w:sz w:val="20"/>
          <w:szCs w:val="20"/>
          <w:color w:val="auto"/>
        </w:rPr>
      </w:pPr>
      <w:r>
        <w:rPr>
          <w:rFonts w:ascii="Times New Roman" w:cs="Times New Roman" w:eastAsia="Times New Roman" w:hAnsi="Times New Roman"/>
          <w:sz w:val="17"/>
          <w:szCs w:val="17"/>
          <w:color w:val="auto"/>
        </w:rPr>
        <w:t>The Borrower has requested that the Lenders extend credit to the Borrower in the form of $76,250,000 in Amendment No. 2 Revolving Commitment Increase on the Amendment No. 2 Effective Date</w:t>
      </w:r>
      <w:r>
        <w:rPr>
          <w:rFonts w:ascii="Times New Roman" w:cs="Times New Roman" w:eastAsia="Times New Roman" w:hAnsi="Times New Roman"/>
          <w:sz w:val="17"/>
          <w:szCs w:val="17"/>
          <w:color w:val="1E487C"/>
        </w:rPr>
        <w:t>.</w:t>
      </w:r>
    </w:p>
    <w:p>
      <w:pPr>
        <w:spacing w:after="0" w:line="180"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The Borrower has requested that (i) the Refinancing Revolving Lenders (as defined in Amendment No. 3) extend credit to the Borrower in the form of $83,000,000 in Amendment No. 3 Refinancing Revolving Commitments and (ii) the Revolving Lenders, Swingline Lenders and Issuing Banks extend the Revolving Maturity Date, each on the Amendment No. 3 Effective Date</w:t>
      </w:r>
      <w:r>
        <w:rPr>
          <w:rFonts w:ascii="Times New Roman" w:cs="Times New Roman" w:eastAsia="Times New Roman" w:hAnsi="Times New Roman"/>
          <w:sz w:val="18"/>
          <w:szCs w:val="18"/>
          <w:color w:val="1E487C"/>
        </w:rPr>
        <w:t>.</w:t>
      </w:r>
    </w:p>
    <w:p>
      <w:pPr>
        <w:spacing w:after="0" w:line="216" w:lineRule="exact"/>
        <w:rPr>
          <w:sz w:val="20"/>
          <w:szCs w:val="20"/>
          <w:color w:val="auto"/>
        </w:rPr>
      </w:pPr>
    </w:p>
    <w:p>
      <w:pPr>
        <w:jc w:val="both"/>
        <w:ind w:right="40"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The Borrower has requested that the 2024 Refinancing Term Lenders extend credit to the Borrower in the form of $1,509,350,000 in 2024 Refinancing Term Loans on the Amendment No. 4 Effective Date.</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36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 xml:space="preserve">ARTICLE I </w:t>
      </w:r>
      <w:r>
        <w:rPr>
          <w:rFonts w:ascii="Times New Roman" w:cs="Times New Roman" w:eastAsia="Times New Roman" w:hAnsi="Times New Roman"/>
          <w:sz w:val="18"/>
          <w:szCs w:val="18"/>
          <w:u w:val="single" w:color="auto"/>
          <w:color w:val="auto"/>
        </w:rPr>
        <w:t>DEFINITIONS</w:t>
      </w:r>
    </w:p>
    <w:p>
      <w:pPr>
        <w:spacing w:after="0" w:line="131"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w:t>
      </w:r>
    </w:p>
    <w:p>
      <w:pPr>
        <w:spacing w:after="0" w:line="3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As used in this Agreement, the following terms have the meanings specified below: </w:t>
      </w:r>
      <w:r>
        <w:rPr>
          <w:rFonts w:ascii="Times New Roman" w:cs="Times New Roman" w:eastAsia="Times New Roman" w:hAnsi="Times New Roman"/>
          <w:sz w:val="18"/>
          <w:szCs w:val="18"/>
          <w:u w:val="single" w:color="auto"/>
          <w:color w:val="0000FF"/>
        </w:rPr>
        <w:t>"2024 Refinancing Term</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Commitments” has the meaning specified in Amendment No. 4.</w:t>
      </w:r>
    </w:p>
    <w:p>
      <w:pPr>
        <w:spacing w:after="0" w:line="117"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u w:val="single" w:color="auto"/>
          <w:color w:val="0000FF"/>
        </w:rPr>
        <w:t>"2024 Refinancing Term Loan” or “2024 Refinancing Term Loans” has the meaning specified in Amendment No. 4. The aggregate principal amount of 2024 Refinancing Term Loans outstanding on the Amendment No. 4 Effective Date is $1,509,350,000. The 2024 Refinancing Term Loans may be ABR Loans, RFR Loans or Term Benchmark Loans, and once repaid or prepaid, 2024 Refinancing Term Loans may not be reborrowed.</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“2024 Refinancing Term Maturity Date” has the meaning assigned to such term in the definition of “Term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Date”.</w:t>
      </w:r>
    </w:p>
    <w:p>
      <w:pPr>
        <w:spacing w:after="0" w:line="247"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“2024 Refinancing Term Lender” means a Lender with a 2024 Refinancing Term Commitment or an outstanding 2024 Refinancing Term Loan.</w:t>
      </w:r>
    </w:p>
    <w:p>
      <w:pPr>
        <w:spacing w:after="0" w:line="20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shall mean the credit agreement in respect of any ABL Facility pursuant to which the ABL Obligations are incurred by the Borrower or one or more of its Subsidiaries as borrower(s), as amended, modified, supplemented, substituted, replaced, restated or refinanced, in whole or in part, from time to time.</w:t>
      </w:r>
    </w:p>
    <w:p>
      <w:pPr>
        <w:spacing w:after="0" w:line="216" w:lineRule="exact"/>
        <w:rPr>
          <w:sz w:val="20"/>
          <w:szCs w:val="20"/>
          <w:color w:val="auto"/>
        </w:rPr>
      </w:pPr>
    </w:p>
    <w:p>
      <w:pPr>
        <w:ind w:right="6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xml:space="preserve">” shall mean an asset-based loan facility of the Borrower provided pursuant to the applicable ABL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security interests shall be granted to secure the ABL</w:t>
      </w:r>
    </w:p>
    <w:p>
      <w:pPr>
        <w:sectPr>
          <w:pgSz w:w="11900" w:h="16838" w:orient="portrait"/>
          <w:cols w:equalWidth="0" w:num="1">
            <w:col w:w="10060"/>
          </w:cols>
          <w:pgMar w:left="1020" w:top="1417" w:right="819" w:bottom="1440" w:gutter="0" w:footer="0" w:header="0"/>
        </w:sectPr>
      </w:pPr>
    </w:p>
    <w:bookmarkStart w:id="483" w:name="page484"/>
    <w:bookmarkEnd w:id="483"/>
    <w:p>
      <w:pPr>
        <w:jc w:val="both"/>
        <w:ind w:left="8" w:right="40"/>
        <w:spacing w:after="0" w:line="252" w:lineRule="auto"/>
        <w:rPr>
          <w:sz w:val="20"/>
          <w:szCs w:val="20"/>
          <w:color w:val="auto"/>
        </w:rPr>
      </w:pPr>
      <w:r>
        <w:rPr>
          <w:rFonts w:ascii="Times New Roman" w:cs="Times New Roman" w:eastAsia="Times New Roman" w:hAnsi="Times New Roman"/>
          <w:sz w:val="18"/>
          <w:szCs w:val="18"/>
          <w:color w:val="auto"/>
        </w:rPr>
        <w:t xml:space="preserve">Obligations other than (A) a first-priority security interest in the ABL Priority Collateral, subject to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color w:val="auto"/>
        </w:rPr>
        <w:t xml:space="preserve"> a perfected second-priority Lien in such Collateral in favor of the First Lien Collateral Agent and the other Secured Parties to secure the Secured Obligations and (</w:t>
      </w:r>
      <w:r>
        <w:rPr>
          <w:rFonts w:ascii="Times New Roman" w:cs="Times New Roman" w:eastAsia="Times New Roman" w:hAnsi="Times New Roman"/>
          <w:sz w:val="18"/>
          <w:szCs w:val="18"/>
          <w:color w:val="FF0000"/>
          <w:strike w:val="1"/>
        </w:rPr>
        <w:t>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perfected third priority Lien in such Collateral in favor of the Second Lien Trustee and the other Secured Parties (as defined in the Second Lien Indenture) to secure the Second Lien Debt Document Obligations and (</w:t>
      </w:r>
      <w:r>
        <w:rPr>
          <w:rFonts w:ascii="Times New Roman" w:cs="Times New Roman" w:eastAsia="Times New Roman" w:hAnsi="Times New Roman"/>
          <w:sz w:val="18"/>
          <w:szCs w:val="18"/>
          <w:color w:val="000000"/>
          <w:strike w:val="1"/>
        </w:rPr>
        <w:t>B) at the option of the Borrower, a</w:t>
      </w:r>
      <w:r>
        <w:rPr>
          <w:rFonts w:ascii="Times New Roman" w:cs="Times New Roman" w:eastAsia="Times New Roman" w:hAnsi="Times New Roman"/>
          <w:sz w:val="18"/>
          <w:szCs w:val="18"/>
          <w:color w:val="FF0000"/>
          <w:strike w:val="1"/>
        </w:rPr>
        <w:t xml:space="preserve"> thir</w:t>
      </w:r>
      <w:r>
        <w:rPr>
          <w:rFonts w:ascii="Times New Roman" w:cs="Times New Roman" w:eastAsia="Times New Roman" w:hAnsi="Times New Roman"/>
          <w:sz w:val="18"/>
          <w:szCs w:val="18"/>
          <w:u w:val="single" w:color="auto"/>
          <w:color w:val="0000FF"/>
          <w:strike w:val="1"/>
        </w:rPr>
        <w:t>secon</w:t>
      </w:r>
      <w:r>
        <w:rPr>
          <w:rFonts w:ascii="Times New Roman" w:cs="Times New Roman" w:eastAsia="Times New Roman" w:hAnsi="Times New Roman"/>
          <w:sz w:val="18"/>
          <w:szCs w:val="18"/>
          <w:color w:val="000000"/>
          <w:strike w:val="1"/>
        </w:rPr>
        <w:t>d-priority security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interest in any other Collateral (other than ABL Priority Collateral) in which the First Lien Collateral Agent and the other Secured Parties have a perfected first-priority security </w:t>
      </w:r>
      <w:r>
        <w:rPr>
          <w:rFonts w:ascii="Times New Roman" w:cs="Times New Roman" w:eastAsia="Times New Roman" w:hAnsi="Times New Roman"/>
          <w:sz w:val="18"/>
          <w:szCs w:val="18"/>
          <w:color w:val="FF0000"/>
          <w:strike w:val="1"/>
        </w:rPr>
        <w:t>interest and in which the Second Lien Trustee and the other Secured Parties (as defined in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 xml:space="preserve">Second Lien Indenture) has a perfected second-priority security </w:t>
      </w:r>
      <w:r>
        <w:rPr>
          <w:rFonts w:ascii="Times New Roman" w:cs="Times New Roman" w:eastAsia="Times New Roman" w:hAnsi="Times New Roman"/>
          <w:sz w:val="18"/>
          <w:szCs w:val="18"/>
          <w:color w:val="000000"/>
          <w:strike w:val="1"/>
        </w:rPr>
        <w:t>interest, (ii) such facility shall not (x) be guaranteed by any entity that is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not a Loan Party or (y) govern or otherwise contemplate any “restricted subsidiaries” that are not Restricted Subsidiaries, and (iii) upon the establishment of an ABL Facility,</w:t>
      </w:r>
    </w:p>
    <w:p>
      <w:pPr>
        <w:spacing w:after="0" w:line="6" w:lineRule="exact"/>
        <w:rPr>
          <w:sz w:val="20"/>
          <w:szCs w:val="20"/>
          <w:color w:val="auto"/>
        </w:rPr>
      </w:pPr>
    </w:p>
    <w:p>
      <w:pPr>
        <w:jc w:val="both"/>
        <w:ind w:left="8" w:hanging="8"/>
        <w:spacing w:after="0" w:line="252" w:lineRule="auto"/>
        <w:tabs>
          <w:tab w:leader="none" w:pos="328"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deliver a certificate of a Responsible Officer to the First Lien Administrative Agent on or prior to the date of incurrence of such ABL Facility 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w:t>
      </w:r>
      <w:r>
        <w:rPr>
          <w:rFonts w:ascii="Times New Roman" w:cs="Times New Roman" w:eastAsia="Times New Roman" w:hAnsi="Times New Roman"/>
          <w:sz w:val="18"/>
          <w:szCs w:val="18"/>
          <w:color w:val="FF0000"/>
          <w:strike w:val="1"/>
        </w:rPr>
        <w:t>(including the Second Lien Trustee)</w:t>
      </w:r>
      <w:r>
        <w:rPr>
          <w:rFonts w:ascii="Times New Roman" w:cs="Times New Roman" w:eastAsia="Times New Roman" w:hAnsi="Times New Roman"/>
          <w:sz w:val="18"/>
          <w:szCs w:val="18"/>
          <w:color w:val="auto"/>
        </w:rPr>
        <w:t xml:space="preserve"> and each Loan Guarantor, (C) if the ABL Intercreditor Agreement is then in effect, the ABL Representative with respect to such Indebtedness shall have duly executed and delivered to the First Lien Administrative Agent a joinder agreement in the form attached as an exhibit to the ABL Intercreditor Agreement and (D) (x) all First Lien Loan Document Obligations owing to any Secured Party under or in respect of any Revolving Loans, Letter of Credit, LC Disbursements, Revolving Commitments, Other Revolving Commitments, Additional/Replacement Revolving Commitment, Swingline Loans and Swingline Commitments shall have been paid in full in cash (other than any contingent indemnification obligations not yet accrued and payable) and (y) all of the Revolving Commitments, the Other Revolving Commitments, Additional/Replacement Revolving Commitments and the Swingline Commitments shall have been terminated in full or are terminated in full substantially simultaneously with the effectiveness of the ABL Facility.</w:t>
      </w:r>
    </w:p>
    <w:p>
      <w:pPr>
        <w:spacing w:after="0" w:line="234" w:lineRule="exact"/>
        <w:rPr>
          <w:sz w:val="20"/>
          <w:szCs w:val="20"/>
          <w:color w:val="auto"/>
        </w:rPr>
      </w:pPr>
    </w:p>
    <w:p>
      <w:pPr>
        <w:jc w:val="both"/>
        <w:ind w:left="8"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xml:space="preserve">” means the ABL Intercreditor Agreement substantially in the form of Exhibit E-3 among the First Lien Administrative Agent, the ABL Representative and one or more Senior Representatives for holders of Indebtedness not prohibited by this Agreement to be secured by the Collateral </w:t>
      </w:r>
      <w:r>
        <w:rPr>
          <w:rFonts w:ascii="Times New Roman" w:cs="Times New Roman" w:eastAsia="Times New Roman" w:hAnsi="Times New Roman"/>
          <w:sz w:val="18"/>
          <w:szCs w:val="18"/>
          <w:color w:val="FF0000"/>
          <w:strike w:val="1"/>
        </w:rPr>
        <w:t>(including the Second Lien Trustee)</w:t>
      </w:r>
      <w:r>
        <w:rPr>
          <w:rFonts w:ascii="Times New Roman" w:cs="Times New Roman" w:eastAsia="Times New Roman" w:hAnsi="Times New Roman"/>
          <w:sz w:val="18"/>
          <w:szCs w:val="18"/>
          <w:color w:val="auto"/>
        </w:rPr>
        <w:t>, with such modifications thereto as the First Lien Administrative Agent may reasonably agree.</w:t>
      </w:r>
    </w:p>
    <w:p>
      <w:pPr>
        <w:spacing w:after="0" w:line="207" w:lineRule="exact"/>
        <w:rPr>
          <w:sz w:val="20"/>
          <w:szCs w:val="20"/>
          <w:color w:val="auto"/>
        </w:rPr>
      </w:pPr>
    </w:p>
    <w:p>
      <w:pPr>
        <w:jc w:val="both"/>
        <w:ind w:left="8"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Loan Documents</w:t>
      </w:r>
      <w:r>
        <w:rPr>
          <w:rFonts w:ascii="Times New Roman" w:cs="Times New Roman" w:eastAsia="Times New Roman" w:hAnsi="Times New Roman"/>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220" w:lineRule="exact"/>
        <w:rPr>
          <w:sz w:val="20"/>
          <w:szCs w:val="20"/>
          <w:color w:val="auto"/>
        </w:rPr>
      </w:pPr>
    </w:p>
    <w:p>
      <w:pPr>
        <w:jc w:val="both"/>
        <w:ind w:left="8"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Obligations</w:t>
      </w:r>
      <w:r>
        <w:rPr>
          <w:rFonts w:ascii="Times New Roman" w:cs="Times New Roman" w:eastAsia="Times New Roman" w:hAnsi="Times New Roman"/>
          <w:sz w:val="18"/>
          <w:szCs w:val="18"/>
          <w:color w:val="auto"/>
        </w:rPr>
        <w:t>” shall mean all Indebtedness and other obligations of the Borrower and any other Loan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pacing w:after="0" w:line="23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means all the “ABL Priority Collateral” as defined in the ABL Intercreditor Agreement.</w:t>
      </w:r>
    </w:p>
    <w:p>
      <w:pPr>
        <w:spacing w:after="0" w:line="266" w:lineRule="exact"/>
        <w:rPr>
          <w:sz w:val="20"/>
          <w:szCs w:val="20"/>
          <w:color w:val="auto"/>
        </w:rPr>
      </w:pPr>
    </w:p>
    <w:p>
      <w:pPr>
        <w:jc w:val="both"/>
        <w:ind w:left="8"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Representative</w:t>
      </w:r>
      <w:r>
        <w:rPr>
          <w:rFonts w:ascii="Times New Roman" w:cs="Times New Roman" w:eastAsia="Times New Roman" w:hAnsi="Times New Roman"/>
          <w:sz w:val="18"/>
          <w:szCs w:val="18"/>
          <w:color w:val="auto"/>
        </w:rPr>
        <w:t>”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w:t>
      </w:r>
    </w:p>
    <w:p>
      <w:pPr>
        <w:sectPr>
          <w:pgSz w:w="11900" w:h="16838" w:orient="portrait"/>
          <w:cols w:equalWidth="0" w:num="1">
            <w:col w:w="10068"/>
          </w:cols>
          <w:pgMar w:left="1012" w:top="1336" w:right="819" w:bottom="1440" w:gutter="0" w:footer="0" w:header="0"/>
        </w:sectPr>
      </w:pPr>
    </w:p>
    <w:bookmarkStart w:id="484" w:name="page485"/>
    <w:bookmarkEnd w:id="484"/>
    <w:p>
      <w:pPr>
        <w:spacing w:after="0" w:line="282" w:lineRule="auto"/>
        <w:rPr>
          <w:sz w:val="20"/>
          <w:szCs w:val="20"/>
          <w:color w:val="auto"/>
        </w:rPr>
      </w:pPr>
      <w:r>
        <w:rPr>
          <w:rFonts w:ascii="Times New Roman" w:cs="Times New Roman" w:eastAsia="Times New Roman" w:hAnsi="Times New Roman"/>
          <w:sz w:val="18"/>
          <w:szCs w:val="18"/>
          <w:color w:val="auto"/>
        </w:rPr>
        <w:t>related to the administration of the security documents pursuant to the ABL Credit Agreement or other agreement governing such series of ABL Obligations.</w:t>
      </w:r>
    </w:p>
    <w:p>
      <w:pPr>
        <w:spacing w:after="0" w:line="202" w:lineRule="exact"/>
        <w:rPr>
          <w:sz w:val="20"/>
          <w:szCs w:val="20"/>
          <w:color w:val="auto"/>
        </w:rPr>
      </w:pPr>
    </w:p>
    <w:p>
      <w:pPr>
        <w:jc w:val="both"/>
        <w:ind w:right="2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bears interest at a rate determined by reference to the (i) Alternate Base Rate (in the case of Loans denominated in Dollars) or (ii) Canadian Base Rate (in the case of Loans denominated in Canadian Dollars).</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Discount</w:t>
      </w:r>
      <w:r>
        <w:rPr>
          <w:rFonts w:ascii="Times New Roman" w:cs="Times New Roman" w:eastAsia="Times New Roman" w:hAnsi="Times New Roman"/>
          <w:sz w:val="18"/>
          <w:szCs w:val="18"/>
          <w:color w:val="auto"/>
        </w:rPr>
        <w:t>” has the meaning assigned to such term in Section 2.11(a)(ii)(D)(2).</w:t>
      </w:r>
    </w:p>
    <w:p>
      <w:pPr>
        <w:spacing w:after="0" w:line="279" w:lineRule="exact"/>
        <w:rPr>
          <w:sz w:val="20"/>
          <w:szCs w:val="20"/>
          <w:color w:val="auto"/>
        </w:rPr>
      </w:pPr>
    </w:p>
    <w:p>
      <w:pPr>
        <w:ind w:right="1900" w:firstLine="1295"/>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Prepayment Amount</w:t>
      </w:r>
      <w:r>
        <w:rPr>
          <w:rFonts w:ascii="Times New Roman" w:cs="Times New Roman" w:eastAsia="Times New Roman" w:hAnsi="Times New Roman"/>
          <w:sz w:val="18"/>
          <w:szCs w:val="18"/>
          <w:color w:val="auto"/>
        </w:rPr>
        <w:t>” has the meaning assigned to such term in Section 2.11(a)(ii)(D)(3).</w:t>
      </w:r>
    </w:p>
    <w:p>
      <w:pPr>
        <w:spacing w:after="0" w:line="54"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and Prepayment Notice</w:t>
      </w:r>
      <w:r>
        <w:rPr>
          <w:rFonts w:ascii="Times New Roman" w:cs="Times New Roman" w:eastAsia="Times New Roman" w:hAnsi="Times New Roman"/>
          <w:sz w:val="18"/>
          <w:szCs w:val="18"/>
          <w:color w:val="auto"/>
        </w:rPr>
        <w:t>” means an irrevocable written notice from a Term Lender accepting a Solicited Discounted Prepayment Offer to make a Discounted Term Loan Prepayment at the Acceptable Discount specified therein pursuant to Section 2.11(a)(ii)(D) substantially in the form of Exhibit M.</w:t>
      </w:r>
    </w:p>
    <w:p>
      <w:pPr>
        <w:spacing w:after="0" w:line="3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Date</w:t>
      </w:r>
      <w:r>
        <w:rPr>
          <w:rFonts w:ascii="Times New Roman" w:cs="Times New Roman" w:eastAsia="Times New Roman" w:hAnsi="Times New Roman"/>
          <w:sz w:val="18"/>
          <w:szCs w:val="18"/>
          <w:color w:val="auto"/>
        </w:rPr>
        <w:t>” has the meaning specified in Section 2.11(a)(ii)(D)(2). “</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has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meaning specified in Section 2.24(a).</w:t>
      </w:r>
    </w:p>
    <w:p>
      <w:pPr>
        <w:spacing w:after="0" w:line="104"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(any of the foregoing, a “</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for any period as the amount for such period of Consolidated EBITDA of such Pro Forma Entity (determined as if references to the Borrower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has the meaning given such term in the definition of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means any Additional Revolving Lender or any Additional Term Lender,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Additional/Replacement Revolving Commitment</w:t>
      </w:r>
      <w:r>
        <w:rPr>
          <w:rFonts w:ascii="Times New Roman" w:cs="Times New Roman" w:eastAsia="Times New Roman" w:hAnsi="Times New Roman"/>
          <w:sz w:val="18"/>
          <w:szCs w:val="18"/>
          <w:color w:val="auto"/>
        </w:rPr>
        <w:t>” has the meaning assigned to such term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2.20(a).</w:t>
      </w:r>
    </w:p>
    <w:p>
      <w:pPr>
        <w:spacing w:after="0" w:line="23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Revolving Lender</w:t>
      </w:r>
      <w:r>
        <w:rPr>
          <w:rFonts w:ascii="Times New Roman" w:cs="Times New Roman" w:eastAsia="Times New Roman" w:hAnsi="Times New Roman"/>
          <w:sz w:val="18"/>
          <w:szCs w:val="18"/>
          <w:color w:val="auto"/>
        </w:rPr>
        <w:t xml:space="preserve">”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 (b) Credit Agreement Refinancing Indebtedness in the form of Other Revolving Commitments pursuant to a Refinancing Amendment in accordance with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23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Lender</w:t>
      </w:r>
      <w:r>
        <w:rPr>
          <w:rFonts w:ascii="Times New Roman" w:cs="Times New Roman" w:eastAsia="Times New Roman" w:hAnsi="Times New Roman"/>
          <w:sz w:val="18"/>
          <w:szCs w:val="18"/>
          <w:color w:val="auto"/>
        </w:rPr>
        <w:t>”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w:t>
      </w:r>
    </w:p>
    <w:p>
      <w:pPr>
        <w:sectPr>
          <w:pgSz w:w="11900" w:h="16838" w:orient="portrait"/>
          <w:cols w:equalWidth="0" w:num="1">
            <w:col w:w="10040"/>
          </w:cols>
          <w:pgMar w:left="1020" w:top="1336" w:right="839" w:bottom="1440" w:gutter="0" w:footer="0" w:header="0"/>
        </w:sectPr>
      </w:pPr>
    </w:p>
    <w:bookmarkStart w:id="485" w:name="page486"/>
    <w:bookmarkEnd w:id="485"/>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 xml:space="preserve">Term Loans or Other First Lien Term Commitments pursuant to a Refinancing Amendment in accordance with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Term Lender shall be subject to the approval of the First Lien Administrative Agent if such consent would be required under 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22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xml:space="preserve">” means (i) with respect to the Revolving Loans </w:t>
      </w:r>
      <w:r>
        <w:rPr>
          <w:rFonts w:ascii="Times New Roman" w:cs="Times New Roman" w:eastAsia="Times New Roman" w:hAnsi="Times New Roman"/>
          <w:sz w:val="18"/>
          <w:szCs w:val="18"/>
          <w:color w:val="FF0000"/>
          <w:strike w:val="1"/>
        </w:rPr>
        <w:t>only</w:t>
      </w:r>
      <w:r>
        <w:rPr>
          <w:rFonts w:ascii="Times New Roman" w:cs="Times New Roman" w:eastAsia="Times New Roman" w:hAnsi="Times New Roman"/>
          <w:sz w:val="18"/>
          <w:szCs w:val="18"/>
          <w:color w:val="auto"/>
        </w:rPr>
        <w:t>, an interest rate per annum equal to</w:t>
      </w:r>
    </w:p>
    <w:p>
      <w:pPr>
        <w:spacing w:after="0" w:line="27" w:lineRule="exact"/>
        <w:rPr>
          <w:sz w:val="20"/>
          <w:szCs w:val="20"/>
          <w:color w:val="auto"/>
        </w:rPr>
      </w:pPr>
    </w:p>
    <w:p>
      <w:pPr>
        <w:jc w:val="both"/>
        <w:ind w:left="8" w:hanging="8"/>
        <w:spacing w:after="0" w:line="255" w:lineRule="auto"/>
        <w:tabs>
          <w:tab w:leader="none" w:pos="265"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Daily Simple SOFR, plus (b) 0.10% and (ii) with respect the Term Loans </w:t>
      </w:r>
      <w:r>
        <w:rPr>
          <w:rFonts w:ascii="Times New Roman" w:cs="Times New Roman" w:eastAsia="Times New Roman" w:hAnsi="Times New Roman"/>
          <w:sz w:val="18"/>
          <w:szCs w:val="18"/>
          <w:color w:val="FF0000"/>
        </w:rPr>
        <w:t>only,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interest rate per annum equal to (a) the</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Daily Simple SOFR</w:t>
      </w:r>
      <w:r>
        <w:rPr>
          <w:rFonts w:ascii="Times New Roman" w:cs="Times New Roman" w:eastAsia="Times New Roman" w:hAnsi="Times New Roman"/>
          <w:sz w:val="18"/>
          <w:szCs w:val="18"/>
          <w:color w:val="FF0000"/>
          <w:strike w:val="1"/>
        </w:rPr>
        <w:t>, plus (b) 0.11448% (11.448 basis points)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(i) and (ii), if Adjusted Daily Simple SOFR as so determined would be less than the Floor, such rate shall be deemed to be equal to the Floor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-358140</wp:posOffset>
            </wp:positionV>
            <wp:extent cx="4064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206" w:lineRule="exact"/>
        <w:rPr>
          <w:sz w:val="20"/>
          <w:szCs w:val="20"/>
          <w:color w:val="auto"/>
        </w:rPr>
      </w:pPr>
    </w:p>
    <w:p>
      <w:pPr>
        <w:jc w:val="both"/>
        <w:ind w:left="8"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SONIA</w:t>
      </w:r>
      <w:r>
        <w:rPr>
          <w:rFonts w:ascii="Times New Roman" w:cs="Times New Roman" w:eastAsia="Times New Roman" w:hAnsi="Times New Roman"/>
          <w:sz w:val="18"/>
          <w:szCs w:val="18"/>
          <w:color w:val="auto"/>
        </w:rPr>
        <w:t xml:space="preserve">” means, with respect to any SONIA Borrowing, an interest rate per annum equal to (a) Daily Simple SONIA, plus (b) 0.0326%;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SONIA Rate as so determined would be less than zero, such rate shall be deemed to be equal to zero for the purposes of this Agreement.</w:t>
      </w:r>
    </w:p>
    <w:p>
      <w:pPr>
        <w:spacing w:after="0" w:line="216" w:lineRule="exact"/>
        <w:rPr>
          <w:sz w:val="20"/>
          <w:szCs w:val="20"/>
          <w:color w:val="auto"/>
        </w:rPr>
      </w:pPr>
    </w:p>
    <w:p>
      <w:pPr>
        <w:jc w:val="both"/>
        <w:ind w:left="8"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(a) EURIBOR for such Interest Period multiplied by (b) the Statutory Reserve Rate.</w:t>
      </w:r>
    </w:p>
    <w:p>
      <w:pPr>
        <w:spacing w:after="0" w:line="189" w:lineRule="exact"/>
        <w:rPr>
          <w:sz w:val="20"/>
          <w:szCs w:val="20"/>
          <w:color w:val="auto"/>
        </w:rPr>
      </w:pPr>
    </w:p>
    <w:p>
      <w:pPr>
        <w:jc w:val="both"/>
        <w:ind w:left="8"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CORRA Rate</w:t>
      </w:r>
      <w:r>
        <w:rPr>
          <w:rFonts w:ascii="Times New Roman" w:cs="Times New Roman" w:eastAsia="Times New Roman" w:hAnsi="Times New Roman"/>
          <w:sz w:val="18"/>
          <w:szCs w:val="18"/>
          <w:color w:val="auto"/>
        </w:rPr>
        <w:t xml:space="preserve">” means, with respect to the Revolving Loans only, for any Interest Period, an interest rate per annum equal to Term CORRA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0.29547 for an Interest Period of one-month’s duration and (b) 0.32138 for an Interest Period of three-months’ duration;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CORRA Rate as so determined would be less than the Floor, such rate shall be deemed to be equal to the Floor for the purposes of this Agreement.</w:t>
      </w:r>
    </w:p>
    <w:p>
      <w:pPr>
        <w:spacing w:after="0" w:line="220" w:lineRule="exact"/>
        <w:rPr>
          <w:sz w:val="20"/>
          <w:szCs w:val="20"/>
          <w:color w:val="auto"/>
        </w:rPr>
      </w:pPr>
    </w:p>
    <w:p>
      <w:pPr>
        <w:jc w:val="both"/>
        <w:ind w:left="8"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(i) with respect to the Revolving Loans </w:t>
      </w:r>
      <w:r>
        <w:rPr>
          <w:rFonts w:ascii="Times New Roman" w:cs="Times New Roman" w:eastAsia="Times New Roman" w:hAnsi="Times New Roman"/>
          <w:sz w:val="18"/>
          <w:szCs w:val="18"/>
          <w:color w:val="FF0000"/>
          <w:strike w:val="1"/>
        </w:rPr>
        <w:t>only</w:t>
      </w:r>
      <w:r>
        <w:rPr>
          <w:rFonts w:ascii="Times New Roman" w:cs="Times New Roman" w:eastAsia="Times New Roman" w:hAnsi="Times New Roman"/>
          <w:sz w:val="18"/>
          <w:szCs w:val="18"/>
          <w:color w:val="auto"/>
        </w:rPr>
        <w:t xml:space="preserve">, for any Interest Period, an interest rate per annum equal to (a) the Term SOFR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0.10% (10 basis points) and (ii) with respect to the Term Loans </w:t>
      </w:r>
      <w:r>
        <w:rPr>
          <w:rFonts w:ascii="Times New Roman" w:cs="Times New Roman" w:eastAsia="Times New Roman" w:hAnsi="Times New Roman"/>
          <w:sz w:val="18"/>
          <w:szCs w:val="18"/>
          <w:color w:val="FF0000"/>
        </w:rPr>
        <w:t>only, (a) 0.11448% (11.448 basis points) for an Interest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of one-month’s duration, (b) 0.26161% (26.161 basis points) for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Interest Period of three-months’ duration,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-212090</wp:posOffset>
            </wp:positionV>
            <wp:extent cx="29260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926080" cy="8890"/>
                    </a:xfrm>
                    <a:prstGeom prst="rect">
                      <a:avLst/>
                    </a:prstGeom>
                    <a:noFill/>
                  </pic:spPr>
                </pic:pic>
              </a:graphicData>
            </a:graphic>
          </wp:anchor>
        </w:drawing>
      </w:r>
    </w:p>
    <w:p>
      <w:pPr>
        <w:jc w:val="both"/>
        <w:ind w:left="8" w:right="20" w:hanging="8"/>
        <w:spacing w:after="0" w:line="255" w:lineRule="auto"/>
        <w:tabs>
          <w:tab w:leader="none" w:pos="264" w:val="left"/>
        </w:tabs>
        <w:numPr>
          <w:ilvl w:val="0"/>
          <w:numId w:val="52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0.42826% (42.826 basis points) for an Interest Period of six-months’ duration</w:t>
      </w:r>
      <w:r>
        <w:rPr>
          <w:rFonts w:ascii="Times New Roman" w:cs="Times New Roman" w:eastAsia="Times New Roman" w:hAnsi="Times New Roman"/>
          <w:sz w:val="18"/>
          <w:szCs w:val="18"/>
          <w:u w:val="single" w:color="auto"/>
          <w:color w:val="0000FF"/>
        </w:rPr>
        <w:t>, Term SOFR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for the purposes of (i)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(ii), if the Adjusted Term SOFR Rate as so determined would be less than the Floor, such rate shall be deemed to be equal to the Floor for the purposes of this Agreement.</w:t>
      </w:r>
    </w:p>
    <w:p>
      <w:pPr>
        <w:spacing w:after="0" w:line="226" w:lineRule="exact"/>
        <w:rPr>
          <w:sz w:val="20"/>
          <w:szCs w:val="20"/>
          <w:color w:val="auto"/>
        </w:rPr>
      </w:pPr>
    </w:p>
    <w:p>
      <w:pPr>
        <w:jc w:val="both"/>
        <w:ind w:left="8"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First Lien Administrative Agent.</w:t>
      </w:r>
    </w:p>
    <w:p>
      <w:pPr>
        <w:spacing w:after="0" w:line="20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has the meaning specified in Section 2.24(a).</w:t>
      </w:r>
    </w:p>
    <w:p>
      <w:pPr>
        <w:spacing w:after="0" w:line="25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Institution.</w:t>
      </w:r>
    </w:p>
    <w:p>
      <w:pPr>
        <w:spacing w:after="0" w:line="247" w:lineRule="exact"/>
        <w:rPr>
          <w:sz w:val="20"/>
          <w:szCs w:val="20"/>
          <w:color w:val="auto"/>
        </w:rPr>
      </w:pPr>
    </w:p>
    <w:p>
      <w:pPr>
        <w:jc w:val="both"/>
        <w:ind w:left="8"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Controls or is Controlled by or is under common Control with the Person specified. For purposes of this Agreement and the other First Lien Loan Documents, Jefferies LLC and its Affiliates shall be deemed to be Affiliates of Jefferies Finance LLC and its Affiliates.</w:t>
      </w:r>
    </w:p>
    <w:p>
      <w:pPr>
        <w:spacing w:after="0" w:line="216" w:lineRule="exact"/>
        <w:rPr>
          <w:sz w:val="20"/>
          <w:szCs w:val="20"/>
          <w:color w:val="auto"/>
        </w:rPr>
      </w:pPr>
    </w:p>
    <w:p>
      <w:pPr>
        <w:jc w:val="both"/>
        <w:ind w:left="8"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Debt Fund</w:t>
      </w:r>
      <w:r>
        <w:rPr>
          <w:rFonts w:ascii="Times New Roman" w:cs="Times New Roman" w:eastAsia="Times New Roman" w:hAnsi="Times New Roman"/>
          <w:sz w:val="18"/>
          <w:szCs w:val="18"/>
          <w:color w:val="auto"/>
        </w:rPr>
        <w:t>”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sectPr>
          <w:pgSz w:w="11900" w:h="16838" w:orient="portrait"/>
          <w:cols w:equalWidth="0" w:num="1">
            <w:col w:w="10028"/>
          </w:cols>
          <w:pgMar w:left="1012" w:top="1336" w:right="859" w:bottom="1440" w:gutter="0" w:footer="0" w:header="0"/>
        </w:sectPr>
      </w:pPr>
    </w:p>
    <w:bookmarkStart w:id="486" w:name="page487"/>
    <w:bookmarkEnd w:id="486"/>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w:t>
      </w:r>
    </w:p>
    <w:p>
      <w:pPr>
        <w:spacing w:after="0" w:line="21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First Lien Administrative Agent, the First Lien Collateral Agent, each Joint Lead Arranger and any successors and assigns of the foregoing in such capacity, and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two or more of them.</w:t>
      </w:r>
    </w:p>
    <w:p>
      <w:pPr>
        <w:spacing w:after="0" w:line="3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given to such term in Section 9.01(c). “</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Dollars and each Alternative Currency.</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given to such term in the preliminary statements hereto.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meaning assigned to such term in Section 9.17.</w:t>
      </w:r>
    </w:p>
    <w:p>
      <w:pPr>
        <w:spacing w:after="0" w:line="10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0.50%, (c) the Adjusted Term SOFR Rate for a one month Interest Period as published two U.S. Governmental Securities Business Days prior to such day (or if such day is not a U.S. Governmental Securities Business Day, the immediately preceding U.S. Governmental Securities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clause (c)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on the effective date of such change in the Prime Rate, the NYFRB Rate, or the Adjusted Term SOFR Rate, as the case may be. Notwithstanding the foregoing, (i) with respect to the Term Loans only, the Alternate Base Rate will be deemed to be 0.00% per annum if the Alternate Base Rate calculated pursuant to the foregoing provisions would otherwise be less than 0.00% per annum and (ii)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w:t>
      </w:r>
    </w:p>
    <w:p>
      <w:pPr>
        <w:spacing w:after="0" w:line="22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Canadian Dollars, Euros, Sterling and each other currency (other than Dollars) that is requested by the Borrower and approved in accordance with Section 1.08.</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First Lien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First Lien Administrative Agent in its sole discretion (or if such service ceases to be available or ceases to provide such rate of exchange, the equivalent of such amount in Dollars as determined by the First Lien Administrative Agent using any method of determination it deems appropriate in its sole discretion).</w:t>
      </w:r>
    </w:p>
    <w:p>
      <w:pPr>
        <w:spacing w:after="0" w:line="2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means Incremental Amendment No. 1 to this Agreement dated as of December 17, 2020.</w:t>
      </w:r>
    </w:p>
    <w:p>
      <w:pPr>
        <w:spacing w:after="0" w:line="2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means December 17, 2020, the date of effectiveness of Amendment No. 1.</w:t>
      </w:r>
    </w:p>
    <w:p>
      <w:pPr>
        <w:sectPr>
          <w:pgSz w:w="11900" w:h="16838" w:orient="portrait"/>
          <w:cols w:equalWidth="0" w:num="1">
            <w:col w:w="10020"/>
          </w:cols>
          <w:pgMar w:left="1020" w:top="1336" w:right="859" w:bottom="1440" w:gutter="0" w:footer="0" w:header="0"/>
        </w:sectPr>
      </w:pPr>
    </w:p>
    <w:bookmarkStart w:id="487" w:name="page488"/>
    <w:bookmarkEnd w:id="487"/>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Revolving Commitment Increase</w:t>
      </w:r>
      <w:r>
        <w:rPr>
          <w:rFonts w:ascii="Times New Roman" w:cs="Times New Roman" w:eastAsia="Times New Roman" w:hAnsi="Times New Roman"/>
          <w:sz w:val="18"/>
          <w:szCs w:val="18"/>
          <w:color w:val="auto"/>
        </w:rPr>
        <w:t>” means the obligation of each Incremental Amendment Revolving Lender (as defined in Amendment No. 1) to provide Incremental Revolving Commitments to the Borrower on the Amendment No. 1 Effective Date in an aggregate principal amount equal to $157,500,000.</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means Incremental Amendment No. 2 to this Agreement dated as of March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21, 2023.</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means March 21, 2023, the date of effectiveness of Amendment No. 2.</w:t>
      </w:r>
    </w:p>
    <w:p>
      <w:pPr>
        <w:spacing w:after="0" w:line="252"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Revolving Commitment Increase</w:t>
      </w:r>
      <w:r>
        <w:rPr>
          <w:rFonts w:ascii="Times New Roman" w:cs="Times New Roman" w:eastAsia="Times New Roman" w:hAnsi="Times New Roman"/>
          <w:sz w:val="18"/>
          <w:szCs w:val="18"/>
          <w:color w:val="auto"/>
        </w:rPr>
        <w:t>” means the obligation of each Incremental Amendment Revolving Lender (as defined in Amendment No. 2) to provide Incremental Revolving Commitments to the Borrower on the Amendment No. 2 Effective Date in an aggregate principal amount equal to $76,250,000.</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means Amendment No. 3 to this Agreement dated as of March 1, 2024. “</w:t>
      </w:r>
      <w:r>
        <w:rPr>
          <w:rFonts w:ascii="Times New Roman" w:cs="Times New Roman" w:eastAsia="Times New Roman" w:hAnsi="Times New Roman"/>
          <w:sz w:val="18"/>
          <w:szCs w:val="18"/>
          <w:u w:val="single" w:color="auto"/>
          <w:color w:val="auto"/>
        </w:rPr>
        <w:t>Amendment No. 3 Effective</w:t>
      </w:r>
    </w:p>
    <w:p>
      <w:pPr>
        <w:spacing w:after="0" w:line="279" w:lineRule="exact"/>
        <w:rPr>
          <w:sz w:val="20"/>
          <w:szCs w:val="20"/>
          <w:color w:val="auto"/>
        </w:rPr>
      </w:pPr>
    </w:p>
    <w:p>
      <w:pPr>
        <w:ind w:right="4780" w:firstLine="1295"/>
        <w:spacing w:after="0" w:line="438" w:lineRule="auto"/>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means March 1, 2024, the date of effectiveness of Amendment No. 3.</w:t>
      </w:r>
    </w:p>
    <w:p>
      <w:pPr>
        <w:spacing w:after="0" w:line="68" w:lineRule="exact"/>
        <w:rPr>
          <w:sz w:val="20"/>
          <w:szCs w:val="20"/>
          <w:color w:val="auto"/>
        </w:rPr>
      </w:pPr>
    </w:p>
    <w:p>
      <w:pPr>
        <w:jc w:val="both"/>
        <w:ind w:right="1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Refinancing Revolving Commitment</w:t>
      </w:r>
      <w:r>
        <w:rPr>
          <w:rFonts w:ascii="Times New Roman" w:cs="Times New Roman" w:eastAsia="Times New Roman" w:hAnsi="Times New Roman"/>
          <w:sz w:val="18"/>
          <w:szCs w:val="18"/>
          <w:color w:val="auto"/>
        </w:rPr>
        <w:t>” means the obligation of each Refinancing Revolving Lender (as defined in Amendment No. 3) to provide Refinancing Revolving Commitments (as defined in Amendment No. 3) to the Borrower on the Amendment No. 3 Effective Date in an aggregate principal amount equal to $83,000,000. The Amendment No. 3 Refinancing Revolving Commitments will be treated as part of the same Class of Revolving Commitments as the Revolving Commitments outstanding immediately prior to the Amendment No. 3 Effective Date.</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“Amendment No. 4” means Amendment No. 4 to this Agreement dated as May 30, 2024.</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t>“Amendment No. 4 Effective Date” means May 30, 2024, the date of effectiveness of Amendment No. 4.</w:t>
      </w:r>
    </w:p>
    <w:p>
      <w:pPr>
        <w:spacing w:after="0" w:line="2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0000FF"/>
        </w:rPr>
        <w:t>“Amendment No. 4 Transactions” has the meaning specified in Amendment No. 4.</w:t>
      </w:r>
    </w:p>
    <w:p>
      <w:pPr>
        <w:spacing w:after="0" w:line="266" w:lineRule="exact"/>
        <w:rPr>
          <w:sz w:val="20"/>
          <w:szCs w:val="20"/>
          <w:color w:val="auto"/>
        </w:rPr>
      </w:pPr>
    </w:p>
    <w:p>
      <w:pPr>
        <w:jc w:val="both"/>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w:t>
      </w:r>
      <w:r>
        <w:rPr>
          <w:rFonts w:ascii="Times New Roman" w:cs="Times New Roman" w:eastAsia="Times New Roman" w:hAnsi="Times New Roman"/>
          <w:sz w:val="18"/>
          <w:szCs w:val="18"/>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Discount</w:t>
      </w:r>
      <w:r>
        <w:rPr>
          <w:rFonts w:ascii="Times New Roman" w:cs="Times New Roman" w:eastAsia="Times New Roman" w:hAnsi="Times New Roman"/>
          <w:sz w:val="18"/>
          <w:szCs w:val="18"/>
          <w:color w:val="auto"/>
        </w:rPr>
        <w:t>” has the meaning assigned to such term in Section 2.11(a)(ii)(C)(2). “</w:t>
      </w:r>
      <w:r>
        <w:rPr>
          <w:rFonts w:ascii="Times New Roman" w:cs="Times New Roman" w:eastAsia="Times New Roman" w:hAnsi="Times New Roman"/>
          <w:sz w:val="18"/>
          <w:szCs w:val="18"/>
          <w:u w:val="single" w:color="auto"/>
          <w:color w:val="auto"/>
        </w:rPr>
        <w:t>Applicable Fronting</w:t>
      </w:r>
    </w:p>
    <w:p>
      <w:pPr>
        <w:spacing w:after="0" w:line="2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Exposure</w:t>
      </w:r>
      <w:r>
        <w:rPr>
          <w:rFonts w:ascii="Times New Roman" w:cs="Times New Roman" w:eastAsia="Times New Roman" w:hAnsi="Times New Roman"/>
          <w:sz w:val="18"/>
          <w:szCs w:val="18"/>
          <w:color w:val="auto"/>
        </w:rPr>
        <w:t>” means, with respect to any Person that is an Issuing Bank or the</w:t>
      </w:r>
    </w:p>
    <w:p>
      <w:pPr>
        <w:spacing w:after="0" w:line="15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224" w:lineRule="exact"/>
        <w:rPr>
          <w:sz w:val="20"/>
          <w:szCs w:val="20"/>
          <w:color w:val="auto"/>
        </w:rPr>
      </w:pPr>
    </w:p>
    <w:p>
      <w:pPr>
        <w:jc w:val="both"/>
        <w:ind w:right="100" w:firstLine="14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any time any Revolving Lender shall be a Defaulting Lender, “Applicable Percentage” shall</w:t>
      </w:r>
    </w:p>
    <w:p>
      <w:pPr>
        <w:sectPr>
          <w:pgSz w:w="11900" w:h="16838" w:orient="portrait"/>
          <w:cols w:equalWidth="0" w:num="1">
            <w:col w:w="10120"/>
          </w:cols>
          <w:pgMar w:left="1020" w:top="1336" w:right="759" w:bottom="1440" w:gutter="0" w:footer="0" w:header="0"/>
        </w:sectPr>
      </w:pPr>
    </w:p>
    <w:bookmarkStart w:id="488" w:name="page489"/>
    <w:bookmarkEnd w:id="488"/>
    <w:p>
      <w:pPr>
        <w:jc w:val="both"/>
        <w:ind w:left="700" w:right="40"/>
        <w:spacing w:after="0" w:line="261" w:lineRule="auto"/>
        <w:rPr>
          <w:sz w:val="20"/>
          <w:szCs w:val="20"/>
          <w:color w:val="auto"/>
        </w:rPr>
      </w:pPr>
      <w:r>
        <w:rPr>
          <w:rFonts w:ascii="Times New Roman" w:cs="Times New Roman" w:eastAsia="Times New Roman" w:hAnsi="Times New Roman"/>
          <w:sz w:val="18"/>
          <w:szCs w:val="18"/>
          <w:color w:val="auto"/>
        </w:rPr>
        <w:t>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spacing w:after="0" w:line="220" w:lineRule="exact"/>
        <w:rPr>
          <w:sz w:val="20"/>
          <w:szCs w:val="20"/>
          <w:color w:val="auto"/>
        </w:rPr>
      </w:pPr>
    </w:p>
    <w:p>
      <w:pPr>
        <w:jc w:val="both"/>
        <w:ind w:left="700" w:right="40" w:firstLine="1295"/>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xml:space="preserve">” means, for any day, (a) with respect to any SONIA Loan, Adjusted Daily Simple SONIA plus 2.75% per annum, (b) with respect to any </w:t>
      </w:r>
      <w:r>
        <w:rPr>
          <w:rFonts w:ascii="Times New Roman" w:cs="Times New Roman" w:eastAsia="Times New Roman" w:hAnsi="Times New Roman"/>
          <w:sz w:val="17"/>
          <w:szCs w:val="17"/>
          <w:color w:val="FF0000"/>
          <w:strike w:val="1"/>
        </w:rPr>
        <w:t>Term Loan denominated in Dollars, (i) in the case of an ABR Loan, the Alternate Base Rate plus 1.75%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per annum, (ii) in the case of a Term Benchmark Loan, the Adjusted Term SOFR Rate plus 2.75% per annum or (iii) in the case of a RFR Loan, Adjusted Daily Simple SOFR plus 2.75% per annum,</w:t>
      </w:r>
      <w:r>
        <w:rPr>
          <w:rFonts w:ascii="Times New Roman" w:cs="Times New Roman" w:eastAsia="Times New Roman" w:hAnsi="Times New Roman"/>
          <w:sz w:val="17"/>
          <w:szCs w:val="17"/>
          <w:u w:val="single" w:color="auto"/>
          <w:color w:val="0000FF"/>
          <w:strike w:val="1"/>
        </w:rPr>
        <w:t>2024 Refinancing Term Loans, the applicable rate per annum set forth below</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u w:val="single" w:color="auto"/>
          <w:color w:val="0000FF"/>
          <w:strike w:val="1"/>
        </w:rPr>
        <w:t>under the caption for such 2024 Refinancing Term Loans, in each case for the purposes of this clause (b), based upon the Senior Secured First Lien Net Leverage Ratio as of the most recent Test Period; provided that until the date of the delivery of the relevant consolidated financial statements pursuant to Section 5.01(a) or (b), as applicable, as of the Amendment No. 4 Effective Date the Applicable Rate shall be based on the rates per annum set forth in Category 1 immediately below,</w:t>
      </w:r>
      <w:r>
        <w:rPr>
          <w:rFonts w:ascii="Times New Roman" w:cs="Times New Roman" w:eastAsia="Times New Roman" w:hAnsi="Times New Roman"/>
          <w:sz w:val="17"/>
          <w:szCs w:val="17"/>
          <w:color w:val="0000FF"/>
          <w:strike w:val="1"/>
        </w:rPr>
        <w:t xml:space="preserve"> </w:t>
      </w:r>
      <w:r>
        <w:rPr>
          <w:rFonts w:ascii="Times New Roman" w:cs="Times New Roman" w:eastAsia="Times New Roman" w:hAnsi="Times New Roman"/>
          <w:sz w:val="17"/>
          <w:szCs w:val="17"/>
          <w:color w:val="000000"/>
          <w:strike w:val="1"/>
        </w:rPr>
        <w:t>(c) with respect to any Loan denominated in Euros, Adjusted</w:t>
      </w:r>
      <w:r>
        <w:rPr>
          <w:rFonts w:ascii="Times New Roman" w:cs="Times New Roman" w:eastAsia="Times New Roman" w:hAnsi="Times New Roman"/>
          <w:sz w:val="17"/>
          <w:szCs w:val="17"/>
          <w:color w:val="0000FF"/>
          <w:strike w:val="1"/>
        </w:rPr>
        <w:t xml:space="preserve"> </w:t>
      </w:r>
      <w:r>
        <w:rPr>
          <w:rFonts w:ascii="Times New Roman" w:cs="Times New Roman" w:eastAsia="Times New Roman" w:hAnsi="Times New Roman"/>
          <w:sz w:val="17"/>
          <w:szCs w:val="17"/>
          <w:color w:val="000000"/>
          <w:strike w:val="1"/>
        </w:rPr>
        <w:t>EURIBOR Rate plus 2.75% per annum, (d) with respect to any Loan denominated in Canadian Dollars, (i) in the case of any ABR Loan, the Canadian Base Rate plus 1.75% per annum or (ii) in the case of a Term Benchmark Loan, the Adjusted Term CORRA Rate plus 2.75% and (e) with respect to any Revolving Loan denominated in Dollars, (i) in the case of an ABR Loan, the Alternate Base Rate plus 1.75%,</w:t>
      </w:r>
    </w:p>
    <w:p>
      <w:pPr>
        <w:spacing w:after="0" w:line="2" w:lineRule="exact"/>
        <w:rPr>
          <w:sz w:val="20"/>
          <w:szCs w:val="20"/>
          <w:color w:val="auto"/>
        </w:rPr>
      </w:pPr>
    </w:p>
    <w:p>
      <w:pPr>
        <w:ind w:left="700" w:right="40" w:hanging="9"/>
        <w:spacing w:after="0" w:line="260" w:lineRule="auto"/>
        <w:tabs>
          <w:tab w:leader="none" w:pos="971"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Loan, the Adjusted Term SOFR Rate plus 2.75%, or (iii) in the case of a RFR Loan, Adjusted Daily Simple SOFR plus 2.75%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6043295" cy="3429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043295" cy="342900"/>
                    </a:xfrm>
                    <a:prstGeom prst="rect">
                      <a:avLst/>
                    </a:prstGeom>
                    <a:noFill/>
                  </pic:spPr>
                </pic:pic>
              </a:graphicData>
            </a:graphic>
          </wp:anchor>
        </w:drawing>
      </w:r>
    </w:p>
    <w:p>
      <w:pPr>
        <w:spacing w:after="0" w:line="24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u w:val="single" w:color="auto"/>
          <w:color w:val="0000FF"/>
        </w:rPr>
        <w:t>Applicable Rate for 2024 Refinancing Term Loans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Borders>
              <w:top w:val="single" w:sz="8" w:color="010101"/>
            </w:tcBorders>
            <w:shd w:val="clear" w:color="auto" w:fill="E6E6F9"/>
          </w:tcPr>
          <w:p>
            <w:pPr>
              <w:spacing w:after="0"/>
              <w:rPr>
                <w:sz w:val="18"/>
                <w:szCs w:val="18"/>
                <w:color w:val="auto"/>
              </w:rPr>
            </w:pPr>
          </w:p>
        </w:tc>
        <w:tc>
          <w:tcPr>
            <w:tcW w:w="2180" w:type="dxa"/>
            <w:vAlign w:val="bottom"/>
            <w:tcBorders>
              <w:top w:val="single" w:sz="8" w:color="010101"/>
            </w:tcBorders>
            <w:gridSpan w:val="7"/>
            <w:shd w:val="clear" w:color="auto" w:fill="E6E6F9"/>
          </w:tcPr>
          <w:p>
            <w:pPr>
              <w:jc w:val="center"/>
              <w:ind w:right="340"/>
              <w:spacing w:after="0"/>
              <w:rPr>
                <w:sz w:val="20"/>
                <w:szCs w:val="20"/>
                <w:color w:val="auto"/>
              </w:rPr>
            </w:pPr>
            <w:r>
              <w:rPr>
                <w:rFonts w:ascii="Times New Roman" w:cs="Times New Roman" w:eastAsia="Times New Roman" w:hAnsi="Times New Roman"/>
                <w:sz w:val="18"/>
                <w:szCs w:val="18"/>
                <w:color w:val="0000FF"/>
                <w:w w:val="99"/>
              </w:rPr>
              <w:t>Senior Secured First Lien</w:t>
            </w:r>
          </w:p>
        </w:tc>
        <w:tc>
          <w:tcPr>
            <w:tcW w:w="380" w:type="dxa"/>
            <w:vAlign w:val="bottom"/>
            <w:tcBorders>
              <w:top w:val="single" w:sz="8" w:color="010101"/>
            </w:tcBorders>
          </w:tcPr>
          <w:p>
            <w:pPr>
              <w:spacing w:after="0"/>
              <w:rPr>
                <w:sz w:val="18"/>
                <w:szCs w:val="18"/>
                <w:color w:val="auto"/>
              </w:rPr>
            </w:pPr>
          </w:p>
        </w:tc>
        <w:tc>
          <w:tcPr>
            <w:tcW w:w="1920" w:type="dxa"/>
            <w:vAlign w:val="bottom"/>
            <w:tcBorders>
              <w:top w:val="single" w:sz="8" w:color="010101"/>
            </w:tcBorders>
            <w:gridSpan w:val="6"/>
          </w:tcPr>
          <w:p>
            <w:pPr>
              <w:jc w:val="center"/>
              <w:ind w:right="380"/>
              <w:spacing w:after="0"/>
              <w:rPr>
                <w:sz w:val="20"/>
                <w:szCs w:val="20"/>
                <w:color w:val="auto"/>
              </w:rPr>
            </w:pPr>
            <w:r>
              <w:rPr>
                <w:rFonts w:ascii="Times New Roman" w:cs="Times New Roman" w:eastAsia="Times New Roman" w:hAnsi="Times New Roman"/>
                <w:sz w:val="18"/>
                <w:szCs w:val="18"/>
                <w:color w:val="0000FF"/>
              </w:rPr>
              <w:t>ABR Loans</w:t>
            </w:r>
          </w:p>
        </w:tc>
        <w:tc>
          <w:tcPr>
            <w:tcW w:w="420" w:type="dxa"/>
            <w:vAlign w:val="bottom"/>
            <w:tcBorders>
              <w:top w:val="single" w:sz="8" w:color="010101"/>
            </w:tcBorders>
          </w:tcPr>
          <w:p>
            <w:pPr>
              <w:spacing w:after="0"/>
              <w:rPr>
                <w:sz w:val="18"/>
                <w:szCs w:val="18"/>
                <w:color w:val="auto"/>
              </w:rPr>
            </w:pPr>
          </w:p>
        </w:tc>
        <w:tc>
          <w:tcPr>
            <w:tcW w:w="2140" w:type="dxa"/>
            <w:vAlign w:val="bottom"/>
            <w:tcBorders>
              <w:top w:val="single" w:sz="8" w:color="010101"/>
            </w:tcBorders>
            <w:gridSpan w:val="8"/>
          </w:tcPr>
          <w:p>
            <w:pPr>
              <w:jc w:val="center"/>
              <w:ind w:right="420"/>
              <w:spacing w:after="0"/>
              <w:rPr>
                <w:sz w:val="20"/>
                <w:szCs w:val="20"/>
                <w:color w:val="auto"/>
              </w:rPr>
            </w:pPr>
            <w:r>
              <w:rPr>
                <w:rFonts w:ascii="Times New Roman" w:cs="Times New Roman" w:eastAsia="Times New Roman" w:hAnsi="Times New Roman"/>
                <w:sz w:val="18"/>
                <w:szCs w:val="18"/>
                <w:color w:val="0000FF"/>
              </w:rPr>
              <w:t>RFR Loan</w:t>
            </w:r>
          </w:p>
        </w:tc>
        <w:tc>
          <w:tcPr>
            <w:tcW w:w="2140" w:type="dxa"/>
            <w:vAlign w:val="bottom"/>
            <w:tcBorders>
              <w:top w:val="single" w:sz="8" w:color="010101"/>
            </w:tcBorders>
            <w:gridSpan w:val="8"/>
          </w:tcPr>
          <w:p>
            <w:pPr>
              <w:jc w:val="center"/>
              <w:spacing w:after="0"/>
              <w:rPr>
                <w:sz w:val="20"/>
                <w:szCs w:val="20"/>
                <w:color w:val="auto"/>
              </w:rPr>
            </w:pPr>
            <w:r>
              <w:rPr>
                <w:rFonts w:ascii="Times New Roman" w:cs="Times New Roman" w:eastAsia="Times New Roman" w:hAnsi="Times New Roman"/>
                <w:sz w:val="18"/>
                <w:szCs w:val="18"/>
                <w:color w:val="0000FF"/>
                <w:w w:val="99"/>
              </w:rPr>
              <w:t>Term Benchmark</w:t>
            </w:r>
          </w:p>
        </w:tc>
        <w:tc>
          <w:tcPr>
            <w:tcW w:w="0" w:type="dxa"/>
            <w:vAlign w:val="bottom"/>
          </w:tcPr>
          <w:p>
            <w:pPr>
              <w:spacing w:after="0"/>
              <w:rPr>
                <w:sz w:val="1"/>
                <w:szCs w:val="1"/>
                <w:color w:val="auto"/>
              </w:rPr>
            </w:pPr>
          </w:p>
        </w:tc>
      </w:tr>
      <w:tr>
        <w:trPr>
          <w:trHeight w:val="34"/>
        </w:trPr>
        <w:tc>
          <w:tcPr>
            <w:tcW w:w="340" w:type="dxa"/>
            <w:vAlign w:val="bottom"/>
            <w:tcBorders>
              <w:top w:val="single" w:sz="8" w:color="E6E6F9"/>
            </w:tcBorders>
            <w:vMerge w:val="restart"/>
            <w:shd w:val="clear" w:color="auto" w:fill="E6E6F9"/>
          </w:tcPr>
          <w:p>
            <w:pPr>
              <w:spacing w:after="0"/>
              <w:rPr>
                <w:sz w:val="2"/>
                <w:szCs w:val="2"/>
                <w:color w:val="auto"/>
              </w:rPr>
            </w:pPr>
          </w:p>
        </w:tc>
        <w:tc>
          <w:tcPr>
            <w:tcW w:w="120" w:type="dxa"/>
            <w:vAlign w:val="bottom"/>
            <w:tcBorders>
              <w:top w:val="single" w:sz="8" w:color="0000FF"/>
            </w:tcBorders>
            <w:vMerge w:val="restart"/>
            <w:shd w:val="clear" w:color="auto" w:fill="E6E6F9"/>
          </w:tcPr>
          <w:p>
            <w:pPr>
              <w:spacing w:after="0"/>
              <w:rPr>
                <w:sz w:val="2"/>
                <w:szCs w:val="2"/>
                <w:color w:val="auto"/>
              </w:rPr>
            </w:pPr>
          </w:p>
        </w:tc>
        <w:tc>
          <w:tcPr>
            <w:tcW w:w="100" w:type="dxa"/>
            <w:vAlign w:val="bottom"/>
            <w:tcBorders>
              <w:top w:val="single" w:sz="8" w:color="0000FF"/>
              <w:right w:val="single" w:sz="8" w:color="E6E6F9"/>
            </w:tcBorders>
            <w:vMerge w:val="restart"/>
            <w:shd w:val="clear" w:color="auto" w:fill="E6E6F9"/>
          </w:tcPr>
          <w:p>
            <w:pPr>
              <w:spacing w:after="0"/>
              <w:rPr>
                <w:sz w:val="2"/>
                <w:szCs w:val="2"/>
                <w:color w:val="auto"/>
              </w:rPr>
            </w:pPr>
          </w:p>
        </w:tc>
        <w:tc>
          <w:tcPr>
            <w:tcW w:w="1620" w:type="dxa"/>
            <w:vAlign w:val="bottom"/>
            <w:tcBorders>
              <w:top w:val="single" w:sz="8" w:color="0000FF"/>
            </w:tcBorders>
            <w:gridSpan w:val="4"/>
            <w:vMerge w:val="restart"/>
            <w:shd w:val="clear" w:color="auto" w:fill="E6E6F9"/>
          </w:tcPr>
          <w:p>
            <w:pPr>
              <w:jc w:val="center"/>
              <w:ind w:right="220"/>
              <w:spacing w:after="0"/>
              <w:rPr>
                <w:sz w:val="20"/>
                <w:szCs w:val="20"/>
                <w:color w:val="auto"/>
              </w:rPr>
            </w:pPr>
            <w:r>
              <w:rPr>
                <w:rFonts w:ascii="Times New Roman" w:cs="Times New Roman" w:eastAsia="Times New Roman" w:hAnsi="Times New Roman"/>
                <w:sz w:val="18"/>
                <w:szCs w:val="18"/>
                <w:color w:val="0000FF"/>
                <w:w w:val="99"/>
              </w:rPr>
              <w:t>Net Leverage Ratio</w:t>
            </w:r>
          </w:p>
        </w:tc>
        <w:tc>
          <w:tcPr>
            <w:tcW w:w="340" w:type="dxa"/>
            <w:vAlign w:val="bottom"/>
            <w:tcBorders>
              <w:top w:val="single" w:sz="8" w:color="E6E6F9"/>
            </w:tcBorders>
            <w:vMerge w:val="restart"/>
            <w:shd w:val="clear" w:color="auto" w:fill="E6E6F9"/>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vMerge w:val="continue"/>
            <w:shd w:val="clear" w:color="auto" w:fill="E6E6F9"/>
          </w:tcPr>
          <w:p>
            <w:pPr>
              <w:spacing w:after="0"/>
              <w:rPr>
                <w:sz w:val="16"/>
                <w:szCs w:val="16"/>
                <w:color w:val="auto"/>
              </w:rPr>
            </w:pPr>
          </w:p>
        </w:tc>
        <w:tc>
          <w:tcPr>
            <w:tcW w:w="120" w:type="dxa"/>
            <w:vAlign w:val="bottom"/>
            <w:vMerge w:val="continue"/>
            <w:shd w:val="clear" w:color="auto" w:fill="E6E6F9"/>
          </w:tcPr>
          <w:p>
            <w:pPr>
              <w:spacing w:after="0"/>
              <w:rPr>
                <w:sz w:val="16"/>
                <w:szCs w:val="16"/>
                <w:color w:val="auto"/>
              </w:rPr>
            </w:pPr>
          </w:p>
        </w:tc>
        <w:tc>
          <w:tcPr>
            <w:tcW w:w="100" w:type="dxa"/>
            <w:vAlign w:val="bottom"/>
            <w:tcBorders>
              <w:right w:val="single" w:sz="8" w:color="E6E6F9"/>
            </w:tcBorders>
            <w:vMerge w:val="continue"/>
            <w:shd w:val="clear" w:color="auto" w:fill="E6E6F9"/>
          </w:tcPr>
          <w:p>
            <w:pPr>
              <w:spacing w:after="0"/>
              <w:rPr>
                <w:sz w:val="16"/>
                <w:szCs w:val="16"/>
                <w:color w:val="auto"/>
              </w:rPr>
            </w:pPr>
          </w:p>
        </w:tc>
        <w:tc>
          <w:tcPr>
            <w:tcW w:w="1620" w:type="dxa"/>
            <w:vAlign w:val="bottom"/>
            <w:gridSpan w:val="4"/>
            <w:vMerge w:val="continue"/>
            <w:shd w:val="clear" w:color="auto" w:fill="E6E6F9"/>
          </w:tcPr>
          <w:p>
            <w:pPr>
              <w:spacing w:after="0"/>
              <w:rPr>
                <w:sz w:val="16"/>
                <w:szCs w:val="16"/>
                <w:color w:val="auto"/>
              </w:rPr>
            </w:pPr>
          </w:p>
        </w:tc>
        <w:tc>
          <w:tcPr>
            <w:tcW w:w="340" w:type="dxa"/>
            <w:vAlign w:val="bottom"/>
            <w:vMerge w:val="continue"/>
            <w:shd w:val="clear" w:color="auto" w:fill="E6E6F9"/>
          </w:tcPr>
          <w:p>
            <w:pPr>
              <w:spacing w:after="0"/>
              <w:rPr>
                <w:sz w:val="16"/>
                <w:szCs w:val="16"/>
                <w:color w:val="auto"/>
              </w:rPr>
            </w:pPr>
          </w:p>
        </w:tc>
        <w:tc>
          <w:tcPr>
            <w:tcW w:w="2300" w:type="dxa"/>
            <w:vAlign w:val="bottom"/>
            <w:gridSpan w:val="7"/>
            <w:shd w:val="clear" w:color="auto" w:fill="E6E6F9"/>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(Alternate Base Rate)</w:t>
            </w:r>
          </w:p>
        </w:tc>
        <w:tc>
          <w:tcPr>
            <w:tcW w:w="420" w:type="dxa"/>
            <w:vAlign w:val="bottom"/>
            <w:shd w:val="clear" w:color="auto" w:fill="E6E6F9"/>
          </w:tcPr>
          <w:p>
            <w:pPr>
              <w:spacing w:after="0"/>
              <w:rPr>
                <w:sz w:val="16"/>
                <w:szCs w:val="16"/>
                <w:color w:val="auto"/>
              </w:rPr>
            </w:pPr>
          </w:p>
        </w:tc>
        <w:tc>
          <w:tcPr>
            <w:tcW w:w="2140" w:type="dxa"/>
            <w:vAlign w:val="bottom"/>
            <w:gridSpan w:val="8"/>
            <w:shd w:val="clear" w:color="auto" w:fill="E6E6F9"/>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0000FF"/>
              </w:rPr>
              <w:t>(Adjusted Daily Simple</w:t>
            </w:r>
          </w:p>
        </w:tc>
        <w:tc>
          <w:tcPr>
            <w:tcW w:w="440" w:type="dxa"/>
            <w:vAlign w:val="bottom"/>
            <w:shd w:val="clear" w:color="auto" w:fill="E6E6F9"/>
          </w:tcPr>
          <w:p>
            <w:pPr>
              <w:spacing w:after="0"/>
              <w:rPr>
                <w:sz w:val="16"/>
                <w:szCs w:val="16"/>
                <w:color w:val="auto"/>
              </w:rPr>
            </w:pPr>
          </w:p>
        </w:tc>
        <w:tc>
          <w:tcPr>
            <w:tcW w:w="60" w:type="dxa"/>
            <w:vAlign w:val="bottom"/>
            <w:shd w:val="clear" w:color="auto" w:fill="E6E6F9"/>
          </w:tcPr>
          <w:p>
            <w:pPr>
              <w:spacing w:after="0"/>
              <w:rPr>
                <w:sz w:val="16"/>
                <w:szCs w:val="16"/>
                <w:color w:val="auto"/>
              </w:rPr>
            </w:pPr>
          </w:p>
        </w:tc>
        <w:tc>
          <w:tcPr>
            <w:tcW w:w="320" w:type="dxa"/>
            <w:vAlign w:val="bottom"/>
            <w:shd w:val="clear" w:color="auto" w:fill="E6E6F9"/>
          </w:tcPr>
          <w:p>
            <w:pPr>
              <w:spacing w:after="0"/>
              <w:rPr>
                <w:sz w:val="16"/>
                <w:szCs w:val="16"/>
                <w:color w:val="auto"/>
              </w:rPr>
            </w:pPr>
          </w:p>
        </w:tc>
        <w:tc>
          <w:tcPr>
            <w:tcW w:w="60" w:type="dxa"/>
            <w:vAlign w:val="bottom"/>
            <w:tcBorders>
              <w:right w:val="single" w:sz="8" w:color="E6E6F9"/>
            </w:tcBorders>
            <w:shd w:val="clear" w:color="auto" w:fill="E6E6F9"/>
          </w:tcPr>
          <w:p>
            <w:pPr>
              <w:spacing w:after="0"/>
              <w:rPr>
                <w:sz w:val="16"/>
                <w:szCs w:val="16"/>
                <w:color w:val="auto"/>
              </w:rPr>
            </w:pPr>
          </w:p>
        </w:tc>
        <w:tc>
          <w:tcPr>
            <w:tcW w:w="1260" w:type="dxa"/>
            <w:vAlign w:val="bottom"/>
            <w:gridSpan w:val="4"/>
            <w:shd w:val="clear" w:color="auto" w:fill="E6E6F9"/>
          </w:tcPr>
          <w:p>
            <w:pPr>
              <w:jc w:val="center"/>
              <w:ind w:right="880"/>
              <w:spacing w:after="0" w:line="189" w:lineRule="exact"/>
              <w:rPr>
                <w:sz w:val="20"/>
                <w:szCs w:val="20"/>
                <w:color w:val="auto"/>
              </w:rPr>
            </w:pPr>
            <w:r>
              <w:rPr>
                <w:rFonts w:ascii="Times New Roman" w:cs="Times New Roman" w:eastAsia="Times New Roman" w:hAnsi="Times New Roman"/>
                <w:sz w:val="18"/>
                <w:szCs w:val="18"/>
                <w:color w:val="0000FF"/>
              </w:rPr>
              <w:t>Loan</w:t>
            </w:r>
          </w:p>
        </w:tc>
        <w:tc>
          <w:tcPr>
            <w:tcW w:w="0" w:type="dxa"/>
            <w:vAlign w:val="bottom"/>
          </w:tcPr>
          <w:p>
            <w:pPr>
              <w:spacing w:after="0"/>
              <w:rPr>
                <w:sz w:val="1"/>
                <w:szCs w:val="1"/>
                <w:color w:val="auto"/>
              </w:rPr>
            </w:pPr>
          </w:p>
        </w:tc>
      </w:tr>
      <w:tr>
        <w:trPr>
          <w:trHeight w:val="20"/>
        </w:trPr>
        <w:tc>
          <w:tcPr>
            <w:tcW w:w="340" w:type="dxa"/>
            <w:vAlign w:val="bottom"/>
            <w:shd w:val="clear" w:color="auto" w:fill="E6E6F9"/>
          </w:tcPr>
          <w:p>
            <w:pPr>
              <w:spacing w:after="0" w:line="20" w:lineRule="exact"/>
              <w:rPr>
                <w:sz w:val="1"/>
                <w:szCs w:val="1"/>
                <w:color w:val="auto"/>
              </w:rPr>
            </w:pPr>
          </w:p>
        </w:tc>
        <w:tc>
          <w:tcPr>
            <w:tcW w:w="120" w:type="dxa"/>
            <w:vAlign w:val="bottom"/>
            <w:shd w:val="clear" w:color="auto" w:fill="E6E6F9"/>
          </w:tcPr>
          <w:p>
            <w:pPr>
              <w:spacing w:after="0" w:line="20" w:lineRule="exact"/>
              <w:rPr>
                <w:sz w:val="1"/>
                <w:szCs w:val="1"/>
                <w:color w:val="auto"/>
              </w:rPr>
            </w:pPr>
          </w:p>
        </w:tc>
        <w:tc>
          <w:tcPr>
            <w:tcW w:w="100" w:type="dxa"/>
            <w:vAlign w:val="bottom"/>
            <w:tcBorders>
              <w:right w:val="single" w:sz="8" w:color="E6E6F9"/>
            </w:tcBorders>
            <w:shd w:val="clear" w:color="auto" w:fill="E6E6F9"/>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E6E6F9"/>
            </w:tcBorders>
            <w:shd w:val="clear" w:color="auto" w:fill="0000FF"/>
          </w:tcPr>
          <w:p>
            <w:pPr>
              <w:spacing w:after="0" w:line="20" w:lineRule="exact"/>
              <w:rPr>
                <w:sz w:val="1"/>
                <w:szCs w:val="1"/>
                <w:color w:val="auto"/>
              </w:rPr>
            </w:pPr>
          </w:p>
        </w:tc>
        <w:tc>
          <w:tcPr>
            <w:tcW w:w="100" w:type="dxa"/>
            <w:vAlign w:val="bottom"/>
            <w:shd w:val="clear" w:color="auto" w:fill="E6E6F9"/>
          </w:tcPr>
          <w:p>
            <w:pPr>
              <w:spacing w:after="0" w:line="20" w:lineRule="exact"/>
              <w:rPr>
                <w:sz w:val="1"/>
                <w:szCs w:val="1"/>
                <w:color w:val="auto"/>
              </w:rPr>
            </w:pPr>
          </w:p>
        </w:tc>
        <w:tc>
          <w:tcPr>
            <w:tcW w:w="340" w:type="dxa"/>
            <w:vAlign w:val="bottom"/>
            <w:shd w:val="clear" w:color="auto" w:fill="E6E6F9"/>
          </w:tcPr>
          <w:p>
            <w:pPr>
              <w:spacing w:after="0" w:line="20" w:lineRule="exact"/>
              <w:rPr>
                <w:sz w:val="1"/>
                <w:szCs w:val="1"/>
                <w:color w:val="auto"/>
              </w:rPr>
            </w:pPr>
          </w:p>
        </w:tc>
        <w:tc>
          <w:tcPr>
            <w:tcW w:w="380" w:type="dxa"/>
            <w:vAlign w:val="bottom"/>
            <w:shd w:val="clear" w:color="auto" w:fill="E6E6F9"/>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E6E6F9"/>
          </w:tcPr>
          <w:p>
            <w:pPr>
              <w:spacing w:after="0" w:line="20" w:lineRule="exact"/>
              <w:rPr>
                <w:sz w:val="1"/>
                <w:szCs w:val="1"/>
                <w:color w:val="auto"/>
              </w:rPr>
            </w:pPr>
          </w:p>
        </w:tc>
        <w:tc>
          <w:tcPr>
            <w:tcW w:w="420" w:type="dxa"/>
            <w:vAlign w:val="bottom"/>
            <w:shd w:val="clear" w:color="auto" w:fill="E6E6F9"/>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E6E6F9"/>
          </w:tcPr>
          <w:p>
            <w:pPr>
              <w:spacing w:after="0" w:line="20" w:lineRule="exact"/>
              <w:rPr>
                <w:sz w:val="1"/>
                <w:szCs w:val="1"/>
                <w:color w:val="auto"/>
              </w:rPr>
            </w:pPr>
          </w:p>
        </w:tc>
        <w:tc>
          <w:tcPr>
            <w:tcW w:w="440" w:type="dxa"/>
            <w:vAlign w:val="bottom"/>
            <w:shd w:val="clear" w:color="auto" w:fill="E6E6F9"/>
          </w:tcPr>
          <w:p>
            <w:pPr>
              <w:spacing w:after="0" w:line="20" w:lineRule="exact"/>
              <w:rPr>
                <w:sz w:val="1"/>
                <w:szCs w:val="1"/>
                <w:color w:val="auto"/>
              </w:rPr>
            </w:pPr>
          </w:p>
        </w:tc>
        <w:tc>
          <w:tcPr>
            <w:tcW w:w="60" w:type="dxa"/>
            <w:vAlign w:val="bottom"/>
            <w:shd w:val="clear" w:color="auto" w:fill="E6E6F9"/>
          </w:tcPr>
          <w:p>
            <w:pPr>
              <w:spacing w:after="0" w:line="20" w:lineRule="exact"/>
              <w:rPr>
                <w:sz w:val="1"/>
                <w:szCs w:val="1"/>
                <w:color w:val="auto"/>
              </w:rPr>
            </w:pPr>
          </w:p>
        </w:tc>
        <w:tc>
          <w:tcPr>
            <w:tcW w:w="320" w:type="dxa"/>
            <w:vAlign w:val="bottom"/>
            <w:shd w:val="clear" w:color="auto" w:fill="E6E6F9"/>
          </w:tcPr>
          <w:p>
            <w:pPr>
              <w:spacing w:after="0" w:line="20" w:lineRule="exact"/>
              <w:rPr>
                <w:sz w:val="1"/>
                <w:szCs w:val="1"/>
                <w:color w:val="auto"/>
              </w:rPr>
            </w:pPr>
          </w:p>
        </w:tc>
        <w:tc>
          <w:tcPr>
            <w:tcW w:w="60" w:type="dxa"/>
            <w:vAlign w:val="bottom"/>
            <w:tcBorders>
              <w:right w:val="single" w:sz="8" w:color="E6E6F9"/>
            </w:tcBorders>
            <w:shd w:val="clear" w:color="auto" w:fill="E6E6F9"/>
          </w:tcPr>
          <w:p>
            <w:pPr>
              <w:spacing w:after="0" w:line="20" w:lineRule="exact"/>
              <w:rPr>
                <w:sz w:val="1"/>
                <w:szCs w:val="1"/>
                <w:color w:val="auto"/>
              </w:rPr>
            </w:pPr>
          </w:p>
        </w:tc>
        <w:tc>
          <w:tcPr>
            <w:tcW w:w="440" w:type="dxa"/>
            <w:vAlign w:val="bottom"/>
            <w:tcBorders>
              <w:right w:val="single" w:sz="8" w:color="E6E6F9"/>
            </w:tcBorders>
            <w:shd w:val="clear" w:color="auto" w:fill="0000FF"/>
          </w:tcPr>
          <w:p>
            <w:pPr>
              <w:spacing w:after="0" w:line="20" w:lineRule="exact"/>
              <w:rPr>
                <w:sz w:val="1"/>
                <w:szCs w:val="1"/>
                <w:color w:val="auto"/>
              </w:rPr>
            </w:pPr>
          </w:p>
        </w:tc>
        <w:tc>
          <w:tcPr>
            <w:tcW w:w="320" w:type="dxa"/>
            <w:vAlign w:val="bottom"/>
            <w:shd w:val="clear" w:color="auto" w:fill="E6E6F9"/>
          </w:tcPr>
          <w:p>
            <w:pPr>
              <w:spacing w:after="0" w:line="20" w:lineRule="exact"/>
              <w:rPr>
                <w:sz w:val="1"/>
                <w:szCs w:val="1"/>
                <w:color w:val="auto"/>
              </w:rPr>
            </w:pPr>
          </w:p>
        </w:tc>
        <w:tc>
          <w:tcPr>
            <w:tcW w:w="60" w:type="dxa"/>
            <w:vAlign w:val="bottom"/>
            <w:shd w:val="clear" w:color="auto" w:fill="E6E6F9"/>
          </w:tcPr>
          <w:p>
            <w:pPr>
              <w:spacing w:after="0" w:line="20" w:lineRule="exact"/>
              <w:rPr>
                <w:sz w:val="1"/>
                <w:szCs w:val="1"/>
                <w:color w:val="auto"/>
              </w:rPr>
            </w:pPr>
          </w:p>
        </w:tc>
        <w:tc>
          <w:tcPr>
            <w:tcW w:w="440" w:type="dxa"/>
            <w:vAlign w:val="bottom"/>
            <w:shd w:val="clear" w:color="auto" w:fill="E6E6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Borders>
              <w:bottom w:val="single" w:sz="8" w:color="E6E6F9"/>
            </w:tcBorders>
            <w:shd w:val="clear" w:color="auto" w:fill="E6E6F9"/>
          </w:tcPr>
          <w:p>
            <w:pPr>
              <w:spacing w:after="0"/>
              <w:rPr>
                <w:sz w:val="19"/>
                <w:szCs w:val="19"/>
                <w:color w:val="auto"/>
              </w:rPr>
            </w:pPr>
          </w:p>
        </w:tc>
        <w:tc>
          <w:tcPr>
            <w:tcW w:w="120" w:type="dxa"/>
            <w:vAlign w:val="bottom"/>
            <w:tcBorders>
              <w:bottom w:val="single" w:sz="8" w:color="E6E6F9"/>
            </w:tcBorders>
            <w:shd w:val="clear" w:color="auto" w:fill="E6E6F9"/>
          </w:tcPr>
          <w:p>
            <w:pPr>
              <w:spacing w:after="0"/>
              <w:rPr>
                <w:sz w:val="19"/>
                <w:szCs w:val="19"/>
                <w:color w:val="auto"/>
              </w:rPr>
            </w:pPr>
          </w:p>
        </w:tc>
        <w:tc>
          <w:tcPr>
            <w:tcW w:w="100" w:type="dxa"/>
            <w:vAlign w:val="bottom"/>
            <w:tcBorders>
              <w:bottom w:val="single" w:sz="8" w:color="E6E6F9"/>
              <w:right w:val="single" w:sz="8" w:color="E6E6F9"/>
            </w:tcBorders>
            <w:shd w:val="clear" w:color="auto" w:fill="E6E6F9"/>
          </w:tcPr>
          <w:p>
            <w:pPr>
              <w:spacing w:after="0"/>
              <w:rPr>
                <w:sz w:val="19"/>
                <w:szCs w:val="19"/>
                <w:color w:val="auto"/>
              </w:rPr>
            </w:pPr>
          </w:p>
        </w:tc>
        <w:tc>
          <w:tcPr>
            <w:tcW w:w="360" w:type="dxa"/>
            <w:vAlign w:val="bottom"/>
            <w:tcBorders>
              <w:bottom w:val="single" w:sz="8" w:color="E6E6F9"/>
              <w:right w:val="single" w:sz="8" w:color="E6E6F9"/>
            </w:tcBorders>
            <w:shd w:val="clear" w:color="auto" w:fill="E6E6F9"/>
          </w:tcPr>
          <w:p>
            <w:pPr>
              <w:spacing w:after="0"/>
              <w:rPr>
                <w:sz w:val="19"/>
                <w:szCs w:val="19"/>
                <w:color w:val="auto"/>
              </w:rPr>
            </w:pPr>
          </w:p>
        </w:tc>
        <w:tc>
          <w:tcPr>
            <w:tcW w:w="740" w:type="dxa"/>
            <w:vAlign w:val="bottom"/>
            <w:tcBorders>
              <w:bottom w:val="single" w:sz="8" w:color="E6E6F9"/>
              <w:right w:val="single" w:sz="8" w:color="E6E6F9"/>
            </w:tcBorders>
            <w:shd w:val="clear" w:color="auto" w:fill="E6E6F9"/>
          </w:tcPr>
          <w:p>
            <w:pPr>
              <w:spacing w:after="0"/>
              <w:rPr>
                <w:sz w:val="19"/>
                <w:szCs w:val="19"/>
                <w:color w:val="auto"/>
              </w:rPr>
            </w:pPr>
          </w:p>
        </w:tc>
        <w:tc>
          <w:tcPr>
            <w:tcW w:w="420" w:type="dxa"/>
            <w:vAlign w:val="bottom"/>
            <w:tcBorders>
              <w:bottom w:val="single" w:sz="8" w:color="E6E6F9"/>
              <w:right w:val="single" w:sz="8" w:color="E6E6F9"/>
            </w:tcBorders>
            <w:shd w:val="clear" w:color="auto" w:fill="E6E6F9"/>
          </w:tcPr>
          <w:p>
            <w:pPr>
              <w:spacing w:after="0"/>
              <w:rPr>
                <w:sz w:val="19"/>
                <w:szCs w:val="19"/>
                <w:color w:val="auto"/>
              </w:rPr>
            </w:pPr>
          </w:p>
        </w:tc>
        <w:tc>
          <w:tcPr>
            <w:tcW w:w="100" w:type="dxa"/>
            <w:vAlign w:val="bottom"/>
            <w:tcBorders>
              <w:bottom w:val="single" w:sz="8" w:color="E6E6F9"/>
            </w:tcBorders>
            <w:shd w:val="clear" w:color="auto" w:fill="E6E6F9"/>
          </w:tcPr>
          <w:p>
            <w:pPr>
              <w:spacing w:after="0"/>
              <w:rPr>
                <w:sz w:val="19"/>
                <w:szCs w:val="19"/>
                <w:color w:val="auto"/>
              </w:rPr>
            </w:pPr>
          </w:p>
        </w:tc>
        <w:tc>
          <w:tcPr>
            <w:tcW w:w="340" w:type="dxa"/>
            <w:vAlign w:val="bottom"/>
            <w:tcBorders>
              <w:bottom w:val="single" w:sz="8" w:color="E6E6F9"/>
            </w:tcBorders>
            <w:shd w:val="clear" w:color="auto" w:fill="E6E6F9"/>
          </w:tcPr>
          <w:p>
            <w:pPr>
              <w:spacing w:after="0"/>
              <w:rPr>
                <w:sz w:val="19"/>
                <w:szCs w:val="19"/>
                <w:color w:val="auto"/>
              </w:rPr>
            </w:pPr>
          </w:p>
        </w:tc>
        <w:tc>
          <w:tcPr>
            <w:tcW w:w="380" w:type="dxa"/>
            <w:vAlign w:val="bottom"/>
            <w:tcBorders>
              <w:bottom w:val="single" w:sz="8" w:color="E6E6F9"/>
            </w:tcBorders>
            <w:shd w:val="clear" w:color="auto" w:fill="E6E6F9"/>
          </w:tcPr>
          <w:p>
            <w:pPr>
              <w:spacing w:after="0"/>
              <w:rPr>
                <w:sz w:val="19"/>
                <w:szCs w:val="19"/>
                <w:color w:val="auto"/>
              </w:rPr>
            </w:pPr>
          </w:p>
        </w:tc>
        <w:tc>
          <w:tcPr>
            <w:tcW w:w="340" w:type="dxa"/>
            <w:vAlign w:val="bottom"/>
            <w:tcBorders>
              <w:bottom w:val="single" w:sz="8" w:color="E6E6F9"/>
            </w:tcBorders>
            <w:shd w:val="clear" w:color="auto" w:fill="E6E6F9"/>
          </w:tcPr>
          <w:p>
            <w:pPr>
              <w:spacing w:after="0"/>
              <w:rPr>
                <w:sz w:val="19"/>
                <w:szCs w:val="19"/>
                <w:color w:val="auto"/>
              </w:rPr>
            </w:pPr>
          </w:p>
        </w:tc>
        <w:tc>
          <w:tcPr>
            <w:tcW w:w="200" w:type="dxa"/>
            <w:vAlign w:val="bottom"/>
            <w:tcBorders>
              <w:bottom w:val="single" w:sz="8" w:color="E6E6F9"/>
            </w:tcBorders>
            <w:shd w:val="clear" w:color="auto" w:fill="E6E6F9"/>
          </w:tcPr>
          <w:p>
            <w:pPr>
              <w:spacing w:after="0"/>
              <w:rPr>
                <w:sz w:val="19"/>
                <w:szCs w:val="19"/>
                <w:color w:val="auto"/>
              </w:rPr>
            </w:pPr>
          </w:p>
        </w:tc>
        <w:tc>
          <w:tcPr>
            <w:tcW w:w="460" w:type="dxa"/>
            <w:vAlign w:val="bottom"/>
            <w:tcBorders>
              <w:bottom w:val="single" w:sz="8" w:color="E6E6F9"/>
            </w:tcBorders>
            <w:shd w:val="clear" w:color="auto" w:fill="E6E6F9"/>
          </w:tcPr>
          <w:p>
            <w:pPr>
              <w:spacing w:after="0"/>
              <w:rPr>
                <w:sz w:val="19"/>
                <w:szCs w:val="19"/>
                <w:color w:val="auto"/>
              </w:rPr>
            </w:pPr>
          </w:p>
        </w:tc>
        <w:tc>
          <w:tcPr>
            <w:tcW w:w="200" w:type="dxa"/>
            <w:vAlign w:val="bottom"/>
            <w:tcBorders>
              <w:bottom w:val="single" w:sz="8" w:color="E6E6F9"/>
            </w:tcBorders>
            <w:shd w:val="clear" w:color="auto" w:fill="E6E6F9"/>
          </w:tcPr>
          <w:p>
            <w:pPr>
              <w:spacing w:after="0"/>
              <w:rPr>
                <w:sz w:val="19"/>
                <w:szCs w:val="19"/>
                <w:color w:val="auto"/>
              </w:rPr>
            </w:pPr>
          </w:p>
        </w:tc>
        <w:tc>
          <w:tcPr>
            <w:tcW w:w="360" w:type="dxa"/>
            <w:vAlign w:val="bottom"/>
            <w:tcBorders>
              <w:bottom w:val="single" w:sz="8" w:color="E6E6F9"/>
            </w:tcBorders>
            <w:shd w:val="clear" w:color="auto" w:fill="E6E6F9"/>
          </w:tcPr>
          <w:p>
            <w:pPr>
              <w:spacing w:after="0"/>
              <w:rPr>
                <w:sz w:val="19"/>
                <w:szCs w:val="19"/>
                <w:color w:val="auto"/>
              </w:rPr>
            </w:pPr>
          </w:p>
        </w:tc>
        <w:tc>
          <w:tcPr>
            <w:tcW w:w="360" w:type="dxa"/>
            <w:vAlign w:val="bottom"/>
            <w:tcBorders>
              <w:bottom w:val="single" w:sz="8" w:color="E6E6F9"/>
            </w:tcBorders>
            <w:shd w:val="clear" w:color="auto" w:fill="E6E6F9"/>
          </w:tcPr>
          <w:p>
            <w:pPr>
              <w:spacing w:after="0"/>
              <w:rPr>
                <w:sz w:val="19"/>
                <w:szCs w:val="19"/>
                <w:color w:val="auto"/>
              </w:rPr>
            </w:pPr>
          </w:p>
        </w:tc>
        <w:tc>
          <w:tcPr>
            <w:tcW w:w="420" w:type="dxa"/>
            <w:vAlign w:val="bottom"/>
            <w:tcBorders>
              <w:bottom w:val="single" w:sz="8" w:color="E6E6F9"/>
            </w:tcBorders>
            <w:shd w:val="clear" w:color="auto" w:fill="E6E6F9"/>
          </w:tcPr>
          <w:p>
            <w:pPr>
              <w:spacing w:after="0"/>
              <w:rPr>
                <w:sz w:val="19"/>
                <w:szCs w:val="19"/>
                <w:color w:val="auto"/>
              </w:rPr>
            </w:pPr>
          </w:p>
        </w:tc>
        <w:tc>
          <w:tcPr>
            <w:tcW w:w="480" w:type="dxa"/>
            <w:vAlign w:val="bottom"/>
            <w:tcBorders>
              <w:bottom w:val="single" w:sz="8" w:color="E6E6F9"/>
            </w:tcBorders>
            <w:shd w:val="clear" w:color="auto" w:fill="E6E6F9"/>
          </w:tcPr>
          <w:p>
            <w:pPr>
              <w:spacing w:after="0"/>
              <w:rPr>
                <w:sz w:val="19"/>
                <w:szCs w:val="19"/>
                <w:color w:val="auto"/>
              </w:rPr>
            </w:pPr>
          </w:p>
        </w:tc>
        <w:tc>
          <w:tcPr>
            <w:tcW w:w="120" w:type="dxa"/>
            <w:vAlign w:val="bottom"/>
            <w:tcBorders>
              <w:bottom w:val="single" w:sz="8" w:color="E6E6F9"/>
            </w:tcBorders>
            <w:shd w:val="clear" w:color="auto" w:fill="E6E6F9"/>
          </w:tcPr>
          <w:p>
            <w:pPr>
              <w:spacing w:after="0"/>
              <w:rPr>
                <w:sz w:val="19"/>
                <w:szCs w:val="19"/>
                <w:color w:val="auto"/>
              </w:rPr>
            </w:pPr>
          </w:p>
        </w:tc>
        <w:tc>
          <w:tcPr>
            <w:tcW w:w="520" w:type="dxa"/>
            <w:vAlign w:val="bottom"/>
            <w:tcBorders>
              <w:bottom w:val="single" w:sz="8" w:color="0000FF"/>
            </w:tcBorders>
            <w:gridSpan w:val="3"/>
            <w:shd w:val="clear" w:color="auto" w:fill="E6E6F9"/>
          </w:tcPr>
          <w:p>
            <w:pPr>
              <w:jc w:val="center"/>
              <w:spacing w:after="0"/>
              <w:rPr>
                <w:sz w:val="20"/>
                <w:szCs w:val="20"/>
                <w:color w:val="auto"/>
              </w:rPr>
            </w:pPr>
            <w:r>
              <w:rPr>
                <w:rFonts w:ascii="Times New Roman" w:cs="Times New Roman" w:eastAsia="Times New Roman" w:hAnsi="Times New Roman"/>
                <w:sz w:val="18"/>
                <w:szCs w:val="18"/>
                <w:color w:val="0000FF"/>
              </w:rPr>
              <w:t>SOFR)</w:t>
            </w:r>
          </w:p>
        </w:tc>
        <w:tc>
          <w:tcPr>
            <w:tcW w:w="600" w:type="dxa"/>
            <w:vAlign w:val="bottom"/>
            <w:tcBorders>
              <w:bottom w:val="single" w:sz="8" w:color="E6E6F9"/>
            </w:tcBorders>
            <w:gridSpan w:val="2"/>
            <w:shd w:val="clear" w:color="auto" w:fill="E6E6F9"/>
          </w:tcPr>
          <w:p>
            <w:pPr>
              <w:spacing w:after="0"/>
              <w:rPr>
                <w:sz w:val="19"/>
                <w:szCs w:val="19"/>
                <w:color w:val="auto"/>
              </w:rPr>
            </w:pPr>
          </w:p>
        </w:tc>
        <w:tc>
          <w:tcPr>
            <w:tcW w:w="420" w:type="dxa"/>
            <w:vAlign w:val="bottom"/>
            <w:tcBorders>
              <w:bottom w:val="single" w:sz="8" w:color="E6E6F9"/>
            </w:tcBorders>
            <w:shd w:val="clear" w:color="auto" w:fill="E6E6F9"/>
          </w:tcPr>
          <w:p>
            <w:pPr>
              <w:spacing w:after="0"/>
              <w:rPr>
                <w:sz w:val="19"/>
                <w:szCs w:val="19"/>
                <w:color w:val="auto"/>
              </w:rPr>
            </w:pPr>
          </w:p>
        </w:tc>
        <w:tc>
          <w:tcPr>
            <w:tcW w:w="440" w:type="dxa"/>
            <w:vAlign w:val="bottom"/>
            <w:tcBorders>
              <w:bottom w:val="single" w:sz="8" w:color="E6E6F9"/>
            </w:tcBorders>
            <w:shd w:val="clear" w:color="auto" w:fill="E6E6F9"/>
          </w:tcPr>
          <w:p>
            <w:pPr>
              <w:spacing w:after="0"/>
              <w:rPr>
                <w:sz w:val="19"/>
                <w:szCs w:val="19"/>
                <w:color w:val="auto"/>
              </w:rPr>
            </w:pPr>
          </w:p>
        </w:tc>
        <w:tc>
          <w:tcPr>
            <w:tcW w:w="60" w:type="dxa"/>
            <w:vAlign w:val="bottom"/>
            <w:tcBorders>
              <w:bottom w:val="single" w:sz="8" w:color="E6E6F9"/>
            </w:tcBorders>
            <w:shd w:val="clear" w:color="auto" w:fill="E6E6F9"/>
          </w:tcPr>
          <w:p>
            <w:pPr>
              <w:spacing w:after="0"/>
              <w:rPr>
                <w:sz w:val="19"/>
                <w:szCs w:val="19"/>
                <w:color w:val="auto"/>
              </w:rPr>
            </w:pPr>
          </w:p>
        </w:tc>
        <w:tc>
          <w:tcPr>
            <w:tcW w:w="1140" w:type="dxa"/>
            <w:vAlign w:val="bottom"/>
            <w:tcBorders>
              <w:bottom w:val="single" w:sz="8" w:color="0000FF"/>
            </w:tcBorders>
            <w:gridSpan w:val="4"/>
            <w:shd w:val="clear" w:color="auto" w:fill="E6E6F9"/>
          </w:tcPr>
          <w:p>
            <w:pPr>
              <w:jc w:val="center"/>
              <w:spacing w:after="0"/>
              <w:rPr>
                <w:sz w:val="20"/>
                <w:szCs w:val="20"/>
                <w:color w:val="auto"/>
              </w:rPr>
            </w:pPr>
            <w:r>
              <w:rPr>
                <w:rFonts w:ascii="Times New Roman" w:cs="Times New Roman" w:eastAsia="Times New Roman" w:hAnsi="Times New Roman"/>
                <w:sz w:val="18"/>
                <w:szCs w:val="18"/>
                <w:color w:val="0000FF"/>
                <w:w w:val="99"/>
              </w:rPr>
              <w:t>(Adjusted Term</w:t>
            </w:r>
          </w:p>
        </w:tc>
        <w:tc>
          <w:tcPr>
            <w:tcW w:w="500" w:type="dxa"/>
            <w:vAlign w:val="bottom"/>
            <w:tcBorders>
              <w:bottom w:val="single" w:sz="8" w:color="E6E6F9"/>
            </w:tcBorders>
            <w:gridSpan w:val="2"/>
            <w:shd w:val="clear" w:color="auto" w:fill="E6E6F9"/>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shd w:val="clear" w:color="auto" w:fill="E6E6F9"/>
          </w:tcPr>
          <w:p>
            <w:pPr>
              <w:spacing w:after="0"/>
              <w:rPr>
                <w:sz w:val="20"/>
                <w:szCs w:val="20"/>
                <w:color w:val="auto"/>
              </w:rPr>
            </w:pPr>
          </w:p>
        </w:tc>
        <w:tc>
          <w:tcPr>
            <w:tcW w:w="120" w:type="dxa"/>
            <w:vAlign w:val="bottom"/>
            <w:shd w:val="clear" w:color="auto" w:fill="E6E6F9"/>
          </w:tcPr>
          <w:p>
            <w:pPr>
              <w:spacing w:after="0"/>
              <w:rPr>
                <w:sz w:val="20"/>
                <w:szCs w:val="20"/>
                <w:color w:val="auto"/>
              </w:rPr>
            </w:pPr>
          </w:p>
        </w:tc>
        <w:tc>
          <w:tcPr>
            <w:tcW w:w="100" w:type="dxa"/>
            <w:vAlign w:val="bottom"/>
            <w:tcBorders>
              <w:right w:val="single" w:sz="8" w:color="E6E6F9"/>
            </w:tcBorders>
            <w:shd w:val="clear" w:color="auto" w:fill="E6E6F9"/>
          </w:tcPr>
          <w:p>
            <w:pPr>
              <w:spacing w:after="0"/>
              <w:rPr>
                <w:sz w:val="20"/>
                <w:szCs w:val="20"/>
                <w:color w:val="auto"/>
              </w:rPr>
            </w:pPr>
          </w:p>
        </w:tc>
        <w:tc>
          <w:tcPr>
            <w:tcW w:w="360" w:type="dxa"/>
            <w:vAlign w:val="bottom"/>
            <w:tcBorders>
              <w:right w:val="single" w:sz="8" w:color="E6E6F9"/>
            </w:tcBorders>
            <w:shd w:val="clear" w:color="auto" w:fill="E6E6F9"/>
          </w:tcPr>
          <w:p>
            <w:pPr>
              <w:spacing w:after="0"/>
              <w:rPr>
                <w:sz w:val="20"/>
                <w:szCs w:val="20"/>
                <w:color w:val="auto"/>
              </w:rPr>
            </w:pPr>
          </w:p>
        </w:tc>
        <w:tc>
          <w:tcPr>
            <w:tcW w:w="740" w:type="dxa"/>
            <w:vAlign w:val="bottom"/>
            <w:tcBorders>
              <w:right w:val="single" w:sz="8" w:color="E6E6F9"/>
            </w:tcBorders>
            <w:shd w:val="clear" w:color="auto" w:fill="E6E6F9"/>
          </w:tcPr>
          <w:p>
            <w:pPr>
              <w:spacing w:after="0"/>
              <w:rPr>
                <w:sz w:val="20"/>
                <w:szCs w:val="20"/>
                <w:color w:val="auto"/>
              </w:rPr>
            </w:pPr>
          </w:p>
        </w:tc>
        <w:tc>
          <w:tcPr>
            <w:tcW w:w="420" w:type="dxa"/>
            <w:vAlign w:val="bottom"/>
            <w:tcBorders>
              <w:right w:val="single" w:sz="8" w:color="E6E6F9"/>
            </w:tcBorders>
            <w:shd w:val="clear" w:color="auto" w:fill="E6E6F9"/>
          </w:tcPr>
          <w:p>
            <w:pPr>
              <w:spacing w:after="0"/>
              <w:rPr>
                <w:sz w:val="20"/>
                <w:szCs w:val="20"/>
                <w:color w:val="auto"/>
              </w:rPr>
            </w:pPr>
          </w:p>
        </w:tc>
        <w:tc>
          <w:tcPr>
            <w:tcW w:w="100" w:type="dxa"/>
            <w:vAlign w:val="bottom"/>
            <w:shd w:val="clear" w:color="auto" w:fill="E6E6F9"/>
          </w:tcPr>
          <w:p>
            <w:pPr>
              <w:spacing w:after="0"/>
              <w:rPr>
                <w:sz w:val="20"/>
                <w:szCs w:val="20"/>
                <w:color w:val="auto"/>
              </w:rPr>
            </w:pPr>
          </w:p>
        </w:tc>
        <w:tc>
          <w:tcPr>
            <w:tcW w:w="340" w:type="dxa"/>
            <w:vAlign w:val="bottom"/>
            <w:shd w:val="clear" w:color="auto" w:fill="E6E6F9"/>
          </w:tcPr>
          <w:p>
            <w:pPr>
              <w:spacing w:after="0"/>
              <w:rPr>
                <w:sz w:val="20"/>
                <w:szCs w:val="20"/>
                <w:color w:val="auto"/>
              </w:rPr>
            </w:pPr>
          </w:p>
        </w:tc>
        <w:tc>
          <w:tcPr>
            <w:tcW w:w="380" w:type="dxa"/>
            <w:vAlign w:val="bottom"/>
            <w:shd w:val="clear" w:color="auto" w:fill="E6E6F9"/>
          </w:tcPr>
          <w:p>
            <w:pPr>
              <w:spacing w:after="0"/>
              <w:rPr>
                <w:sz w:val="20"/>
                <w:szCs w:val="20"/>
                <w:color w:val="auto"/>
              </w:rPr>
            </w:pPr>
          </w:p>
        </w:tc>
        <w:tc>
          <w:tcPr>
            <w:tcW w:w="340" w:type="dxa"/>
            <w:vAlign w:val="bottom"/>
            <w:shd w:val="clear" w:color="auto" w:fill="E6E6F9"/>
          </w:tcPr>
          <w:p>
            <w:pPr>
              <w:spacing w:after="0"/>
              <w:rPr>
                <w:sz w:val="20"/>
                <w:szCs w:val="20"/>
                <w:color w:val="auto"/>
              </w:rPr>
            </w:pPr>
          </w:p>
        </w:tc>
        <w:tc>
          <w:tcPr>
            <w:tcW w:w="200" w:type="dxa"/>
            <w:vAlign w:val="bottom"/>
            <w:shd w:val="clear" w:color="auto" w:fill="E6E6F9"/>
          </w:tcPr>
          <w:p>
            <w:pPr>
              <w:spacing w:after="0"/>
              <w:rPr>
                <w:sz w:val="20"/>
                <w:szCs w:val="20"/>
                <w:color w:val="auto"/>
              </w:rPr>
            </w:pPr>
          </w:p>
        </w:tc>
        <w:tc>
          <w:tcPr>
            <w:tcW w:w="460" w:type="dxa"/>
            <w:vAlign w:val="bottom"/>
            <w:shd w:val="clear" w:color="auto" w:fill="E6E6F9"/>
          </w:tcPr>
          <w:p>
            <w:pPr>
              <w:spacing w:after="0"/>
              <w:rPr>
                <w:sz w:val="20"/>
                <w:szCs w:val="20"/>
                <w:color w:val="auto"/>
              </w:rPr>
            </w:pPr>
          </w:p>
        </w:tc>
        <w:tc>
          <w:tcPr>
            <w:tcW w:w="200" w:type="dxa"/>
            <w:vAlign w:val="bottom"/>
            <w:shd w:val="clear" w:color="auto" w:fill="E6E6F9"/>
          </w:tcPr>
          <w:p>
            <w:pPr>
              <w:spacing w:after="0"/>
              <w:rPr>
                <w:sz w:val="20"/>
                <w:szCs w:val="20"/>
                <w:color w:val="auto"/>
              </w:rPr>
            </w:pPr>
          </w:p>
        </w:tc>
        <w:tc>
          <w:tcPr>
            <w:tcW w:w="360" w:type="dxa"/>
            <w:vAlign w:val="bottom"/>
            <w:shd w:val="clear" w:color="auto" w:fill="E6E6F9"/>
          </w:tcPr>
          <w:p>
            <w:pPr>
              <w:spacing w:after="0"/>
              <w:rPr>
                <w:sz w:val="20"/>
                <w:szCs w:val="20"/>
                <w:color w:val="auto"/>
              </w:rPr>
            </w:pPr>
          </w:p>
        </w:tc>
        <w:tc>
          <w:tcPr>
            <w:tcW w:w="360" w:type="dxa"/>
            <w:vAlign w:val="bottom"/>
            <w:shd w:val="clear" w:color="auto" w:fill="E6E6F9"/>
          </w:tcPr>
          <w:p>
            <w:pPr>
              <w:spacing w:after="0"/>
              <w:rPr>
                <w:sz w:val="20"/>
                <w:szCs w:val="20"/>
                <w:color w:val="auto"/>
              </w:rPr>
            </w:pPr>
          </w:p>
        </w:tc>
        <w:tc>
          <w:tcPr>
            <w:tcW w:w="420" w:type="dxa"/>
            <w:vAlign w:val="bottom"/>
            <w:shd w:val="clear" w:color="auto" w:fill="E6E6F9"/>
          </w:tcPr>
          <w:p>
            <w:pPr>
              <w:spacing w:after="0"/>
              <w:rPr>
                <w:sz w:val="20"/>
                <w:szCs w:val="20"/>
                <w:color w:val="auto"/>
              </w:rPr>
            </w:pPr>
          </w:p>
        </w:tc>
        <w:tc>
          <w:tcPr>
            <w:tcW w:w="480" w:type="dxa"/>
            <w:vAlign w:val="bottom"/>
            <w:shd w:val="clear" w:color="auto" w:fill="E6E6F9"/>
          </w:tcPr>
          <w:p>
            <w:pPr>
              <w:spacing w:after="0"/>
              <w:rPr>
                <w:sz w:val="20"/>
                <w:szCs w:val="20"/>
                <w:color w:val="auto"/>
              </w:rPr>
            </w:pPr>
          </w:p>
        </w:tc>
        <w:tc>
          <w:tcPr>
            <w:tcW w:w="120" w:type="dxa"/>
            <w:vAlign w:val="bottom"/>
            <w:shd w:val="clear" w:color="auto" w:fill="E6E6F9"/>
          </w:tcPr>
          <w:p>
            <w:pPr>
              <w:spacing w:after="0"/>
              <w:rPr>
                <w:sz w:val="20"/>
                <w:szCs w:val="20"/>
                <w:color w:val="auto"/>
              </w:rPr>
            </w:pPr>
          </w:p>
        </w:tc>
        <w:tc>
          <w:tcPr>
            <w:tcW w:w="40" w:type="dxa"/>
            <w:vAlign w:val="bottom"/>
            <w:shd w:val="clear" w:color="auto" w:fill="E6E6F9"/>
          </w:tcPr>
          <w:p>
            <w:pPr>
              <w:spacing w:after="0"/>
              <w:rPr>
                <w:sz w:val="20"/>
                <w:szCs w:val="20"/>
                <w:color w:val="auto"/>
              </w:rPr>
            </w:pPr>
          </w:p>
        </w:tc>
        <w:tc>
          <w:tcPr>
            <w:tcW w:w="460" w:type="dxa"/>
            <w:vAlign w:val="bottom"/>
            <w:shd w:val="clear" w:color="auto" w:fill="E6E6F9"/>
          </w:tcPr>
          <w:p>
            <w:pPr>
              <w:spacing w:after="0"/>
              <w:rPr>
                <w:sz w:val="20"/>
                <w:szCs w:val="20"/>
                <w:color w:val="auto"/>
              </w:rPr>
            </w:pPr>
          </w:p>
        </w:tc>
        <w:tc>
          <w:tcPr>
            <w:tcW w:w="20" w:type="dxa"/>
            <w:vAlign w:val="bottom"/>
            <w:shd w:val="clear" w:color="auto" w:fill="E6E6F9"/>
          </w:tcPr>
          <w:p>
            <w:pPr>
              <w:spacing w:after="0"/>
              <w:rPr>
                <w:sz w:val="20"/>
                <w:szCs w:val="20"/>
                <w:color w:val="auto"/>
              </w:rPr>
            </w:pPr>
          </w:p>
        </w:tc>
        <w:tc>
          <w:tcPr>
            <w:tcW w:w="120" w:type="dxa"/>
            <w:vAlign w:val="bottom"/>
            <w:shd w:val="clear" w:color="auto" w:fill="E6E6F9"/>
          </w:tcPr>
          <w:p>
            <w:pPr>
              <w:spacing w:after="0"/>
              <w:rPr>
                <w:sz w:val="20"/>
                <w:szCs w:val="20"/>
                <w:color w:val="auto"/>
              </w:rPr>
            </w:pPr>
          </w:p>
        </w:tc>
        <w:tc>
          <w:tcPr>
            <w:tcW w:w="480" w:type="dxa"/>
            <w:vAlign w:val="bottom"/>
            <w:shd w:val="clear" w:color="auto" w:fill="E6E6F9"/>
          </w:tcPr>
          <w:p>
            <w:pPr>
              <w:spacing w:after="0"/>
              <w:rPr>
                <w:sz w:val="20"/>
                <w:szCs w:val="20"/>
                <w:color w:val="auto"/>
              </w:rPr>
            </w:pPr>
          </w:p>
        </w:tc>
        <w:tc>
          <w:tcPr>
            <w:tcW w:w="420" w:type="dxa"/>
            <w:vAlign w:val="bottom"/>
            <w:shd w:val="clear" w:color="auto" w:fill="E6E6F9"/>
          </w:tcPr>
          <w:p>
            <w:pPr>
              <w:spacing w:after="0"/>
              <w:rPr>
                <w:sz w:val="20"/>
                <w:szCs w:val="20"/>
                <w:color w:val="auto"/>
              </w:rPr>
            </w:pPr>
          </w:p>
        </w:tc>
        <w:tc>
          <w:tcPr>
            <w:tcW w:w="440" w:type="dxa"/>
            <w:vAlign w:val="bottom"/>
            <w:shd w:val="clear" w:color="auto" w:fill="E6E6F9"/>
          </w:tcPr>
          <w:p>
            <w:pPr>
              <w:spacing w:after="0"/>
              <w:rPr>
                <w:sz w:val="20"/>
                <w:szCs w:val="20"/>
                <w:color w:val="auto"/>
              </w:rPr>
            </w:pPr>
          </w:p>
        </w:tc>
        <w:tc>
          <w:tcPr>
            <w:tcW w:w="60" w:type="dxa"/>
            <w:vAlign w:val="bottom"/>
            <w:shd w:val="clear" w:color="auto" w:fill="E6E6F9"/>
          </w:tcPr>
          <w:p>
            <w:pPr>
              <w:spacing w:after="0"/>
              <w:rPr>
                <w:sz w:val="20"/>
                <w:szCs w:val="20"/>
                <w:color w:val="auto"/>
              </w:rPr>
            </w:pPr>
          </w:p>
        </w:tc>
        <w:tc>
          <w:tcPr>
            <w:tcW w:w="1640" w:type="dxa"/>
            <w:vAlign w:val="bottom"/>
            <w:gridSpan w:val="6"/>
            <w:shd w:val="clear" w:color="auto" w:fill="E6E6F9"/>
          </w:tcPr>
          <w:p>
            <w:pPr>
              <w:jc w:val="center"/>
              <w:ind w:right="500"/>
              <w:spacing w:after="0"/>
              <w:rPr>
                <w:sz w:val="20"/>
                <w:szCs w:val="20"/>
                <w:color w:val="auto"/>
              </w:rPr>
            </w:pPr>
            <w:r>
              <w:rPr>
                <w:rFonts w:ascii="Times New Roman" w:cs="Times New Roman" w:eastAsia="Times New Roman" w:hAnsi="Times New Roman"/>
                <w:sz w:val="18"/>
                <w:szCs w:val="18"/>
                <w:color w:val="0000FF"/>
                <w:w w:val="97"/>
              </w:rPr>
              <w:t>SOFR)</w:t>
            </w:r>
          </w:p>
        </w:tc>
        <w:tc>
          <w:tcPr>
            <w:tcW w:w="0" w:type="dxa"/>
            <w:vAlign w:val="bottom"/>
          </w:tcPr>
          <w:p>
            <w:pPr>
              <w:spacing w:after="0"/>
              <w:rPr>
                <w:sz w:val="1"/>
                <w:szCs w:val="1"/>
                <w:color w:val="auto"/>
              </w:rPr>
            </w:pPr>
          </w:p>
        </w:tc>
      </w:tr>
      <w:tr>
        <w:trPr>
          <w:trHeight w:val="277"/>
        </w:trPr>
        <w:tc>
          <w:tcPr>
            <w:tcW w:w="340" w:type="dxa"/>
            <w:vAlign w:val="bottom"/>
            <w:tcBorders>
              <w:top w:val="single" w:sz="8" w:color="E6E6F9"/>
            </w:tcBorders>
            <w:shd w:val="clear" w:color="auto" w:fill="E6E6F9"/>
          </w:tcPr>
          <w:p>
            <w:pPr>
              <w:spacing w:after="0"/>
              <w:rPr>
                <w:sz w:val="24"/>
                <w:szCs w:val="24"/>
                <w:color w:val="auto"/>
              </w:rPr>
            </w:pPr>
          </w:p>
        </w:tc>
        <w:tc>
          <w:tcPr>
            <w:tcW w:w="120" w:type="dxa"/>
            <w:vAlign w:val="bottom"/>
            <w:tcBorders>
              <w:top w:val="single" w:sz="8" w:color="E6E6F9"/>
            </w:tcBorders>
            <w:shd w:val="clear" w:color="auto" w:fill="E6E6F9"/>
          </w:tcPr>
          <w:p>
            <w:pPr>
              <w:spacing w:after="0"/>
              <w:rPr>
                <w:sz w:val="24"/>
                <w:szCs w:val="24"/>
                <w:color w:val="auto"/>
              </w:rPr>
            </w:pPr>
          </w:p>
        </w:tc>
        <w:tc>
          <w:tcPr>
            <w:tcW w:w="100" w:type="dxa"/>
            <w:vAlign w:val="bottom"/>
            <w:tcBorders>
              <w:top w:val="single" w:sz="8" w:color="E6E6F9"/>
              <w:right w:val="single" w:sz="8" w:color="E6E6F9"/>
            </w:tcBorders>
            <w:shd w:val="clear" w:color="auto" w:fill="E6E6F9"/>
          </w:tcPr>
          <w:p>
            <w:pPr>
              <w:spacing w:after="0"/>
              <w:rPr>
                <w:sz w:val="24"/>
                <w:szCs w:val="24"/>
                <w:color w:val="auto"/>
              </w:rPr>
            </w:pPr>
          </w:p>
        </w:tc>
        <w:tc>
          <w:tcPr>
            <w:tcW w:w="360" w:type="dxa"/>
            <w:vAlign w:val="bottom"/>
            <w:tcBorders>
              <w:top w:val="single" w:sz="8" w:color="E6E6F9"/>
              <w:right w:val="single" w:sz="8" w:color="E6E6F9"/>
            </w:tcBorders>
            <w:shd w:val="clear" w:color="auto" w:fill="E6E6F9"/>
          </w:tcPr>
          <w:p>
            <w:pPr>
              <w:spacing w:after="0"/>
              <w:rPr>
                <w:sz w:val="24"/>
                <w:szCs w:val="24"/>
                <w:color w:val="auto"/>
              </w:rPr>
            </w:pPr>
          </w:p>
        </w:tc>
        <w:tc>
          <w:tcPr>
            <w:tcW w:w="1600" w:type="dxa"/>
            <w:vAlign w:val="bottom"/>
            <w:tcBorders>
              <w:top w:val="single" w:sz="8" w:color="E6E6F9"/>
            </w:tcBorders>
            <w:gridSpan w:val="4"/>
            <w:shd w:val="clear" w:color="auto" w:fill="E6E6F9"/>
          </w:tcPr>
          <w:p>
            <w:pPr>
              <w:jc w:val="center"/>
              <w:ind w:right="860"/>
              <w:spacing w:after="0"/>
              <w:rPr>
                <w:sz w:val="20"/>
                <w:szCs w:val="20"/>
                <w:color w:val="auto"/>
              </w:rPr>
            </w:pPr>
            <w:r>
              <w:rPr>
                <w:rFonts w:ascii="Times New Roman" w:cs="Times New Roman" w:eastAsia="Times New Roman" w:hAnsi="Times New Roman"/>
                <w:sz w:val="18"/>
                <w:szCs w:val="18"/>
                <w:color w:val="0000FF"/>
                <w:w w:val="93"/>
              </w:rPr>
              <w:t>Category 1</w:t>
            </w:r>
          </w:p>
        </w:tc>
        <w:tc>
          <w:tcPr>
            <w:tcW w:w="380" w:type="dxa"/>
            <w:vAlign w:val="bottom"/>
            <w:tcBorders>
              <w:top w:val="single" w:sz="8" w:color="E6E6F9"/>
            </w:tcBorders>
            <w:shd w:val="clear" w:color="auto" w:fill="E6E6F9"/>
          </w:tcPr>
          <w:p>
            <w:pPr>
              <w:spacing w:after="0"/>
              <w:rPr>
                <w:sz w:val="24"/>
                <w:szCs w:val="24"/>
                <w:color w:val="auto"/>
              </w:rPr>
            </w:pPr>
          </w:p>
        </w:tc>
        <w:tc>
          <w:tcPr>
            <w:tcW w:w="340" w:type="dxa"/>
            <w:vAlign w:val="bottom"/>
            <w:tcBorders>
              <w:top w:val="single" w:sz="8" w:color="E6E6F9"/>
            </w:tcBorders>
            <w:shd w:val="clear" w:color="auto" w:fill="E6E6F9"/>
          </w:tcPr>
          <w:p>
            <w:pPr>
              <w:spacing w:after="0"/>
              <w:rPr>
                <w:sz w:val="24"/>
                <w:szCs w:val="24"/>
                <w:color w:val="auto"/>
              </w:rPr>
            </w:pPr>
          </w:p>
        </w:tc>
        <w:tc>
          <w:tcPr>
            <w:tcW w:w="200" w:type="dxa"/>
            <w:vAlign w:val="bottom"/>
            <w:tcBorders>
              <w:top w:val="single" w:sz="8" w:color="E6E6F9"/>
            </w:tcBorders>
            <w:shd w:val="clear" w:color="auto" w:fill="E6E6F9"/>
          </w:tcPr>
          <w:p>
            <w:pPr>
              <w:spacing w:after="0"/>
              <w:rPr>
                <w:sz w:val="24"/>
                <w:szCs w:val="24"/>
                <w:color w:val="auto"/>
              </w:rPr>
            </w:pPr>
          </w:p>
        </w:tc>
        <w:tc>
          <w:tcPr>
            <w:tcW w:w="460" w:type="dxa"/>
            <w:vAlign w:val="bottom"/>
            <w:tcBorders>
              <w:top w:val="single" w:sz="8" w:color="E6E6F9"/>
            </w:tcBorders>
            <w:shd w:val="clear" w:color="auto" w:fill="E6E6F9"/>
          </w:tcPr>
          <w:p>
            <w:pPr>
              <w:spacing w:after="0"/>
              <w:rPr>
                <w:sz w:val="24"/>
                <w:szCs w:val="24"/>
                <w:color w:val="auto"/>
              </w:rPr>
            </w:pPr>
          </w:p>
        </w:tc>
        <w:tc>
          <w:tcPr>
            <w:tcW w:w="200" w:type="dxa"/>
            <w:vAlign w:val="bottom"/>
            <w:tcBorders>
              <w:top w:val="single" w:sz="8" w:color="E6E6F9"/>
            </w:tcBorders>
            <w:shd w:val="clear" w:color="auto" w:fill="E6E6F9"/>
          </w:tcPr>
          <w:p>
            <w:pPr>
              <w:spacing w:after="0"/>
              <w:rPr>
                <w:sz w:val="24"/>
                <w:szCs w:val="24"/>
                <w:color w:val="auto"/>
              </w:rPr>
            </w:pPr>
          </w:p>
        </w:tc>
        <w:tc>
          <w:tcPr>
            <w:tcW w:w="360" w:type="dxa"/>
            <w:vAlign w:val="bottom"/>
            <w:tcBorders>
              <w:top w:val="single" w:sz="8" w:color="E6E6F9"/>
            </w:tcBorders>
            <w:shd w:val="clear" w:color="auto" w:fill="E6E6F9"/>
          </w:tcPr>
          <w:p>
            <w:pPr>
              <w:spacing w:after="0"/>
              <w:rPr>
                <w:sz w:val="24"/>
                <w:szCs w:val="24"/>
                <w:color w:val="auto"/>
              </w:rPr>
            </w:pPr>
          </w:p>
        </w:tc>
        <w:tc>
          <w:tcPr>
            <w:tcW w:w="360" w:type="dxa"/>
            <w:vAlign w:val="bottom"/>
            <w:tcBorders>
              <w:top w:val="single" w:sz="8" w:color="E6E6F9"/>
            </w:tcBorders>
            <w:shd w:val="clear" w:color="auto" w:fill="E6E6F9"/>
          </w:tcPr>
          <w:p>
            <w:pPr>
              <w:spacing w:after="0"/>
              <w:rPr>
                <w:sz w:val="24"/>
                <w:szCs w:val="24"/>
                <w:color w:val="auto"/>
              </w:rPr>
            </w:pPr>
          </w:p>
        </w:tc>
        <w:tc>
          <w:tcPr>
            <w:tcW w:w="420" w:type="dxa"/>
            <w:vAlign w:val="bottom"/>
            <w:tcBorders>
              <w:top w:val="single" w:sz="8" w:color="E6E6F9"/>
            </w:tcBorders>
            <w:shd w:val="clear" w:color="auto" w:fill="E6E6F9"/>
          </w:tcPr>
          <w:p>
            <w:pPr>
              <w:spacing w:after="0"/>
              <w:rPr>
                <w:sz w:val="24"/>
                <w:szCs w:val="24"/>
                <w:color w:val="auto"/>
              </w:rPr>
            </w:pPr>
          </w:p>
        </w:tc>
        <w:tc>
          <w:tcPr>
            <w:tcW w:w="480" w:type="dxa"/>
            <w:vAlign w:val="bottom"/>
            <w:tcBorders>
              <w:top w:val="single" w:sz="8" w:color="E6E6F9"/>
            </w:tcBorders>
            <w:shd w:val="clear" w:color="auto" w:fill="E6E6F9"/>
          </w:tcPr>
          <w:p>
            <w:pPr>
              <w:spacing w:after="0"/>
              <w:rPr>
                <w:sz w:val="24"/>
                <w:szCs w:val="24"/>
                <w:color w:val="auto"/>
              </w:rPr>
            </w:pPr>
          </w:p>
        </w:tc>
        <w:tc>
          <w:tcPr>
            <w:tcW w:w="120" w:type="dxa"/>
            <w:vAlign w:val="bottom"/>
            <w:tcBorders>
              <w:top w:val="single" w:sz="8" w:color="E6E6F9"/>
            </w:tcBorders>
            <w:shd w:val="clear" w:color="auto" w:fill="E6E6F9"/>
          </w:tcPr>
          <w:p>
            <w:pPr>
              <w:spacing w:after="0"/>
              <w:rPr>
                <w:sz w:val="24"/>
                <w:szCs w:val="24"/>
                <w:color w:val="auto"/>
              </w:rPr>
            </w:pPr>
          </w:p>
        </w:tc>
        <w:tc>
          <w:tcPr>
            <w:tcW w:w="40" w:type="dxa"/>
            <w:vAlign w:val="bottom"/>
            <w:tcBorders>
              <w:top w:val="single" w:sz="8" w:color="E6E6F9"/>
            </w:tcBorders>
            <w:shd w:val="clear" w:color="auto" w:fill="E6E6F9"/>
          </w:tcPr>
          <w:p>
            <w:pPr>
              <w:spacing w:after="0"/>
              <w:rPr>
                <w:sz w:val="24"/>
                <w:szCs w:val="24"/>
                <w:color w:val="auto"/>
              </w:rPr>
            </w:pPr>
          </w:p>
        </w:tc>
        <w:tc>
          <w:tcPr>
            <w:tcW w:w="460" w:type="dxa"/>
            <w:vAlign w:val="bottom"/>
            <w:tcBorders>
              <w:top w:val="single" w:sz="8" w:color="E6E6F9"/>
            </w:tcBorders>
            <w:shd w:val="clear" w:color="auto" w:fill="E6E6F9"/>
          </w:tcPr>
          <w:p>
            <w:pPr>
              <w:spacing w:after="0"/>
              <w:rPr>
                <w:sz w:val="24"/>
                <w:szCs w:val="24"/>
                <w:color w:val="auto"/>
              </w:rPr>
            </w:pPr>
          </w:p>
        </w:tc>
        <w:tc>
          <w:tcPr>
            <w:tcW w:w="20" w:type="dxa"/>
            <w:vAlign w:val="bottom"/>
            <w:tcBorders>
              <w:top w:val="single" w:sz="8" w:color="E6E6F9"/>
            </w:tcBorders>
            <w:shd w:val="clear" w:color="auto" w:fill="E6E6F9"/>
          </w:tcPr>
          <w:p>
            <w:pPr>
              <w:spacing w:after="0"/>
              <w:rPr>
                <w:sz w:val="24"/>
                <w:szCs w:val="24"/>
                <w:color w:val="auto"/>
              </w:rPr>
            </w:pPr>
          </w:p>
        </w:tc>
        <w:tc>
          <w:tcPr>
            <w:tcW w:w="120" w:type="dxa"/>
            <w:vAlign w:val="bottom"/>
            <w:tcBorders>
              <w:top w:val="single" w:sz="8" w:color="E6E6F9"/>
            </w:tcBorders>
            <w:shd w:val="clear" w:color="auto" w:fill="E6E6F9"/>
          </w:tcPr>
          <w:p>
            <w:pPr>
              <w:spacing w:after="0"/>
              <w:rPr>
                <w:sz w:val="24"/>
                <w:szCs w:val="24"/>
                <w:color w:val="auto"/>
              </w:rPr>
            </w:pPr>
          </w:p>
        </w:tc>
        <w:tc>
          <w:tcPr>
            <w:tcW w:w="480" w:type="dxa"/>
            <w:vAlign w:val="bottom"/>
            <w:tcBorders>
              <w:top w:val="single" w:sz="8" w:color="E6E6F9"/>
            </w:tcBorders>
            <w:shd w:val="clear" w:color="auto" w:fill="E6E6F9"/>
          </w:tcPr>
          <w:p>
            <w:pPr>
              <w:spacing w:after="0"/>
              <w:rPr>
                <w:sz w:val="24"/>
                <w:szCs w:val="24"/>
                <w:color w:val="auto"/>
              </w:rPr>
            </w:pPr>
          </w:p>
        </w:tc>
        <w:tc>
          <w:tcPr>
            <w:tcW w:w="420" w:type="dxa"/>
            <w:vAlign w:val="bottom"/>
            <w:tcBorders>
              <w:top w:val="single" w:sz="8" w:color="E6E6F9"/>
            </w:tcBorders>
            <w:shd w:val="clear" w:color="auto" w:fill="E6E6F9"/>
          </w:tcPr>
          <w:p>
            <w:pPr>
              <w:spacing w:after="0"/>
              <w:rPr>
                <w:sz w:val="24"/>
                <w:szCs w:val="24"/>
                <w:color w:val="auto"/>
              </w:rPr>
            </w:pPr>
          </w:p>
        </w:tc>
        <w:tc>
          <w:tcPr>
            <w:tcW w:w="440" w:type="dxa"/>
            <w:vAlign w:val="bottom"/>
            <w:tcBorders>
              <w:top w:val="single" w:sz="8" w:color="E6E6F9"/>
            </w:tcBorders>
            <w:shd w:val="clear" w:color="auto" w:fill="E6E6F9"/>
          </w:tcPr>
          <w:p>
            <w:pPr>
              <w:spacing w:after="0"/>
              <w:rPr>
                <w:sz w:val="24"/>
                <w:szCs w:val="24"/>
                <w:color w:val="auto"/>
              </w:rPr>
            </w:pPr>
          </w:p>
        </w:tc>
        <w:tc>
          <w:tcPr>
            <w:tcW w:w="60" w:type="dxa"/>
            <w:vAlign w:val="bottom"/>
            <w:tcBorders>
              <w:top w:val="single" w:sz="8" w:color="E6E6F9"/>
            </w:tcBorders>
            <w:shd w:val="clear" w:color="auto" w:fill="E6E6F9"/>
          </w:tcPr>
          <w:p>
            <w:pPr>
              <w:spacing w:after="0"/>
              <w:rPr>
                <w:sz w:val="24"/>
                <w:szCs w:val="24"/>
                <w:color w:val="auto"/>
              </w:rPr>
            </w:pPr>
          </w:p>
        </w:tc>
        <w:tc>
          <w:tcPr>
            <w:tcW w:w="320" w:type="dxa"/>
            <w:vAlign w:val="bottom"/>
            <w:tcBorders>
              <w:top w:val="single" w:sz="8" w:color="E6E6F9"/>
            </w:tcBorders>
            <w:shd w:val="clear" w:color="auto" w:fill="E6E6F9"/>
          </w:tcPr>
          <w:p>
            <w:pPr>
              <w:spacing w:after="0"/>
              <w:rPr>
                <w:sz w:val="24"/>
                <w:szCs w:val="24"/>
                <w:color w:val="auto"/>
              </w:rPr>
            </w:pPr>
          </w:p>
        </w:tc>
        <w:tc>
          <w:tcPr>
            <w:tcW w:w="60" w:type="dxa"/>
            <w:vAlign w:val="bottom"/>
            <w:tcBorders>
              <w:top w:val="single" w:sz="8" w:color="0000FF"/>
              <w:right w:val="single" w:sz="8" w:color="E6E6F9"/>
            </w:tcBorders>
            <w:shd w:val="clear" w:color="auto" w:fill="E6E6F9"/>
          </w:tcPr>
          <w:p>
            <w:pPr>
              <w:spacing w:after="0"/>
              <w:rPr>
                <w:sz w:val="24"/>
                <w:szCs w:val="24"/>
                <w:color w:val="auto"/>
              </w:rPr>
            </w:pPr>
          </w:p>
        </w:tc>
        <w:tc>
          <w:tcPr>
            <w:tcW w:w="440" w:type="dxa"/>
            <w:vAlign w:val="bottom"/>
            <w:tcBorders>
              <w:top w:val="single" w:sz="8" w:color="0000FF"/>
              <w:right w:val="single" w:sz="8" w:color="E6E6F9"/>
            </w:tcBorders>
            <w:shd w:val="clear" w:color="auto" w:fill="E6E6F9"/>
          </w:tcPr>
          <w:p>
            <w:pPr>
              <w:spacing w:after="0"/>
              <w:rPr>
                <w:sz w:val="24"/>
                <w:szCs w:val="24"/>
                <w:color w:val="auto"/>
              </w:rPr>
            </w:pPr>
          </w:p>
        </w:tc>
        <w:tc>
          <w:tcPr>
            <w:tcW w:w="320" w:type="dxa"/>
            <w:vAlign w:val="bottom"/>
            <w:tcBorders>
              <w:top w:val="single" w:sz="8" w:color="E6E6F9"/>
            </w:tcBorders>
            <w:shd w:val="clear" w:color="auto" w:fill="E6E6F9"/>
          </w:tcPr>
          <w:p>
            <w:pPr>
              <w:spacing w:after="0"/>
              <w:rPr>
                <w:sz w:val="24"/>
                <w:szCs w:val="24"/>
                <w:color w:val="auto"/>
              </w:rPr>
            </w:pPr>
          </w:p>
        </w:tc>
        <w:tc>
          <w:tcPr>
            <w:tcW w:w="60" w:type="dxa"/>
            <w:vAlign w:val="bottom"/>
            <w:tcBorders>
              <w:top w:val="single" w:sz="8" w:color="E6E6F9"/>
            </w:tcBorders>
            <w:shd w:val="clear" w:color="auto" w:fill="E6E6F9"/>
          </w:tcPr>
          <w:p>
            <w:pPr>
              <w:spacing w:after="0"/>
              <w:rPr>
                <w:sz w:val="24"/>
                <w:szCs w:val="24"/>
                <w:color w:val="auto"/>
              </w:rPr>
            </w:pPr>
          </w:p>
        </w:tc>
        <w:tc>
          <w:tcPr>
            <w:tcW w:w="440" w:type="dxa"/>
            <w:vAlign w:val="bottom"/>
            <w:tcBorders>
              <w:top w:val="single" w:sz="8" w:color="E6E6F9"/>
            </w:tcBorders>
            <w:shd w:val="clear" w:color="auto" w:fill="E6E6F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E6E6F9"/>
          </w:tcPr>
          <w:p>
            <w:pPr>
              <w:spacing w:after="0" w:line="20" w:lineRule="exact"/>
              <w:rPr>
                <w:sz w:val="1"/>
                <w:szCs w:val="1"/>
                <w:color w:val="auto"/>
              </w:rPr>
            </w:pPr>
          </w:p>
        </w:tc>
        <w:tc>
          <w:tcPr>
            <w:tcW w:w="120" w:type="dxa"/>
            <w:vAlign w:val="bottom"/>
            <w:shd w:val="clear" w:color="auto" w:fill="E6E6F9"/>
          </w:tcPr>
          <w:p>
            <w:pPr>
              <w:spacing w:after="0" w:line="20" w:lineRule="exact"/>
              <w:rPr>
                <w:sz w:val="1"/>
                <w:szCs w:val="1"/>
                <w:color w:val="auto"/>
              </w:rPr>
            </w:pPr>
          </w:p>
        </w:tc>
        <w:tc>
          <w:tcPr>
            <w:tcW w:w="100" w:type="dxa"/>
            <w:vAlign w:val="bottom"/>
            <w:tcBorders>
              <w:right w:val="single" w:sz="8" w:color="E6E6F9"/>
            </w:tcBorders>
            <w:shd w:val="clear" w:color="auto" w:fill="E6E6F9"/>
          </w:tcPr>
          <w:p>
            <w:pPr>
              <w:spacing w:after="0" w:line="20" w:lineRule="exact"/>
              <w:rPr>
                <w:sz w:val="1"/>
                <w:szCs w:val="1"/>
                <w:color w:val="auto"/>
              </w:rPr>
            </w:pPr>
          </w:p>
        </w:tc>
        <w:tc>
          <w:tcPr>
            <w:tcW w:w="360" w:type="dxa"/>
            <w:vAlign w:val="bottom"/>
            <w:tcBorders>
              <w:right w:val="single" w:sz="8" w:color="0000FF"/>
            </w:tcBorders>
            <w:shd w:val="clear" w:color="auto" w:fill="E6E6F9"/>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E6E6F9"/>
            </w:tcBorders>
            <w:shd w:val="clear" w:color="auto" w:fill="E6E6F9"/>
          </w:tcPr>
          <w:p>
            <w:pPr>
              <w:spacing w:after="0" w:line="20" w:lineRule="exact"/>
              <w:rPr>
                <w:sz w:val="1"/>
                <w:szCs w:val="1"/>
                <w:color w:val="auto"/>
              </w:rPr>
            </w:pPr>
          </w:p>
        </w:tc>
        <w:tc>
          <w:tcPr>
            <w:tcW w:w="440" w:type="dxa"/>
            <w:vAlign w:val="bottom"/>
            <w:gridSpan w:val="2"/>
            <w:shd w:val="clear" w:color="auto" w:fill="E6E6F9"/>
          </w:tcPr>
          <w:p>
            <w:pPr>
              <w:spacing w:after="0" w:line="20" w:lineRule="exact"/>
              <w:rPr>
                <w:sz w:val="1"/>
                <w:szCs w:val="1"/>
                <w:color w:val="auto"/>
              </w:rPr>
            </w:pPr>
          </w:p>
        </w:tc>
        <w:tc>
          <w:tcPr>
            <w:tcW w:w="920" w:type="dxa"/>
            <w:vAlign w:val="bottom"/>
            <w:gridSpan w:val="3"/>
            <w:shd w:val="clear" w:color="auto" w:fill="E6E6F9"/>
          </w:tcPr>
          <w:p>
            <w:pPr>
              <w:spacing w:after="0" w:line="20" w:lineRule="exact"/>
              <w:rPr>
                <w:sz w:val="1"/>
                <w:szCs w:val="1"/>
                <w:color w:val="auto"/>
              </w:rPr>
            </w:pPr>
          </w:p>
        </w:tc>
        <w:tc>
          <w:tcPr>
            <w:tcW w:w="460" w:type="dxa"/>
            <w:vAlign w:val="bottom"/>
            <w:shd w:val="clear" w:color="auto" w:fill="E6E6F9"/>
          </w:tcPr>
          <w:p>
            <w:pPr>
              <w:spacing w:after="0" w:line="20" w:lineRule="exact"/>
              <w:rPr>
                <w:sz w:val="1"/>
                <w:szCs w:val="1"/>
                <w:color w:val="auto"/>
              </w:rPr>
            </w:pPr>
          </w:p>
        </w:tc>
        <w:tc>
          <w:tcPr>
            <w:tcW w:w="200" w:type="dxa"/>
            <w:vAlign w:val="bottom"/>
            <w:shd w:val="clear" w:color="auto" w:fill="E6E6F9"/>
          </w:tcPr>
          <w:p>
            <w:pPr>
              <w:spacing w:after="0" w:line="20" w:lineRule="exact"/>
              <w:rPr>
                <w:sz w:val="1"/>
                <w:szCs w:val="1"/>
                <w:color w:val="auto"/>
              </w:rPr>
            </w:pPr>
          </w:p>
        </w:tc>
        <w:tc>
          <w:tcPr>
            <w:tcW w:w="360" w:type="dxa"/>
            <w:vAlign w:val="bottom"/>
            <w:shd w:val="clear" w:color="auto" w:fill="E6E6F9"/>
          </w:tcPr>
          <w:p>
            <w:pPr>
              <w:spacing w:after="0" w:line="20" w:lineRule="exact"/>
              <w:rPr>
                <w:sz w:val="1"/>
                <w:szCs w:val="1"/>
                <w:color w:val="auto"/>
              </w:rPr>
            </w:pPr>
          </w:p>
        </w:tc>
        <w:tc>
          <w:tcPr>
            <w:tcW w:w="360" w:type="dxa"/>
            <w:vAlign w:val="bottom"/>
            <w:shd w:val="clear" w:color="auto" w:fill="E6E6F9"/>
          </w:tcPr>
          <w:p>
            <w:pPr>
              <w:spacing w:after="0" w:line="20" w:lineRule="exact"/>
              <w:rPr>
                <w:sz w:val="1"/>
                <w:szCs w:val="1"/>
                <w:color w:val="auto"/>
              </w:rPr>
            </w:pPr>
          </w:p>
        </w:tc>
        <w:tc>
          <w:tcPr>
            <w:tcW w:w="1060" w:type="dxa"/>
            <w:vAlign w:val="bottom"/>
            <w:gridSpan w:val="4"/>
            <w:shd w:val="clear" w:color="auto" w:fill="E6E6F9"/>
          </w:tcPr>
          <w:p>
            <w:pPr>
              <w:spacing w:after="0" w:line="20" w:lineRule="exact"/>
              <w:rPr>
                <w:sz w:val="1"/>
                <w:szCs w:val="1"/>
                <w:color w:val="auto"/>
              </w:rPr>
            </w:pPr>
          </w:p>
        </w:tc>
        <w:tc>
          <w:tcPr>
            <w:tcW w:w="460" w:type="dxa"/>
            <w:vAlign w:val="bottom"/>
            <w:shd w:val="clear" w:color="auto" w:fill="E6E6F9"/>
          </w:tcPr>
          <w:p>
            <w:pPr>
              <w:spacing w:after="0" w:line="20" w:lineRule="exact"/>
              <w:rPr>
                <w:sz w:val="1"/>
                <w:szCs w:val="1"/>
                <w:color w:val="auto"/>
              </w:rPr>
            </w:pPr>
          </w:p>
        </w:tc>
        <w:tc>
          <w:tcPr>
            <w:tcW w:w="20" w:type="dxa"/>
            <w:vAlign w:val="bottom"/>
            <w:shd w:val="clear" w:color="auto" w:fill="E6E6F9"/>
          </w:tcPr>
          <w:p>
            <w:pPr>
              <w:spacing w:after="0" w:line="20" w:lineRule="exact"/>
              <w:rPr>
                <w:sz w:val="1"/>
                <w:szCs w:val="1"/>
                <w:color w:val="auto"/>
              </w:rPr>
            </w:pPr>
          </w:p>
        </w:tc>
        <w:tc>
          <w:tcPr>
            <w:tcW w:w="120" w:type="dxa"/>
            <w:vAlign w:val="bottom"/>
            <w:shd w:val="clear" w:color="auto" w:fill="E6E6F9"/>
          </w:tcPr>
          <w:p>
            <w:pPr>
              <w:spacing w:after="0" w:line="20" w:lineRule="exact"/>
              <w:rPr>
                <w:sz w:val="1"/>
                <w:szCs w:val="1"/>
                <w:color w:val="auto"/>
              </w:rPr>
            </w:pPr>
          </w:p>
        </w:tc>
        <w:tc>
          <w:tcPr>
            <w:tcW w:w="480" w:type="dxa"/>
            <w:vAlign w:val="bottom"/>
            <w:shd w:val="clear" w:color="auto" w:fill="E6E6F9"/>
          </w:tcPr>
          <w:p>
            <w:pPr>
              <w:spacing w:after="0" w:line="20" w:lineRule="exact"/>
              <w:rPr>
                <w:sz w:val="1"/>
                <w:szCs w:val="1"/>
                <w:color w:val="auto"/>
              </w:rPr>
            </w:pPr>
          </w:p>
        </w:tc>
        <w:tc>
          <w:tcPr>
            <w:tcW w:w="420" w:type="dxa"/>
            <w:vAlign w:val="bottom"/>
            <w:shd w:val="clear" w:color="auto" w:fill="E6E6F9"/>
          </w:tcPr>
          <w:p>
            <w:pPr>
              <w:spacing w:after="0" w:line="20" w:lineRule="exact"/>
              <w:rPr>
                <w:sz w:val="1"/>
                <w:szCs w:val="1"/>
                <w:color w:val="auto"/>
              </w:rPr>
            </w:pPr>
          </w:p>
        </w:tc>
        <w:tc>
          <w:tcPr>
            <w:tcW w:w="880" w:type="dxa"/>
            <w:vAlign w:val="bottom"/>
            <w:tcBorders>
              <w:right w:val="single" w:sz="8" w:color="E6E6F9"/>
            </w:tcBorders>
            <w:gridSpan w:val="4"/>
            <w:shd w:val="clear" w:color="auto" w:fill="E6E6F9"/>
          </w:tcPr>
          <w:p>
            <w:pPr>
              <w:spacing w:after="0" w:line="20" w:lineRule="exact"/>
              <w:rPr>
                <w:sz w:val="1"/>
                <w:szCs w:val="1"/>
                <w:color w:val="auto"/>
              </w:rPr>
            </w:pPr>
          </w:p>
        </w:tc>
        <w:tc>
          <w:tcPr>
            <w:tcW w:w="440" w:type="dxa"/>
            <w:vAlign w:val="bottom"/>
            <w:tcBorders>
              <w:right w:val="single" w:sz="8" w:color="E6E6F9"/>
            </w:tcBorders>
            <w:shd w:val="clear" w:color="auto" w:fill="E6E6F9"/>
          </w:tcPr>
          <w:p>
            <w:pPr>
              <w:spacing w:after="0" w:line="20" w:lineRule="exact"/>
              <w:rPr>
                <w:sz w:val="1"/>
                <w:szCs w:val="1"/>
                <w:color w:val="auto"/>
              </w:rPr>
            </w:pPr>
          </w:p>
        </w:tc>
        <w:tc>
          <w:tcPr>
            <w:tcW w:w="320" w:type="dxa"/>
            <w:vAlign w:val="bottom"/>
            <w:shd w:val="clear" w:color="auto" w:fill="E6E6F9"/>
          </w:tcPr>
          <w:p>
            <w:pPr>
              <w:spacing w:after="0" w:line="20" w:lineRule="exact"/>
              <w:rPr>
                <w:sz w:val="1"/>
                <w:szCs w:val="1"/>
                <w:color w:val="auto"/>
              </w:rPr>
            </w:pPr>
          </w:p>
        </w:tc>
        <w:tc>
          <w:tcPr>
            <w:tcW w:w="60" w:type="dxa"/>
            <w:vAlign w:val="bottom"/>
            <w:shd w:val="clear" w:color="auto" w:fill="E6E6F9"/>
          </w:tcPr>
          <w:p>
            <w:pPr>
              <w:spacing w:after="0" w:line="20" w:lineRule="exact"/>
              <w:rPr>
                <w:sz w:val="1"/>
                <w:szCs w:val="1"/>
                <w:color w:val="auto"/>
              </w:rPr>
            </w:pPr>
          </w:p>
        </w:tc>
        <w:tc>
          <w:tcPr>
            <w:tcW w:w="440" w:type="dxa"/>
            <w:vAlign w:val="bottom"/>
            <w:shd w:val="clear" w:color="auto" w:fill="E6E6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shd w:val="clear" w:color="auto" w:fill="E6E6F9"/>
          </w:tcPr>
          <w:p>
            <w:pPr>
              <w:spacing w:after="0"/>
              <w:rPr>
                <w:sz w:val="19"/>
                <w:szCs w:val="19"/>
                <w:color w:val="auto"/>
              </w:rPr>
            </w:pPr>
          </w:p>
        </w:tc>
        <w:tc>
          <w:tcPr>
            <w:tcW w:w="120" w:type="dxa"/>
            <w:vAlign w:val="bottom"/>
            <w:shd w:val="clear" w:color="auto" w:fill="E6E6F9"/>
          </w:tcPr>
          <w:p>
            <w:pPr>
              <w:spacing w:after="0"/>
              <w:rPr>
                <w:sz w:val="19"/>
                <w:szCs w:val="19"/>
                <w:color w:val="auto"/>
              </w:rPr>
            </w:pPr>
          </w:p>
        </w:tc>
        <w:tc>
          <w:tcPr>
            <w:tcW w:w="1620" w:type="dxa"/>
            <w:vAlign w:val="bottom"/>
            <w:tcBorders>
              <w:right w:val="single" w:sz="8" w:color="E6E6F9"/>
            </w:tcBorders>
            <w:gridSpan w:val="4"/>
            <w:shd w:val="clear" w:color="auto" w:fill="E6E6F9"/>
          </w:tcPr>
          <w:p>
            <w:pPr>
              <w:jc w:val="center"/>
              <w:spacing w:after="0"/>
              <w:rPr>
                <w:sz w:val="20"/>
                <w:szCs w:val="20"/>
                <w:color w:val="auto"/>
              </w:rPr>
            </w:pPr>
            <w:r>
              <w:rPr>
                <w:rFonts w:ascii="Times New Roman" w:cs="Times New Roman" w:eastAsia="Times New Roman" w:hAnsi="Times New Roman"/>
                <w:sz w:val="18"/>
                <w:szCs w:val="18"/>
                <w:color w:val="0000FF"/>
                <w:w w:val="99"/>
              </w:rPr>
              <w:t>Greater than 3.30:1.00</w:t>
            </w:r>
          </w:p>
        </w:tc>
        <w:tc>
          <w:tcPr>
            <w:tcW w:w="440" w:type="dxa"/>
            <w:vAlign w:val="bottom"/>
            <w:gridSpan w:val="2"/>
            <w:shd w:val="clear" w:color="auto" w:fill="E6E6F9"/>
          </w:tcPr>
          <w:p>
            <w:pPr>
              <w:spacing w:after="0"/>
              <w:rPr>
                <w:sz w:val="19"/>
                <w:szCs w:val="19"/>
                <w:color w:val="auto"/>
              </w:rPr>
            </w:pPr>
          </w:p>
        </w:tc>
        <w:tc>
          <w:tcPr>
            <w:tcW w:w="920" w:type="dxa"/>
            <w:vAlign w:val="bottom"/>
            <w:gridSpan w:val="3"/>
            <w:shd w:val="clear" w:color="auto" w:fill="E6E6F9"/>
          </w:tcPr>
          <w:p>
            <w:pPr>
              <w:spacing w:after="0"/>
              <w:rPr>
                <w:sz w:val="19"/>
                <w:szCs w:val="19"/>
                <w:color w:val="auto"/>
              </w:rPr>
            </w:pPr>
          </w:p>
        </w:tc>
        <w:tc>
          <w:tcPr>
            <w:tcW w:w="660" w:type="dxa"/>
            <w:vAlign w:val="bottom"/>
            <w:gridSpan w:val="2"/>
            <w:shd w:val="clear" w:color="auto" w:fill="E6E6F9"/>
          </w:tcPr>
          <w:p>
            <w:pPr>
              <w:jc w:val="center"/>
              <w:ind w:right="200"/>
              <w:spacing w:after="0"/>
              <w:rPr>
                <w:sz w:val="20"/>
                <w:szCs w:val="20"/>
                <w:color w:val="auto"/>
              </w:rPr>
            </w:pPr>
            <w:r>
              <w:rPr>
                <w:rFonts w:ascii="Times New Roman" w:cs="Times New Roman" w:eastAsia="Times New Roman" w:hAnsi="Times New Roman"/>
                <w:sz w:val="18"/>
                <w:szCs w:val="18"/>
                <w:color w:val="0000FF"/>
                <w:w w:val="98"/>
              </w:rPr>
              <w:t>2.</w:t>
            </w:r>
            <w:r>
              <w:rPr>
                <w:rFonts w:ascii="Times New Roman" w:cs="Times New Roman" w:eastAsia="Times New Roman" w:hAnsi="Times New Roman"/>
                <w:sz w:val="18"/>
                <w:szCs w:val="18"/>
                <w:u w:val="single" w:color="auto"/>
                <w:color w:val="0000FF"/>
                <w:w w:val="98"/>
              </w:rPr>
              <w:t>25%</w:t>
            </w:r>
          </w:p>
        </w:tc>
        <w:tc>
          <w:tcPr>
            <w:tcW w:w="360" w:type="dxa"/>
            <w:vAlign w:val="bottom"/>
            <w:shd w:val="clear" w:color="auto" w:fill="E6E6F9"/>
          </w:tcPr>
          <w:p>
            <w:pPr>
              <w:spacing w:after="0"/>
              <w:rPr>
                <w:sz w:val="19"/>
                <w:szCs w:val="19"/>
                <w:color w:val="auto"/>
              </w:rPr>
            </w:pPr>
          </w:p>
        </w:tc>
        <w:tc>
          <w:tcPr>
            <w:tcW w:w="360" w:type="dxa"/>
            <w:vAlign w:val="bottom"/>
            <w:shd w:val="clear" w:color="auto" w:fill="E6E6F9"/>
          </w:tcPr>
          <w:p>
            <w:pPr>
              <w:spacing w:after="0"/>
              <w:rPr>
                <w:sz w:val="19"/>
                <w:szCs w:val="19"/>
                <w:color w:val="auto"/>
              </w:rPr>
            </w:pPr>
          </w:p>
        </w:tc>
        <w:tc>
          <w:tcPr>
            <w:tcW w:w="1540" w:type="dxa"/>
            <w:vAlign w:val="bottom"/>
            <w:gridSpan w:val="6"/>
            <w:shd w:val="clear" w:color="auto" w:fill="E6E6F9"/>
          </w:tcPr>
          <w:p>
            <w:pPr>
              <w:jc w:val="center"/>
              <w:ind w:left="95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25%</w:t>
            </w:r>
          </w:p>
        </w:tc>
        <w:tc>
          <w:tcPr>
            <w:tcW w:w="120" w:type="dxa"/>
            <w:vAlign w:val="bottom"/>
            <w:shd w:val="clear" w:color="auto" w:fill="E6E6F9"/>
          </w:tcPr>
          <w:p>
            <w:pPr>
              <w:spacing w:after="0"/>
              <w:rPr>
                <w:sz w:val="19"/>
                <w:szCs w:val="19"/>
                <w:color w:val="auto"/>
              </w:rPr>
            </w:pPr>
          </w:p>
        </w:tc>
        <w:tc>
          <w:tcPr>
            <w:tcW w:w="480" w:type="dxa"/>
            <w:vAlign w:val="bottom"/>
            <w:shd w:val="clear" w:color="auto" w:fill="E6E6F9"/>
          </w:tcPr>
          <w:p>
            <w:pPr>
              <w:spacing w:after="0"/>
              <w:rPr>
                <w:sz w:val="19"/>
                <w:szCs w:val="19"/>
                <w:color w:val="auto"/>
              </w:rPr>
            </w:pPr>
          </w:p>
        </w:tc>
        <w:tc>
          <w:tcPr>
            <w:tcW w:w="420" w:type="dxa"/>
            <w:vAlign w:val="bottom"/>
            <w:shd w:val="clear" w:color="auto" w:fill="E6E6F9"/>
          </w:tcPr>
          <w:p>
            <w:pPr>
              <w:spacing w:after="0"/>
              <w:rPr>
                <w:sz w:val="19"/>
                <w:szCs w:val="19"/>
                <w:color w:val="auto"/>
              </w:rPr>
            </w:pPr>
          </w:p>
        </w:tc>
        <w:tc>
          <w:tcPr>
            <w:tcW w:w="1320" w:type="dxa"/>
            <w:vAlign w:val="bottom"/>
            <w:tcBorders>
              <w:right w:val="single" w:sz="8" w:color="E6E6F9"/>
            </w:tcBorders>
            <w:gridSpan w:val="5"/>
            <w:shd w:val="clear" w:color="auto" w:fill="E6E6F9"/>
          </w:tcPr>
          <w:p>
            <w:pPr>
              <w:jc w:val="center"/>
              <w:ind w:left="73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25%</w:t>
            </w:r>
          </w:p>
        </w:tc>
        <w:tc>
          <w:tcPr>
            <w:tcW w:w="320" w:type="dxa"/>
            <w:vAlign w:val="bottom"/>
            <w:shd w:val="clear" w:color="auto" w:fill="E6E6F9"/>
          </w:tcPr>
          <w:p>
            <w:pPr>
              <w:spacing w:after="0"/>
              <w:rPr>
                <w:sz w:val="19"/>
                <w:szCs w:val="19"/>
                <w:color w:val="auto"/>
              </w:rPr>
            </w:pPr>
          </w:p>
        </w:tc>
        <w:tc>
          <w:tcPr>
            <w:tcW w:w="60" w:type="dxa"/>
            <w:vAlign w:val="bottom"/>
            <w:shd w:val="clear" w:color="auto" w:fill="E6E6F9"/>
          </w:tcPr>
          <w:p>
            <w:pPr>
              <w:spacing w:after="0"/>
              <w:rPr>
                <w:sz w:val="19"/>
                <w:szCs w:val="19"/>
                <w:color w:val="auto"/>
              </w:rPr>
            </w:pPr>
          </w:p>
        </w:tc>
        <w:tc>
          <w:tcPr>
            <w:tcW w:w="440" w:type="dxa"/>
            <w:vAlign w:val="bottom"/>
            <w:shd w:val="clear" w:color="auto" w:fill="E6E6F9"/>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E6E6F9"/>
            </w:tcBorders>
            <w:shd w:val="clear" w:color="auto" w:fill="E6E6F9"/>
          </w:tcPr>
          <w:p>
            <w:pPr>
              <w:spacing w:after="0"/>
              <w:rPr>
                <w:sz w:val="20"/>
                <w:szCs w:val="20"/>
                <w:color w:val="auto"/>
              </w:rPr>
            </w:pPr>
          </w:p>
        </w:tc>
        <w:tc>
          <w:tcPr>
            <w:tcW w:w="120" w:type="dxa"/>
            <w:vAlign w:val="bottom"/>
            <w:tcBorders>
              <w:top w:val="single" w:sz="8" w:color="E6E6F9"/>
            </w:tcBorders>
            <w:shd w:val="clear" w:color="auto" w:fill="E6E6F9"/>
          </w:tcPr>
          <w:p>
            <w:pPr>
              <w:spacing w:after="0"/>
              <w:rPr>
                <w:sz w:val="20"/>
                <w:szCs w:val="20"/>
                <w:color w:val="auto"/>
              </w:rPr>
            </w:pPr>
          </w:p>
        </w:tc>
        <w:tc>
          <w:tcPr>
            <w:tcW w:w="100" w:type="dxa"/>
            <w:vAlign w:val="bottom"/>
            <w:tcBorders>
              <w:top w:val="single" w:sz="8" w:color="0000FF"/>
              <w:right w:val="single" w:sz="8" w:color="E6E6F9"/>
            </w:tcBorders>
            <w:shd w:val="clear" w:color="auto" w:fill="E6E6F9"/>
          </w:tcPr>
          <w:p>
            <w:pPr>
              <w:spacing w:after="0"/>
              <w:rPr>
                <w:sz w:val="20"/>
                <w:szCs w:val="20"/>
                <w:color w:val="auto"/>
              </w:rPr>
            </w:pPr>
          </w:p>
        </w:tc>
        <w:tc>
          <w:tcPr>
            <w:tcW w:w="360" w:type="dxa"/>
            <w:vAlign w:val="bottom"/>
            <w:tcBorders>
              <w:top w:val="single" w:sz="8" w:color="0000FF"/>
              <w:right w:val="single" w:sz="8" w:color="E6E6F9"/>
            </w:tcBorders>
            <w:shd w:val="clear" w:color="auto" w:fill="E6E6F9"/>
          </w:tcPr>
          <w:p>
            <w:pPr>
              <w:spacing w:after="0"/>
              <w:rPr>
                <w:sz w:val="20"/>
                <w:szCs w:val="20"/>
                <w:color w:val="auto"/>
              </w:rPr>
            </w:pPr>
          </w:p>
        </w:tc>
        <w:tc>
          <w:tcPr>
            <w:tcW w:w="1160" w:type="dxa"/>
            <w:vAlign w:val="bottom"/>
            <w:tcBorders>
              <w:top w:val="single" w:sz="8" w:color="0000FF"/>
              <w:right w:val="single" w:sz="8" w:color="E6E6F9"/>
            </w:tcBorders>
            <w:gridSpan w:val="2"/>
            <w:shd w:val="clear" w:color="auto" w:fill="E6E6F9"/>
          </w:tcPr>
          <w:p>
            <w:pPr>
              <w:jc w:val="center"/>
              <w:ind w:right="420"/>
              <w:spacing w:after="0"/>
              <w:rPr>
                <w:sz w:val="20"/>
                <w:szCs w:val="20"/>
                <w:color w:val="auto"/>
              </w:rPr>
            </w:pPr>
            <w:r>
              <w:rPr>
                <w:rFonts w:ascii="Times New Roman" w:cs="Times New Roman" w:eastAsia="Times New Roman" w:hAnsi="Times New Roman"/>
                <w:sz w:val="18"/>
                <w:szCs w:val="18"/>
                <w:color w:val="0000FF"/>
                <w:w w:val="93"/>
              </w:rPr>
              <w:t>Category 2</w:t>
            </w:r>
          </w:p>
        </w:tc>
        <w:tc>
          <w:tcPr>
            <w:tcW w:w="440" w:type="dxa"/>
            <w:vAlign w:val="bottom"/>
            <w:tcBorders>
              <w:top w:val="single" w:sz="8" w:color="E6E6F9"/>
            </w:tcBorders>
            <w:gridSpan w:val="2"/>
            <w:shd w:val="clear" w:color="auto" w:fill="E6E6F9"/>
          </w:tcPr>
          <w:p>
            <w:pPr>
              <w:spacing w:after="0"/>
              <w:rPr>
                <w:sz w:val="20"/>
                <w:szCs w:val="20"/>
                <w:color w:val="auto"/>
              </w:rPr>
            </w:pPr>
          </w:p>
        </w:tc>
        <w:tc>
          <w:tcPr>
            <w:tcW w:w="380" w:type="dxa"/>
            <w:vAlign w:val="bottom"/>
            <w:tcBorders>
              <w:top w:val="single" w:sz="8" w:color="E6E6F9"/>
            </w:tcBorders>
            <w:shd w:val="clear" w:color="auto" w:fill="E6E6F9"/>
          </w:tcPr>
          <w:p>
            <w:pPr>
              <w:spacing w:after="0"/>
              <w:rPr>
                <w:sz w:val="20"/>
                <w:szCs w:val="20"/>
                <w:color w:val="auto"/>
              </w:rPr>
            </w:pPr>
          </w:p>
        </w:tc>
        <w:tc>
          <w:tcPr>
            <w:tcW w:w="340" w:type="dxa"/>
            <w:vAlign w:val="bottom"/>
            <w:tcBorders>
              <w:top w:val="single" w:sz="8" w:color="E6E6F9"/>
            </w:tcBorders>
            <w:shd w:val="clear" w:color="auto" w:fill="E6E6F9"/>
          </w:tcPr>
          <w:p>
            <w:pPr>
              <w:spacing w:after="0"/>
              <w:rPr>
                <w:sz w:val="20"/>
                <w:szCs w:val="20"/>
                <w:color w:val="auto"/>
              </w:rPr>
            </w:pPr>
          </w:p>
        </w:tc>
        <w:tc>
          <w:tcPr>
            <w:tcW w:w="200" w:type="dxa"/>
            <w:vAlign w:val="bottom"/>
            <w:tcBorders>
              <w:top w:val="single" w:sz="8" w:color="E6E6F9"/>
            </w:tcBorders>
            <w:shd w:val="clear" w:color="auto" w:fill="E6E6F9"/>
          </w:tcPr>
          <w:p>
            <w:pPr>
              <w:spacing w:after="0"/>
              <w:rPr>
                <w:sz w:val="20"/>
                <w:szCs w:val="20"/>
                <w:color w:val="auto"/>
              </w:rPr>
            </w:pPr>
          </w:p>
        </w:tc>
        <w:tc>
          <w:tcPr>
            <w:tcW w:w="460" w:type="dxa"/>
            <w:vAlign w:val="bottom"/>
            <w:tcBorders>
              <w:top w:val="single" w:sz="8" w:color="0000FF"/>
            </w:tcBorders>
            <w:shd w:val="clear" w:color="auto" w:fill="E6E6F9"/>
          </w:tcPr>
          <w:p>
            <w:pPr>
              <w:spacing w:after="0"/>
              <w:rPr>
                <w:sz w:val="20"/>
                <w:szCs w:val="20"/>
                <w:color w:val="auto"/>
              </w:rPr>
            </w:pPr>
          </w:p>
        </w:tc>
        <w:tc>
          <w:tcPr>
            <w:tcW w:w="200" w:type="dxa"/>
            <w:vAlign w:val="bottom"/>
            <w:tcBorders>
              <w:top w:val="single" w:sz="8" w:color="E6E6F9"/>
            </w:tcBorders>
            <w:shd w:val="clear" w:color="auto" w:fill="E6E6F9"/>
          </w:tcPr>
          <w:p>
            <w:pPr>
              <w:spacing w:after="0"/>
              <w:rPr>
                <w:sz w:val="20"/>
                <w:szCs w:val="20"/>
                <w:color w:val="auto"/>
              </w:rPr>
            </w:pPr>
          </w:p>
        </w:tc>
        <w:tc>
          <w:tcPr>
            <w:tcW w:w="360" w:type="dxa"/>
            <w:vAlign w:val="bottom"/>
            <w:tcBorders>
              <w:top w:val="single" w:sz="8" w:color="E6E6F9"/>
            </w:tcBorders>
            <w:shd w:val="clear" w:color="auto" w:fill="E6E6F9"/>
          </w:tcPr>
          <w:p>
            <w:pPr>
              <w:spacing w:after="0"/>
              <w:rPr>
                <w:sz w:val="20"/>
                <w:szCs w:val="20"/>
                <w:color w:val="auto"/>
              </w:rPr>
            </w:pPr>
          </w:p>
        </w:tc>
        <w:tc>
          <w:tcPr>
            <w:tcW w:w="360" w:type="dxa"/>
            <w:vAlign w:val="bottom"/>
            <w:tcBorders>
              <w:top w:val="single" w:sz="8" w:color="E6E6F9"/>
            </w:tcBorders>
            <w:shd w:val="clear" w:color="auto" w:fill="E6E6F9"/>
          </w:tcPr>
          <w:p>
            <w:pPr>
              <w:spacing w:after="0"/>
              <w:rPr>
                <w:sz w:val="20"/>
                <w:szCs w:val="20"/>
                <w:color w:val="auto"/>
              </w:rPr>
            </w:pPr>
          </w:p>
        </w:tc>
        <w:tc>
          <w:tcPr>
            <w:tcW w:w="420" w:type="dxa"/>
            <w:vAlign w:val="bottom"/>
            <w:tcBorders>
              <w:top w:val="single" w:sz="8" w:color="E6E6F9"/>
            </w:tcBorders>
            <w:shd w:val="clear" w:color="auto" w:fill="E6E6F9"/>
          </w:tcPr>
          <w:p>
            <w:pPr>
              <w:spacing w:after="0"/>
              <w:rPr>
                <w:sz w:val="20"/>
                <w:szCs w:val="20"/>
                <w:color w:val="auto"/>
              </w:rPr>
            </w:pPr>
          </w:p>
        </w:tc>
        <w:tc>
          <w:tcPr>
            <w:tcW w:w="480" w:type="dxa"/>
            <w:vAlign w:val="bottom"/>
            <w:tcBorders>
              <w:top w:val="single" w:sz="8" w:color="E6E6F9"/>
            </w:tcBorders>
            <w:shd w:val="clear" w:color="auto" w:fill="E6E6F9"/>
          </w:tcPr>
          <w:p>
            <w:pPr>
              <w:spacing w:after="0"/>
              <w:rPr>
                <w:sz w:val="20"/>
                <w:szCs w:val="20"/>
                <w:color w:val="auto"/>
              </w:rPr>
            </w:pPr>
          </w:p>
        </w:tc>
        <w:tc>
          <w:tcPr>
            <w:tcW w:w="120" w:type="dxa"/>
            <w:vAlign w:val="bottom"/>
            <w:tcBorders>
              <w:top w:val="single" w:sz="8" w:color="E6E6F9"/>
            </w:tcBorders>
            <w:shd w:val="clear" w:color="auto" w:fill="E6E6F9"/>
          </w:tcPr>
          <w:p>
            <w:pPr>
              <w:spacing w:after="0"/>
              <w:rPr>
                <w:sz w:val="20"/>
                <w:szCs w:val="20"/>
                <w:color w:val="auto"/>
              </w:rPr>
            </w:pPr>
          </w:p>
        </w:tc>
        <w:tc>
          <w:tcPr>
            <w:tcW w:w="40" w:type="dxa"/>
            <w:vAlign w:val="bottom"/>
            <w:tcBorders>
              <w:top w:val="single" w:sz="8" w:color="E6E6F9"/>
            </w:tcBorders>
            <w:shd w:val="clear" w:color="auto" w:fill="E6E6F9"/>
          </w:tcPr>
          <w:p>
            <w:pPr>
              <w:spacing w:after="0"/>
              <w:rPr>
                <w:sz w:val="20"/>
                <w:szCs w:val="20"/>
                <w:color w:val="auto"/>
              </w:rPr>
            </w:pPr>
          </w:p>
        </w:tc>
        <w:tc>
          <w:tcPr>
            <w:tcW w:w="460" w:type="dxa"/>
            <w:vAlign w:val="bottom"/>
            <w:tcBorders>
              <w:top w:val="single" w:sz="8" w:color="0000FF"/>
            </w:tcBorders>
            <w:shd w:val="clear" w:color="auto" w:fill="E6E6F9"/>
          </w:tcPr>
          <w:p>
            <w:pPr>
              <w:spacing w:after="0"/>
              <w:rPr>
                <w:sz w:val="20"/>
                <w:szCs w:val="20"/>
                <w:color w:val="auto"/>
              </w:rPr>
            </w:pPr>
          </w:p>
        </w:tc>
        <w:tc>
          <w:tcPr>
            <w:tcW w:w="20" w:type="dxa"/>
            <w:vAlign w:val="bottom"/>
            <w:tcBorders>
              <w:top w:val="single" w:sz="8" w:color="E6E6F9"/>
            </w:tcBorders>
            <w:shd w:val="clear" w:color="auto" w:fill="E6E6F9"/>
          </w:tcPr>
          <w:p>
            <w:pPr>
              <w:spacing w:after="0"/>
              <w:rPr>
                <w:sz w:val="20"/>
                <w:szCs w:val="20"/>
                <w:color w:val="auto"/>
              </w:rPr>
            </w:pPr>
          </w:p>
        </w:tc>
        <w:tc>
          <w:tcPr>
            <w:tcW w:w="120" w:type="dxa"/>
            <w:vAlign w:val="bottom"/>
            <w:tcBorders>
              <w:top w:val="single" w:sz="8" w:color="E6E6F9"/>
            </w:tcBorders>
            <w:shd w:val="clear" w:color="auto" w:fill="E6E6F9"/>
          </w:tcPr>
          <w:p>
            <w:pPr>
              <w:spacing w:after="0"/>
              <w:rPr>
                <w:sz w:val="20"/>
                <w:szCs w:val="20"/>
                <w:color w:val="auto"/>
              </w:rPr>
            </w:pPr>
          </w:p>
        </w:tc>
        <w:tc>
          <w:tcPr>
            <w:tcW w:w="480" w:type="dxa"/>
            <w:vAlign w:val="bottom"/>
            <w:tcBorders>
              <w:top w:val="single" w:sz="8" w:color="E6E6F9"/>
            </w:tcBorders>
            <w:shd w:val="clear" w:color="auto" w:fill="E6E6F9"/>
          </w:tcPr>
          <w:p>
            <w:pPr>
              <w:spacing w:after="0"/>
              <w:rPr>
                <w:sz w:val="20"/>
                <w:szCs w:val="20"/>
                <w:color w:val="auto"/>
              </w:rPr>
            </w:pPr>
          </w:p>
        </w:tc>
        <w:tc>
          <w:tcPr>
            <w:tcW w:w="420" w:type="dxa"/>
            <w:vAlign w:val="bottom"/>
            <w:tcBorders>
              <w:top w:val="single" w:sz="8" w:color="E6E6F9"/>
            </w:tcBorders>
            <w:shd w:val="clear" w:color="auto" w:fill="E6E6F9"/>
          </w:tcPr>
          <w:p>
            <w:pPr>
              <w:spacing w:after="0"/>
              <w:rPr>
                <w:sz w:val="20"/>
                <w:szCs w:val="20"/>
                <w:color w:val="auto"/>
              </w:rPr>
            </w:pPr>
          </w:p>
        </w:tc>
        <w:tc>
          <w:tcPr>
            <w:tcW w:w="440" w:type="dxa"/>
            <w:vAlign w:val="bottom"/>
            <w:tcBorders>
              <w:top w:val="single" w:sz="8" w:color="E6E6F9"/>
            </w:tcBorders>
            <w:shd w:val="clear" w:color="auto" w:fill="E6E6F9"/>
          </w:tcPr>
          <w:p>
            <w:pPr>
              <w:spacing w:after="0"/>
              <w:rPr>
                <w:sz w:val="20"/>
                <w:szCs w:val="20"/>
                <w:color w:val="auto"/>
              </w:rPr>
            </w:pPr>
          </w:p>
        </w:tc>
        <w:tc>
          <w:tcPr>
            <w:tcW w:w="60" w:type="dxa"/>
            <w:vAlign w:val="bottom"/>
            <w:tcBorders>
              <w:top w:val="single" w:sz="8" w:color="E6E6F9"/>
            </w:tcBorders>
            <w:shd w:val="clear" w:color="auto" w:fill="E6E6F9"/>
          </w:tcPr>
          <w:p>
            <w:pPr>
              <w:spacing w:after="0"/>
              <w:rPr>
                <w:sz w:val="20"/>
                <w:szCs w:val="20"/>
                <w:color w:val="auto"/>
              </w:rPr>
            </w:pPr>
          </w:p>
        </w:tc>
        <w:tc>
          <w:tcPr>
            <w:tcW w:w="320" w:type="dxa"/>
            <w:vAlign w:val="bottom"/>
            <w:tcBorders>
              <w:top w:val="single" w:sz="8" w:color="E6E6F9"/>
            </w:tcBorders>
            <w:shd w:val="clear" w:color="auto" w:fill="E6E6F9"/>
          </w:tcPr>
          <w:p>
            <w:pPr>
              <w:spacing w:after="0"/>
              <w:rPr>
                <w:sz w:val="20"/>
                <w:szCs w:val="20"/>
                <w:color w:val="auto"/>
              </w:rPr>
            </w:pPr>
          </w:p>
        </w:tc>
        <w:tc>
          <w:tcPr>
            <w:tcW w:w="60" w:type="dxa"/>
            <w:vAlign w:val="bottom"/>
            <w:tcBorders>
              <w:top w:val="single" w:sz="8" w:color="E6E6F9"/>
              <w:right w:val="single" w:sz="8" w:color="E6E6F9"/>
            </w:tcBorders>
            <w:shd w:val="clear" w:color="auto" w:fill="E6E6F9"/>
          </w:tcPr>
          <w:p>
            <w:pPr>
              <w:spacing w:after="0"/>
              <w:rPr>
                <w:sz w:val="20"/>
                <w:szCs w:val="20"/>
                <w:color w:val="auto"/>
              </w:rPr>
            </w:pPr>
          </w:p>
        </w:tc>
        <w:tc>
          <w:tcPr>
            <w:tcW w:w="440" w:type="dxa"/>
            <w:vAlign w:val="bottom"/>
            <w:tcBorders>
              <w:top w:val="single" w:sz="8" w:color="0000FF"/>
              <w:right w:val="single" w:sz="8" w:color="E6E6F9"/>
            </w:tcBorders>
            <w:shd w:val="clear" w:color="auto" w:fill="E6E6F9"/>
          </w:tcPr>
          <w:p>
            <w:pPr>
              <w:spacing w:after="0"/>
              <w:rPr>
                <w:sz w:val="20"/>
                <w:szCs w:val="20"/>
                <w:color w:val="auto"/>
              </w:rPr>
            </w:pPr>
          </w:p>
        </w:tc>
        <w:tc>
          <w:tcPr>
            <w:tcW w:w="320" w:type="dxa"/>
            <w:vAlign w:val="bottom"/>
            <w:tcBorders>
              <w:top w:val="single" w:sz="8" w:color="E6E6F9"/>
            </w:tcBorders>
            <w:shd w:val="clear" w:color="auto" w:fill="E6E6F9"/>
          </w:tcPr>
          <w:p>
            <w:pPr>
              <w:spacing w:after="0"/>
              <w:rPr>
                <w:sz w:val="20"/>
                <w:szCs w:val="20"/>
                <w:color w:val="auto"/>
              </w:rPr>
            </w:pPr>
          </w:p>
        </w:tc>
        <w:tc>
          <w:tcPr>
            <w:tcW w:w="60" w:type="dxa"/>
            <w:vAlign w:val="bottom"/>
            <w:tcBorders>
              <w:top w:val="single" w:sz="8" w:color="E6E6F9"/>
            </w:tcBorders>
            <w:shd w:val="clear" w:color="auto" w:fill="E6E6F9"/>
          </w:tcPr>
          <w:p>
            <w:pPr>
              <w:spacing w:after="0"/>
              <w:rPr>
                <w:sz w:val="20"/>
                <w:szCs w:val="20"/>
                <w:color w:val="auto"/>
              </w:rPr>
            </w:pPr>
          </w:p>
        </w:tc>
        <w:tc>
          <w:tcPr>
            <w:tcW w:w="440" w:type="dxa"/>
            <w:vAlign w:val="bottom"/>
            <w:tcBorders>
              <w:top w:val="single" w:sz="8" w:color="E6E6F9"/>
            </w:tcBorders>
            <w:shd w:val="clear" w:color="auto" w:fill="E6E6F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E6E6F9"/>
          </w:tcPr>
          <w:p>
            <w:pPr>
              <w:spacing w:after="0" w:line="20" w:lineRule="exact"/>
              <w:rPr>
                <w:sz w:val="1"/>
                <w:szCs w:val="1"/>
                <w:color w:val="auto"/>
              </w:rPr>
            </w:pPr>
          </w:p>
        </w:tc>
        <w:tc>
          <w:tcPr>
            <w:tcW w:w="120" w:type="dxa"/>
            <w:vAlign w:val="bottom"/>
            <w:shd w:val="clear" w:color="auto" w:fill="E6E6F9"/>
          </w:tcPr>
          <w:p>
            <w:pPr>
              <w:spacing w:after="0" w:line="20" w:lineRule="exact"/>
              <w:rPr>
                <w:sz w:val="1"/>
                <w:szCs w:val="1"/>
                <w:color w:val="auto"/>
              </w:rPr>
            </w:pPr>
          </w:p>
        </w:tc>
        <w:tc>
          <w:tcPr>
            <w:tcW w:w="100" w:type="dxa"/>
            <w:vAlign w:val="bottom"/>
            <w:tcBorders>
              <w:right w:val="single" w:sz="8" w:color="E6E6F9"/>
            </w:tcBorders>
            <w:shd w:val="clear" w:color="auto" w:fill="E6E6F9"/>
          </w:tcPr>
          <w:p>
            <w:pPr>
              <w:spacing w:after="0" w:line="20" w:lineRule="exact"/>
              <w:rPr>
                <w:sz w:val="1"/>
                <w:szCs w:val="1"/>
                <w:color w:val="auto"/>
              </w:rPr>
            </w:pPr>
          </w:p>
        </w:tc>
        <w:tc>
          <w:tcPr>
            <w:tcW w:w="360" w:type="dxa"/>
            <w:vAlign w:val="bottom"/>
            <w:tcBorders>
              <w:right w:val="single" w:sz="8" w:color="0000FF"/>
            </w:tcBorders>
            <w:shd w:val="clear" w:color="auto" w:fill="E6E6F9"/>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E6E6F9"/>
            </w:tcBorders>
            <w:shd w:val="clear" w:color="auto" w:fill="E6E6F9"/>
          </w:tcPr>
          <w:p>
            <w:pPr>
              <w:spacing w:after="0" w:line="20" w:lineRule="exact"/>
              <w:rPr>
                <w:sz w:val="1"/>
                <w:szCs w:val="1"/>
                <w:color w:val="auto"/>
              </w:rPr>
            </w:pPr>
          </w:p>
        </w:tc>
        <w:tc>
          <w:tcPr>
            <w:tcW w:w="440" w:type="dxa"/>
            <w:vAlign w:val="bottom"/>
            <w:gridSpan w:val="2"/>
            <w:shd w:val="clear" w:color="auto" w:fill="E6E6F9"/>
          </w:tcPr>
          <w:p>
            <w:pPr>
              <w:spacing w:after="0" w:line="20" w:lineRule="exact"/>
              <w:rPr>
                <w:sz w:val="1"/>
                <w:szCs w:val="1"/>
                <w:color w:val="auto"/>
              </w:rPr>
            </w:pPr>
          </w:p>
        </w:tc>
        <w:tc>
          <w:tcPr>
            <w:tcW w:w="1580" w:type="dxa"/>
            <w:vAlign w:val="bottom"/>
            <w:gridSpan w:val="5"/>
            <w:shd w:val="clear" w:color="auto" w:fill="E6E6F9"/>
          </w:tcPr>
          <w:p>
            <w:pPr>
              <w:spacing w:after="0" w:line="20" w:lineRule="exact"/>
              <w:rPr>
                <w:sz w:val="1"/>
                <w:szCs w:val="1"/>
                <w:color w:val="auto"/>
              </w:rPr>
            </w:pPr>
          </w:p>
        </w:tc>
        <w:tc>
          <w:tcPr>
            <w:tcW w:w="360" w:type="dxa"/>
            <w:vAlign w:val="bottom"/>
            <w:shd w:val="clear" w:color="auto" w:fill="E6E6F9"/>
          </w:tcPr>
          <w:p>
            <w:pPr>
              <w:spacing w:after="0" w:line="20" w:lineRule="exact"/>
              <w:rPr>
                <w:sz w:val="1"/>
                <w:szCs w:val="1"/>
                <w:color w:val="auto"/>
              </w:rPr>
            </w:pPr>
          </w:p>
        </w:tc>
        <w:tc>
          <w:tcPr>
            <w:tcW w:w="360" w:type="dxa"/>
            <w:vAlign w:val="bottom"/>
            <w:shd w:val="clear" w:color="auto" w:fill="E6E6F9"/>
          </w:tcPr>
          <w:p>
            <w:pPr>
              <w:spacing w:after="0" w:line="20" w:lineRule="exact"/>
              <w:rPr>
                <w:sz w:val="1"/>
                <w:szCs w:val="1"/>
                <w:color w:val="auto"/>
              </w:rPr>
            </w:pPr>
          </w:p>
        </w:tc>
        <w:tc>
          <w:tcPr>
            <w:tcW w:w="1540" w:type="dxa"/>
            <w:vAlign w:val="bottom"/>
            <w:gridSpan w:val="6"/>
            <w:shd w:val="clear" w:color="auto" w:fill="E6E6F9"/>
          </w:tcPr>
          <w:p>
            <w:pPr>
              <w:spacing w:after="0" w:line="20" w:lineRule="exact"/>
              <w:rPr>
                <w:sz w:val="1"/>
                <w:szCs w:val="1"/>
                <w:color w:val="auto"/>
              </w:rPr>
            </w:pPr>
          </w:p>
        </w:tc>
        <w:tc>
          <w:tcPr>
            <w:tcW w:w="120" w:type="dxa"/>
            <w:vAlign w:val="bottom"/>
            <w:shd w:val="clear" w:color="auto" w:fill="E6E6F9"/>
          </w:tcPr>
          <w:p>
            <w:pPr>
              <w:spacing w:after="0" w:line="20" w:lineRule="exact"/>
              <w:rPr>
                <w:sz w:val="1"/>
                <w:szCs w:val="1"/>
                <w:color w:val="auto"/>
              </w:rPr>
            </w:pPr>
          </w:p>
        </w:tc>
        <w:tc>
          <w:tcPr>
            <w:tcW w:w="480" w:type="dxa"/>
            <w:vAlign w:val="bottom"/>
            <w:shd w:val="clear" w:color="auto" w:fill="E6E6F9"/>
          </w:tcPr>
          <w:p>
            <w:pPr>
              <w:spacing w:after="0" w:line="20" w:lineRule="exact"/>
              <w:rPr>
                <w:sz w:val="1"/>
                <w:szCs w:val="1"/>
                <w:color w:val="auto"/>
              </w:rPr>
            </w:pPr>
          </w:p>
        </w:tc>
        <w:tc>
          <w:tcPr>
            <w:tcW w:w="420" w:type="dxa"/>
            <w:vAlign w:val="bottom"/>
            <w:shd w:val="clear" w:color="auto" w:fill="E6E6F9"/>
          </w:tcPr>
          <w:p>
            <w:pPr>
              <w:spacing w:after="0" w:line="20" w:lineRule="exact"/>
              <w:rPr>
                <w:sz w:val="1"/>
                <w:szCs w:val="1"/>
                <w:color w:val="auto"/>
              </w:rPr>
            </w:pPr>
          </w:p>
        </w:tc>
        <w:tc>
          <w:tcPr>
            <w:tcW w:w="1320" w:type="dxa"/>
            <w:vAlign w:val="bottom"/>
            <w:tcBorders>
              <w:right w:val="single" w:sz="8" w:color="E6E6F9"/>
            </w:tcBorders>
            <w:gridSpan w:val="5"/>
            <w:shd w:val="clear" w:color="auto" w:fill="E6E6F9"/>
          </w:tcPr>
          <w:p>
            <w:pPr>
              <w:spacing w:after="0" w:line="20" w:lineRule="exact"/>
              <w:rPr>
                <w:sz w:val="1"/>
                <w:szCs w:val="1"/>
                <w:color w:val="auto"/>
              </w:rPr>
            </w:pPr>
          </w:p>
        </w:tc>
        <w:tc>
          <w:tcPr>
            <w:tcW w:w="320" w:type="dxa"/>
            <w:vAlign w:val="bottom"/>
            <w:shd w:val="clear" w:color="auto" w:fill="E6E6F9"/>
          </w:tcPr>
          <w:p>
            <w:pPr>
              <w:spacing w:after="0" w:line="20" w:lineRule="exact"/>
              <w:rPr>
                <w:sz w:val="1"/>
                <w:szCs w:val="1"/>
                <w:color w:val="auto"/>
              </w:rPr>
            </w:pPr>
          </w:p>
        </w:tc>
        <w:tc>
          <w:tcPr>
            <w:tcW w:w="60" w:type="dxa"/>
            <w:vAlign w:val="bottom"/>
            <w:shd w:val="clear" w:color="auto" w:fill="E6E6F9"/>
          </w:tcPr>
          <w:p>
            <w:pPr>
              <w:spacing w:after="0" w:line="20" w:lineRule="exact"/>
              <w:rPr>
                <w:sz w:val="1"/>
                <w:szCs w:val="1"/>
                <w:color w:val="auto"/>
              </w:rPr>
            </w:pPr>
          </w:p>
        </w:tc>
        <w:tc>
          <w:tcPr>
            <w:tcW w:w="440" w:type="dxa"/>
            <w:vAlign w:val="bottom"/>
            <w:shd w:val="clear" w:color="auto" w:fill="E6E6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 w:type="dxa"/>
            <w:vAlign w:val="bottom"/>
            <w:shd w:val="clear" w:color="auto" w:fill="E6E6F9"/>
          </w:tcPr>
          <w:p>
            <w:pPr>
              <w:spacing w:after="0"/>
              <w:rPr>
                <w:sz w:val="24"/>
                <w:szCs w:val="24"/>
                <w:color w:val="auto"/>
              </w:rPr>
            </w:pPr>
          </w:p>
        </w:tc>
        <w:tc>
          <w:tcPr>
            <w:tcW w:w="120" w:type="dxa"/>
            <w:vAlign w:val="bottom"/>
            <w:shd w:val="clear" w:color="auto" w:fill="E6E6F9"/>
          </w:tcPr>
          <w:p>
            <w:pPr>
              <w:spacing w:after="0"/>
              <w:rPr>
                <w:sz w:val="24"/>
                <w:szCs w:val="24"/>
                <w:color w:val="auto"/>
              </w:rPr>
            </w:pPr>
          </w:p>
        </w:tc>
        <w:tc>
          <w:tcPr>
            <w:tcW w:w="2060" w:type="dxa"/>
            <w:vAlign w:val="bottom"/>
            <w:gridSpan w:val="6"/>
            <w:shd w:val="clear" w:color="auto" w:fill="E6E6F9"/>
          </w:tcPr>
          <w:p>
            <w:pPr>
              <w:jc w:val="center"/>
              <w:ind w:right="440"/>
              <w:spacing w:after="0"/>
              <w:rPr>
                <w:sz w:val="20"/>
                <w:szCs w:val="20"/>
                <w:color w:val="auto"/>
              </w:rPr>
            </w:pPr>
            <w:r>
              <w:rPr>
                <w:rFonts w:ascii="Times New Roman" w:cs="Times New Roman" w:eastAsia="Times New Roman" w:hAnsi="Times New Roman"/>
                <w:sz w:val="18"/>
                <w:szCs w:val="18"/>
                <w:color w:val="0000FF"/>
                <w:w w:val="99"/>
              </w:rPr>
              <w:t>Less than or equal to</w:t>
            </w:r>
          </w:p>
        </w:tc>
        <w:tc>
          <w:tcPr>
            <w:tcW w:w="1580" w:type="dxa"/>
            <w:vAlign w:val="bottom"/>
            <w:gridSpan w:val="5"/>
            <w:shd w:val="clear" w:color="auto" w:fill="E6E6F9"/>
          </w:tcPr>
          <w:p>
            <w:pPr>
              <w:jc w:val="center"/>
              <w:ind w:left="630"/>
              <w:spacing w:after="0"/>
              <w:rPr>
                <w:sz w:val="20"/>
                <w:szCs w:val="20"/>
                <w:color w:val="auto"/>
              </w:rPr>
            </w:pPr>
            <w:r>
              <w:rPr>
                <w:rFonts w:ascii="Times New Roman" w:cs="Times New Roman" w:eastAsia="Times New Roman" w:hAnsi="Times New Roman"/>
                <w:sz w:val="18"/>
                <w:szCs w:val="18"/>
                <w:color w:val="0000FF"/>
                <w:w w:val="98"/>
              </w:rPr>
              <w:t>2.</w:t>
            </w:r>
            <w:r>
              <w:rPr>
                <w:rFonts w:ascii="Times New Roman" w:cs="Times New Roman" w:eastAsia="Times New Roman" w:hAnsi="Times New Roman"/>
                <w:sz w:val="18"/>
                <w:szCs w:val="18"/>
                <w:u w:val="single" w:color="auto"/>
                <w:color w:val="0000FF"/>
                <w:w w:val="98"/>
              </w:rPr>
              <w:t>00%</w:t>
            </w:r>
          </w:p>
        </w:tc>
        <w:tc>
          <w:tcPr>
            <w:tcW w:w="360" w:type="dxa"/>
            <w:vAlign w:val="bottom"/>
            <w:shd w:val="clear" w:color="auto" w:fill="E6E6F9"/>
          </w:tcPr>
          <w:p>
            <w:pPr>
              <w:spacing w:after="0"/>
              <w:rPr>
                <w:sz w:val="24"/>
                <w:szCs w:val="24"/>
                <w:color w:val="auto"/>
              </w:rPr>
            </w:pPr>
          </w:p>
        </w:tc>
        <w:tc>
          <w:tcPr>
            <w:tcW w:w="360" w:type="dxa"/>
            <w:vAlign w:val="bottom"/>
            <w:shd w:val="clear" w:color="auto" w:fill="E6E6F9"/>
          </w:tcPr>
          <w:p>
            <w:pPr>
              <w:spacing w:after="0"/>
              <w:rPr>
                <w:sz w:val="24"/>
                <w:szCs w:val="24"/>
                <w:color w:val="auto"/>
              </w:rPr>
            </w:pPr>
          </w:p>
        </w:tc>
        <w:tc>
          <w:tcPr>
            <w:tcW w:w="1540" w:type="dxa"/>
            <w:vAlign w:val="bottom"/>
            <w:gridSpan w:val="6"/>
            <w:shd w:val="clear" w:color="auto" w:fill="E6E6F9"/>
          </w:tcPr>
          <w:p>
            <w:pPr>
              <w:jc w:val="center"/>
              <w:ind w:left="95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00%</w:t>
            </w:r>
          </w:p>
        </w:tc>
        <w:tc>
          <w:tcPr>
            <w:tcW w:w="120" w:type="dxa"/>
            <w:vAlign w:val="bottom"/>
            <w:shd w:val="clear" w:color="auto" w:fill="E6E6F9"/>
          </w:tcPr>
          <w:p>
            <w:pPr>
              <w:spacing w:after="0"/>
              <w:rPr>
                <w:sz w:val="24"/>
                <w:szCs w:val="24"/>
                <w:color w:val="auto"/>
              </w:rPr>
            </w:pPr>
          </w:p>
        </w:tc>
        <w:tc>
          <w:tcPr>
            <w:tcW w:w="480" w:type="dxa"/>
            <w:vAlign w:val="bottom"/>
            <w:shd w:val="clear" w:color="auto" w:fill="E6E6F9"/>
          </w:tcPr>
          <w:p>
            <w:pPr>
              <w:spacing w:after="0"/>
              <w:rPr>
                <w:sz w:val="24"/>
                <w:szCs w:val="24"/>
                <w:color w:val="auto"/>
              </w:rPr>
            </w:pPr>
          </w:p>
        </w:tc>
        <w:tc>
          <w:tcPr>
            <w:tcW w:w="420" w:type="dxa"/>
            <w:vAlign w:val="bottom"/>
            <w:shd w:val="clear" w:color="auto" w:fill="E6E6F9"/>
          </w:tcPr>
          <w:p>
            <w:pPr>
              <w:spacing w:after="0"/>
              <w:rPr>
                <w:sz w:val="24"/>
                <w:szCs w:val="24"/>
                <w:color w:val="auto"/>
              </w:rPr>
            </w:pPr>
          </w:p>
        </w:tc>
        <w:tc>
          <w:tcPr>
            <w:tcW w:w="1320" w:type="dxa"/>
            <w:vAlign w:val="bottom"/>
            <w:tcBorders>
              <w:right w:val="single" w:sz="8" w:color="E6E6F9"/>
            </w:tcBorders>
            <w:gridSpan w:val="5"/>
            <w:shd w:val="clear" w:color="auto" w:fill="E6E6F9"/>
          </w:tcPr>
          <w:p>
            <w:pPr>
              <w:jc w:val="center"/>
              <w:ind w:left="73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00%</w:t>
            </w:r>
          </w:p>
        </w:tc>
        <w:tc>
          <w:tcPr>
            <w:tcW w:w="320" w:type="dxa"/>
            <w:vAlign w:val="bottom"/>
            <w:shd w:val="clear" w:color="auto" w:fill="E6E6F9"/>
          </w:tcPr>
          <w:p>
            <w:pPr>
              <w:spacing w:after="0"/>
              <w:rPr>
                <w:sz w:val="24"/>
                <w:szCs w:val="24"/>
                <w:color w:val="auto"/>
              </w:rPr>
            </w:pPr>
          </w:p>
        </w:tc>
        <w:tc>
          <w:tcPr>
            <w:tcW w:w="60" w:type="dxa"/>
            <w:vAlign w:val="bottom"/>
            <w:shd w:val="clear" w:color="auto" w:fill="E6E6F9"/>
          </w:tcPr>
          <w:p>
            <w:pPr>
              <w:spacing w:after="0"/>
              <w:rPr>
                <w:sz w:val="24"/>
                <w:szCs w:val="24"/>
                <w:color w:val="auto"/>
              </w:rPr>
            </w:pPr>
          </w:p>
        </w:tc>
        <w:tc>
          <w:tcPr>
            <w:tcW w:w="440" w:type="dxa"/>
            <w:vAlign w:val="bottom"/>
            <w:shd w:val="clear" w:color="auto" w:fill="E6E6F9"/>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0" w:type="dxa"/>
            <w:vAlign w:val="bottom"/>
            <w:tcBorders>
              <w:top w:val="single" w:sz="8" w:color="E6E6F9"/>
              <w:right w:val="single" w:sz="8" w:color="E6E6F9"/>
            </w:tcBorders>
            <w:gridSpan w:val="3"/>
            <w:shd w:val="clear" w:color="auto" w:fill="E6E6F9"/>
          </w:tcPr>
          <w:p>
            <w:pPr>
              <w:spacing w:after="0"/>
              <w:rPr>
                <w:sz w:val="20"/>
                <w:szCs w:val="20"/>
                <w:color w:val="auto"/>
              </w:rPr>
            </w:pPr>
          </w:p>
        </w:tc>
        <w:tc>
          <w:tcPr>
            <w:tcW w:w="1100" w:type="dxa"/>
            <w:vAlign w:val="bottom"/>
            <w:tcBorders>
              <w:top w:val="single" w:sz="8" w:color="0000FF"/>
              <w:right w:val="single" w:sz="8" w:color="E6E6F9"/>
            </w:tcBorders>
            <w:gridSpan w:val="2"/>
            <w:shd w:val="clear" w:color="auto" w:fill="E6E6F9"/>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30:1.00</w:t>
            </w:r>
          </w:p>
        </w:tc>
        <w:tc>
          <w:tcPr>
            <w:tcW w:w="420" w:type="dxa"/>
            <w:vAlign w:val="bottom"/>
            <w:tcBorders>
              <w:top w:val="single" w:sz="8" w:color="0000FF"/>
              <w:right w:val="single" w:sz="8" w:color="E6E6F9"/>
            </w:tcBorders>
            <w:shd w:val="clear" w:color="auto" w:fill="E6E6F9"/>
          </w:tcPr>
          <w:p>
            <w:pPr>
              <w:spacing w:after="0"/>
              <w:rPr>
                <w:sz w:val="20"/>
                <w:szCs w:val="20"/>
                <w:color w:val="auto"/>
              </w:rPr>
            </w:pPr>
          </w:p>
        </w:tc>
        <w:tc>
          <w:tcPr>
            <w:tcW w:w="100" w:type="dxa"/>
            <w:vAlign w:val="bottom"/>
            <w:tcBorders>
              <w:top w:val="single" w:sz="8" w:color="E6E6F9"/>
            </w:tcBorders>
            <w:shd w:val="clear" w:color="auto" w:fill="E6E6F9"/>
          </w:tcPr>
          <w:p>
            <w:pPr>
              <w:spacing w:after="0"/>
              <w:rPr>
                <w:sz w:val="20"/>
                <w:szCs w:val="20"/>
                <w:color w:val="auto"/>
              </w:rPr>
            </w:pPr>
          </w:p>
        </w:tc>
        <w:tc>
          <w:tcPr>
            <w:tcW w:w="340" w:type="dxa"/>
            <w:vAlign w:val="bottom"/>
            <w:tcBorders>
              <w:top w:val="single" w:sz="8" w:color="E6E6F9"/>
            </w:tcBorders>
            <w:shd w:val="clear" w:color="auto" w:fill="E6E6F9"/>
          </w:tcPr>
          <w:p>
            <w:pPr>
              <w:spacing w:after="0"/>
              <w:rPr>
                <w:sz w:val="20"/>
                <w:szCs w:val="20"/>
                <w:color w:val="auto"/>
              </w:rPr>
            </w:pPr>
          </w:p>
        </w:tc>
        <w:tc>
          <w:tcPr>
            <w:tcW w:w="380" w:type="dxa"/>
            <w:vAlign w:val="bottom"/>
            <w:tcBorders>
              <w:top w:val="single" w:sz="8" w:color="E6E6F9"/>
            </w:tcBorders>
            <w:shd w:val="clear" w:color="auto" w:fill="E6E6F9"/>
          </w:tcPr>
          <w:p>
            <w:pPr>
              <w:spacing w:after="0"/>
              <w:rPr>
                <w:sz w:val="20"/>
                <w:szCs w:val="20"/>
                <w:color w:val="auto"/>
              </w:rPr>
            </w:pPr>
          </w:p>
        </w:tc>
        <w:tc>
          <w:tcPr>
            <w:tcW w:w="340" w:type="dxa"/>
            <w:vAlign w:val="bottom"/>
            <w:tcBorders>
              <w:top w:val="single" w:sz="8" w:color="E6E6F9"/>
            </w:tcBorders>
            <w:shd w:val="clear" w:color="auto" w:fill="E6E6F9"/>
          </w:tcPr>
          <w:p>
            <w:pPr>
              <w:spacing w:after="0"/>
              <w:rPr>
                <w:sz w:val="20"/>
                <w:szCs w:val="20"/>
                <w:color w:val="auto"/>
              </w:rPr>
            </w:pPr>
          </w:p>
        </w:tc>
        <w:tc>
          <w:tcPr>
            <w:tcW w:w="200" w:type="dxa"/>
            <w:vAlign w:val="bottom"/>
            <w:tcBorders>
              <w:top w:val="single" w:sz="8" w:color="E6E6F9"/>
            </w:tcBorders>
            <w:shd w:val="clear" w:color="auto" w:fill="E6E6F9"/>
          </w:tcPr>
          <w:p>
            <w:pPr>
              <w:spacing w:after="0"/>
              <w:rPr>
                <w:sz w:val="20"/>
                <w:szCs w:val="20"/>
                <w:color w:val="auto"/>
              </w:rPr>
            </w:pPr>
          </w:p>
        </w:tc>
        <w:tc>
          <w:tcPr>
            <w:tcW w:w="460" w:type="dxa"/>
            <w:vAlign w:val="bottom"/>
            <w:tcBorders>
              <w:top w:val="single" w:sz="8" w:color="0000FF"/>
            </w:tcBorders>
            <w:shd w:val="clear" w:color="auto" w:fill="E6E6F9"/>
          </w:tcPr>
          <w:p>
            <w:pPr>
              <w:spacing w:after="0"/>
              <w:rPr>
                <w:sz w:val="20"/>
                <w:szCs w:val="20"/>
                <w:color w:val="auto"/>
              </w:rPr>
            </w:pPr>
          </w:p>
        </w:tc>
        <w:tc>
          <w:tcPr>
            <w:tcW w:w="200" w:type="dxa"/>
            <w:vAlign w:val="bottom"/>
            <w:tcBorders>
              <w:top w:val="single" w:sz="8" w:color="E6E6F9"/>
            </w:tcBorders>
            <w:shd w:val="clear" w:color="auto" w:fill="E6E6F9"/>
          </w:tcPr>
          <w:p>
            <w:pPr>
              <w:spacing w:after="0"/>
              <w:rPr>
                <w:sz w:val="20"/>
                <w:szCs w:val="20"/>
                <w:color w:val="auto"/>
              </w:rPr>
            </w:pPr>
          </w:p>
        </w:tc>
        <w:tc>
          <w:tcPr>
            <w:tcW w:w="360" w:type="dxa"/>
            <w:vAlign w:val="bottom"/>
            <w:tcBorders>
              <w:top w:val="single" w:sz="8" w:color="E6E6F9"/>
            </w:tcBorders>
            <w:shd w:val="clear" w:color="auto" w:fill="E6E6F9"/>
          </w:tcPr>
          <w:p>
            <w:pPr>
              <w:spacing w:after="0"/>
              <w:rPr>
                <w:sz w:val="20"/>
                <w:szCs w:val="20"/>
                <w:color w:val="auto"/>
              </w:rPr>
            </w:pPr>
          </w:p>
        </w:tc>
        <w:tc>
          <w:tcPr>
            <w:tcW w:w="360" w:type="dxa"/>
            <w:vAlign w:val="bottom"/>
            <w:tcBorders>
              <w:top w:val="single" w:sz="8" w:color="E6E6F9"/>
            </w:tcBorders>
            <w:shd w:val="clear" w:color="auto" w:fill="E6E6F9"/>
          </w:tcPr>
          <w:p>
            <w:pPr>
              <w:spacing w:after="0"/>
              <w:rPr>
                <w:sz w:val="20"/>
                <w:szCs w:val="20"/>
                <w:color w:val="auto"/>
              </w:rPr>
            </w:pPr>
          </w:p>
        </w:tc>
        <w:tc>
          <w:tcPr>
            <w:tcW w:w="420" w:type="dxa"/>
            <w:vAlign w:val="bottom"/>
            <w:tcBorders>
              <w:top w:val="single" w:sz="8" w:color="E6E6F9"/>
            </w:tcBorders>
            <w:shd w:val="clear" w:color="auto" w:fill="E6E6F9"/>
          </w:tcPr>
          <w:p>
            <w:pPr>
              <w:spacing w:after="0"/>
              <w:rPr>
                <w:sz w:val="20"/>
                <w:szCs w:val="20"/>
                <w:color w:val="auto"/>
              </w:rPr>
            </w:pPr>
          </w:p>
        </w:tc>
        <w:tc>
          <w:tcPr>
            <w:tcW w:w="480" w:type="dxa"/>
            <w:vAlign w:val="bottom"/>
            <w:tcBorders>
              <w:top w:val="single" w:sz="8" w:color="E6E6F9"/>
            </w:tcBorders>
            <w:shd w:val="clear" w:color="auto" w:fill="E6E6F9"/>
          </w:tcPr>
          <w:p>
            <w:pPr>
              <w:spacing w:after="0"/>
              <w:rPr>
                <w:sz w:val="20"/>
                <w:szCs w:val="20"/>
                <w:color w:val="auto"/>
              </w:rPr>
            </w:pPr>
          </w:p>
        </w:tc>
        <w:tc>
          <w:tcPr>
            <w:tcW w:w="120" w:type="dxa"/>
            <w:vAlign w:val="bottom"/>
            <w:tcBorders>
              <w:top w:val="single" w:sz="8" w:color="E6E6F9"/>
            </w:tcBorders>
            <w:shd w:val="clear" w:color="auto" w:fill="E6E6F9"/>
          </w:tcPr>
          <w:p>
            <w:pPr>
              <w:spacing w:after="0"/>
              <w:rPr>
                <w:sz w:val="20"/>
                <w:szCs w:val="20"/>
                <w:color w:val="auto"/>
              </w:rPr>
            </w:pPr>
          </w:p>
        </w:tc>
        <w:tc>
          <w:tcPr>
            <w:tcW w:w="40" w:type="dxa"/>
            <w:vAlign w:val="bottom"/>
            <w:tcBorders>
              <w:top w:val="single" w:sz="8" w:color="E6E6F9"/>
            </w:tcBorders>
            <w:shd w:val="clear" w:color="auto" w:fill="E6E6F9"/>
          </w:tcPr>
          <w:p>
            <w:pPr>
              <w:spacing w:after="0"/>
              <w:rPr>
                <w:sz w:val="20"/>
                <w:szCs w:val="20"/>
                <w:color w:val="auto"/>
              </w:rPr>
            </w:pPr>
          </w:p>
        </w:tc>
        <w:tc>
          <w:tcPr>
            <w:tcW w:w="460" w:type="dxa"/>
            <w:vAlign w:val="bottom"/>
            <w:tcBorders>
              <w:top w:val="single" w:sz="8" w:color="0000FF"/>
            </w:tcBorders>
            <w:shd w:val="clear" w:color="auto" w:fill="E6E6F9"/>
          </w:tcPr>
          <w:p>
            <w:pPr>
              <w:spacing w:after="0"/>
              <w:rPr>
                <w:sz w:val="20"/>
                <w:szCs w:val="20"/>
                <w:color w:val="auto"/>
              </w:rPr>
            </w:pPr>
          </w:p>
        </w:tc>
        <w:tc>
          <w:tcPr>
            <w:tcW w:w="20" w:type="dxa"/>
            <w:vAlign w:val="bottom"/>
            <w:tcBorders>
              <w:top w:val="single" w:sz="8" w:color="E6E6F9"/>
            </w:tcBorders>
            <w:shd w:val="clear" w:color="auto" w:fill="E6E6F9"/>
          </w:tcPr>
          <w:p>
            <w:pPr>
              <w:spacing w:after="0"/>
              <w:rPr>
                <w:sz w:val="20"/>
                <w:szCs w:val="20"/>
                <w:color w:val="auto"/>
              </w:rPr>
            </w:pPr>
          </w:p>
        </w:tc>
        <w:tc>
          <w:tcPr>
            <w:tcW w:w="120" w:type="dxa"/>
            <w:vAlign w:val="bottom"/>
            <w:tcBorders>
              <w:top w:val="single" w:sz="8" w:color="E6E6F9"/>
            </w:tcBorders>
            <w:shd w:val="clear" w:color="auto" w:fill="E6E6F9"/>
          </w:tcPr>
          <w:p>
            <w:pPr>
              <w:spacing w:after="0"/>
              <w:rPr>
                <w:sz w:val="20"/>
                <w:szCs w:val="20"/>
                <w:color w:val="auto"/>
              </w:rPr>
            </w:pPr>
          </w:p>
        </w:tc>
        <w:tc>
          <w:tcPr>
            <w:tcW w:w="480" w:type="dxa"/>
            <w:vAlign w:val="bottom"/>
            <w:tcBorders>
              <w:top w:val="single" w:sz="8" w:color="E6E6F9"/>
            </w:tcBorders>
            <w:shd w:val="clear" w:color="auto" w:fill="E6E6F9"/>
          </w:tcPr>
          <w:p>
            <w:pPr>
              <w:spacing w:after="0"/>
              <w:rPr>
                <w:sz w:val="20"/>
                <w:szCs w:val="20"/>
                <w:color w:val="auto"/>
              </w:rPr>
            </w:pPr>
          </w:p>
        </w:tc>
        <w:tc>
          <w:tcPr>
            <w:tcW w:w="420" w:type="dxa"/>
            <w:vAlign w:val="bottom"/>
            <w:tcBorders>
              <w:top w:val="single" w:sz="8" w:color="E6E6F9"/>
            </w:tcBorders>
            <w:shd w:val="clear" w:color="auto" w:fill="E6E6F9"/>
          </w:tcPr>
          <w:p>
            <w:pPr>
              <w:spacing w:after="0"/>
              <w:rPr>
                <w:sz w:val="20"/>
                <w:szCs w:val="20"/>
                <w:color w:val="auto"/>
              </w:rPr>
            </w:pPr>
          </w:p>
        </w:tc>
        <w:tc>
          <w:tcPr>
            <w:tcW w:w="440" w:type="dxa"/>
            <w:vAlign w:val="bottom"/>
            <w:tcBorders>
              <w:top w:val="single" w:sz="8" w:color="E6E6F9"/>
            </w:tcBorders>
            <w:shd w:val="clear" w:color="auto" w:fill="E6E6F9"/>
          </w:tcPr>
          <w:p>
            <w:pPr>
              <w:spacing w:after="0"/>
              <w:rPr>
                <w:sz w:val="20"/>
                <w:szCs w:val="20"/>
                <w:color w:val="auto"/>
              </w:rPr>
            </w:pPr>
          </w:p>
        </w:tc>
        <w:tc>
          <w:tcPr>
            <w:tcW w:w="60" w:type="dxa"/>
            <w:vAlign w:val="bottom"/>
            <w:tcBorders>
              <w:top w:val="single" w:sz="8" w:color="E6E6F9"/>
            </w:tcBorders>
            <w:shd w:val="clear" w:color="auto" w:fill="E6E6F9"/>
          </w:tcPr>
          <w:p>
            <w:pPr>
              <w:spacing w:after="0"/>
              <w:rPr>
                <w:sz w:val="20"/>
                <w:szCs w:val="20"/>
                <w:color w:val="auto"/>
              </w:rPr>
            </w:pPr>
          </w:p>
        </w:tc>
        <w:tc>
          <w:tcPr>
            <w:tcW w:w="320" w:type="dxa"/>
            <w:vAlign w:val="bottom"/>
            <w:tcBorders>
              <w:top w:val="single" w:sz="8" w:color="E6E6F9"/>
            </w:tcBorders>
            <w:shd w:val="clear" w:color="auto" w:fill="E6E6F9"/>
          </w:tcPr>
          <w:p>
            <w:pPr>
              <w:spacing w:after="0"/>
              <w:rPr>
                <w:sz w:val="20"/>
                <w:szCs w:val="20"/>
                <w:color w:val="auto"/>
              </w:rPr>
            </w:pPr>
          </w:p>
        </w:tc>
        <w:tc>
          <w:tcPr>
            <w:tcW w:w="60" w:type="dxa"/>
            <w:vAlign w:val="bottom"/>
            <w:tcBorders>
              <w:top w:val="single" w:sz="8" w:color="E6E6F9"/>
              <w:right w:val="single" w:sz="8" w:color="E6E6F9"/>
            </w:tcBorders>
            <w:shd w:val="clear" w:color="auto" w:fill="E6E6F9"/>
          </w:tcPr>
          <w:p>
            <w:pPr>
              <w:spacing w:after="0"/>
              <w:rPr>
                <w:sz w:val="20"/>
                <w:szCs w:val="20"/>
                <w:color w:val="auto"/>
              </w:rPr>
            </w:pPr>
          </w:p>
        </w:tc>
        <w:tc>
          <w:tcPr>
            <w:tcW w:w="440" w:type="dxa"/>
            <w:vAlign w:val="bottom"/>
            <w:tcBorders>
              <w:top w:val="single" w:sz="8" w:color="0000FF"/>
              <w:right w:val="single" w:sz="8" w:color="E6E6F9"/>
            </w:tcBorders>
            <w:shd w:val="clear" w:color="auto" w:fill="E6E6F9"/>
          </w:tcPr>
          <w:p>
            <w:pPr>
              <w:spacing w:after="0"/>
              <w:rPr>
                <w:sz w:val="20"/>
                <w:szCs w:val="20"/>
                <w:color w:val="auto"/>
              </w:rPr>
            </w:pPr>
          </w:p>
        </w:tc>
        <w:tc>
          <w:tcPr>
            <w:tcW w:w="320" w:type="dxa"/>
            <w:vAlign w:val="bottom"/>
            <w:tcBorders>
              <w:top w:val="single" w:sz="8" w:color="E6E6F9"/>
            </w:tcBorders>
            <w:shd w:val="clear" w:color="auto" w:fill="E6E6F9"/>
          </w:tcPr>
          <w:p>
            <w:pPr>
              <w:spacing w:after="0"/>
              <w:rPr>
                <w:sz w:val="20"/>
                <w:szCs w:val="20"/>
                <w:color w:val="auto"/>
              </w:rPr>
            </w:pPr>
          </w:p>
        </w:tc>
        <w:tc>
          <w:tcPr>
            <w:tcW w:w="60" w:type="dxa"/>
            <w:vAlign w:val="bottom"/>
            <w:tcBorders>
              <w:top w:val="single" w:sz="8" w:color="E6E6F9"/>
            </w:tcBorders>
            <w:shd w:val="clear" w:color="auto" w:fill="E6E6F9"/>
          </w:tcPr>
          <w:p>
            <w:pPr>
              <w:spacing w:after="0"/>
              <w:rPr>
                <w:sz w:val="20"/>
                <w:szCs w:val="20"/>
                <w:color w:val="auto"/>
              </w:rPr>
            </w:pPr>
          </w:p>
        </w:tc>
        <w:tc>
          <w:tcPr>
            <w:tcW w:w="440" w:type="dxa"/>
            <w:vAlign w:val="bottom"/>
            <w:tcBorders>
              <w:top w:val="single" w:sz="8" w:color="E6E6F9"/>
            </w:tcBorders>
            <w:shd w:val="clear" w:color="auto" w:fill="E6E6F9"/>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Borders>
              <w:top w:val="single" w:sz="8" w:color="E6E6F9"/>
            </w:tcBorders>
            <w:shd w:val="clear" w:color="auto" w:fill="E6E6F9"/>
          </w:tcPr>
          <w:p>
            <w:pPr>
              <w:spacing w:after="0"/>
              <w:rPr>
                <w:sz w:val="2"/>
                <w:szCs w:val="2"/>
                <w:color w:val="auto"/>
              </w:rPr>
            </w:pPr>
          </w:p>
        </w:tc>
        <w:tc>
          <w:tcPr>
            <w:tcW w:w="120" w:type="dxa"/>
            <w:vAlign w:val="bottom"/>
            <w:tcBorders>
              <w:top w:val="single" w:sz="8" w:color="E6E6F9"/>
            </w:tcBorders>
            <w:shd w:val="clear" w:color="auto" w:fill="E6E6F9"/>
          </w:tcPr>
          <w:p>
            <w:pPr>
              <w:spacing w:after="0"/>
              <w:rPr>
                <w:sz w:val="2"/>
                <w:szCs w:val="2"/>
                <w:color w:val="auto"/>
              </w:rPr>
            </w:pPr>
          </w:p>
        </w:tc>
        <w:tc>
          <w:tcPr>
            <w:tcW w:w="100" w:type="dxa"/>
            <w:vAlign w:val="bottom"/>
            <w:tcBorders>
              <w:top w:val="single" w:sz="8" w:color="E6E6F9"/>
              <w:right w:val="single" w:sz="8" w:color="E6E6F9"/>
            </w:tcBorders>
            <w:shd w:val="clear" w:color="auto" w:fill="E6E6F9"/>
          </w:tcPr>
          <w:p>
            <w:pPr>
              <w:spacing w:after="0"/>
              <w:rPr>
                <w:sz w:val="2"/>
                <w:szCs w:val="2"/>
                <w:color w:val="auto"/>
              </w:rPr>
            </w:pPr>
          </w:p>
        </w:tc>
        <w:tc>
          <w:tcPr>
            <w:tcW w:w="360" w:type="dxa"/>
            <w:vAlign w:val="bottom"/>
            <w:tcBorders>
              <w:top w:val="single" w:sz="8" w:color="E6E6F9"/>
              <w:right w:val="single" w:sz="8" w:color="E6E6F9"/>
            </w:tcBorders>
            <w:shd w:val="clear" w:color="auto" w:fill="E6E6F9"/>
          </w:tcPr>
          <w:p>
            <w:pPr>
              <w:spacing w:after="0"/>
              <w:rPr>
                <w:sz w:val="2"/>
                <w:szCs w:val="2"/>
                <w:color w:val="auto"/>
              </w:rPr>
            </w:pPr>
          </w:p>
        </w:tc>
        <w:tc>
          <w:tcPr>
            <w:tcW w:w="740" w:type="dxa"/>
            <w:vAlign w:val="bottom"/>
            <w:tcBorders>
              <w:top w:val="single" w:sz="8" w:color="0000FF"/>
              <w:right w:val="single" w:sz="8" w:color="E6E6F9"/>
            </w:tcBorders>
            <w:shd w:val="clear" w:color="auto" w:fill="E6E6F9"/>
          </w:tcPr>
          <w:p>
            <w:pPr>
              <w:spacing w:after="0"/>
              <w:rPr>
                <w:sz w:val="2"/>
                <w:szCs w:val="2"/>
                <w:color w:val="auto"/>
              </w:rPr>
            </w:pPr>
          </w:p>
        </w:tc>
        <w:tc>
          <w:tcPr>
            <w:tcW w:w="420" w:type="dxa"/>
            <w:vAlign w:val="bottom"/>
            <w:tcBorders>
              <w:top w:val="single" w:sz="8" w:color="E6E6F9"/>
              <w:right w:val="single" w:sz="8" w:color="E6E6F9"/>
            </w:tcBorders>
            <w:shd w:val="clear" w:color="auto" w:fill="E6E6F9"/>
          </w:tcPr>
          <w:p>
            <w:pPr>
              <w:spacing w:after="0"/>
              <w:rPr>
                <w:sz w:val="2"/>
                <w:szCs w:val="2"/>
                <w:color w:val="auto"/>
              </w:rPr>
            </w:pPr>
          </w:p>
        </w:tc>
        <w:tc>
          <w:tcPr>
            <w:tcW w:w="100" w:type="dxa"/>
            <w:vAlign w:val="bottom"/>
            <w:tcBorders>
              <w:top w:val="single" w:sz="8" w:color="E6E6F9"/>
            </w:tcBorders>
            <w:shd w:val="clear" w:color="auto" w:fill="E6E6F9"/>
          </w:tcPr>
          <w:p>
            <w:pPr>
              <w:spacing w:after="0"/>
              <w:rPr>
                <w:sz w:val="2"/>
                <w:szCs w:val="2"/>
                <w:color w:val="auto"/>
              </w:rPr>
            </w:pPr>
          </w:p>
        </w:tc>
        <w:tc>
          <w:tcPr>
            <w:tcW w:w="340" w:type="dxa"/>
            <w:vAlign w:val="bottom"/>
            <w:tcBorders>
              <w:top w:val="single" w:sz="8" w:color="E6E6F9"/>
            </w:tcBorders>
            <w:shd w:val="clear" w:color="auto" w:fill="E6E6F9"/>
          </w:tcPr>
          <w:p>
            <w:pPr>
              <w:spacing w:after="0"/>
              <w:rPr>
                <w:sz w:val="2"/>
                <w:szCs w:val="2"/>
                <w:color w:val="auto"/>
              </w:rPr>
            </w:pPr>
          </w:p>
        </w:tc>
        <w:tc>
          <w:tcPr>
            <w:tcW w:w="380" w:type="dxa"/>
            <w:vAlign w:val="bottom"/>
            <w:tcBorders>
              <w:top w:val="single" w:sz="8" w:color="E6E6F9"/>
            </w:tcBorders>
            <w:shd w:val="clear" w:color="auto" w:fill="E6E6F9"/>
          </w:tcPr>
          <w:p>
            <w:pPr>
              <w:spacing w:after="0"/>
              <w:rPr>
                <w:sz w:val="2"/>
                <w:szCs w:val="2"/>
                <w:color w:val="auto"/>
              </w:rPr>
            </w:pPr>
          </w:p>
        </w:tc>
        <w:tc>
          <w:tcPr>
            <w:tcW w:w="340" w:type="dxa"/>
            <w:vAlign w:val="bottom"/>
            <w:tcBorders>
              <w:top w:val="single" w:sz="8" w:color="E6E6F9"/>
            </w:tcBorders>
            <w:shd w:val="clear" w:color="auto" w:fill="E6E6F9"/>
          </w:tcPr>
          <w:p>
            <w:pPr>
              <w:spacing w:after="0"/>
              <w:rPr>
                <w:sz w:val="2"/>
                <w:szCs w:val="2"/>
                <w:color w:val="auto"/>
              </w:rPr>
            </w:pPr>
          </w:p>
        </w:tc>
        <w:tc>
          <w:tcPr>
            <w:tcW w:w="200" w:type="dxa"/>
            <w:vAlign w:val="bottom"/>
            <w:tcBorders>
              <w:top w:val="single" w:sz="8" w:color="E6E6F9"/>
            </w:tcBorders>
            <w:shd w:val="clear" w:color="auto" w:fill="E6E6F9"/>
          </w:tcPr>
          <w:p>
            <w:pPr>
              <w:spacing w:after="0"/>
              <w:rPr>
                <w:sz w:val="2"/>
                <w:szCs w:val="2"/>
                <w:color w:val="auto"/>
              </w:rPr>
            </w:pPr>
          </w:p>
        </w:tc>
        <w:tc>
          <w:tcPr>
            <w:tcW w:w="460" w:type="dxa"/>
            <w:vAlign w:val="bottom"/>
            <w:tcBorders>
              <w:top w:val="single" w:sz="8" w:color="E6E6F9"/>
            </w:tcBorders>
            <w:shd w:val="clear" w:color="auto" w:fill="E6E6F9"/>
          </w:tcPr>
          <w:p>
            <w:pPr>
              <w:spacing w:after="0"/>
              <w:rPr>
                <w:sz w:val="2"/>
                <w:szCs w:val="2"/>
                <w:color w:val="auto"/>
              </w:rPr>
            </w:pPr>
          </w:p>
        </w:tc>
        <w:tc>
          <w:tcPr>
            <w:tcW w:w="200" w:type="dxa"/>
            <w:vAlign w:val="bottom"/>
            <w:tcBorders>
              <w:top w:val="single" w:sz="8" w:color="E6E6F9"/>
            </w:tcBorders>
            <w:shd w:val="clear" w:color="auto" w:fill="E6E6F9"/>
          </w:tcPr>
          <w:p>
            <w:pPr>
              <w:spacing w:after="0"/>
              <w:rPr>
                <w:sz w:val="2"/>
                <w:szCs w:val="2"/>
                <w:color w:val="auto"/>
              </w:rPr>
            </w:pPr>
          </w:p>
        </w:tc>
        <w:tc>
          <w:tcPr>
            <w:tcW w:w="360" w:type="dxa"/>
            <w:vAlign w:val="bottom"/>
            <w:tcBorders>
              <w:top w:val="single" w:sz="8" w:color="E6E6F9"/>
            </w:tcBorders>
            <w:shd w:val="clear" w:color="auto" w:fill="E6E6F9"/>
          </w:tcPr>
          <w:p>
            <w:pPr>
              <w:spacing w:after="0"/>
              <w:rPr>
                <w:sz w:val="2"/>
                <w:szCs w:val="2"/>
                <w:color w:val="auto"/>
              </w:rPr>
            </w:pPr>
          </w:p>
        </w:tc>
        <w:tc>
          <w:tcPr>
            <w:tcW w:w="360" w:type="dxa"/>
            <w:vAlign w:val="bottom"/>
            <w:tcBorders>
              <w:top w:val="single" w:sz="8" w:color="E6E6F9"/>
            </w:tcBorders>
            <w:shd w:val="clear" w:color="auto" w:fill="E6E6F9"/>
          </w:tcPr>
          <w:p>
            <w:pPr>
              <w:spacing w:after="0"/>
              <w:rPr>
                <w:sz w:val="2"/>
                <w:szCs w:val="2"/>
                <w:color w:val="auto"/>
              </w:rPr>
            </w:pPr>
          </w:p>
        </w:tc>
        <w:tc>
          <w:tcPr>
            <w:tcW w:w="420" w:type="dxa"/>
            <w:vAlign w:val="bottom"/>
            <w:tcBorders>
              <w:top w:val="single" w:sz="8" w:color="E6E6F9"/>
            </w:tcBorders>
            <w:shd w:val="clear" w:color="auto" w:fill="E6E6F9"/>
          </w:tcPr>
          <w:p>
            <w:pPr>
              <w:spacing w:after="0"/>
              <w:rPr>
                <w:sz w:val="2"/>
                <w:szCs w:val="2"/>
                <w:color w:val="auto"/>
              </w:rPr>
            </w:pPr>
          </w:p>
        </w:tc>
        <w:tc>
          <w:tcPr>
            <w:tcW w:w="480" w:type="dxa"/>
            <w:vAlign w:val="bottom"/>
            <w:tcBorders>
              <w:top w:val="single" w:sz="8" w:color="E6E6F9"/>
            </w:tcBorders>
            <w:shd w:val="clear" w:color="auto" w:fill="E6E6F9"/>
          </w:tcPr>
          <w:p>
            <w:pPr>
              <w:spacing w:after="0"/>
              <w:rPr>
                <w:sz w:val="2"/>
                <w:szCs w:val="2"/>
                <w:color w:val="auto"/>
              </w:rPr>
            </w:pPr>
          </w:p>
        </w:tc>
        <w:tc>
          <w:tcPr>
            <w:tcW w:w="120" w:type="dxa"/>
            <w:vAlign w:val="bottom"/>
            <w:tcBorders>
              <w:top w:val="single" w:sz="8" w:color="E6E6F9"/>
            </w:tcBorders>
            <w:shd w:val="clear" w:color="auto" w:fill="E6E6F9"/>
          </w:tcPr>
          <w:p>
            <w:pPr>
              <w:spacing w:after="0"/>
              <w:rPr>
                <w:sz w:val="2"/>
                <w:szCs w:val="2"/>
                <w:color w:val="auto"/>
              </w:rPr>
            </w:pPr>
          </w:p>
        </w:tc>
        <w:tc>
          <w:tcPr>
            <w:tcW w:w="40" w:type="dxa"/>
            <w:vAlign w:val="bottom"/>
            <w:tcBorders>
              <w:top w:val="single" w:sz="8" w:color="E6E6F9"/>
            </w:tcBorders>
            <w:shd w:val="clear" w:color="auto" w:fill="E6E6F9"/>
          </w:tcPr>
          <w:p>
            <w:pPr>
              <w:spacing w:after="0"/>
              <w:rPr>
                <w:sz w:val="2"/>
                <w:szCs w:val="2"/>
                <w:color w:val="auto"/>
              </w:rPr>
            </w:pPr>
          </w:p>
        </w:tc>
        <w:tc>
          <w:tcPr>
            <w:tcW w:w="460" w:type="dxa"/>
            <w:vAlign w:val="bottom"/>
            <w:tcBorders>
              <w:top w:val="single" w:sz="8" w:color="E6E6F9"/>
            </w:tcBorders>
            <w:shd w:val="clear" w:color="auto" w:fill="E6E6F9"/>
          </w:tcPr>
          <w:p>
            <w:pPr>
              <w:spacing w:after="0"/>
              <w:rPr>
                <w:sz w:val="2"/>
                <w:szCs w:val="2"/>
                <w:color w:val="auto"/>
              </w:rPr>
            </w:pPr>
          </w:p>
        </w:tc>
        <w:tc>
          <w:tcPr>
            <w:tcW w:w="20" w:type="dxa"/>
            <w:vAlign w:val="bottom"/>
            <w:tcBorders>
              <w:top w:val="single" w:sz="8" w:color="E6E6F9"/>
            </w:tcBorders>
            <w:shd w:val="clear" w:color="auto" w:fill="E6E6F9"/>
          </w:tcPr>
          <w:p>
            <w:pPr>
              <w:spacing w:after="0"/>
              <w:rPr>
                <w:sz w:val="2"/>
                <w:szCs w:val="2"/>
                <w:color w:val="auto"/>
              </w:rPr>
            </w:pPr>
          </w:p>
        </w:tc>
        <w:tc>
          <w:tcPr>
            <w:tcW w:w="120" w:type="dxa"/>
            <w:vAlign w:val="bottom"/>
            <w:tcBorders>
              <w:top w:val="single" w:sz="8" w:color="E6E6F9"/>
            </w:tcBorders>
            <w:shd w:val="clear" w:color="auto" w:fill="E6E6F9"/>
          </w:tcPr>
          <w:p>
            <w:pPr>
              <w:spacing w:after="0"/>
              <w:rPr>
                <w:sz w:val="2"/>
                <w:szCs w:val="2"/>
                <w:color w:val="auto"/>
              </w:rPr>
            </w:pPr>
          </w:p>
        </w:tc>
        <w:tc>
          <w:tcPr>
            <w:tcW w:w="480" w:type="dxa"/>
            <w:vAlign w:val="bottom"/>
            <w:tcBorders>
              <w:top w:val="single" w:sz="8" w:color="E6E6F9"/>
            </w:tcBorders>
            <w:shd w:val="clear" w:color="auto" w:fill="E6E6F9"/>
          </w:tcPr>
          <w:p>
            <w:pPr>
              <w:spacing w:after="0"/>
              <w:rPr>
                <w:sz w:val="2"/>
                <w:szCs w:val="2"/>
                <w:color w:val="auto"/>
              </w:rPr>
            </w:pPr>
          </w:p>
        </w:tc>
        <w:tc>
          <w:tcPr>
            <w:tcW w:w="420" w:type="dxa"/>
            <w:vAlign w:val="bottom"/>
            <w:tcBorders>
              <w:top w:val="single" w:sz="8" w:color="E6E6F9"/>
            </w:tcBorders>
            <w:shd w:val="clear" w:color="auto" w:fill="E6E6F9"/>
          </w:tcPr>
          <w:p>
            <w:pPr>
              <w:spacing w:after="0"/>
              <w:rPr>
                <w:sz w:val="2"/>
                <w:szCs w:val="2"/>
                <w:color w:val="auto"/>
              </w:rPr>
            </w:pPr>
          </w:p>
        </w:tc>
        <w:tc>
          <w:tcPr>
            <w:tcW w:w="440" w:type="dxa"/>
            <w:vAlign w:val="bottom"/>
            <w:tcBorders>
              <w:top w:val="single" w:sz="8" w:color="E6E6F9"/>
            </w:tcBorders>
            <w:shd w:val="clear" w:color="auto" w:fill="E6E6F9"/>
          </w:tcPr>
          <w:p>
            <w:pPr>
              <w:spacing w:after="0"/>
              <w:rPr>
                <w:sz w:val="2"/>
                <w:szCs w:val="2"/>
                <w:color w:val="auto"/>
              </w:rPr>
            </w:pPr>
          </w:p>
        </w:tc>
        <w:tc>
          <w:tcPr>
            <w:tcW w:w="60" w:type="dxa"/>
            <w:vAlign w:val="bottom"/>
            <w:tcBorders>
              <w:top w:val="single" w:sz="8" w:color="E6E6F9"/>
            </w:tcBorders>
            <w:shd w:val="clear" w:color="auto" w:fill="E6E6F9"/>
          </w:tcPr>
          <w:p>
            <w:pPr>
              <w:spacing w:after="0"/>
              <w:rPr>
                <w:sz w:val="2"/>
                <w:szCs w:val="2"/>
                <w:color w:val="auto"/>
              </w:rPr>
            </w:pPr>
          </w:p>
        </w:tc>
        <w:tc>
          <w:tcPr>
            <w:tcW w:w="320" w:type="dxa"/>
            <w:vAlign w:val="bottom"/>
            <w:tcBorders>
              <w:top w:val="single" w:sz="8" w:color="E6E6F9"/>
            </w:tcBorders>
            <w:shd w:val="clear" w:color="auto" w:fill="E6E6F9"/>
          </w:tcPr>
          <w:p>
            <w:pPr>
              <w:spacing w:after="0"/>
              <w:rPr>
                <w:sz w:val="2"/>
                <w:szCs w:val="2"/>
                <w:color w:val="auto"/>
              </w:rPr>
            </w:pPr>
          </w:p>
        </w:tc>
        <w:tc>
          <w:tcPr>
            <w:tcW w:w="60" w:type="dxa"/>
            <w:vAlign w:val="bottom"/>
            <w:tcBorders>
              <w:top w:val="single" w:sz="8" w:color="E6E6F9"/>
              <w:right w:val="single" w:sz="8" w:color="E6E6F9"/>
            </w:tcBorders>
            <w:shd w:val="clear" w:color="auto" w:fill="E6E6F9"/>
          </w:tcPr>
          <w:p>
            <w:pPr>
              <w:spacing w:after="0"/>
              <w:rPr>
                <w:sz w:val="2"/>
                <w:szCs w:val="2"/>
                <w:color w:val="auto"/>
              </w:rPr>
            </w:pPr>
          </w:p>
        </w:tc>
        <w:tc>
          <w:tcPr>
            <w:tcW w:w="440" w:type="dxa"/>
            <w:vAlign w:val="bottom"/>
            <w:tcBorders>
              <w:top w:val="single" w:sz="8" w:color="E6E6F9"/>
              <w:right w:val="single" w:sz="8" w:color="E6E6F9"/>
            </w:tcBorders>
            <w:shd w:val="clear" w:color="auto" w:fill="E6E6F9"/>
          </w:tcPr>
          <w:p>
            <w:pPr>
              <w:spacing w:after="0"/>
              <w:rPr>
                <w:sz w:val="2"/>
                <w:szCs w:val="2"/>
                <w:color w:val="auto"/>
              </w:rPr>
            </w:pPr>
          </w:p>
        </w:tc>
        <w:tc>
          <w:tcPr>
            <w:tcW w:w="320" w:type="dxa"/>
            <w:vAlign w:val="bottom"/>
            <w:tcBorders>
              <w:top w:val="single" w:sz="8" w:color="E6E6F9"/>
            </w:tcBorders>
            <w:shd w:val="clear" w:color="auto" w:fill="E6E6F9"/>
          </w:tcPr>
          <w:p>
            <w:pPr>
              <w:spacing w:after="0"/>
              <w:rPr>
                <w:sz w:val="2"/>
                <w:szCs w:val="2"/>
                <w:color w:val="auto"/>
              </w:rPr>
            </w:pPr>
          </w:p>
        </w:tc>
        <w:tc>
          <w:tcPr>
            <w:tcW w:w="60" w:type="dxa"/>
            <w:vAlign w:val="bottom"/>
            <w:tcBorders>
              <w:top w:val="single" w:sz="8" w:color="E6E6F9"/>
            </w:tcBorders>
            <w:shd w:val="clear" w:color="auto" w:fill="E6E6F9"/>
          </w:tcPr>
          <w:p>
            <w:pPr>
              <w:spacing w:after="0"/>
              <w:rPr>
                <w:sz w:val="2"/>
                <w:szCs w:val="2"/>
                <w:color w:val="auto"/>
              </w:rPr>
            </w:pPr>
          </w:p>
        </w:tc>
        <w:tc>
          <w:tcPr>
            <w:tcW w:w="440" w:type="dxa"/>
            <w:vAlign w:val="bottom"/>
            <w:tcBorders>
              <w:top w:val="single" w:sz="8" w:color="E6E6F9"/>
            </w:tcBorders>
            <w:shd w:val="clear" w:color="auto" w:fill="E6E6F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700" w:firstLine="648"/>
        <w:spacing w:after="0" w:line="253" w:lineRule="auto"/>
        <w:rPr>
          <w:sz w:val="20"/>
          <w:szCs w:val="20"/>
          <w:color w:val="auto"/>
        </w:rPr>
      </w:pPr>
      <w:r>
        <w:rPr>
          <w:rFonts w:ascii="Times New Roman" w:cs="Times New Roman" w:eastAsia="Times New Roman" w:hAnsi="Times New Roman"/>
          <w:sz w:val="18"/>
          <w:szCs w:val="18"/>
          <w:u w:val="single" w:color="auto"/>
          <w:color w:val="0000FF"/>
        </w:rPr>
        <w:t>For purposes of the foregoing, each change in the Applicable Rate resulting from a change in the Senior Secured First Lien Net Leverage Ratio shall be effective during the period commencing on and including the third Business Day following the date of delivery to the Administrative Agent pursuant to Section 5.01(a) or 5.01(b) of the consolidated financial statements and related Compliance Certificate indicating such change and ending on the date immediately preceding the effective date of the next such change. Notwithstanding the foregoing, the Applicable Rate, at the option of the Administrative Agent or the Required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such term in the definition of the term “Permitted</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Investments.”</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has the meaning assigned to such term in the definition of “Permitted</w:t>
      </w:r>
    </w:p>
    <w:p>
      <w:pPr>
        <w:sectPr>
          <w:pgSz w:w="11900" w:h="16838" w:orient="portrait"/>
          <w:cols w:equalWidth="0" w:num="1">
            <w:col w:w="10760"/>
          </w:cols>
          <w:pgMar w:left="320" w:top="1336" w:right="81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266" w:lineRule="exact"/>
        <w:rPr>
          <w:sz w:val="20"/>
          <w:szCs w:val="20"/>
          <w:color w:val="auto"/>
        </w:rPr>
      </w:pPr>
    </w:p>
    <w:p>
      <w:pPr>
        <w:jc w:val="both"/>
        <w:ind w:right="4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an entity or an Affiliate of an entity that administers, advises or manages a Lender.</w:t>
      </w:r>
    </w:p>
    <w:p>
      <w:pPr>
        <w:spacing w:after="0" w:line="245" w:lineRule="exact"/>
        <w:rPr>
          <w:sz w:val="20"/>
          <w:szCs w:val="20"/>
          <w:color w:val="auto"/>
        </w:rPr>
      </w:pPr>
    </w:p>
    <w:p>
      <w:pPr>
        <w:jc w:val="both"/>
        <w:ind w:right="40" w:firstLine="1295"/>
        <w:spacing w:after="0" w:line="258" w:lineRule="auto"/>
        <w:rPr>
          <w:sz w:val="20"/>
          <w:szCs w:val="20"/>
          <w:color w:val="auto"/>
        </w:rPr>
      </w:pPr>
      <w:r>
        <w:rPr>
          <w:rFonts w:ascii="Times New Roman" w:cs="Times New Roman" w:eastAsia="Times New Roman" w:hAnsi="Times New Roman"/>
          <w:sz w:val="18"/>
          <w:szCs w:val="18"/>
          <w:u w:val="single" w:color="auto"/>
          <w:color w:val="0000FF"/>
        </w:rPr>
        <w:t xml:space="preserve">“Asset Sale Percentage” means 100%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if, at the time of receipt by the Borrower or any other Loan Party of the Net Proceeds from any Prepayment Event described in clause (a) of the definition thereof, on a Pro Forma Basis after giving effect to the applicable Prepayment Event and the application of the Net Proceeds therefrom, (a) if the Senior Secured First Lien Net Leverage Ratio is less than or equal to 3.30:1.00, and greater than 2.80:1.00, 50% and (c) if the Senior Secured First Lien Net Leverage Ratio is equal to or less than 2.80:1.00, 25%.</w:t>
      </w:r>
    </w:p>
    <w:p>
      <w:pPr>
        <w:spacing w:after="0" w:line="22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spacing w:after="0" w:line="20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Agent</w:t>
      </w:r>
      <w:r>
        <w:rPr>
          <w:rFonts w:ascii="Times New Roman" w:cs="Times New Roman" w:eastAsia="Times New Roman" w:hAnsi="Times New Roman"/>
          <w:sz w:val="18"/>
          <w:szCs w:val="18"/>
          <w:color w:val="auto"/>
        </w:rPr>
        <w:t xml:space="preserve">”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designate the First Lien Administrative Agent as the Auction Agent without the written consent of the First Lien Administrative Agent (it being understood that the First Lien Administrative Agent shall be under no obligation to agree to act as the Auction Agent).</w:t>
      </w:r>
    </w:p>
    <w:p>
      <w:pPr>
        <w:spacing w:after="0" w:line="224" w:lineRule="exact"/>
        <w:rPr>
          <w:sz w:val="20"/>
          <w:szCs w:val="20"/>
          <w:color w:val="auto"/>
        </w:rPr>
      </w:pPr>
    </w:p>
    <w:p>
      <w:pPr>
        <w:ind w:right="12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sheets of the Borrower for the fiscal year ended December 31, 2018, and the related consolidated statements of operations and comprehensive income, consolidated statements of shareholders’ equity and consolidated statements of cash flows of the Borrower for the fiscal year ended December 31, 2018.</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as of any date of determination, a cumulative amount equal to (without duplication):</w:t>
      </w:r>
    </w:p>
    <w:p>
      <w:pPr>
        <w:spacing w:after="0" w:line="266" w:lineRule="exact"/>
        <w:rPr>
          <w:sz w:val="20"/>
          <w:szCs w:val="20"/>
          <w:color w:val="auto"/>
        </w:rPr>
      </w:pPr>
    </w:p>
    <w:p>
      <w:pPr>
        <w:ind w:left="640" w:right="40" w:firstLine="647"/>
        <w:spacing w:after="0" w:line="282" w:lineRule="auto"/>
        <w:tabs>
          <w:tab w:leader="none" w:pos="1892"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w:t>
      </w:r>
      <w:r>
        <w:rPr>
          <w:rFonts w:ascii="Times New Roman" w:cs="Times New Roman" w:eastAsia="Times New Roman" w:hAnsi="Times New Roman"/>
          <w:sz w:val="18"/>
          <w:szCs w:val="18"/>
          <w:color w:val="FF0000"/>
          <w:strike w:val="1"/>
        </w:rPr>
        <w:t>96,000,000</w:t>
      </w:r>
      <w:r>
        <w:rPr>
          <w:rFonts w:ascii="Times New Roman" w:cs="Times New Roman" w:eastAsia="Times New Roman" w:hAnsi="Times New Roman"/>
          <w:sz w:val="18"/>
          <w:szCs w:val="18"/>
          <w:u w:val="single" w:color="auto"/>
          <w:color w:val="0000FF"/>
        </w:rPr>
        <w:t>135,500,000</w:t>
      </w:r>
      <w:r>
        <w:rPr>
          <w:rFonts w:ascii="Times New Roman" w:cs="Times New Roman" w:eastAsia="Times New Roman" w:hAnsi="Times New Roman"/>
          <w:sz w:val="18"/>
          <w:szCs w:val="18"/>
          <w:color w:val="auto"/>
        </w:rPr>
        <w:t xml:space="preserve"> and (y) 25% of Consolidated EBITDA for the most recently ended Test Period as of such date (such amount, the “</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88" w:lineRule="exact"/>
        <w:rPr>
          <w:rFonts w:ascii="Times New Roman" w:cs="Times New Roman" w:eastAsia="Times New Roman" w:hAnsi="Times New Roman"/>
          <w:sz w:val="18"/>
          <w:szCs w:val="18"/>
          <w:color w:val="auto"/>
        </w:rPr>
      </w:pPr>
    </w:p>
    <w:p>
      <w:pPr>
        <w:jc w:val="both"/>
        <w:ind w:left="640" w:right="60" w:firstLine="648"/>
        <w:spacing w:after="0" w:line="258" w:lineRule="auto"/>
        <w:tabs>
          <w:tab w:leader="none" w:pos="1889"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an amount (which amount shall not be less than zero) equal to the greater of (A) 50% of Consolidated Net Income of the Borrower and its Restricted Subsidiaries for the period (treated as one accounting period) from October 1, 2019 to the end of the most recently ended Test Period as of such date and (B) the sum of Excess Cash Flow (but not less than zero in any period) for the fiscal year ending December 31, 2020 and Excess Cash Flow for each succeeding completed fiscal year as of such date, in each case, that was not required to prepay Term Borrowings pursuant to Section 2.11(d), </w:t>
      </w:r>
      <w:r>
        <w:rPr>
          <w:rFonts w:ascii="Times New Roman" w:cs="Times New Roman" w:eastAsia="Times New Roman" w:hAnsi="Times New Roman"/>
          <w:sz w:val="18"/>
          <w:szCs w:val="18"/>
          <w:u w:val="single" w:color="auto"/>
          <w:color w:val="auto"/>
        </w:rPr>
        <w:t>plus</w:t>
      </w:r>
    </w:p>
    <w:p>
      <w:pPr>
        <w:spacing w:after="0" w:line="223" w:lineRule="exact"/>
        <w:rPr>
          <w:rFonts w:ascii="Times New Roman" w:cs="Times New Roman" w:eastAsia="Times New Roman" w:hAnsi="Times New Roman"/>
          <w:sz w:val="18"/>
          <w:szCs w:val="18"/>
          <w:color w:val="auto"/>
        </w:rPr>
      </w:pPr>
    </w:p>
    <w:p>
      <w:pPr>
        <w:ind w:left="1940" w:hanging="652"/>
        <w:spacing w:after="0"/>
        <w:tabs>
          <w:tab w:leader="none" w:pos="19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333" w:lineRule="exact"/>
        <w:rPr>
          <w:rFonts w:ascii="Times New Roman" w:cs="Times New Roman" w:eastAsia="Times New Roman" w:hAnsi="Times New Roman"/>
          <w:sz w:val="18"/>
          <w:szCs w:val="18"/>
          <w:color w:val="auto"/>
        </w:rPr>
      </w:pPr>
    </w:p>
    <w:p>
      <w:pPr>
        <w:jc w:val="both"/>
        <w:ind w:left="640" w:right="20" w:firstLine="648"/>
        <w:spacing w:after="0" w:line="256" w:lineRule="auto"/>
        <w:tabs>
          <w:tab w:leader="none" w:pos="1889"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Times New Roman" w:cs="Times New Roman" w:eastAsia="Times New Roman" w:hAnsi="Times New Roman"/>
          <w:sz w:val="18"/>
          <w:szCs w:val="18"/>
          <w:u w:val="single" w:color="auto"/>
          <w:color w:val="auto"/>
        </w:rPr>
        <w:t>plus</w:t>
      </w:r>
    </w:p>
    <w:p>
      <w:pPr>
        <w:sectPr>
          <w:pgSz w:w="11900" w:h="16838" w:orient="portrait"/>
          <w:cols w:equalWidth="0" w:num="1">
            <w:col w:w="10060"/>
          </w:cols>
          <w:pgMar w:left="1020" w:top="1336" w:right="819" w:bottom="1440" w:gutter="0" w:footer="0" w:header="0"/>
        </w:sectPr>
      </w:pPr>
    </w:p>
    <w:bookmarkStart w:id="490" w:name="page491"/>
    <w:bookmarkEnd w:id="490"/>
    <w:p>
      <w:pPr>
        <w:ind w:left="640" w:right="20" w:firstLine="648"/>
        <w:spacing w:after="0" w:line="282" w:lineRule="auto"/>
        <w:tabs>
          <w:tab w:leader="none" w:pos="1893"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a sale or other Disposition of any Unrestricted Subsidiary (including the issuance of stock of an Unrestricted Subsidiary) received by the Borrower or any Restricted Subsidiary, </w:t>
      </w:r>
      <w:r>
        <w:rPr>
          <w:rFonts w:ascii="Times New Roman" w:cs="Times New Roman" w:eastAsia="Times New Roman" w:hAnsi="Times New Roman"/>
          <w:sz w:val="18"/>
          <w:szCs w:val="18"/>
          <w:u w:val="single" w:color="auto"/>
          <w:color w:val="auto"/>
        </w:rPr>
        <w:t>plus</w:t>
      </w:r>
    </w:p>
    <w:p>
      <w:pPr>
        <w:spacing w:after="0" w:line="188" w:lineRule="exact"/>
        <w:rPr>
          <w:rFonts w:ascii="Times New Roman" w:cs="Times New Roman" w:eastAsia="Times New Roman" w:hAnsi="Times New Roman"/>
          <w:sz w:val="18"/>
          <w:szCs w:val="18"/>
          <w:color w:val="auto"/>
        </w:rPr>
      </w:pPr>
    </w:p>
    <w:p>
      <w:pPr>
        <w:ind w:left="640" w:right="20" w:firstLine="648"/>
        <w:spacing w:after="0" w:line="282" w:lineRule="auto"/>
        <w:tabs>
          <w:tab w:leader="none" w:pos="190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Consolidated Net Income, dividends or other distributions or returns on capital received by the Borrower or any Restricted Subsidiary from an Unrestricted Subsidiary, </w:t>
      </w:r>
      <w:r>
        <w:rPr>
          <w:rFonts w:ascii="Times New Roman" w:cs="Times New Roman" w:eastAsia="Times New Roman" w:hAnsi="Times New Roman"/>
          <w:sz w:val="18"/>
          <w:szCs w:val="18"/>
          <w:u w:val="single" w:color="auto"/>
          <w:color w:val="auto"/>
        </w:rPr>
        <w:t>plus</w:t>
      </w:r>
    </w:p>
    <w:p>
      <w:pPr>
        <w:spacing w:after="0" w:line="310" w:lineRule="exact"/>
        <w:rPr>
          <w:rFonts w:ascii="Times New Roman" w:cs="Times New Roman" w:eastAsia="Times New Roman" w:hAnsi="Times New Roman"/>
          <w:sz w:val="18"/>
          <w:szCs w:val="18"/>
          <w:color w:val="auto"/>
        </w:rPr>
      </w:pPr>
    </w:p>
    <w:p>
      <w:pPr>
        <w:ind w:left="1880" w:hanging="593"/>
        <w:spacing w:after="0"/>
        <w:tabs>
          <w:tab w:leader="none" w:pos="188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Retained Declined Proceeds since the Effective Date. “</w:t>
      </w:r>
      <w:r>
        <w:rPr>
          <w:rFonts w:ascii="Times New Roman" w:cs="Times New Roman" w:eastAsia="Times New Roman" w:hAnsi="Times New Roman"/>
          <w:sz w:val="18"/>
          <w:szCs w:val="18"/>
          <w:u w:val="single" w:color="auto"/>
          <w:color w:val="auto"/>
        </w:rPr>
        <w:t>Available Equity</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means a cumulative amount equal to (without duplication):</w:t>
      </w:r>
    </w:p>
    <w:p>
      <w:pPr>
        <w:spacing w:after="0" w:line="104" w:lineRule="exact"/>
        <w:rPr>
          <w:sz w:val="20"/>
          <w:szCs w:val="20"/>
          <w:color w:val="auto"/>
        </w:rPr>
      </w:pPr>
    </w:p>
    <w:p>
      <w:pPr>
        <w:jc w:val="both"/>
        <w:ind w:left="640" w:right="40" w:firstLine="647"/>
        <w:spacing w:after="0" w:line="266" w:lineRule="auto"/>
        <w:tabs>
          <w:tab w:leader="none" w:pos="1893"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new public or private issuances of Qualified Equity Interests (excluding Qualified Equity Interests the proceeds of which will be applied as Cure Amounts) in Holdings or any parent of Holdings which are contributed to the Borrower, </w:t>
      </w:r>
      <w:r>
        <w:rPr>
          <w:rFonts w:ascii="Times New Roman" w:cs="Times New Roman" w:eastAsia="Times New Roman" w:hAnsi="Times New Roman"/>
          <w:sz w:val="18"/>
          <w:szCs w:val="18"/>
          <w:u w:val="single" w:color="auto"/>
          <w:color w:val="auto"/>
        </w:rPr>
        <w:t>plus</w:t>
      </w:r>
    </w:p>
    <w:p>
      <w:pPr>
        <w:spacing w:after="0" w:line="216" w:lineRule="exact"/>
        <w:rPr>
          <w:rFonts w:ascii="Times New Roman" w:cs="Times New Roman" w:eastAsia="Times New Roman" w:hAnsi="Times New Roman"/>
          <w:sz w:val="18"/>
          <w:szCs w:val="18"/>
          <w:color w:val="auto"/>
        </w:rPr>
      </w:pPr>
    </w:p>
    <w:p>
      <w:pPr>
        <w:ind w:left="640" w:right="40" w:firstLine="648"/>
        <w:spacing w:after="0" w:line="282" w:lineRule="auto"/>
        <w:tabs>
          <w:tab w:leader="none" w:pos="1889"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contributions received by the Borrower after the Effective Date in cash or Permitted Investments (other than in respect of any Disqualified Equity Interest), </w:t>
      </w:r>
      <w:r>
        <w:rPr>
          <w:rFonts w:ascii="Times New Roman" w:cs="Times New Roman" w:eastAsia="Times New Roman" w:hAnsi="Times New Roman"/>
          <w:sz w:val="18"/>
          <w:szCs w:val="18"/>
          <w:u w:val="single" w:color="auto"/>
          <w:color w:val="auto"/>
        </w:rPr>
        <w:t>plus</w:t>
      </w:r>
    </w:p>
    <w:p>
      <w:pPr>
        <w:spacing w:after="0" w:line="202" w:lineRule="exact"/>
        <w:rPr>
          <w:rFonts w:ascii="Times New Roman" w:cs="Times New Roman" w:eastAsia="Times New Roman" w:hAnsi="Times New Roman"/>
          <w:sz w:val="18"/>
          <w:szCs w:val="18"/>
          <w:color w:val="auto"/>
        </w:rPr>
      </w:pPr>
    </w:p>
    <w:p>
      <w:pPr>
        <w:jc w:val="both"/>
        <w:ind w:left="640" w:right="40" w:firstLine="648"/>
        <w:spacing w:after="0" w:line="266" w:lineRule="auto"/>
        <w:tabs>
          <w:tab w:leader="none" w:pos="1893"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Times New Roman" w:cs="Times New Roman" w:eastAsia="Times New Roman" w:hAnsi="Times New Roman"/>
          <w:sz w:val="18"/>
          <w:szCs w:val="18"/>
          <w:u w:val="single" w:color="auto"/>
          <w:color w:val="auto"/>
        </w:rPr>
        <w:t>plus</w:t>
      </w:r>
    </w:p>
    <w:p>
      <w:pPr>
        <w:spacing w:after="0" w:line="202" w:lineRule="exact"/>
        <w:rPr>
          <w:rFonts w:ascii="Times New Roman" w:cs="Times New Roman" w:eastAsia="Times New Roman" w:hAnsi="Times New Roman"/>
          <w:sz w:val="18"/>
          <w:szCs w:val="18"/>
          <w:color w:val="auto"/>
        </w:rPr>
      </w:pPr>
    </w:p>
    <w:p>
      <w:pPr>
        <w:ind w:right="40" w:firstLine="1288"/>
        <w:spacing w:after="0" w:line="282" w:lineRule="auto"/>
        <w:tabs>
          <w:tab w:leader="none" w:pos="1897"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profits, distributions and similar amounts received in cash or Permitted Investments by the Borrower or any Restricted Subsidiary on Investments made using the Available Equity Amount (not to exceed the amount of such Investments).</w:t>
      </w:r>
    </w:p>
    <w:p>
      <w:pPr>
        <w:spacing w:after="0" w:line="20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Exchange Rate</w:t>
      </w:r>
      <w:r>
        <w:rPr>
          <w:rFonts w:ascii="Times New Roman" w:cs="Times New Roman" w:eastAsia="Times New Roman" w:hAnsi="Times New Roman"/>
          <w:sz w:val="18"/>
          <w:szCs w:val="18"/>
          <w:color w:val="auto"/>
        </w:rPr>
        <w:t xml:space="preserve">” means the daily average currency exchange rate for the most recently ended fiscal quarter of the Borrower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spacing w:after="0" w:line="229"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Agreed Currency,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2.14(f).</w:t>
      </w:r>
    </w:p>
    <w:p>
      <w:pPr>
        <w:spacing w:after="0" w:line="224"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w:t>
      </w:r>
    </w:p>
    <w:p>
      <w:pPr>
        <w:spacing w:after="0" w:line="27"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w:t>
      </w:r>
    </w:p>
    <w:p>
      <w:pPr>
        <w:sectPr>
          <w:pgSz w:w="11900" w:h="16838" w:orient="portrait"/>
          <w:cols w:equalWidth="0" w:num="1">
            <w:col w:w="10060"/>
          </w:cols>
          <w:pgMar w:left="1020" w:top="1417" w:right="819" w:bottom="1440" w:gutter="0" w:footer="0" w:header="0"/>
        </w:sectPr>
      </w:pPr>
    </w:p>
    <w:bookmarkStart w:id="491" w:name="page492"/>
    <w:bookmarkEnd w:id="491"/>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United Kingdom relating to the resolution of unsound or failing banks, investment firms or other financial institutions or their affiliates (other than through liquidation, administration or other insolvency proceedings).</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 or any similar federal or state law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relief of debtors.</w:t>
      </w:r>
    </w:p>
    <w:p>
      <w:pPr>
        <w:spacing w:after="0" w:line="24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Barclays Letter of Credit Sublimit</w:t>
      </w:r>
      <w:r>
        <w:rPr>
          <w:rFonts w:ascii="Times New Roman" w:cs="Times New Roman" w:eastAsia="Times New Roman" w:hAnsi="Times New Roman"/>
          <w:sz w:val="18"/>
          <w:szCs w:val="18"/>
          <w:color w:val="auto"/>
        </w:rPr>
        <w:t>” means an amount equal to the amount listed on Schedule</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2.01 as amended by Amendment No. 3. Letters of Credit issued pursuant to the Barclays Letter of Credit Sublimit will be issued by Barclays Bank PLC, in its capacity as an “Issuing Bank”.</w:t>
      </w:r>
    </w:p>
    <w:p>
      <w:pPr>
        <w:spacing w:after="0" w:line="20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(i) RFR Loan in any Agreed Currency, the applicable Relevant Rate for such Agreed Currency or (ii) Term Benchmark Loan, the Relevant Rate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 or (c).</w:t>
      </w:r>
    </w:p>
    <w:p>
      <w:pPr>
        <w:spacing w:after="0" w:line="224"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an Alternative Currency, “Benchmark Replacement” shall mean the alternative set forth in (2) below:</w:t>
      </w:r>
    </w:p>
    <w:p>
      <w:pPr>
        <w:spacing w:after="0" w:line="216" w:lineRule="exact"/>
        <w:rPr>
          <w:sz w:val="20"/>
          <w:szCs w:val="20"/>
          <w:color w:val="auto"/>
        </w:rPr>
      </w:pPr>
    </w:p>
    <w:p>
      <w:pPr>
        <w:ind w:left="1540" w:hanging="253"/>
        <w:spacing w:after="0"/>
        <w:tabs>
          <w:tab w:leader="none" w:pos="15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Daily Simple SOFR;</w:t>
      </w:r>
    </w:p>
    <w:p>
      <w:pPr>
        <w:spacing w:after="0" w:line="265" w:lineRule="exact"/>
        <w:rPr>
          <w:rFonts w:ascii="Times New Roman" w:cs="Times New Roman" w:eastAsia="Times New Roman" w:hAnsi="Times New Roman"/>
          <w:sz w:val="18"/>
          <w:szCs w:val="18"/>
          <w:color w:val="auto"/>
        </w:rPr>
      </w:pPr>
    </w:p>
    <w:p>
      <w:pPr>
        <w:jc w:val="both"/>
        <w:ind w:right="20" w:firstLine="1287"/>
        <w:spacing w:after="0" w:line="256" w:lineRule="auto"/>
        <w:tabs>
          <w:tab w:leader="none" w:pos="189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First Lien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228"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First Lien Loan Documents.</w:t>
      </w:r>
    </w:p>
    <w:p>
      <w:pPr>
        <w:spacing w:after="0" w:line="189" w:lineRule="exact"/>
        <w:rPr>
          <w:sz w:val="20"/>
          <w:szCs w:val="20"/>
          <w:color w:val="auto"/>
        </w:rPr>
      </w:pPr>
    </w:p>
    <w:p>
      <w:pPr>
        <w:jc w:val="both"/>
        <w:ind w:firstLine="129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First Lien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3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w:t>
      </w:r>
    </w:p>
    <w:p>
      <w:pPr>
        <w:sectPr>
          <w:pgSz w:w="11900" w:h="16838" w:orient="portrait"/>
          <w:cols w:equalWidth="0" w:num="1">
            <w:col w:w="10040"/>
          </w:cols>
          <w:pgMar w:left="1020" w:top="1336" w:right="839" w:bottom="1440" w:gutter="0" w:footer="0" w:header="0"/>
        </w:sectPr>
      </w:pPr>
    </w:p>
    <w:bookmarkStart w:id="492" w:name="page493"/>
    <w:bookmarkEnd w:id="492"/>
    <w:p>
      <w:pPr>
        <w:jc w:val="both"/>
        <w:ind w:left="9" w:right="20"/>
        <w:spacing w:after="0" w:line="255" w:lineRule="auto"/>
        <w:rPr>
          <w:sz w:val="20"/>
          <w:szCs w:val="20"/>
          <w:color w:val="auto"/>
        </w:rPr>
      </w:pPr>
      <w:r>
        <w:rPr>
          <w:rFonts w:ascii="Times New Roman" w:cs="Times New Roman" w:eastAsia="Times New Roman" w:hAnsi="Times New Roman"/>
          <w:sz w:val="18"/>
          <w:szCs w:val="18"/>
          <w:color w:val="auto"/>
        </w:rPr>
        <w:t>prepayment, conversion or continuation notices, length of lookback periods, the applicability of breakage provisions, and other technical, administrative or operational matters) that the First Lien Administrative Agent decides may be appropriate to reflect the adoption and implementation of such Benchmark and to permit the administration thereof by the First Lien Administrative Agent in a manner substantially consistent with market practice (or, if the First Lien Administrative Agent decides that adoption of any portion of such market practice is not administratively feasible or if the First Lien Administrative Agent determines that no market practice for the administration of such Benchmark exists, in such other manner of administration as the First Lien Administrative Agent decides is reasonably necessary in connection with the administration of this Agreement and the other First Lien Loan Documents).</w:t>
      </w:r>
    </w:p>
    <w:p>
      <w:pPr>
        <w:spacing w:after="0" w:line="229" w:lineRule="exact"/>
        <w:rPr>
          <w:sz w:val="20"/>
          <w:szCs w:val="20"/>
          <w:color w:val="auto"/>
        </w:rPr>
      </w:pPr>
    </w:p>
    <w:p>
      <w:pPr>
        <w:jc w:val="both"/>
        <w:ind w:left="9"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202" w:lineRule="exact"/>
        <w:rPr>
          <w:sz w:val="20"/>
          <w:szCs w:val="20"/>
          <w:color w:val="auto"/>
        </w:rPr>
      </w:pPr>
    </w:p>
    <w:p>
      <w:pPr>
        <w:ind w:left="1549" w:hanging="253"/>
        <w:spacing w:after="0"/>
        <w:tabs>
          <w:tab w:leader="none" w:pos="1549"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w:t>
      </w:r>
    </w:p>
    <w:p>
      <w:pPr>
        <w:spacing w:after="0" w:line="27" w:lineRule="exact"/>
        <w:rPr>
          <w:rFonts w:ascii="Times New Roman" w:cs="Times New Roman" w:eastAsia="Times New Roman" w:hAnsi="Times New Roman"/>
          <w:sz w:val="18"/>
          <w:szCs w:val="18"/>
          <w:color w:val="auto"/>
        </w:rPr>
      </w:pPr>
    </w:p>
    <w:p>
      <w:pPr>
        <w:jc w:val="both"/>
        <w:ind w:left="9" w:right="20" w:hanging="9"/>
        <w:spacing w:after="0" w:line="255" w:lineRule="auto"/>
        <w:tabs>
          <w:tab w:leader="none" w:pos="268"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26" w:lineRule="exact"/>
        <w:rPr>
          <w:rFonts w:ascii="Times New Roman" w:cs="Times New Roman" w:eastAsia="Times New Roman" w:hAnsi="Times New Roman"/>
          <w:sz w:val="18"/>
          <w:szCs w:val="18"/>
          <w:color w:val="auto"/>
        </w:rPr>
      </w:pPr>
    </w:p>
    <w:p>
      <w:pPr>
        <w:jc w:val="both"/>
        <w:ind w:left="9" w:right="20" w:firstLine="1287"/>
        <w:spacing w:after="0" w:line="255" w:lineRule="auto"/>
        <w:tabs>
          <w:tab w:leader="none" w:pos="1906"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spacing w:after="0" w:line="229" w:lineRule="exact"/>
        <w:rPr>
          <w:sz w:val="20"/>
          <w:szCs w:val="20"/>
          <w:color w:val="auto"/>
        </w:rPr>
      </w:pPr>
    </w:p>
    <w:p>
      <w:pPr>
        <w:jc w:val="both"/>
        <w:ind w:left="9" w:firstLine="1296"/>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10" w:lineRule="exact"/>
        <w:rPr>
          <w:sz w:val="20"/>
          <w:szCs w:val="20"/>
          <w:color w:val="auto"/>
        </w:rPr>
      </w:pPr>
    </w:p>
    <w:p>
      <w:pPr>
        <w:ind w:left="9" w:righ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202" w:lineRule="exact"/>
        <w:rPr>
          <w:sz w:val="20"/>
          <w:szCs w:val="20"/>
          <w:color w:val="auto"/>
        </w:rPr>
      </w:pPr>
    </w:p>
    <w:p>
      <w:pPr>
        <w:jc w:val="both"/>
        <w:ind w:left="9" w:right="20" w:firstLine="1288"/>
        <w:spacing w:after="0" w:line="258" w:lineRule="auto"/>
        <w:tabs>
          <w:tab w:leader="none" w:pos="190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w:t>
      </w:r>
    </w:p>
    <w:p>
      <w:pPr>
        <w:spacing w:after="0" w:line="291" w:lineRule="exact"/>
        <w:rPr>
          <w:rFonts w:ascii="Times New Roman" w:cs="Times New Roman" w:eastAsia="Times New Roman" w:hAnsi="Times New Roman"/>
          <w:sz w:val="18"/>
          <w:szCs w:val="18"/>
          <w:color w:val="auto"/>
        </w:rPr>
      </w:pPr>
    </w:p>
    <w:p>
      <w:pPr>
        <w:jc w:val="both"/>
        <w:ind w:left="9" w:right="20" w:firstLine="1288"/>
        <w:spacing w:after="0" w:line="254" w:lineRule="auto"/>
        <w:tabs>
          <w:tab w:leader="none" w:pos="190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provided that, at the time of such statement or publication, there is no successor administrator that will continue to</w:t>
      </w:r>
    </w:p>
    <w:p>
      <w:pPr>
        <w:sectPr>
          <w:pgSz w:w="11900" w:h="16838" w:orient="portrait"/>
          <w:cols w:equalWidth="0" w:num="1">
            <w:col w:w="10049"/>
          </w:cols>
          <w:pgMar w:left="1011" w:top="1336" w:right="839" w:bottom="1440" w:gutter="0" w:footer="0" w:header="0"/>
        </w:sectPr>
      </w:pPr>
    </w:p>
    <w:bookmarkStart w:id="493" w:name="page494"/>
    <w:bookmarkEnd w:id="493"/>
    <w:p>
      <w:pPr>
        <w:ind w:left="9" w:right="140"/>
        <w:spacing w:after="0" w:line="282" w:lineRule="auto"/>
        <w:rPr>
          <w:sz w:val="20"/>
          <w:szCs w:val="20"/>
          <w:color w:val="auto"/>
        </w:rPr>
      </w:pPr>
      <w:r>
        <w:rPr>
          <w:rFonts w:ascii="Times New Roman" w:cs="Times New Roman" w:eastAsia="Times New Roman" w:hAnsi="Times New Roman"/>
          <w:sz w:val="18"/>
          <w:szCs w:val="18"/>
          <w:color w:val="auto"/>
        </w:rPr>
        <w:t>provide such Benchmark (or component thereof) or, if such Benchmark is a term rate, any Available Tenor of such Benchmark (or such component thereof); or</w:t>
      </w:r>
    </w:p>
    <w:p>
      <w:pPr>
        <w:spacing w:after="0" w:line="189" w:lineRule="exact"/>
        <w:rPr>
          <w:sz w:val="20"/>
          <w:szCs w:val="20"/>
          <w:color w:val="auto"/>
        </w:rPr>
      </w:pPr>
    </w:p>
    <w:p>
      <w:pPr>
        <w:jc w:val="both"/>
        <w:ind w:left="9" w:right="100" w:firstLine="1287"/>
        <w:spacing w:after="0" w:line="261" w:lineRule="auto"/>
        <w:tabs>
          <w:tab w:leader="none" w:pos="1906"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component thereof) or, if such Benchmark is a term rate, all Available Tenors of such Benchmark (or such component thereof) are no longer, or as of a specified future date will no longer be, representative.</w:t>
      </w:r>
    </w:p>
    <w:p>
      <w:pPr>
        <w:spacing w:after="0" w:line="220" w:lineRule="exact"/>
        <w:rPr>
          <w:sz w:val="20"/>
          <w:szCs w:val="20"/>
          <w:color w:val="auto"/>
        </w:rPr>
      </w:pPr>
    </w:p>
    <w:p>
      <w:pPr>
        <w:jc w:val="both"/>
        <w:ind w:left="9" w:right="120"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6" w:lineRule="exact"/>
        <w:rPr>
          <w:sz w:val="20"/>
          <w:szCs w:val="20"/>
          <w:color w:val="auto"/>
        </w:rPr>
      </w:pPr>
    </w:p>
    <w:p>
      <w:pPr>
        <w:jc w:val="both"/>
        <w:ind w:left="9" w:right="120"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First Lien Loan Document in accordance with Section 2.14 and (y) ending at the time that a Benchmark Replacement has replaced such then-current Benchmark for all purposes hereunder and under any First Lien Loan Document in accordance with Section 2.14.</w:t>
      </w:r>
    </w:p>
    <w:p>
      <w:pPr>
        <w:spacing w:after="0" w:line="224"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52"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w:t>
      </w:r>
    </w:p>
    <w:p>
      <w:pPr>
        <w:spacing w:after="0" w:line="27" w:lineRule="exact"/>
        <w:rPr>
          <w:sz w:val="20"/>
          <w:szCs w:val="20"/>
          <w:color w:val="auto"/>
        </w:rPr>
      </w:pPr>
    </w:p>
    <w:p>
      <w:pPr>
        <w:jc w:val="both"/>
        <w:ind w:left="9" w:right="120" w:hanging="9"/>
        <w:spacing w:after="0" w:line="260" w:lineRule="auto"/>
        <w:tabs>
          <w:tab w:leader="none" w:pos="269"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22"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BNP Paribas Letter of Credit Sublimit</w:t>
      </w:r>
      <w:r>
        <w:rPr>
          <w:rFonts w:ascii="Times New Roman" w:cs="Times New Roman" w:eastAsia="Times New Roman" w:hAnsi="Times New Roman"/>
          <w:sz w:val="18"/>
          <w:szCs w:val="18"/>
          <w:color w:val="auto"/>
        </w:rPr>
        <w:t>” means an amount equal to the amount listed on Schedule</w:t>
      </w:r>
    </w:p>
    <w:p>
      <w:pPr>
        <w:spacing w:after="0" w:line="27" w:lineRule="exact"/>
        <w:rPr>
          <w:sz w:val="20"/>
          <w:szCs w:val="20"/>
          <w:color w:val="auto"/>
        </w:rPr>
      </w:pPr>
    </w:p>
    <w:p>
      <w:pPr>
        <w:ind w:left="9"/>
        <w:spacing w:after="0" w:line="260" w:lineRule="auto"/>
        <w:rPr>
          <w:sz w:val="20"/>
          <w:szCs w:val="20"/>
          <w:color w:val="auto"/>
        </w:rPr>
      </w:pPr>
      <w:r>
        <w:rPr>
          <w:rFonts w:ascii="Times New Roman" w:cs="Times New Roman" w:eastAsia="Times New Roman" w:hAnsi="Times New Roman"/>
          <w:sz w:val="18"/>
          <w:szCs w:val="18"/>
          <w:color w:val="auto"/>
        </w:rPr>
        <w:t>2.01 as amended by Amendment No. 3. Letters of Credit issued pursuant to the BNP Paribas Letter of Credit Sublimit will be issued by BNP Paribas, in its capacity as an “Issuing Bank”.</w:t>
      </w:r>
    </w:p>
    <w:p>
      <w:pPr>
        <w:spacing w:after="0" w:line="222" w:lineRule="exact"/>
        <w:rPr>
          <w:sz w:val="20"/>
          <w:szCs w:val="20"/>
          <w:color w:val="auto"/>
        </w:rPr>
      </w:pPr>
    </w:p>
    <w:p>
      <w:pPr>
        <w:jc w:val="both"/>
        <w:ind w:left="9" w:right="120" w:firstLine="1355"/>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228"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144"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preliminary statements hereto.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w:t>
      </w:r>
    </w:p>
    <w:p>
      <w:pPr>
        <w:spacing w:after="0" w:line="27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meaning assigned to such term in the last paragraph of Section 5.01. “</w:t>
      </w:r>
      <w:r>
        <w:rPr>
          <w:rFonts w:ascii="Times New Roman" w:cs="Times New Roman" w:eastAsia="Times New Roman" w:hAnsi="Times New Roman"/>
          <w:sz w:val="18"/>
          <w:szCs w:val="18"/>
          <w:u w:val="single" w:color="auto"/>
          <w:color w:val="auto"/>
        </w:rPr>
        <w:t>Borrower Offer of Specified Discount Prepayment</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means the offer by the Borrower to make a</w:t>
      </w:r>
    </w:p>
    <w:p>
      <w:pPr>
        <w:spacing w:after="0" w:line="14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voluntary prepayment of Term Loans at a Specified Discount to par pursuant to Section 2.11(a)(ii)(B).</w:t>
      </w:r>
    </w:p>
    <w:p>
      <w:pPr>
        <w:spacing w:after="0" w:line="266" w:lineRule="exact"/>
        <w:rPr>
          <w:sz w:val="20"/>
          <w:szCs w:val="20"/>
          <w:color w:val="auto"/>
        </w:rPr>
      </w:pPr>
    </w:p>
    <w:p>
      <w:pPr>
        <w:jc w:val="both"/>
        <w:ind w:left="9" w:right="1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Solicitation of Discount Range Prepayment Offers</w:t>
      </w:r>
      <w:r>
        <w:rPr>
          <w:rFonts w:ascii="Times New Roman" w:cs="Times New Roman" w:eastAsia="Times New Roman" w:hAnsi="Times New Roman"/>
          <w:sz w:val="18"/>
          <w:szCs w:val="18"/>
          <w:color w:val="auto"/>
        </w:rPr>
        <w:t>” means the solicitation by the Borrower of offers for, and the corresponding acceptance by a Term Lender of, a voluntary prepayment of Term Loans at a specified range at a discount to par pursuant to Section 2.11(a)(ii)(C).</w:t>
      </w:r>
    </w:p>
    <w:p>
      <w:pPr>
        <w:sectPr>
          <w:pgSz w:w="11900" w:h="16838" w:orient="portrait"/>
          <w:cols w:equalWidth="0" w:num="1">
            <w:col w:w="10149"/>
          </w:cols>
          <w:pgMar w:left="1011" w:top="1417" w:right="739" w:bottom="1440" w:gutter="0" w:footer="0" w:header="0"/>
        </w:sectPr>
      </w:pPr>
    </w:p>
    <w:bookmarkStart w:id="494" w:name="page495"/>
    <w:bookmarkEnd w:id="494"/>
    <w:p>
      <w:pPr>
        <w:jc w:val="both"/>
        <w:ind w:left="9" w:right="4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Solicitation of Discounted Prepayment Offers</w:t>
      </w:r>
      <w:r>
        <w:rPr>
          <w:rFonts w:ascii="Times New Roman" w:cs="Times New Roman" w:eastAsia="Times New Roman" w:hAnsi="Times New Roman"/>
          <w:sz w:val="18"/>
          <w:szCs w:val="18"/>
          <w:color w:val="auto"/>
        </w:rPr>
        <w:t>” means the solicitation by the Borrower of offers for, and the subsequent acceptance, if any, by a Term Lender of, a voluntary prepayment of Term Loans at a discount to par pursuant to Section 2.11(a) (ii)(D).</w:t>
      </w:r>
    </w:p>
    <w:p>
      <w:pPr>
        <w:spacing w:after="0" w:line="216" w:lineRule="exact"/>
        <w:rPr>
          <w:sz w:val="20"/>
          <w:szCs w:val="20"/>
          <w:color w:val="auto"/>
        </w:rPr>
      </w:pPr>
    </w:p>
    <w:p>
      <w:pPr>
        <w:jc w:val="both"/>
        <w:ind w:left="9" w:right="420" w:firstLine="138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Loans of the same Class, Type and currency, made, converted or continued on the same date and, in the case of Term Benchmark Loans, as to which a single Interest Period is in effect, or (b) a Swingline Loan.</w:t>
      </w:r>
    </w:p>
    <w:p>
      <w:pPr>
        <w:spacing w:after="0" w:line="202" w:lineRule="exact"/>
        <w:rPr>
          <w:sz w:val="20"/>
          <w:szCs w:val="20"/>
          <w:color w:val="auto"/>
        </w:rPr>
      </w:pPr>
    </w:p>
    <w:p>
      <w:pPr>
        <w:jc w:val="both"/>
        <w:ind w:left="9" w:right="4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(a) in the case of a Term Benchmark Revolving Borrowing or SONIA Revolving Borrowing, $1,000,000, (b) in the case of an ABR Revolving Borrowing, $500,000 and (c) in the case of a Swingline Loan, $100,000.</w:t>
      </w:r>
    </w:p>
    <w:p>
      <w:pPr>
        <w:spacing w:after="0" w:line="202" w:lineRule="exact"/>
        <w:rPr>
          <w:sz w:val="20"/>
          <w:szCs w:val="20"/>
          <w:color w:val="auto"/>
        </w:rPr>
      </w:pPr>
    </w:p>
    <w:p>
      <w:pPr>
        <w:jc w:val="both"/>
        <w:ind w:left="9" w:right="4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(a) in the case of a Term Benchmark Revolving Borrowing or SONIA Revolving Borrowing, $1,000,000, (b) in the case of an ABR Revolving Borrowing, $500,000 and (c) in the case of a Swingline Loan, $100,000.</w:t>
      </w:r>
    </w:p>
    <w:p>
      <w:pPr>
        <w:spacing w:after="0" w:line="18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Borrowing in accordance with</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Section 2.03.</w:t>
      </w:r>
    </w:p>
    <w:p>
      <w:pPr>
        <w:spacing w:after="0" w:line="247" w:lineRule="exact"/>
        <w:rPr>
          <w:sz w:val="20"/>
          <w:szCs w:val="20"/>
          <w:color w:val="auto"/>
        </w:rPr>
      </w:pPr>
    </w:p>
    <w:p>
      <w:pPr>
        <w:jc w:val="both"/>
        <w:ind w:left="9" w:right="400" w:firstLine="129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(i) subject to clauses (ii), (iii), (iv) and (v)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any day that is a Business Day described in clause (i) and that is also a TARGET Day, (iii) with respect to all notices and determinations in connection with, and payments of principal and interest on or with respect to, SONIA Loans, any day that is only a SONIA Business Day,</w:t>
      </w:r>
    </w:p>
    <w:p>
      <w:pPr>
        <w:spacing w:after="0" w:line="3" w:lineRule="exact"/>
        <w:rPr>
          <w:sz w:val="20"/>
          <w:szCs w:val="20"/>
          <w:color w:val="auto"/>
        </w:rPr>
      </w:pPr>
    </w:p>
    <w:p>
      <w:pPr>
        <w:jc w:val="both"/>
        <w:ind w:left="9" w:right="400" w:hanging="9"/>
        <w:spacing w:after="0" w:line="250" w:lineRule="auto"/>
        <w:tabs>
          <w:tab w:leader="none" w:pos="323"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 and (v) if such day relates to any Term Benchmark Loan denominated in Dollars, shall also exclude any day that is not a U.S. Government Securities Business Day and</w:t>
      </w:r>
    </w:p>
    <w:p>
      <w:pPr>
        <w:spacing w:after="0" w:line="1" w:lineRule="exact"/>
        <w:rPr>
          <w:rFonts w:ascii="Times New Roman" w:cs="Times New Roman" w:eastAsia="Times New Roman" w:hAnsi="Times New Roman"/>
          <w:sz w:val="18"/>
          <w:szCs w:val="18"/>
          <w:color w:val="auto"/>
        </w:rPr>
      </w:pPr>
    </w:p>
    <w:p>
      <w:pPr>
        <w:ind w:left="9" w:righ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CAD Screen Rate</w:t>
      </w:r>
      <w:r>
        <w:rPr>
          <w:rFonts w:ascii="Times New Roman" w:cs="Times New Roman" w:eastAsia="Times New Roman" w:hAnsi="Times New Roman"/>
          <w:sz w:val="18"/>
          <w:szCs w:val="18"/>
          <w:color w:val="auto"/>
        </w:rPr>
        <w:t>” has the meaning assigned to such term in the definition of “Term CORRA”. “</w:t>
      </w:r>
      <w:r>
        <w:rPr>
          <w:rFonts w:ascii="Times New Roman" w:cs="Times New Roman" w:eastAsia="Times New Roman" w:hAnsi="Times New Roman"/>
          <w:sz w:val="18"/>
          <w:szCs w:val="18"/>
          <w:u w:val="single" w:color="auto"/>
          <w:color w:val="auto"/>
        </w:rPr>
        <w:t>Canadian Base Rate</w:t>
      </w:r>
      <w:r>
        <w:rPr>
          <w:rFonts w:ascii="Times New Roman" w:cs="Times New Roman" w:eastAsia="Times New Roman" w:hAnsi="Times New Roman"/>
          <w:sz w:val="18"/>
          <w:szCs w:val="18"/>
          <w:color w:val="auto"/>
        </w:rPr>
        <w:t>” means,</w:t>
      </w:r>
    </w:p>
    <w:p>
      <w:pPr>
        <w:spacing w:after="0" w:line="293"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for any day, a rate per annum equal to the greatest of (a) the rate</w:t>
      </w:r>
    </w:p>
    <w:p>
      <w:pPr>
        <w:spacing w:after="0" w:line="144" w:lineRule="exact"/>
        <w:rPr>
          <w:sz w:val="20"/>
          <w:szCs w:val="20"/>
          <w:color w:val="auto"/>
        </w:rPr>
      </w:pPr>
    </w:p>
    <w:p>
      <w:pPr>
        <w:jc w:val="both"/>
        <w:ind w:left="9" w:right="420"/>
        <w:spacing w:after="0" w:line="261" w:lineRule="auto"/>
        <w:rPr>
          <w:sz w:val="20"/>
          <w:szCs w:val="20"/>
          <w:color w:val="auto"/>
        </w:rPr>
      </w:pPr>
      <w:r>
        <w:rPr>
          <w:rFonts w:ascii="Times New Roman" w:cs="Times New Roman" w:eastAsia="Times New Roman" w:hAnsi="Times New Roman"/>
          <w:sz w:val="18"/>
          <w:szCs w:val="18"/>
          <w:color w:val="auto"/>
        </w:rPr>
        <w:t>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Term CORRA Rate, plus 1.00% per annum, adjusted automatically with each quoted, published or displayed change in such rate, all without necessity of any notice to the Borrower or any other Person.</w:t>
      </w:r>
    </w:p>
    <w:p>
      <w:pPr>
        <w:spacing w:after="0" w:line="220"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money of Canada.</w:t>
      </w:r>
    </w:p>
    <w:p>
      <w:pPr>
        <w:spacing w:after="0" w:line="266" w:lineRule="exact"/>
        <w:rPr>
          <w:sz w:val="20"/>
          <w:szCs w:val="20"/>
          <w:color w:val="auto"/>
        </w:rPr>
      </w:pPr>
    </w:p>
    <w:p>
      <w:pPr>
        <w:jc w:val="both"/>
        <w:ind w:left="9" w:right="38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w:t>
      </w:r>
    </w:p>
    <w:p>
      <w:pPr>
        <w:sectPr>
          <w:pgSz w:w="11900" w:h="16838" w:orient="portrait"/>
          <w:cols w:equalWidth="0" w:num="1">
            <w:col w:w="10449"/>
          </w:cols>
          <w:pgMar w:left="1011" w:top="1336" w:right="439" w:bottom="1440" w:gutter="0" w:footer="0" w:header="0"/>
        </w:sectPr>
      </w:pPr>
    </w:p>
    <w:bookmarkStart w:id="495" w:name="page496"/>
    <w:bookmarkEnd w:id="495"/>
    <w:p>
      <w:pPr>
        <w:jc w:val="both"/>
        <w:ind w:left="9"/>
        <w:spacing w:after="0" w:line="266" w:lineRule="auto"/>
        <w:rPr>
          <w:sz w:val="20"/>
          <w:szCs w:val="20"/>
          <w:color w:val="auto"/>
        </w:rPr>
      </w:pPr>
      <w:r>
        <w:rPr>
          <w:rFonts w:ascii="Times New Roman" w:cs="Times New Roman" w:eastAsia="Times New Roman" w:hAnsi="Times New Roman"/>
          <w:sz w:val="18"/>
          <w:szCs w:val="18"/>
          <w:color w:val="auto"/>
        </w:rPr>
        <w:t>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p>
    <w:p>
      <w:pPr>
        <w:spacing w:after="0" w:line="216" w:lineRule="exact"/>
        <w:rPr>
          <w:sz w:val="20"/>
          <w:szCs w:val="20"/>
          <w:color w:val="auto"/>
        </w:rPr>
      </w:pPr>
    </w:p>
    <w:p>
      <w:pPr>
        <w:jc w:val="both"/>
        <w:ind w:left="9"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all leases that have been or should be, in accordance with GAAP as in effect on the Effective Date, recorded as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w:t>
      </w:r>
    </w:p>
    <w:p>
      <w:pPr>
        <w:spacing w:after="0" w:line="216" w:lineRule="exact"/>
        <w:rPr>
          <w:sz w:val="20"/>
          <w:szCs w:val="20"/>
          <w:color w:val="auto"/>
        </w:rPr>
      </w:pPr>
    </w:p>
    <w:p>
      <w:pPr>
        <w:jc w:val="both"/>
        <w:ind w:left="9"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spacing w:after="0" w:line="220" w:lineRule="exact"/>
        <w:rPr>
          <w:sz w:val="20"/>
          <w:szCs w:val="20"/>
          <w:color w:val="auto"/>
        </w:rPr>
      </w:pPr>
    </w:p>
    <w:p>
      <w:pPr>
        <w:jc w:val="both"/>
        <w:ind w:left="9"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20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has the meaning assigned to such term in the definition of “Secured Cash Management</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Obligations.”</w:t>
      </w:r>
    </w:p>
    <w:p>
      <w:pPr>
        <w:spacing w:after="0" w:line="247" w:lineRule="exact"/>
        <w:rPr>
          <w:sz w:val="20"/>
          <w:szCs w:val="20"/>
          <w:color w:val="auto"/>
        </w:rPr>
      </w:pPr>
    </w:p>
    <w:p>
      <w:pPr>
        <w:jc w:val="both"/>
        <w:ind w:left="9"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216"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Bank Rate.</w:t>
      </w:r>
    </w:p>
    <w:p>
      <w:pPr>
        <w:spacing w:after="0" w:line="24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such Loan that is replaced by a CBR</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Loan.</w:t>
      </w:r>
    </w:p>
    <w:p>
      <w:pPr>
        <w:spacing w:after="0" w:line="234" w:lineRule="exact"/>
        <w:rPr>
          <w:sz w:val="20"/>
          <w:szCs w:val="20"/>
          <w:color w:val="auto"/>
        </w:rPr>
      </w:pPr>
    </w:p>
    <w:p>
      <w:pPr>
        <w:jc w:val="both"/>
        <w:ind w:left="9"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for any Loan denominated in Sterling, (a) the greater of (i) the Bank of England (or any successor thereto)’s “Bank Rate” as published by the Bank of England (or any successor thereto) from time to time, and (ii) the Floor; plus (b) the applicable Central Bank Rate Adjustment.</w:t>
      </w:r>
    </w:p>
    <w:p>
      <w:pPr>
        <w:spacing w:after="0" w:line="216" w:lineRule="exact"/>
        <w:rPr>
          <w:sz w:val="20"/>
          <w:szCs w:val="20"/>
          <w:color w:val="auto"/>
        </w:rPr>
      </w:pPr>
    </w:p>
    <w:p>
      <w:pPr>
        <w:jc w:val="both"/>
        <w:ind w:left="9"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 Sterling, a rate equal to the difference (which may be a positive or negative value or zero) of (a) the average of Adjusted Daily Simple SONIA for Sterling Borrowings for the five most recent SONIA Business Days preceding such day for which SONIA was available (excluding, from such averaging, the highest and the lowest such Adjusted Daily Simple SONIA applicable during such period of five SONIA Business Days) minus (b) the Central Bank Rate in respect of Sterling in effect on the last SONIA Business Day in such period.</w:t>
      </w:r>
    </w:p>
    <w:p>
      <w:pPr>
        <w:spacing w:after="0" w:line="224"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Sections 956 and 957 of</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the Code.</w:t>
      </w:r>
    </w:p>
    <w:p>
      <w:pPr>
        <w:spacing w:after="0" w:line="247" w:lineRule="exact"/>
        <w:rPr>
          <w:sz w:val="20"/>
          <w:szCs w:val="20"/>
          <w:color w:val="auto"/>
        </w:rPr>
      </w:pPr>
    </w:p>
    <w:p>
      <w:pPr>
        <w:jc w:val="both"/>
        <w:ind w:left="9" w:right="60" w:firstLine="129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failure of Holdings prior to an IPO, or, after the IPO, the IPO Entity, directly or indirectly through wholly owned subsidiaries, to own all of the Equity Interests of the Borrower,</w:t>
      </w:r>
    </w:p>
    <w:p>
      <w:pPr>
        <w:ind w:left="9" w:right="20" w:hanging="9"/>
        <w:spacing w:after="0" w:line="260" w:lineRule="auto"/>
        <w:tabs>
          <w:tab w:leader="none" w:pos="279"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 IPO, the failure by the Permitted Holders to own, directly or indirectly through one or more holding company parents of Holdings, beneficially and of record, Equity Interests in Holdings representing at least a</w:t>
      </w:r>
    </w:p>
    <w:p>
      <w:pPr>
        <w:sectPr>
          <w:pgSz w:w="11900" w:h="16838" w:orient="portrait"/>
          <w:cols w:equalWidth="0" w:num="1">
            <w:col w:w="10069"/>
          </w:cols>
          <w:pgMar w:left="1011" w:top="1336" w:right="819" w:bottom="1440" w:gutter="0" w:footer="0" w:header="0"/>
        </w:sectPr>
      </w:pPr>
    </w:p>
    <w:bookmarkStart w:id="496" w:name="page497"/>
    <w:bookmarkEnd w:id="496"/>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 xml:space="preserve">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 or appoint (and do so designate, nominate or appoint) a majority of the Board of Directors of Holdings, (c)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the IPO Entity, (d) </w:t>
      </w:r>
      <w:r>
        <w:rPr>
          <w:rFonts w:ascii="Times New Roman" w:cs="Times New Roman" w:eastAsia="Times New Roman" w:hAnsi="Times New Roman"/>
          <w:sz w:val="18"/>
          <w:szCs w:val="18"/>
          <w:color w:val="FF0000"/>
          <w:strike w:val="1"/>
        </w:rPr>
        <w:t>the occurrence of a “Change of Control” (or similar event, 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denominated) as defined in the Second Lien Indenture unless such debt is repaid or commitments terminated (as applicable) substantially simultaneously with the occurrence of such “Change of Control” under such documentation in a manner not prohibited hereunder</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or (e) the occurrence of a “Change of Control” (or similar event, however denominated), as defined in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documentation governing any Junior Financing that is Material Indebtedness, unless such Junior Financing is repaid substantially simultaneously with the occurrence of such “Change of Control” under such documentation in a manner permitted hereunder.</w:t>
      </w:r>
    </w:p>
    <w:p>
      <w:pPr>
        <w:spacing w:after="0" w:line="23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Borrower, as applicable, directly or indirectly owned by the Permitted Holders that are part of such Person or “group” shall not be treated as being owned by such Person or “group” for purposes of determining whether clause (c) of this definition is triggered.</w:t>
      </w:r>
    </w:p>
    <w:p>
      <w:pPr>
        <w:spacing w:after="0" w:line="229" w:lineRule="exact"/>
        <w:rPr>
          <w:sz w:val="20"/>
          <w:szCs w:val="20"/>
          <w:color w:val="auto"/>
        </w:rPr>
      </w:pPr>
    </w:p>
    <w:p>
      <w:pPr>
        <w:jc w:val="both"/>
        <w:ind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w:t>
      </w:r>
    </w:p>
    <w:p>
      <w:pPr>
        <w:spacing w:after="0" w:line="2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 Letter of Credit Sublimit</w:t>
      </w:r>
      <w:r>
        <w:rPr>
          <w:rFonts w:ascii="Times New Roman" w:cs="Times New Roman" w:eastAsia="Times New Roman" w:hAnsi="Times New Roman"/>
          <w:sz w:val="18"/>
          <w:szCs w:val="18"/>
          <w:color w:val="auto"/>
        </w:rPr>
        <w:t>” means an amount equal to the amount listed on Schedule</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2.01 as amended by Amendment No. 3. Letters of Credit issued pursuant to the Citibank Letter of Credit Sublimit will be issued by Citibank, N.A. in its capacity as an “Issuing Bank”.</w:t>
      </w:r>
    </w:p>
    <w:p>
      <w:pPr>
        <w:spacing w:after="0" w:line="22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Citizens Letter of Credit Sublimit</w:t>
      </w:r>
      <w:r>
        <w:rPr>
          <w:rFonts w:ascii="Times New Roman" w:cs="Times New Roman" w:eastAsia="Times New Roman" w:hAnsi="Times New Roman"/>
          <w:sz w:val="18"/>
          <w:szCs w:val="18"/>
          <w:color w:val="auto"/>
        </w:rPr>
        <w:t>” means an amount equal to the amount listed on Schedule 2.01 as amended by Amendment No. 3. Letters of Credit issued pursuant to the Citizens Letter of Credit Sublimit will be issued by Citizens Bank, N.A. in its capacity as an “Issuing Bank”.</w:t>
      </w:r>
    </w:p>
    <w:p>
      <w:pPr>
        <w:sectPr>
          <w:pgSz w:w="11900" w:h="16838" w:orient="portrait"/>
          <w:cols w:equalWidth="0" w:num="1">
            <w:col w:w="10060"/>
          </w:cols>
          <w:pgMar w:left="1020" w:top="1336" w:right="819" w:bottom="1440" w:gutter="0" w:footer="0" w:header="0"/>
        </w:sectPr>
      </w:pPr>
    </w:p>
    <w:bookmarkStart w:id="497" w:name="page498"/>
    <w:bookmarkEnd w:id="497"/>
    <w:p>
      <w:pPr>
        <w:jc w:val="both"/>
        <w:ind w:left="9" w:right="20" w:firstLine="129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when used in reference to (a) any Loan or Borrowing, refers to whether such Loan, or the Loans comprising such Borrowing, are Revolving Loans, Other Revolving Loans, Term Loans, First Lien Incremental Term Loans, Other First Lien Term Loans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Swingline Loans</w:t>
      </w:r>
      <w:r>
        <w:rPr>
          <w:rFonts w:ascii="Times New Roman" w:cs="Times New Roman" w:eastAsia="Times New Roman" w:hAnsi="Times New Roman"/>
          <w:sz w:val="18"/>
          <w:szCs w:val="18"/>
          <w:u w:val="single" w:color="auto"/>
          <w:color w:val="0000FF"/>
        </w:rPr>
        <w:t>, or 2024 Refinancing Term Loans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-75565</wp:posOffset>
            </wp:positionV>
            <wp:extent cx="1238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jc w:val="both"/>
        <w:ind w:left="9" w:right="20" w:hanging="9"/>
        <w:spacing w:after="0" w:line="252" w:lineRule="auto"/>
        <w:tabs>
          <w:tab w:leader="none" w:pos="268"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refers to whether such Commitment is a Revolving Commitment, Additional/Replacement Revolving Commitment, Other Revolving Commitment, Term Commitment or Other First Lien Term Commitment and (c) any Lender, refers to whether such Lender has a Loan or Commitment with respect to a particular Class of Loans or Commitments. Other First Lien Term Commitments, Other First Lien Term Loans, Other Revolving Commitments (and the Other Revolving Loans made pursuant thereto), Additional/Replacement Revolving Commitments and First Lien Incremental Term Loans that have different terms and conditions shall be construed to be in different Classes.</w:t>
      </w:r>
    </w:p>
    <w:p>
      <w:pPr>
        <w:spacing w:after="0" w:line="230" w:lineRule="exact"/>
        <w:rPr>
          <w:sz w:val="20"/>
          <w:szCs w:val="20"/>
          <w:color w:val="auto"/>
        </w:rPr>
      </w:pPr>
    </w:p>
    <w:p>
      <w:pPr>
        <w:ind w:left="9"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202"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66" w:lineRule="exact"/>
        <w:rPr>
          <w:sz w:val="20"/>
          <w:szCs w:val="20"/>
          <w:color w:val="auto"/>
        </w:rPr>
      </w:pPr>
    </w:p>
    <w:p>
      <w:pPr>
        <w:ind w:left="9" w:right="20" w:firstLine="13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whether real or personal, tangible or intangible, on which Liens are purported to be granted pursuant to the Security Documents as security for the Secured Obligations.</w:t>
      </w:r>
    </w:p>
    <w:p>
      <w:pPr>
        <w:spacing w:after="0" w:line="189"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266" w:lineRule="exact"/>
        <w:rPr>
          <w:sz w:val="20"/>
          <w:szCs w:val="20"/>
          <w:color w:val="auto"/>
        </w:rPr>
      </w:pPr>
    </w:p>
    <w:p>
      <w:pPr>
        <w:jc w:val="both"/>
        <w:ind w:left="649" w:right="20" w:firstLine="648"/>
        <w:spacing w:after="0" w:line="254" w:lineRule="auto"/>
        <w:tabs>
          <w:tab w:leader="none" w:pos="1902" w:val="left"/>
        </w:tabs>
        <w:numPr>
          <w:ilvl w:val="2"/>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from (i) Holdings, any Intermediate Parent,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w:t>
      </w:r>
    </w:p>
    <w:p>
      <w:pPr>
        <w:spacing w:after="0" w:line="3" w:lineRule="exact"/>
        <w:rPr>
          <w:rFonts w:ascii="Times New Roman" w:cs="Times New Roman" w:eastAsia="Times New Roman" w:hAnsi="Times New Roman"/>
          <w:sz w:val="18"/>
          <w:szCs w:val="18"/>
          <w:color w:val="auto"/>
        </w:rPr>
      </w:pPr>
    </w:p>
    <w:p>
      <w:pPr>
        <w:ind w:left="649"/>
        <w:spacing w:after="0" w:line="250" w:lineRule="auto"/>
        <w:tabs>
          <w:tab w:leader="none" w:pos="934"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and each Subsidiary Loan Party either (x) a counterpart of the First Lien Collateral Agreement duly executed and delivered on behalf of such Person or</w:t>
      </w:r>
    </w:p>
    <w:p>
      <w:pPr>
        <w:jc w:val="both"/>
        <w:ind w:left="649" w:hanging="1"/>
        <w:spacing w:after="0" w:line="253" w:lineRule="auto"/>
        <w:tabs>
          <w:tab w:leader="none" w:pos="933"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spacing w:after="0" w:line="227" w:lineRule="exact"/>
        <w:rPr>
          <w:rFonts w:ascii="Times New Roman" w:cs="Times New Roman" w:eastAsia="Times New Roman" w:hAnsi="Times New Roman"/>
          <w:sz w:val="18"/>
          <w:szCs w:val="18"/>
          <w:color w:val="auto"/>
        </w:rPr>
      </w:pPr>
    </w:p>
    <w:p>
      <w:pPr>
        <w:jc w:val="both"/>
        <w:ind w:left="649" w:firstLine="648"/>
        <w:spacing w:after="0" w:line="258" w:lineRule="auto"/>
        <w:tabs>
          <w:tab w:leader="none" w:pos="1898" w:val="left"/>
        </w:tabs>
        <w:numPr>
          <w:ilvl w:val="2"/>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Lien Administrative Agent shall have received certificates, if any, representing all such Equity Interests to the extent constituting “certificated securities”, together with undated stock powers or other instruments of transfer with respect thereto endorsed in blank;</w:t>
      </w:r>
    </w:p>
    <w:p>
      <w:pPr>
        <w:spacing w:after="0" w:line="223" w:lineRule="exact"/>
        <w:rPr>
          <w:rFonts w:ascii="Times New Roman" w:cs="Times New Roman" w:eastAsia="Times New Roman" w:hAnsi="Times New Roman"/>
          <w:sz w:val="18"/>
          <w:szCs w:val="18"/>
          <w:color w:val="auto"/>
        </w:rPr>
      </w:pPr>
    </w:p>
    <w:p>
      <w:pPr>
        <w:jc w:val="both"/>
        <w:ind w:left="649" w:right="20" w:firstLine="647"/>
        <w:spacing w:after="0" w:line="255" w:lineRule="auto"/>
        <w:tabs>
          <w:tab w:leader="none" w:pos="1902" w:val="left"/>
        </w:tabs>
        <w:numPr>
          <w:ilvl w:val="2"/>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Indebtedness for borrowed money of Holdings, any Intermediate Parent, the Borrower or any Subsidiary in a principal amount of $20,000,000 or more is owing by such obligor to any 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delivery requirement with respect to any intercompany indebtedness may be satisfied by delivery of an omnibus or global intercompany note executed by all Loan Parties as payees and all such obligors as payors;</w:t>
      </w:r>
    </w:p>
    <w:p>
      <w:pPr>
        <w:sectPr>
          <w:pgSz w:w="11900" w:h="16838" w:orient="portrait"/>
          <w:cols w:equalWidth="0" w:num="1">
            <w:col w:w="10049"/>
          </w:cols>
          <w:pgMar w:left="1011" w:top="1336" w:right="839" w:bottom="1440" w:gutter="0" w:footer="0" w:header="0"/>
        </w:sectPr>
      </w:pPr>
    </w:p>
    <w:bookmarkStart w:id="498" w:name="page499"/>
    <w:bookmarkEnd w:id="498"/>
    <w:p>
      <w:pPr>
        <w:jc w:val="both"/>
        <w:ind w:left="640" w:right="40" w:firstLine="648"/>
        <w:spacing w:after="0" w:line="254" w:lineRule="auto"/>
        <w:tabs>
          <w:tab w:leader="none" w:pos="1889"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w:t>
      </w:r>
    </w:p>
    <w:p>
      <w:pPr>
        <w:spacing w:after="0" w:line="215" w:lineRule="exact"/>
        <w:rPr>
          <w:rFonts w:ascii="Times New Roman" w:cs="Times New Roman" w:eastAsia="Times New Roman" w:hAnsi="Times New Roman"/>
          <w:sz w:val="18"/>
          <w:szCs w:val="18"/>
          <w:color w:val="auto"/>
        </w:rPr>
      </w:pPr>
    </w:p>
    <w:p>
      <w:pPr>
        <w:jc w:val="both"/>
        <w:ind w:left="640" w:right="20" w:firstLine="647"/>
        <w:spacing w:after="0" w:line="251" w:lineRule="auto"/>
        <w:tabs>
          <w:tab w:leader="none" w:pos="1893"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 (i) 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2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Agreement or any other First Lien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w:t>
      </w:r>
    </w:p>
    <w:p>
      <w:pPr>
        <w:sectPr>
          <w:pgSz w:w="11900" w:h="16838" w:orient="portrait"/>
          <w:cols w:equalWidth="0" w:num="1">
            <w:col w:w="10060"/>
          </w:cols>
          <w:pgMar w:left="1020" w:top="1417" w:right="819" w:bottom="1440" w:gutter="0" w:footer="0" w:header="0"/>
        </w:sectPr>
      </w:pPr>
    </w:p>
    <w:bookmarkStart w:id="499" w:name="page500"/>
    <w:bookmarkEnd w:id="499"/>
    <w:p>
      <w:pPr>
        <w:jc w:val="both"/>
        <w:ind w:left="9"/>
        <w:spacing w:after="0" w:line="252" w:lineRule="auto"/>
        <w:rPr>
          <w:sz w:val="20"/>
          <w:szCs w:val="20"/>
          <w:color w:val="auto"/>
        </w:rPr>
      </w:pPr>
      <w:r>
        <w:rPr>
          <w:rFonts w:ascii="Times New Roman" w:cs="Times New Roman" w:eastAsia="Times New Roman" w:hAnsi="Times New Roman"/>
          <w:sz w:val="18"/>
          <w:szCs w:val="18"/>
          <w:color w:val="auto"/>
        </w:rPr>
        <w:t>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w:t>
      </w:r>
    </w:p>
    <w:p>
      <w:pPr>
        <w:spacing w:after="0" w:line="1" w:lineRule="exact"/>
        <w:rPr>
          <w:sz w:val="20"/>
          <w:szCs w:val="20"/>
          <w:color w:val="auto"/>
        </w:rPr>
      </w:pPr>
    </w:p>
    <w:p>
      <w:pPr>
        <w:jc w:val="both"/>
        <w:ind w:left="9" w:hanging="9"/>
        <w:spacing w:after="0" w:line="251" w:lineRule="auto"/>
        <w:tabs>
          <w:tab w:leader="none" w:pos="267"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Loan Party 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Loan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 First Lien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spacing w:after="0" w:line="246" w:lineRule="exact"/>
        <w:rPr>
          <w:sz w:val="20"/>
          <w:szCs w:val="20"/>
          <w:color w:val="auto"/>
        </w:rPr>
      </w:pPr>
    </w:p>
    <w:p>
      <w:pPr>
        <w:jc w:val="both"/>
        <w:ind w:left="9"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with respect to any Lender, its Revolving Commitment, Other Revolving Commitment of any Class, Term Commitment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(including the 2024 Refinancing Term Commitment),</w:t>
      </w:r>
      <w:r>
        <w:rPr>
          <w:rFonts w:ascii="Times New Roman" w:cs="Times New Roman" w:eastAsia="Times New Roman" w:hAnsi="Times New Roman"/>
          <w:sz w:val="18"/>
          <w:szCs w:val="18"/>
          <w:color w:val="auto"/>
        </w:rPr>
        <w:t xml:space="preserve"> Other First Lien Term Commitment of any Class or any combination thereof (as the context requires) and (b) with respect to any Swingline Lender, its Swingline Commitment.</w:t>
      </w:r>
    </w:p>
    <w:p>
      <w:pPr>
        <w:spacing w:after="0" w:line="203" w:lineRule="exact"/>
        <w:rPr>
          <w:sz w:val="20"/>
          <w:szCs w:val="20"/>
          <w:color w:val="auto"/>
        </w:rPr>
      </w:pPr>
    </w:p>
    <w:p>
      <w:pPr>
        <w:jc w:val="both"/>
        <w:ind w:left="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Percentage</w:t>
      </w:r>
      <w:r>
        <w:rPr>
          <w:rFonts w:ascii="Times New Roman" w:cs="Times New Roman" w:eastAsia="Times New Roman" w:hAnsi="Times New Roman"/>
          <w:sz w:val="18"/>
          <w:szCs w:val="18"/>
          <w:color w:val="auto"/>
        </w:rPr>
        <w:t xml:space="preserve">” means, for any day, the applicable percentage set forth below under the caption “Commitment Fee Percentage” based upon the Senior Secured First Lien Net Leverage Ratio as of the end of the fiscal quarter of the Borrower for which consolidated financial statements have theretofore been most recently delivered pursuant to Section 5.01(a) or 5.01(b);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date of the delivery of the consolidated financial statements pursuant to Section 5.01(b) as of and for the fiscal year ended December 31, 2019, the Commitment Fee Percentage shall be based on the rates per annum set forth in Category 1:</w:t>
      </w:r>
    </w:p>
    <w:p>
      <w:pPr>
        <w:spacing w:after="0" w:line="249" w:lineRule="exact"/>
        <w:rPr>
          <w:sz w:val="20"/>
          <w:szCs w:val="20"/>
          <w:color w:val="auto"/>
        </w:rPr>
      </w:pPr>
    </w:p>
    <w:tbl>
      <w:tblPr>
        <w:tblLayout w:type="fixed"/>
        <w:tblInd w:w="1399" w:type="dxa"/>
        <w:tblCellMar>
          <w:top w:w="0" w:type="dxa"/>
          <w:left w:w="0" w:type="dxa"/>
          <w:bottom w:w="0" w:type="dxa"/>
          <w:right w:w="0" w:type="dxa"/>
        </w:tblCellMar>
      </w:tblPr>
      <w:tr>
        <w:trPr>
          <w:trHeight w:val="252"/>
        </w:trPr>
        <w:tc>
          <w:tcPr>
            <w:tcW w:w="140" w:type="dxa"/>
            <w:vAlign w:val="bottom"/>
            <w:tcBorders>
              <w:top w:val="single" w:sz="8" w:color="auto"/>
              <w:left w:val="single" w:sz="8" w:color="auto"/>
            </w:tcBorders>
            <w:shd w:val="clear" w:color="auto" w:fill="E0E0E0"/>
          </w:tcPr>
          <w:p>
            <w:pPr>
              <w:spacing w:after="0"/>
              <w:rPr>
                <w:sz w:val="21"/>
                <w:szCs w:val="21"/>
                <w:color w:val="auto"/>
              </w:rPr>
            </w:pPr>
          </w:p>
        </w:tc>
        <w:tc>
          <w:tcPr>
            <w:tcW w:w="2880" w:type="dxa"/>
            <w:vAlign w:val="bottom"/>
            <w:tcBorders>
              <w:top w:val="single" w:sz="8" w:color="auto"/>
              <w:right w:val="single" w:sz="8" w:color="010101"/>
            </w:tcBorders>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Senior  Secured  First  Lien  Net</w:t>
            </w:r>
          </w:p>
        </w:tc>
        <w:tc>
          <w:tcPr>
            <w:tcW w:w="1920" w:type="dxa"/>
            <w:vAlign w:val="bottom"/>
            <w:tcBorders>
              <w:top w:val="single" w:sz="8" w:color="auto"/>
              <w:right w:val="single" w:sz="8" w:color="auto"/>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Commitment  Fee</w:t>
            </w:r>
          </w:p>
        </w:tc>
      </w:tr>
      <w:tr>
        <w:trPr>
          <w:trHeight w:val="273"/>
        </w:trPr>
        <w:tc>
          <w:tcPr>
            <w:tcW w:w="140" w:type="dxa"/>
            <w:vAlign w:val="bottom"/>
            <w:tcBorders>
              <w:left w:val="single" w:sz="8" w:color="auto"/>
              <w:bottom w:val="single" w:sz="8" w:color="E0E0E0"/>
            </w:tcBorders>
            <w:shd w:val="clear" w:color="auto" w:fill="E0E0E0"/>
          </w:tcPr>
          <w:p>
            <w:pPr>
              <w:spacing w:after="0"/>
              <w:rPr>
                <w:sz w:val="23"/>
                <w:szCs w:val="23"/>
                <w:color w:val="auto"/>
              </w:rPr>
            </w:pPr>
          </w:p>
        </w:tc>
        <w:tc>
          <w:tcPr>
            <w:tcW w:w="2880" w:type="dxa"/>
            <w:vAlign w:val="bottom"/>
            <w:tcBorders>
              <w:bottom w:val="single" w:sz="8" w:color="E0E0E0"/>
              <w:right w:val="single" w:sz="8" w:color="010101"/>
            </w:tcBorders>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1920" w:type="dxa"/>
            <w:vAlign w:val="bottom"/>
            <w:tcBorders>
              <w:bottom w:val="single" w:sz="8" w:color="E0E0E0"/>
              <w:right w:val="single" w:sz="8" w:color="auto"/>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Percentage</w:t>
            </w:r>
          </w:p>
        </w:tc>
      </w:tr>
      <w:tr>
        <w:trPr>
          <w:trHeight w:val="203"/>
        </w:trPr>
        <w:tc>
          <w:tcPr>
            <w:tcW w:w="140" w:type="dxa"/>
            <w:vAlign w:val="bottom"/>
            <w:tcBorders>
              <w:top w:val="single" w:sz="8" w:color="010101"/>
              <w:left w:val="single" w:sz="8" w:color="auto"/>
            </w:tcBorders>
          </w:tcPr>
          <w:p>
            <w:pPr>
              <w:spacing w:after="0"/>
              <w:rPr>
                <w:sz w:val="17"/>
                <w:szCs w:val="17"/>
                <w:color w:val="auto"/>
              </w:rPr>
            </w:pPr>
          </w:p>
        </w:tc>
        <w:tc>
          <w:tcPr>
            <w:tcW w:w="2880" w:type="dxa"/>
            <w:vAlign w:val="bottom"/>
            <w:tcBorders>
              <w:top w:val="single" w:sz="8" w:color="010101"/>
              <w:right w:val="single" w:sz="8" w:color="010101"/>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Category 1</w:t>
            </w:r>
          </w:p>
        </w:tc>
        <w:tc>
          <w:tcPr>
            <w:tcW w:w="1920" w:type="dxa"/>
            <w:vAlign w:val="bottom"/>
            <w:tcBorders>
              <w:top w:val="single" w:sz="8" w:color="010101"/>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0.500%</w:t>
            </w: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80" w:type="dxa"/>
            <w:vAlign w:val="bottom"/>
            <w:tcBorders>
              <w:right w:val="single" w:sz="8" w:color="010101"/>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r>
      <w:tr>
        <w:trPr>
          <w:trHeight w:val="228"/>
        </w:trPr>
        <w:tc>
          <w:tcPr>
            <w:tcW w:w="140" w:type="dxa"/>
            <w:vAlign w:val="bottom"/>
            <w:tcBorders>
              <w:left w:val="single" w:sz="8" w:color="auto"/>
            </w:tcBorders>
          </w:tcPr>
          <w:p>
            <w:pPr>
              <w:spacing w:after="0"/>
              <w:rPr>
                <w:sz w:val="19"/>
                <w:szCs w:val="19"/>
                <w:color w:val="auto"/>
              </w:rPr>
            </w:pPr>
          </w:p>
        </w:tc>
        <w:tc>
          <w:tcPr>
            <w:tcW w:w="2880" w:type="dxa"/>
            <w:vAlign w:val="bottom"/>
            <w:tcBorders>
              <w:right w:val="single" w:sz="8" w:color="010101"/>
            </w:tcBorders>
            <w:gridSpan w:val="2"/>
          </w:tcPr>
          <w:p>
            <w:pPr>
              <w:spacing w:after="0"/>
              <w:rPr>
                <w:sz w:val="20"/>
                <w:szCs w:val="20"/>
                <w:color w:val="auto"/>
              </w:rPr>
            </w:pPr>
            <w:r>
              <w:rPr>
                <w:rFonts w:ascii="Times New Roman" w:cs="Times New Roman" w:eastAsia="Times New Roman" w:hAnsi="Times New Roman"/>
                <w:sz w:val="18"/>
                <w:szCs w:val="18"/>
                <w:color w:val="auto"/>
              </w:rPr>
              <w:t>Greater than 5.00 to 1.00</w:t>
            </w:r>
          </w:p>
        </w:tc>
        <w:tc>
          <w:tcPr>
            <w:tcW w:w="1920" w:type="dxa"/>
            <w:vAlign w:val="bottom"/>
            <w:tcBorders>
              <w:right w:val="single" w:sz="8" w:color="auto"/>
            </w:tcBorders>
          </w:tcPr>
          <w:p>
            <w:pPr>
              <w:spacing w:after="0"/>
              <w:rPr>
                <w:sz w:val="19"/>
                <w:szCs w:val="19"/>
                <w:color w:val="auto"/>
              </w:rPr>
            </w:pPr>
          </w:p>
        </w:tc>
      </w:tr>
      <w:tr>
        <w:trPr>
          <w:trHeight w:val="22"/>
        </w:trPr>
        <w:tc>
          <w:tcPr>
            <w:tcW w:w="140" w:type="dxa"/>
            <w:vAlign w:val="bottom"/>
            <w:tcBorders>
              <w:left w:val="single" w:sz="8" w:color="auto"/>
              <w:bottom w:val="single" w:sz="8" w:color="010101"/>
            </w:tcBorders>
          </w:tcPr>
          <w:p>
            <w:pPr>
              <w:spacing w:after="0" w:line="20" w:lineRule="exact"/>
              <w:rPr>
                <w:sz w:val="1"/>
                <w:szCs w:val="1"/>
                <w:color w:val="auto"/>
              </w:rPr>
            </w:pPr>
          </w:p>
        </w:tc>
        <w:tc>
          <w:tcPr>
            <w:tcW w:w="800" w:type="dxa"/>
            <w:vAlign w:val="bottom"/>
            <w:tcBorders>
              <w:bottom w:val="single" w:sz="8" w:color="010101"/>
            </w:tcBorders>
          </w:tcPr>
          <w:p>
            <w:pPr>
              <w:spacing w:after="0" w:line="20" w:lineRule="exact"/>
              <w:rPr>
                <w:sz w:val="1"/>
                <w:szCs w:val="1"/>
                <w:color w:val="auto"/>
              </w:rPr>
            </w:pPr>
          </w:p>
        </w:tc>
        <w:tc>
          <w:tcPr>
            <w:tcW w:w="2080" w:type="dxa"/>
            <w:vAlign w:val="bottom"/>
            <w:tcBorders>
              <w:bottom w:val="single" w:sz="8" w:color="010101"/>
              <w:right w:val="single" w:sz="8" w:color="010101"/>
            </w:tcBorders>
          </w:tcPr>
          <w:p>
            <w:pPr>
              <w:spacing w:after="0" w:line="20" w:lineRule="exact"/>
              <w:rPr>
                <w:sz w:val="1"/>
                <w:szCs w:val="1"/>
                <w:color w:val="auto"/>
              </w:rPr>
            </w:pPr>
          </w:p>
        </w:tc>
        <w:tc>
          <w:tcPr>
            <w:tcW w:w="1920" w:type="dxa"/>
            <w:vAlign w:val="bottom"/>
            <w:tcBorders>
              <w:bottom w:val="single" w:sz="8" w:color="010101"/>
              <w:right w:val="single" w:sz="8" w:color="auto"/>
            </w:tcBorders>
          </w:tcPr>
          <w:p>
            <w:pPr>
              <w:spacing w:after="0" w:line="20" w:lineRule="exact"/>
              <w:rPr>
                <w:sz w:val="1"/>
                <w:szCs w:val="1"/>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2880" w:type="dxa"/>
            <w:vAlign w:val="bottom"/>
            <w:tcBorders>
              <w:right w:val="single" w:sz="8" w:color="010101"/>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Category 2</w:t>
            </w:r>
          </w:p>
        </w:tc>
        <w:tc>
          <w:tcPr>
            <w:tcW w:w="1920" w:type="dxa"/>
            <w:vAlign w:val="bottom"/>
            <w:tcBorders>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0.375%</w:t>
            </w: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80" w:type="dxa"/>
            <w:vAlign w:val="bottom"/>
            <w:tcBorders>
              <w:right w:val="single" w:sz="8" w:color="010101"/>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r>
      <w:tr>
        <w:trPr>
          <w:trHeight w:val="218"/>
        </w:trPr>
        <w:tc>
          <w:tcPr>
            <w:tcW w:w="140" w:type="dxa"/>
            <w:vAlign w:val="bottom"/>
            <w:tcBorders>
              <w:left w:val="single" w:sz="8" w:color="auto"/>
            </w:tcBorders>
          </w:tcPr>
          <w:p>
            <w:pPr>
              <w:spacing w:after="0"/>
              <w:rPr>
                <w:sz w:val="18"/>
                <w:szCs w:val="18"/>
                <w:color w:val="auto"/>
              </w:rPr>
            </w:pPr>
          </w:p>
        </w:tc>
        <w:tc>
          <w:tcPr>
            <w:tcW w:w="2880" w:type="dxa"/>
            <w:vAlign w:val="bottom"/>
            <w:tcBorders>
              <w:right w:val="single" w:sz="8" w:color="010101"/>
            </w:tcBorders>
            <w:gridSpan w:val="2"/>
          </w:tcPr>
          <w:p>
            <w:pPr>
              <w:spacing w:after="0"/>
              <w:rPr>
                <w:sz w:val="20"/>
                <w:szCs w:val="20"/>
                <w:color w:val="auto"/>
              </w:rPr>
            </w:pPr>
            <w:r>
              <w:rPr>
                <w:rFonts w:ascii="Times New Roman" w:cs="Times New Roman" w:eastAsia="Times New Roman" w:hAnsi="Times New Roman"/>
                <w:sz w:val="18"/>
                <w:szCs w:val="18"/>
                <w:color w:val="auto"/>
              </w:rPr>
              <w:t>Greater than 4.50 to 1.00, but less than</w:t>
            </w:r>
          </w:p>
        </w:tc>
        <w:tc>
          <w:tcPr>
            <w:tcW w:w="1920" w:type="dxa"/>
            <w:vAlign w:val="bottom"/>
            <w:tcBorders>
              <w:right w:val="single" w:sz="8" w:color="auto"/>
            </w:tcBorders>
          </w:tcPr>
          <w:p>
            <w:pPr>
              <w:spacing w:after="0"/>
              <w:rPr>
                <w:sz w:val="18"/>
                <w:szCs w:val="18"/>
                <w:color w:val="auto"/>
              </w:rPr>
            </w:pPr>
          </w:p>
        </w:tc>
      </w:tr>
      <w:tr>
        <w:trPr>
          <w:trHeight w:val="234"/>
        </w:trPr>
        <w:tc>
          <w:tcPr>
            <w:tcW w:w="140" w:type="dxa"/>
            <w:vAlign w:val="bottom"/>
            <w:tcBorders>
              <w:left w:val="single" w:sz="8" w:color="auto"/>
            </w:tcBorders>
          </w:tcPr>
          <w:p>
            <w:pPr>
              <w:spacing w:after="0"/>
              <w:rPr>
                <w:sz w:val="20"/>
                <w:szCs w:val="20"/>
                <w:color w:val="auto"/>
              </w:rPr>
            </w:pPr>
          </w:p>
        </w:tc>
        <w:tc>
          <w:tcPr>
            <w:tcW w:w="2880" w:type="dxa"/>
            <w:vAlign w:val="bottom"/>
            <w:tcBorders>
              <w:right w:val="single" w:sz="8" w:color="010101"/>
            </w:tcBorders>
            <w:gridSpan w:val="2"/>
          </w:tcPr>
          <w:p>
            <w:pPr>
              <w:spacing w:after="0"/>
              <w:rPr>
                <w:sz w:val="20"/>
                <w:szCs w:val="20"/>
                <w:color w:val="auto"/>
              </w:rPr>
            </w:pPr>
            <w:r>
              <w:rPr>
                <w:rFonts w:ascii="Times New Roman" w:cs="Times New Roman" w:eastAsia="Times New Roman" w:hAnsi="Times New Roman"/>
                <w:sz w:val="18"/>
                <w:szCs w:val="18"/>
                <w:color w:val="auto"/>
              </w:rPr>
              <w:t>or equal to 5.00 to 1.00</w:t>
            </w:r>
          </w:p>
        </w:tc>
        <w:tc>
          <w:tcPr>
            <w:tcW w:w="1920" w:type="dxa"/>
            <w:vAlign w:val="bottom"/>
            <w:tcBorders>
              <w:right w:val="single" w:sz="8" w:color="auto"/>
            </w:tcBorders>
          </w:tcPr>
          <w:p>
            <w:pPr>
              <w:spacing w:after="0"/>
              <w:rPr>
                <w:sz w:val="20"/>
                <w:szCs w:val="20"/>
                <w:color w:val="auto"/>
              </w:rPr>
            </w:pPr>
          </w:p>
        </w:tc>
      </w:tr>
      <w:tr>
        <w:trPr>
          <w:trHeight w:val="27"/>
        </w:trPr>
        <w:tc>
          <w:tcPr>
            <w:tcW w:w="140" w:type="dxa"/>
            <w:vAlign w:val="bottom"/>
            <w:tcBorders>
              <w:left w:val="single" w:sz="8" w:color="auto"/>
              <w:bottom w:val="single" w:sz="8" w:color="010101"/>
            </w:tcBorders>
          </w:tcPr>
          <w:p>
            <w:pPr>
              <w:spacing w:after="0"/>
              <w:rPr>
                <w:sz w:val="2"/>
                <w:szCs w:val="2"/>
                <w:color w:val="auto"/>
              </w:rPr>
            </w:pPr>
          </w:p>
        </w:tc>
        <w:tc>
          <w:tcPr>
            <w:tcW w:w="800" w:type="dxa"/>
            <w:vAlign w:val="bottom"/>
            <w:tcBorders>
              <w:bottom w:val="single" w:sz="8" w:color="010101"/>
            </w:tcBorders>
          </w:tcPr>
          <w:p>
            <w:pPr>
              <w:spacing w:after="0"/>
              <w:rPr>
                <w:sz w:val="2"/>
                <w:szCs w:val="2"/>
                <w:color w:val="auto"/>
              </w:rPr>
            </w:pPr>
          </w:p>
        </w:tc>
        <w:tc>
          <w:tcPr>
            <w:tcW w:w="2080" w:type="dxa"/>
            <w:vAlign w:val="bottom"/>
            <w:tcBorders>
              <w:bottom w:val="single" w:sz="8" w:color="010101"/>
              <w:right w:val="single" w:sz="8" w:color="010101"/>
            </w:tcBorders>
          </w:tcPr>
          <w:p>
            <w:pPr>
              <w:spacing w:after="0"/>
              <w:rPr>
                <w:sz w:val="2"/>
                <w:szCs w:val="2"/>
                <w:color w:val="auto"/>
              </w:rPr>
            </w:pPr>
          </w:p>
        </w:tc>
        <w:tc>
          <w:tcPr>
            <w:tcW w:w="1920" w:type="dxa"/>
            <w:vAlign w:val="bottom"/>
            <w:tcBorders>
              <w:bottom w:val="single" w:sz="8" w:color="010101"/>
              <w:right w:val="single" w:sz="8" w:color="auto"/>
            </w:tcBorders>
          </w:tcPr>
          <w:p>
            <w:pPr>
              <w:spacing w:after="0"/>
              <w:rPr>
                <w:sz w:val="2"/>
                <w:szCs w:val="2"/>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2880" w:type="dxa"/>
            <w:vAlign w:val="bottom"/>
            <w:tcBorders>
              <w:right w:val="single" w:sz="8" w:color="010101"/>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Category 3</w:t>
            </w:r>
          </w:p>
        </w:tc>
        <w:tc>
          <w:tcPr>
            <w:tcW w:w="1920" w:type="dxa"/>
            <w:vAlign w:val="bottom"/>
            <w:tcBorders>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0.250%</w:t>
            </w: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80" w:type="dxa"/>
            <w:vAlign w:val="bottom"/>
            <w:tcBorders>
              <w:right w:val="single" w:sz="8" w:color="010101"/>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r>
      <w:tr>
        <w:trPr>
          <w:trHeight w:val="264"/>
        </w:trPr>
        <w:tc>
          <w:tcPr>
            <w:tcW w:w="140" w:type="dxa"/>
            <w:vAlign w:val="bottom"/>
            <w:tcBorders>
              <w:left w:val="single" w:sz="8" w:color="auto"/>
            </w:tcBorders>
          </w:tcPr>
          <w:p>
            <w:pPr>
              <w:spacing w:after="0"/>
              <w:rPr>
                <w:sz w:val="22"/>
                <w:szCs w:val="22"/>
                <w:color w:val="auto"/>
              </w:rPr>
            </w:pPr>
          </w:p>
        </w:tc>
        <w:tc>
          <w:tcPr>
            <w:tcW w:w="2880" w:type="dxa"/>
            <w:vAlign w:val="bottom"/>
            <w:tcBorders>
              <w:right w:val="single" w:sz="8" w:color="010101"/>
            </w:tcBorders>
            <w:gridSpan w:val="2"/>
          </w:tcPr>
          <w:p>
            <w:pPr>
              <w:spacing w:after="0"/>
              <w:rPr>
                <w:sz w:val="20"/>
                <w:szCs w:val="20"/>
                <w:color w:val="auto"/>
              </w:rPr>
            </w:pPr>
            <w:r>
              <w:rPr>
                <w:rFonts w:ascii="Times New Roman" w:cs="Times New Roman" w:eastAsia="Times New Roman" w:hAnsi="Times New Roman"/>
                <w:sz w:val="18"/>
                <w:szCs w:val="18"/>
                <w:color w:val="auto"/>
              </w:rPr>
              <w:t>Less than or equal to 4.50 to 1.00</w:t>
            </w:r>
          </w:p>
        </w:tc>
        <w:tc>
          <w:tcPr>
            <w:tcW w:w="1920" w:type="dxa"/>
            <w:vAlign w:val="bottom"/>
            <w:tcBorders>
              <w:right w:val="single" w:sz="8" w:color="auto"/>
            </w:tcBorders>
          </w:tcPr>
          <w:p>
            <w:pPr>
              <w:spacing w:after="0"/>
              <w:rPr>
                <w:sz w:val="22"/>
                <w:szCs w:val="22"/>
                <w:color w:val="auto"/>
              </w:rPr>
            </w:pPr>
          </w:p>
        </w:tc>
      </w:tr>
      <w:tr>
        <w:trPr>
          <w:trHeight w:val="27"/>
        </w:trPr>
        <w:tc>
          <w:tcPr>
            <w:tcW w:w="14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80" w:type="dxa"/>
            <w:vAlign w:val="bottom"/>
            <w:tcBorders>
              <w:right w:val="single" w:sz="8" w:color="auto"/>
            </w:tcBorders>
            <w:shd w:val="clear" w:color="auto" w:fill="000000"/>
          </w:tcPr>
          <w:p>
            <w:pPr>
              <w:spacing w:after="0"/>
              <w:rPr>
                <w:sz w:val="2"/>
                <w:szCs w:val="2"/>
                <w:color w:val="auto"/>
              </w:rPr>
            </w:pPr>
          </w:p>
        </w:tc>
        <w:tc>
          <w:tcPr>
            <w:tcW w:w="1920" w:type="dxa"/>
            <w:vAlign w:val="bottom"/>
            <w:tcBorders>
              <w:right w:val="single" w:sz="8" w:color="auto"/>
            </w:tcBorders>
            <w:shd w:val="clear" w:color="auto" w:fill="000000"/>
          </w:tcPr>
          <w:p>
            <w:pPr>
              <w:spacing w:after="0"/>
              <w:rPr>
                <w:sz w:val="2"/>
                <w:szCs w:val="2"/>
                <w:color w:val="auto"/>
              </w:rPr>
            </w:pPr>
          </w:p>
        </w:tc>
      </w:tr>
    </w:tbl>
    <w:p>
      <w:pPr>
        <w:sectPr>
          <w:pgSz w:w="11900" w:h="16838" w:orient="portrait"/>
          <w:cols w:equalWidth="0" w:num="1">
            <w:col w:w="10069"/>
          </w:cols>
          <w:pgMar w:left="1011" w:top="1336" w:right="819" w:bottom="1440" w:gutter="0" w:footer="0" w:header="0"/>
        </w:sectPr>
      </w:pPr>
    </w:p>
    <w:bookmarkStart w:id="500" w:name="page501"/>
    <w:bookmarkEnd w:id="500"/>
    <w:p>
      <w:pPr>
        <w:jc w:val="both"/>
        <w:ind w:right="280" w:firstLine="1296"/>
        <w:spacing w:after="0" w:line="253" w:lineRule="auto"/>
        <w:rPr>
          <w:sz w:val="20"/>
          <w:szCs w:val="20"/>
          <w:color w:val="auto"/>
        </w:rPr>
      </w:pPr>
      <w:r>
        <w:rPr>
          <w:rFonts w:ascii="Times New Roman" w:cs="Times New Roman" w:eastAsia="Times New Roman" w:hAnsi="Times New Roman"/>
          <w:sz w:val="18"/>
          <w:szCs w:val="18"/>
          <w:color w:val="auto"/>
        </w:rPr>
        <w:t>For purposes of the foregoing, each change in the Commitment Fee Percentage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Commitment Fee Percentage,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230" w:lineRule="exact"/>
        <w:rPr>
          <w:sz w:val="20"/>
          <w:szCs w:val="20"/>
          <w:color w:val="auto"/>
        </w:rPr>
      </w:pPr>
    </w:p>
    <w:p>
      <w:pPr>
        <w:ind w:firstLine="136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the certificate required to be delivered pursuant to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5.01(d).</w:t>
      </w:r>
    </w:p>
    <w:p>
      <w:pPr>
        <w:spacing w:after="0" w:line="247" w:lineRule="exact"/>
        <w:rPr>
          <w:sz w:val="20"/>
          <w:szCs w:val="20"/>
          <w:color w:val="auto"/>
        </w:rPr>
      </w:pPr>
    </w:p>
    <w:p>
      <w:pPr>
        <w:jc w:val="both"/>
        <w:ind w:right="3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Issuing Bank</w:t>
      </w:r>
      <w:r>
        <w:rPr>
          <w:rFonts w:ascii="Times New Roman" w:cs="Times New Roman" w:eastAsia="Times New Roman" w:hAnsi="Times New Roman"/>
          <w:sz w:val="18"/>
          <w:szCs w:val="18"/>
          <w:color w:val="auto"/>
        </w:rPr>
        <w:t>” means each Issuing Bank that has consented and agreed to the Transactions set forth in the Revolving Facilities Amendment by delivering an executed counterpart thereof to the First Lien Administrative Agent on or prior to March 26, 2021.</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640" w:right="300" w:firstLine="648"/>
        <w:spacing w:after="0" w:line="282" w:lineRule="auto"/>
        <w:tabs>
          <w:tab w:leader="none" w:pos="1893"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already deducted (and not added back) in arriving at such Consolidated Net Income, the sum of the following amounts for such period:</w:t>
      </w:r>
    </w:p>
    <w:p>
      <w:pPr>
        <w:spacing w:after="0" w:line="202" w:lineRule="exact"/>
        <w:rPr>
          <w:rFonts w:ascii="Times New Roman" w:cs="Times New Roman" w:eastAsia="Times New Roman" w:hAnsi="Times New Roman"/>
          <w:sz w:val="18"/>
          <w:szCs w:val="18"/>
          <w:color w:val="auto"/>
        </w:rPr>
      </w:pPr>
    </w:p>
    <w:p>
      <w:pPr>
        <w:jc w:val="both"/>
        <w:ind w:left="1280" w:right="280" w:firstLine="655"/>
        <w:spacing w:after="0" w:line="254" w:lineRule="auto"/>
        <w:tabs>
          <w:tab w:leader="none" w:pos="253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with respect to such period under Capitalized Leases that is treated as interest expense in accordance with GAAP </w:t>
      </w:r>
      <w:r>
        <w:rPr>
          <w:rFonts w:ascii="Times New Roman" w:cs="Times New Roman" w:eastAsia="Times New Roman" w:hAnsi="Times New Roman"/>
          <w:sz w:val="18"/>
          <w:szCs w:val="18"/>
          <w:u w:val="single" w:color="auto"/>
          <w:color w:val="auto"/>
        </w:rPr>
        <w:t>plus</w:t>
      </w:r>
    </w:p>
    <w:p>
      <w:pPr>
        <w:spacing w:after="0" w:line="3" w:lineRule="exact"/>
        <w:rPr>
          <w:rFonts w:ascii="Times New Roman" w:cs="Times New Roman" w:eastAsia="Times New Roman" w:hAnsi="Times New Roman"/>
          <w:sz w:val="18"/>
          <w:szCs w:val="18"/>
          <w:color w:val="auto"/>
        </w:rPr>
      </w:pPr>
    </w:p>
    <w:p>
      <w:pPr>
        <w:jc w:val="both"/>
        <w:ind w:left="1280" w:righ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the implied interest component of synthetic leases with respect to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bank and letter of credit fees and costs of surety bonds in connection with financing activities,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any commissions, discounts, yield and other fees and charges (including any interest expense) related to any Qualified Securitization Facility;</w:t>
      </w:r>
    </w:p>
    <w:p>
      <w:pPr>
        <w:spacing w:after="0" w:line="227" w:lineRule="exact"/>
        <w:rPr>
          <w:rFonts w:ascii="Times New Roman" w:cs="Times New Roman" w:eastAsia="Times New Roman" w:hAnsi="Times New Roman"/>
          <w:sz w:val="18"/>
          <w:szCs w:val="18"/>
          <w:color w:val="auto"/>
        </w:rPr>
      </w:pPr>
    </w:p>
    <w:p>
      <w:pPr>
        <w:jc w:val="both"/>
        <w:ind w:left="1280" w:right="280" w:firstLine="655"/>
        <w:spacing w:after="0" w:line="258" w:lineRule="auto"/>
        <w:tabs>
          <w:tab w:leader="none" w:pos="2539"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223" w:lineRule="exact"/>
        <w:rPr>
          <w:rFonts w:ascii="Times New Roman" w:cs="Times New Roman" w:eastAsia="Times New Roman" w:hAnsi="Times New Roman"/>
          <w:sz w:val="18"/>
          <w:szCs w:val="18"/>
          <w:color w:val="auto"/>
        </w:rPr>
      </w:pPr>
    </w:p>
    <w:p>
      <w:pPr>
        <w:ind w:left="2580" w:hanging="645"/>
        <w:spacing w:after="0"/>
        <w:tabs>
          <w:tab w:leader="none" w:pos="25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w:t>
      </w:r>
    </w:p>
    <w:p>
      <w:pPr>
        <w:spacing w:after="0" w:line="252" w:lineRule="exact"/>
        <w:rPr>
          <w:rFonts w:ascii="Times New Roman" w:cs="Times New Roman" w:eastAsia="Times New Roman" w:hAnsi="Times New Roman"/>
          <w:sz w:val="18"/>
          <w:szCs w:val="18"/>
          <w:color w:val="auto"/>
        </w:rPr>
      </w:pPr>
    </w:p>
    <w:p>
      <w:pPr>
        <w:ind w:left="1280" w:right="260" w:firstLine="655"/>
        <w:spacing w:after="0" w:line="282" w:lineRule="auto"/>
        <w:tabs>
          <w:tab w:leader="none" w:pos="2539"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incurred on or prior to the Effective Date attributable to (A) salary obligations paid to employees terminated prior to the Effective Date and (B) wages paid to</w:t>
      </w:r>
    </w:p>
    <w:p>
      <w:pPr>
        <w:sectPr>
          <w:pgSz w:w="11900" w:h="16838" w:orient="portrait"/>
          <w:cols w:equalWidth="0" w:num="1">
            <w:col w:w="10320"/>
          </w:cols>
          <w:pgMar w:left="1020" w:top="1336" w:right="559" w:bottom="1440" w:gutter="0" w:footer="0" w:header="0"/>
        </w:sectPr>
      </w:pPr>
    </w:p>
    <w:bookmarkStart w:id="501" w:name="page502"/>
    <w:bookmarkEnd w:id="501"/>
    <w:p>
      <w:pPr>
        <w:ind w:left="860" w:right="20"/>
        <w:spacing w:after="0" w:line="282" w:lineRule="auto"/>
        <w:rPr>
          <w:sz w:val="20"/>
          <w:szCs w:val="20"/>
          <w:color w:val="auto"/>
        </w:rPr>
      </w:pPr>
      <w:r>
        <w:rPr>
          <w:rFonts w:ascii="Times New Roman" w:cs="Times New Roman" w:eastAsia="Times New Roman" w:hAnsi="Times New Roman"/>
          <w:sz w:val="18"/>
          <w:szCs w:val="18"/>
          <w:color w:val="auto"/>
        </w:rPr>
        <w:t>executives in excess of the amounts the Borrower and its Subsidiaries are required to pay pursuant to any employment agreements;</w:t>
      </w:r>
    </w:p>
    <w:p>
      <w:pPr>
        <w:spacing w:after="0" w:line="270" w:lineRule="exact"/>
        <w:rPr>
          <w:sz w:val="20"/>
          <w:szCs w:val="20"/>
          <w:color w:val="auto"/>
        </w:rPr>
      </w:pPr>
    </w:p>
    <w:p>
      <w:pPr>
        <w:ind w:left="2120" w:hanging="604"/>
        <w:spacing w:after="0"/>
        <w:tabs>
          <w:tab w:leader="none" w:pos="212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losses or charges;</w:t>
      </w:r>
    </w:p>
    <w:p>
      <w:pPr>
        <w:spacing w:after="0" w:line="333" w:lineRule="exact"/>
        <w:rPr>
          <w:rFonts w:ascii="Times New Roman" w:cs="Times New Roman" w:eastAsia="Times New Roman" w:hAnsi="Times New Roman"/>
          <w:sz w:val="18"/>
          <w:szCs w:val="18"/>
          <w:color w:val="auto"/>
        </w:rPr>
      </w:pPr>
    </w:p>
    <w:p>
      <w:pPr>
        <w:jc w:val="both"/>
        <w:ind w:left="860" w:right="40" w:firstLine="656"/>
        <w:spacing w:after="0" w:line="254" w:lineRule="auto"/>
        <w:tabs>
          <w:tab w:leader="none" w:pos="211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r>
        <w:rPr>
          <w:rFonts w:ascii="Times New Roman" w:cs="Times New Roman" w:eastAsia="Times New Roman" w:hAnsi="Times New Roman"/>
          <w:sz w:val="18"/>
          <w:szCs w:val="18"/>
          <w:u w:val="single" w:color="auto"/>
          <w:color w:val="0000FF"/>
          <w:strike w:val="1"/>
        </w:rPr>
        <w:t>[Reserved];</w:t>
      </w:r>
    </w:p>
    <w:p>
      <w:pPr>
        <w:spacing w:after="0" w:line="232" w:lineRule="exact"/>
        <w:rPr>
          <w:rFonts w:ascii="Times New Roman" w:cs="Times New Roman" w:eastAsia="Times New Roman" w:hAnsi="Times New Roman"/>
          <w:sz w:val="18"/>
          <w:szCs w:val="18"/>
          <w:color w:val="auto"/>
        </w:rPr>
      </w:pPr>
    </w:p>
    <w:p>
      <w:pPr>
        <w:jc w:val="both"/>
        <w:ind w:left="860" w:right="60" w:firstLine="655"/>
        <w:spacing w:after="0" w:line="266" w:lineRule="auto"/>
        <w:tabs>
          <w:tab w:leader="none" w:pos="2115"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216" w:lineRule="exact"/>
        <w:rPr>
          <w:rFonts w:ascii="Times New Roman" w:cs="Times New Roman" w:eastAsia="Times New Roman" w:hAnsi="Times New Roman"/>
          <w:sz w:val="18"/>
          <w:szCs w:val="18"/>
          <w:color w:val="auto"/>
        </w:rPr>
      </w:pPr>
    </w:p>
    <w:p>
      <w:pPr>
        <w:jc w:val="both"/>
        <w:ind w:left="860" w:right="40" w:firstLine="655"/>
        <w:spacing w:after="0" w:line="266" w:lineRule="auto"/>
        <w:tabs>
          <w:tab w:leader="none" w:pos="2111"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consisting of income attributable to non-controlling interests of third parties in any Non-Wholly Owned Subsidiary deducted (and not added back in such period) in calculating Consolidated Net Income;</w:t>
      </w:r>
    </w:p>
    <w:p>
      <w:pPr>
        <w:spacing w:after="0" w:line="202" w:lineRule="exact"/>
        <w:rPr>
          <w:rFonts w:ascii="Times New Roman" w:cs="Times New Roman" w:eastAsia="Times New Roman" w:hAnsi="Times New Roman"/>
          <w:sz w:val="18"/>
          <w:szCs w:val="18"/>
          <w:color w:val="auto"/>
        </w:rPr>
      </w:pPr>
    </w:p>
    <w:p>
      <w:pPr>
        <w:jc w:val="both"/>
        <w:ind w:left="860" w:firstLine="655"/>
        <w:spacing w:after="0" w:line="255" w:lineRule="auto"/>
        <w:tabs>
          <w:tab w:leader="none" w:pos="211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w:t>
      </w:r>
    </w:p>
    <w:p>
      <w:pPr>
        <w:spacing w:after="0" w:line="229" w:lineRule="exact"/>
        <w:rPr>
          <w:rFonts w:ascii="Times New Roman" w:cs="Times New Roman" w:eastAsia="Times New Roman" w:hAnsi="Times New Roman"/>
          <w:sz w:val="18"/>
          <w:szCs w:val="18"/>
          <w:color w:val="auto"/>
        </w:rPr>
      </w:pPr>
    </w:p>
    <w:p>
      <w:pPr>
        <w:ind w:left="860" w:right="40" w:firstLine="655"/>
        <w:spacing w:after="0" w:line="282" w:lineRule="auto"/>
        <w:tabs>
          <w:tab w:leader="none" w:pos="210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asset sales, disposals or abandonments (other than asset sales, disposals or abandonments in the ordinary course of business);</w:t>
      </w:r>
    </w:p>
    <w:p>
      <w:pPr>
        <w:spacing w:after="0" w:line="202" w:lineRule="exact"/>
        <w:rPr>
          <w:rFonts w:ascii="Times New Roman" w:cs="Times New Roman" w:eastAsia="Times New Roman" w:hAnsi="Times New Roman"/>
          <w:sz w:val="18"/>
          <w:szCs w:val="18"/>
          <w:color w:val="auto"/>
        </w:rPr>
      </w:pPr>
    </w:p>
    <w:p>
      <w:pPr>
        <w:jc w:val="both"/>
        <w:ind w:left="860" w:right="40" w:firstLine="655"/>
        <w:spacing w:after="0" w:line="261" w:lineRule="auto"/>
        <w:tabs>
          <w:tab w:leader="none" w:pos="211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spacing w:after="0" w:line="220" w:lineRule="exact"/>
        <w:rPr>
          <w:rFonts w:ascii="Times New Roman" w:cs="Times New Roman" w:eastAsia="Times New Roman" w:hAnsi="Times New Roman"/>
          <w:sz w:val="18"/>
          <w:szCs w:val="18"/>
          <w:color w:val="auto"/>
        </w:rPr>
      </w:pPr>
    </w:p>
    <w:p>
      <w:pPr>
        <w:jc w:val="both"/>
        <w:ind w:left="860" w:right="40" w:firstLine="655"/>
        <w:spacing w:after="0" w:line="261" w:lineRule="auto"/>
        <w:tabs>
          <w:tab w:leader="none" w:pos="2115"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206" w:lineRule="exact"/>
        <w:rPr>
          <w:rFonts w:ascii="Times New Roman" w:cs="Times New Roman" w:eastAsia="Times New Roman" w:hAnsi="Times New Roman"/>
          <w:sz w:val="18"/>
          <w:szCs w:val="18"/>
          <w:color w:val="auto"/>
        </w:rPr>
      </w:pPr>
    </w:p>
    <w:p>
      <w:pPr>
        <w:ind w:left="860" w:right="40" w:firstLine="655"/>
        <w:spacing w:after="0" w:line="282" w:lineRule="auto"/>
        <w:tabs>
          <w:tab w:leader="none" w:pos="2111"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amounts paid in cash prior to the stated settlement date of any hedging obligation that has been reflected in Consolidated Net Income for such period;</w:t>
      </w:r>
    </w:p>
    <w:p>
      <w:pPr>
        <w:spacing w:after="0" w:line="202" w:lineRule="exact"/>
        <w:rPr>
          <w:rFonts w:ascii="Times New Roman" w:cs="Times New Roman" w:eastAsia="Times New Roman" w:hAnsi="Times New Roman"/>
          <w:sz w:val="18"/>
          <w:szCs w:val="18"/>
          <w:color w:val="auto"/>
        </w:rPr>
      </w:pPr>
    </w:p>
    <w:p>
      <w:pPr>
        <w:jc w:val="both"/>
        <w:ind w:left="860" w:right="40" w:firstLine="655"/>
        <w:spacing w:after="0" w:line="266" w:lineRule="auto"/>
        <w:tabs>
          <w:tab w:leader="none" w:pos="2114"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hedging obligations associated with transactions realized in the current period that has been reflected in Consolidated Net Income in prior periods and excluded from Consolidated EBITDA pursuant to clauses (c)(iv) and (c)(v) below;</w:t>
      </w:r>
    </w:p>
    <w:p>
      <w:pPr>
        <w:sectPr>
          <w:pgSz w:w="11900" w:h="16838" w:orient="portrait"/>
          <w:cols w:equalWidth="0" w:num="1">
            <w:col w:w="9640"/>
          </w:cols>
          <w:pgMar w:left="1440" w:top="1336" w:right="819" w:bottom="1440" w:gutter="0" w:footer="0" w:header="0"/>
        </w:sectPr>
      </w:pPr>
    </w:p>
    <w:bookmarkStart w:id="502" w:name="page503"/>
    <w:bookmarkEnd w:id="502"/>
    <w:p>
      <w:pPr>
        <w:spacing w:after="0" w:line="220" w:lineRule="exact"/>
        <w:rPr>
          <w:sz w:val="20"/>
          <w:szCs w:val="20"/>
          <w:color w:val="auto"/>
        </w:rPr>
      </w:pPr>
    </w:p>
    <w:p>
      <w:pPr>
        <w:jc w:val="both"/>
        <w:ind w:left="860" w:right="40" w:firstLine="656"/>
        <w:spacing w:after="0" w:line="258" w:lineRule="auto"/>
        <w:tabs>
          <w:tab w:leader="none" w:pos="2118"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223" w:lineRule="exact"/>
        <w:rPr>
          <w:rFonts w:ascii="Times New Roman" w:cs="Times New Roman" w:eastAsia="Times New Roman" w:hAnsi="Times New Roman"/>
          <w:sz w:val="18"/>
          <w:szCs w:val="18"/>
          <w:color w:val="auto"/>
        </w:rPr>
      </w:pPr>
    </w:p>
    <w:p>
      <w:pPr>
        <w:jc w:val="both"/>
        <w:ind w:left="860" w:right="40" w:firstLine="655"/>
        <w:spacing w:after="0" w:line="261" w:lineRule="auto"/>
        <w:tabs>
          <w:tab w:leader="none" w:pos="2114"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220" w:lineRule="exact"/>
        <w:rPr>
          <w:rFonts w:ascii="Times New Roman" w:cs="Times New Roman" w:eastAsia="Times New Roman" w:hAnsi="Times New Roman"/>
          <w:sz w:val="18"/>
          <w:szCs w:val="18"/>
          <w:color w:val="auto"/>
        </w:rPr>
      </w:pPr>
    </w:p>
    <w:p>
      <w:pPr>
        <w:ind w:left="2160" w:hanging="645"/>
        <w:spacing w:after="0"/>
        <w:tabs>
          <w:tab w:leader="none" w:pos="216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add-backs and adjustments specified in the Model;</w:t>
      </w:r>
    </w:p>
    <w:p>
      <w:pPr>
        <w:spacing w:after="0" w:line="265" w:lineRule="exact"/>
        <w:rPr>
          <w:rFonts w:ascii="Times New Roman" w:cs="Times New Roman" w:eastAsia="Times New Roman" w:hAnsi="Times New Roman"/>
          <w:sz w:val="18"/>
          <w:szCs w:val="18"/>
          <w:color w:val="auto"/>
        </w:rPr>
      </w:pPr>
    </w:p>
    <w:p>
      <w:pPr>
        <w:jc w:val="both"/>
        <w:ind w:left="860" w:right="40" w:firstLine="655"/>
        <w:spacing w:after="0" w:line="261" w:lineRule="auto"/>
        <w:tabs>
          <w:tab w:leader="none" w:pos="212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exclusions and add-backs consistent with Regulation S-X or contained in a quality of earnings report in connection with a Permitted Acquisition or Investment made available to the First Lien Administrative Agent conducted by financial advisors (which are either nationally recognized or reasonably acceptable to the First Lien Administrative Agent (it being understood and agreed that any of the “Big Four” accounting firms are acceptable))</w:t>
      </w:r>
    </w:p>
    <w:p>
      <w:pPr>
        <w:spacing w:after="0" w:line="206" w:lineRule="exact"/>
        <w:rPr>
          <w:rFonts w:ascii="Times New Roman" w:cs="Times New Roman" w:eastAsia="Times New Roman" w:hAnsi="Times New Roman"/>
          <w:sz w:val="18"/>
          <w:szCs w:val="18"/>
          <w:color w:val="auto"/>
        </w:rPr>
      </w:pPr>
    </w:p>
    <w:p>
      <w:pPr>
        <w:ind w:left="860" w:right="60" w:firstLine="700"/>
        <w:spacing w:after="0" w:line="282" w:lineRule="auto"/>
        <w:tabs>
          <w:tab w:leader="none" w:pos="2119" w:val="left"/>
        </w:tabs>
        <w:numPr>
          <w:ilvl w:val="3"/>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losses on Dispositions of accounts receivable, Securitization Assets and related assets incurred in connection with a Qualified Securitization Facility;</w:t>
      </w:r>
    </w:p>
    <w:p>
      <w:pPr>
        <w:spacing w:after="0" w:line="202" w:lineRule="exact"/>
        <w:rPr>
          <w:rFonts w:ascii="Times New Roman" w:cs="Times New Roman" w:eastAsia="Times New Roman" w:hAnsi="Times New Roman"/>
          <w:sz w:val="18"/>
          <w:szCs w:val="18"/>
          <w:color w:val="auto"/>
        </w:rPr>
      </w:pPr>
    </w:p>
    <w:p>
      <w:pPr>
        <w:jc w:val="both"/>
        <w:ind w:left="860" w:right="40" w:firstLine="655"/>
        <w:spacing w:after="0" w:line="255" w:lineRule="auto"/>
        <w:tabs>
          <w:tab w:leader="none" w:pos="2118" w:val="left"/>
        </w:tabs>
        <w:numPr>
          <w:ilvl w:val="2"/>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pacing w:after="0" w:line="337" w:lineRule="exact"/>
        <w:rPr>
          <w:rFonts w:ascii="Times New Roman" w:cs="Times New Roman" w:eastAsia="Times New Roman" w:hAnsi="Times New Roman"/>
          <w:sz w:val="18"/>
          <w:szCs w:val="18"/>
          <w:color w:val="auto"/>
        </w:rPr>
      </w:pPr>
    </w:p>
    <w:p>
      <w:pPr>
        <w:ind w:left="2120" w:hanging="560"/>
        <w:spacing w:after="0"/>
        <w:tabs>
          <w:tab w:leader="none" w:pos="2120" w:val="left"/>
        </w:tabs>
        <w:numPr>
          <w:ilvl w:val="3"/>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 Company Costs;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jc w:val="both"/>
        <w:ind w:left="220" w:firstLine="647"/>
        <w:spacing w:after="0" w:line="253" w:lineRule="auto"/>
        <w:tabs>
          <w:tab w:leader="none" w:pos="1469"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(a)(vi) and</w:t>
      </w:r>
    </w:p>
    <w:p>
      <w:pPr>
        <w:sectPr>
          <w:pgSz w:w="11900" w:h="16838" w:orient="portrait"/>
          <w:cols w:equalWidth="0" w:num="1">
            <w:col w:w="9640"/>
          </w:cols>
          <w:pgMar w:left="1440" w:top="1440" w:right="819" w:bottom="1440" w:gutter="0" w:footer="0" w:header="0"/>
        </w:sectPr>
      </w:pPr>
    </w:p>
    <w:bookmarkStart w:id="503" w:name="page504"/>
    <w:bookmarkEnd w:id="503"/>
    <w:p>
      <w:pPr>
        <w:ind w:left="220"/>
        <w:spacing w:after="0" w:line="282" w:lineRule="auto"/>
        <w:rPr>
          <w:sz w:val="20"/>
          <w:szCs w:val="20"/>
          <w:color w:val="auto"/>
        </w:rPr>
      </w:pPr>
      <w:r>
        <w:rPr>
          <w:rFonts w:ascii="Times New Roman" w:cs="Times New Roman" w:eastAsia="Times New Roman" w:hAnsi="Times New Roman"/>
          <w:sz w:val="18"/>
          <w:szCs w:val="18"/>
          <w:color w:val="auto"/>
        </w:rPr>
        <w:t>(a)(vii) above or in the definition of “Pro Forma Adjustment” (it being understood and agreed that “run rate” shall mean the full recurring benefit that is associated with any action taken);</w:t>
      </w:r>
    </w:p>
    <w:p>
      <w:pPr>
        <w:spacing w:after="0" w:line="2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200" w:lineRule="exact"/>
        <w:rPr>
          <w:sz w:val="20"/>
          <w:szCs w:val="20"/>
          <w:color w:val="auto"/>
        </w:rPr>
      </w:pPr>
    </w:p>
    <w:p>
      <w:pPr>
        <w:spacing w:after="0" w:line="201" w:lineRule="exact"/>
        <w:rPr>
          <w:sz w:val="20"/>
          <w:szCs w:val="20"/>
          <w:color w:val="auto"/>
        </w:rPr>
      </w:pPr>
    </w:p>
    <w:p>
      <w:pPr>
        <w:ind w:left="220" w:right="40" w:firstLine="648"/>
        <w:spacing w:after="0" w:line="282" w:lineRule="auto"/>
        <w:tabs>
          <w:tab w:leader="none" w:pos="1473"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arriving at such Consolidated Net Income, the sum of the following amounts for such period:</w:t>
      </w:r>
    </w:p>
    <w:p>
      <w:pPr>
        <w:spacing w:after="0" w:line="202" w:lineRule="exact"/>
        <w:rPr>
          <w:rFonts w:ascii="Times New Roman" w:cs="Times New Roman" w:eastAsia="Times New Roman" w:hAnsi="Times New Roman"/>
          <w:sz w:val="18"/>
          <w:szCs w:val="18"/>
          <w:color w:val="auto"/>
        </w:rPr>
      </w:pPr>
    </w:p>
    <w:p>
      <w:pPr>
        <w:ind w:left="860" w:right="40" w:firstLine="809"/>
        <w:spacing w:after="0" w:line="282" w:lineRule="auto"/>
        <w:tabs>
          <w:tab w:leader="none" w:pos="2114"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unusual or non-recurring gains (other than gains arising from the receipt of business interruption insurance proceeds);</w:t>
      </w:r>
    </w:p>
    <w:p>
      <w:pPr>
        <w:spacing w:after="0" w:line="188" w:lineRule="exact"/>
        <w:rPr>
          <w:rFonts w:ascii="Times New Roman" w:cs="Times New Roman" w:eastAsia="Times New Roman" w:hAnsi="Times New Roman"/>
          <w:sz w:val="18"/>
          <w:szCs w:val="18"/>
          <w:color w:val="auto"/>
        </w:rPr>
      </w:pPr>
    </w:p>
    <w:p>
      <w:pPr>
        <w:ind w:left="860" w:right="40" w:firstLine="758"/>
        <w:spacing w:after="0" w:line="282" w:lineRule="auto"/>
        <w:tabs>
          <w:tab w:leader="none" w:pos="2115"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202" w:lineRule="exact"/>
        <w:rPr>
          <w:rFonts w:ascii="Times New Roman" w:cs="Times New Roman" w:eastAsia="Times New Roman" w:hAnsi="Times New Roman"/>
          <w:sz w:val="18"/>
          <w:szCs w:val="18"/>
          <w:color w:val="auto"/>
        </w:rPr>
      </w:pPr>
    </w:p>
    <w:p>
      <w:pPr>
        <w:ind w:left="860" w:firstLine="709"/>
        <w:spacing w:after="0" w:line="282" w:lineRule="auto"/>
        <w:tabs>
          <w:tab w:leader="none" w:pos="2115"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asset sales, disposals or abandonments (other than asset sales, disposals or abandonments in the ordinary course of business);</w:t>
      </w:r>
    </w:p>
    <w:p>
      <w:pPr>
        <w:spacing w:after="0" w:line="202" w:lineRule="exact"/>
        <w:rPr>
          <w:rFonts w:ascii="Times New Roman" w:cs="Times New Roman" w:eastAsia="Times New Roman" w:hAnsi="Times New Roman"/>
          <w:sz w:val="18"/>
          <w:szCs w:val="18"/>
          <w:color w:val="auto"/>
        </w:rPr>
      </w:pPr>
    </w:p>
    <w:p>
      <w:pPr>
        <w:jc w:val="both"/>
        <w:ind w:left="860" w:right="40" w:firstLine="717"/>
        <w:spacing w:after="0" w:line="261" w:lineRule="auto"/>
        <w:tabs>
          <w:tab w:leader="none" w:pos="2113"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spacing w:after="0" w:line="220" w:lineRule="exact"/>
        <w:rPr>
          <w:rFonts w:ascii="Times New Roman" w:cs="Times New Roman" w:eastAsia="Times New Roman" w:hAnsi="Times New Roman"/>
          <w:sz w:val="18"/>
          <w:szCs w:val="18"/>
          <w:color w:val="auto"/>
        </w:rPr>
      </w:pPr>
    </w:p>
    <w:p>
      <w:pPr>
        <w:ind w:left="860" w:right="40" w:firstLine="767"/>
        <w:spacing w:after="0" w:line="282" w:lineRule="auto"/>
        <w:tabs>
          <w:tab w:leader="none" w:pos="2113"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amounts received in cash prior to the stated settlement date of any hedging obligation that has been reflected in Consolidated Net Income in such period;</w:t>
      </w:r>
    </w:p>
    <w:p>
      <w:pPr>
        <w:spacing w:after="0" w:line="188" w:lineRule="exact"/>
        <w:rPr>
          <w:rFonts w:ascii="Times New Roman" w:cs="Times New Roman" w:eastAsia="Times New Roman" w:hAnsi="Times New Roman"/>
          <w:sz w:val="18"/>
          <w:szCs w:val="18"/>
          <w:color w:val="auto"/>
        </w:rPr>
      </w:pPr>
    </w:p>
    <w:p>
      <w:pPr>
        <w:jc w:val="both"/>
        <w:ind w:left="860" w:right="40" w:firstLine="717"/>
        <w:spacing w:after="0" w:line="266" w:lineRule="auto"/>
        <w:tabs>
          <w:tab w:leader="none" w:pos="2113"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hedging obligations associated with transactions realized in the current period that has been reflected in Consolidated Net Income in prior periods and excluded from Consolidated EBITDA pursuant to clauses (a)(xii) and (a)(xiii) above; and</w:t>
      </w:r>
    </w:p>
    <w:p>
      <w:pPr>
        <w:spacing w:after="0" w:line="216" w:lineRule="exact"/>
        <w:rPr>
          <w:rFonts w:ascii="Times New Roman" w:cs="Times New Roman" w:eastAsia="Times New Roman" w:hAnsi="Times New Roman"/>
          <w:sz w:val="18"/>
          <w:szCs w:val="18"/>
          <w:color w:val="auto"/>
        </w:rPr>
      </w:pPr>
    </w:p>
    <w:p>
      <w:pPr>
        <w:jc w:val="both"/>
        <w:ind w:left="860" w:right="40" w:firstLine="667"/>
        <w:spacing w:after="0" w:line="266" w:lineRule="auto"/>
        <w:tabs>
          <w:tab w:leader="none" w:pos="2114"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interest consisting of loss attributable to non-controlling interests of third parties in any Non-Wholly Owned Subsidiary added (and not deducted in such period) to Consolidated Net Income; </w:t>
      </w:r>
      <w:r>
        <w:rPr>
          <w:rFonts w:ascii="Times New Roman" w:cs="Times New Roman" w:eastAsia="Times New Roman" w:hAnsi="Times New Roman"/>
          <w:sz w:val="18"/>
          <w:szCs w:val="18"/>
          <w:u w:val="single" w:color="auto"/>
          <w:color w:val="auto"/>
        </w:rPr>
        <w:t>plus</w:t>
      </w:r>
    </w:p>
    <w:p>
      <w:pPr>
        <w:spacing w:after="0" w:line="216" w:lineRule="exact"/>
        <w:rPr>
          <w:rFonts w:ascii="Times New Roman" w:cs="Times New Roman" w:eastAsia="Times New Roman" w:hAnsi="Times New Roman"/>
          <w:sz w:val="18"/>
          <w:szCs w:val="18"/>
          <w:color w:val="auto"/>
        </w:rPr>
      </w:pPr>
    </w:p>
    <w:p>
      <w:pPr>
        <w:jc w:val="both"/>
        <w:ind w:left="220" w:right="40" w:firstLine="648"/>
        <w:spacing w:after="0" w:line="261" w:lineRule="auto"/>
        <w:tabs>
          <w:tab w:leader="none" w:pos="1469"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Times New Roman" w:cs="Times New Roman" w:eastAsia="Times New Roman" w:hAnsi="Times New Roman"/>
          <w:sz w:val="18"/>
          <w:szCs w:val="18"/>
          <w:u w:val="single" w:color="auto"/>
          <w:color w:val="auto"/>
        </w:rPr>
        <w:t>minus</w:t>
      </w:r>
    </w:p>
    <w:p>
      <w:pPr>
        <w:spacing w:after="0" w:line="220" w:lineRule="exact"/>
        <w:rPr>
          <w:rFonts w:ascii="Times New Roman" w:cs="Times New Roman" w:eastAsia="Times New Roman" w:hAnsi="Times New Roman"/>
          <w:sz w:val="18"/>
          <w:szCs w:val="18"/>
          <w:color w:val="auto"/>
        </w:rPr>
      </w:pPr>
    </w:p>
    <w:p>
      <w:pPr>
        <w:jc w:val="both"/>
        <w:ind w:left="220" w:right="40" w:firstLine="648"/>
        <w:spacing w:after="0" w:line="261" w:lineRule="auto"/>
        <w:tabs>
          <w:tab w:leader="none" w:pos="1473"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 (b) above if it were a loss of the Borrower or any of its Restricted Subsidiaries; </w:t>
      </w:r>
      <w:r>
        <w:rPr>
          <w:rFonts w:ascii="Times New Roman" w:cs="Times New Roman" w:eastAsia="Times New Roman" w:hAnsi="Times New Roman"/>
          <w:sz w:val="18"/>
          <w:szCs w:val="18"/>
          <w:u w:val="single" w:color="auto"/>
          <w:color w:val="auto"/>
        </w:rPr>
        <w:t>plus</w:t>
      </w:r>
    </w:p>
    <w:p>
      <w:pPr>
        <w:spacing w:after="0" w:line="206" w:lineRule="exact"/>
        <w:rPr>
          <w:rFonts w:ascii="Times New Roman" w:cs="Times New Roman" w:eastAsia="Times New Roman" w:hAnsi="Times New Roman"/>
          <w:sz w:val="18"/>
          <w:szCs w:val="18"/>
          <w:color w:val="auto"/>
        </w:rPr>
      </w:pPr>
    </w:p>
    <w:p>
      <w:pPr>
        <w:jc w:val="both"/>
        <w:ind w:left="220" w:right="40" w:firstLine="647"/>
        <w:spacing w:after="0" w:line="258" w:lineRule="auto"/>
        <w:tabs>
          <w:tab w:leader="none" w:pos="148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with respect to investments recorded using the equity method of accounting or the cost method of accounting and without duplication of any amounts added pursuant to clause (d) above, equal to the amount attributable to each such investment that would be added to Consolidated EBITDA pursuant to clauses (a) and (b) above if instead attributable to the Borrower or a Restricted Subsidiary, pro-rated according to the Borrower’s or the applicable Restricted Subsidiary’s percentage ownership in such investment; </w:t>
      </w:r>
      <w:r>
        <w:rPr>
          <w:rFonts w:ascii="Times New Roman" w:cs="Times New Roman" w:eastAsia="Times New Roman" w:hAnsi="Times New Roman"/>
          <w:sz w:val="18"/>
          <w:szCs w:val="18"/>
          <w:u w:val="single" w:color="auto"/>
          <w:color w:val="auto"/>
        </w:rPr>
        <w:t>minus</w:t>
      </w:r>
    </w:p>
    <w:p>
      <w:pPr>
        <w:spacing w:after="0" w:line="304" w:lineRule="exact"/>
        <w:rPr>
          <w:rFonts w:ascii="Times New Roman" w:cs="Times New Roman" w:eastAsia="Times New Roman" w:hAnsi="Times New Roman"/>
          <w:sz w:val="18"/>
          <w:szCs w:val="18"/>
          <w:color w:val="auto"/>
        </w:rPr>
      </w:pPr>
    </w:p>
    <w:p>
      <w:pPr>
        <w:ind w:left="-420" w:right="60" w:firstLine="640"/>
        <w:spacing w:after="0" w:line="282" w:lineRule="auto"/>
        <w:tabs>
          <w:tab w:leader="none" w:pos="829"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with respect to investments recorded using the equity method of accounting or the cost method of accounting and without duplication of any amounts deducted pursuant to clause (e) above, equal to the</w:t>
      </w:r>
    </w:p>
    <w:p>
      <w:pPr>
        <w:sectPr>
          <w:pgSz w:w="11900" w:h="16838" w:orient="portrait"/>
          <w:cols w:equalWidth="0" w:num="1">
            <w:col w:w="9640"/>
          </w:cols>
          <w:pgMar w:left="1440" w:top="1336" w:right="819" w:bottom="1440" w:gutter="0" w:footer="0" w:header="0"/>
        </w:sectPr>
      </w:pPr>
    </w:p>
    <w:bookmarkStart w:id="504" w:name="page505"/>
    <w:bookmarkEnd w:id="504"/>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investment;in each case, as determined on a consolidated basis for the Borrower and the Restricted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7" w:lineRule="exact"/>
        <w:rPr>
          <w:sz w:val="20"/>
          <w:szCs w:val="20"/>
          <w:color w:val="auto"/>
        </w:rPr>
      </w:pPr>
    </w:p>
    <w:p>
      <w:pPr>
        <w:jc w:val="both"/>
        <w:ind w:left="640" w:firstLine="647"/>
        <w:spacing w:after="0" w:line="266" w:lineRule="auto"/>
        <w:tabs>
          <w:tab w:leader="none" w:pos="190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216" w:lineRule="exact"/>
        <w:rPr>
          <w:sz w:val="20"/>
          <w:szCs w:val="20"/>
          <w:color w:val="auto"/>
        </w:rPr>
      </w:pPr>
    </w:p>
    <w:p>
      <w:pPr>
        <w:jc w:val="both"/>
        <w:ind w:left="640" w:right="40" w:firstLine="647"/>
        <w:spacing w:after="0" w:line="266" w:lineRule="auto"/>
        <w:tabs>
          <w:tab w:leader="none" w:pos="1892"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for any period any adjustments resulting from the application of Financial Accounting Standards Codification No. 815 —Derivatives and Hedging,</w:t>
      </w:r>
    </w:p>
    <w:p>
      <w:pPr>
        <w:spacing w:after="0" w:line="216" w:lineRule="exact"/>
        <w:rPr>
          <w:sz w:val="20"/>
          <w:szCs w:val="20"/>
          <w:color w:val="auto"/>
        </w:rPr>
      </w:pPr>
    </w:p>
    <w:p>
      <w:pPr>
        <w:jc w:val="both"/>
        <w:ind w:left="640" w:right="20" w:firstLine="647"/>
        <w:spacing w:after="0" w:line="253" w:lineRule="auto"/>
        <w:tabs>
          <w:tab w:leader="none" w:pos="1898"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spacing w:after="0" w:line="228"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18"/>
          <w:szCs w:val="18"/>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w:t>
      </w:r>
    </w:p>
    <w:p>
      <w:pPr>
        <w:spacing w:after="0" w:line="1" w:lineRule="exact"/>
        <w:rPr>
          <w:sz w:val="20"/>
          <w:szCs w:val="20"/>
          <w:color w:val="auto"/>
        </w:rPr>
      </w:pPr>
    </w:p>
    <w:p>
      <w:pPr>
        <w:jc w:val="both"/>
        <w:ind w:left="640" w:hanging="1"/>
        <w:spacing w:after="0" w:line="251" w:lineRule="auto"/>
        <w:tabs>
          <w:tab w:leader="none" w:pos="905"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 property, business or asset so sold, transferred or otherwise disposed of, closed or classified, a “</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and the Disposed EBITDA of any Restricted Subsidiary that is converted into an Unrestricted Subsidiary during such period (each, a “</w:t>
      </w:r>
      <w:r>
        <w:rPr>
          <w:rFonts w:ascii="Times New Roman" w:cs="Times New Roman" w:eastAsia="Times New Roman" w:hAnsi="Times New Roman"/>
          <w:sz w:val="18"/>
          <w:szCs w:val="18"/>
          <w:u w:val="single" w:color="auto"/>
          <w:color w:val="auto"/>
        </w:rPr>
        <w:t>Converted 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w:t>
      </w:r>
    </w:p>
    <w:p>
      <w:pPr>
        <w:spacing w:after="0" w:line="313" w:lineRule="exact"/>
        <w:rPr>
          <w:rFonts w:ascii="Times New Roman" w:cs="Times New Roman" w:eastAsia="Times New Roman" w:hAnsi="Times New Roman"/>
          <w:sz w:val="18"/>
          <w:szCs w:val="18"/>
          <w:color w:val="auto"/>
        </w:rPr>
      </w:pPr>
    </w:p>
    <w:p>
      <w:pPr>
        <w:ind w:right="40" w:firstLine="640"/>
        <w:spacing w:after="0" w:line="282" w:lineRule="auto"/>
        <w:tabs>
          <w:tab w:leader="none" w:pos="1249"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any expense (or income) as a result of adjustments recorded to contingent consideration</w:t>
      </w:r>
    </w:p>
    <w:p>
      <w:pPr>
        <w:sectPr>
          <w:pgSz w:w="11900" w:h="16838" w:orient="portrait"/>
          <w:cols w:equalWidth="0" w:num="1">
            <w:col w:w="10060"/>
          </w:cols>
          <w:pgMar w:left="1020" w:top="1417" w:right="81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color w:val="auto"/>
        </w:rPr>
        <w:t>liabilities relating to the Transaction or any Permitted Acquisition (or other Investment not prohibited under this Agreement).</w:t>
      </w:r>
    </w:p>
    <w:p>
      <w:pPr>
        <w:spacing w:after="0" w:line="315"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9"/>
          <w:szCs w:val="19"/>
          <w:color w:val="FF0000"/>
          <w:strike w:val="1"/>
        </w:rPr>
        <w:t>Notwithstanding the foregoing, Consolidated EBITDA shall be deemed to equal (a) $94,434,000 for the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FF0000"/>
          <w:strike w:val="1"/>
        </w:rPr>
        <w:t>quarter ended September 30, 2019, (b) $89,137,000 for the fiscal quarter ended June 30, 2019, (c)</w:t>
      </w:r>
    </w:p>
    <w:p>
      <w:pPr>
        <w:spacing w:after="0" w:line="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FF0000"/>
          <w:strike w:val="1"/>
        </w:rPr>
        <w:t xml:space="preserve">$103,037,000 for the fiscal quarter ended March 31, 2019 and (d) $97,661,000 for the fiscal quarter ended December 31, 2018 (it being understood that such amounts are subject to adjustments, as and to the extent otherwise contemplated in this Agreement, in connection with any Pro Forma Adjustment or any calculation on a Pro Forma Basis);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such amounts of Consolidated EBITDA for any such fiscal quarter may be further increased to include, without duplication, any adjustments that would otherwise be included pursuant to clause (b) of this definition.</w:t>
      </w:r>
    </w:p>
    <w:p>
      <w:pPr>
        <w:spacing w:after="0" w:line="24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the sum of (a) the amount of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 (other than Indebtedness except to the extent arising from the application of purchase accounting), (ix) any “additional interest” with respect to debt securities, (x) commissions, discounts, yield and other fees and charges (including any interest expense) related to any Securitization Facility and (xi)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w:t>
      </w:r>
    </w:p>
    <w:p>
      <w:pPr>
        <w:spacing w:after="0" w:line="232" w:lineRule="exact"/>
        <w:rPr>
          <w:sz w:val="20"/>
          <w:szCs w:val="20"/>
          <w:color w:val="auto"/>
        </w:rPr>
      </w:pPr>
    </w:p>
    <w:p>
      <w:pPr>
        <w:ind w:right="40" w:firstLine="134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(loss) of the Borrower and its Restricted Subsidiaries for such period determined on a consolidated basis in accordance with GAAP, excluding, without duplication,</w:t>
      </w:r>
    </w:p>
    <w:p>
      <w:pPr>
        <w:spacing w:after="0" w:line="202" w:lineRule="exact"/>
        <w:rPr>
          <w:sz w:val="20"/>
          <w:szCs w:val="20"/>
          <w:color w:val="auto"/>
        </w:rPr>
      </w:pPr>
    </w:p>
    <w:p>
      <w:pPr>
        <w:ind w:left="1940" w:hanging="653"/>
        <w:spacing w:after="0"/>
        <w:tabs>
          <w:tab w:leader="none" w:pos="1940" w:val="left"/>
        </w:tabs>
        <w:numPr>
          <w:ilvl w:val="0"/>
          <w:numId w:val="55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extraordinary items for such period,</w:t>
      </w:r>
    </w:p>
    <w:p>
      <w:pPr>
        <w:spacing w:after="0" w:line="265" w:lineRule="exact"/>
        <w:rPr>
          <w:rFonts w:ascii="Times New Roman" w:cs="Times New Roman" w:eastAsia="Times New Roman" w:hAnsi="Times New Roman"/>
          <w:sz w:val="18"/>
          <w:szCs w:val="18"/>
          <w:color w:val="FF0000"/>
          <w:strike w:val="1"/>
        </w:rPr>
      </w:pPr>
    </w:p>
    <w:p>
      <w:pPr>
        <w:jc w:val="both"/>
        <w:ind w:left="640" w:right="20" w:firstLine="648"/>
        <w:spacing w:after="0" w:line="254" w:lineRule="auto"/>
        <w:tabs>
          <w:tab w:leader="none" w:pos="1893" w:val="left"/>
        </w:tabs>
        <w:numPr>
          <w:ilvl w:val="0"/>
          <w:numId w:val="55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(x) extraordinary items for such period and (y) any 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232" w:lineRule="exact"/>
        <w:rPr>
          <w:rFonts w:ascii="Times New Roman" w:cs="Times New Roman" w:eastAsia="Times New Roman" w:hAnsi="Times New Roman"/>
          <w:sz w:val="18"/>
          <w:szCs w:val="18"/>
          <w:color w:val="0000FF"/>
        </w:rPr>
      </w:pPr>
    </w:p>
    <w:p>
      <w:pPr>
        <w:ind w:left="1920" w:hanging="632"/>
        <w:spacing w:after="0"/>
        <w:tabs>
          <w:tab w:leader="none" w:pos="192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during such period,</w:t>
      </w:r>
    </w:p>
    <w:p>
      <w:pPr>
        <w:sectPr>
          <w:pgSz w:w="11900" w:h="16838" w:orient="portrait"/>
          <w:cols w:equalWidth="0" w:num="1">
            <w:col w:w="10060"/>
          </w:cols>
          <w:pgMar w:left="1020" w:top="1417" w:right="819" w:bottom="1440" w:gutter="0" w:footer="0" w:header="0"/>
        </w:sectPr>
      </w:pPr>
    </w:p>
    <w:bookmarkStart w:id="506" w:name="page507"/>
    <w:bookmarkEnd w:id="506"/>
    <w:p>
      <w:pPr>
        <w:ind w:left="1940" w:hanging="652"/>
        <w:spacing w:after="0"/>
        <w:tabs>
          <w:tab w:leader="none" w:pos="194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incurred during such period</w:t>
      </w:r>
      <w:r>
        <w:rPr>
          <w:rFonts w:ascii="Times New Roman" w:cs="Times New Roman" w:eastAsia="Times New Roman" w:hAnsi="Times New Roman"/>
          <w:sz w:val="18"/>
          <w:szCs w:val="18"/>
          <w:b w:val="1"/>
          <w:bCs w:val="1"/>
          <w:color w:val="auto"/>
        </w:rPr>
        <w:t>,</w:t>
      </w:r>
    </w:p>
    <w:p>
      <w:pPr>
        <w:spacing w:after="0" w:line="350" w:lineRule="exact"/>
        <w:rPr>
          <w:rFonts w:ascii="Times New Roman" w:cs="Times New Roman" w:eastAsia="Times New Roman" w:hAnsi="Times New Roman"/>
          <w:sz w:val="18"/>
          <w:szCs w:val="18"/>
          <w:color w:val="auto"/>
        </w:rPr>
      </w:pPr>
    </w:p>
    <w:p>
      <w:pPr>
        <w:jc w:val="both"/>
        <w:ind w:left="640" w:right="40" w:firstLine="647"/>
        <w:spacing w:after="0" w:line="252" w:lineRule="auto"/>
        <w:tabs>
          <w:tab w:leader="none" w:pos="1897" w:val="left"/>
        </w:tabs>
        <w:numPr>
          <w:ilvl w:val="0"/>
          <w:numId w:val="5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232" w:lineRule="exact"/>
        <w:rPr>
          <w:rFonts w:ascii="Times New Roman" w:cs="Times New Roman" w:eastAsia="Times New Roman" w:hAnsi="Times New Roman"/>
          <w:sz w:val="20"/>
          <w:szCs w:val="20"/>
          <w:color w:val="auto"/>
        </w:rPr>
      </w:pPr>
    </w:p>
    <w:p>
      <w:pPr>
        <w:ind w:left="640" w:right="40" w:firstLine="647"/>
        <w:spacing w:after="0" w:line="282" w:lineRule="auto"/>
        <w:tabs>
          <w:tab w:leader="none" w:pos="1893"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attributable to the early extinguishment of Indebtedness, hedging agreements or other derivative instruments,</w:t>
      </w:r>
    </w:p>
    <w:p>
      <w:pPr>
        <w:spacing w:after="0" w:line="202" w:lineRule="exact"/>
        <w:rPr>
          <w:rFonts w:ascii="Times New Roman" w:cs="Times New Roman" w:eastAsia="Times New Roman" w:hAnsi="Times New Roman"/>
          <w:sz w:val="18"/>
          <w:szCs w:val="18"/>
          <w:color w:val="auto"/>
        </w:rPr>
      </w:pPr>
    </w:p>
    <w:p>
      <w:pPr>
        <w:jc w:val="both"/>
        <w:ind w:left="640" w:right="40" w:firstLine="647"/>
        <w:spacing w:after="0" w:line="266" w:lineRule="auto"/>
        <w:tabs>
          <w:tab w:leader="none" w:pos="190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202" w:lineRule="exact"/>
        <w:rPr>
          <w:rFonts w:ascii="Times New Roman" w:cs="Times New Roman" w:eastAsia="Times New Roman" w:hAnsi="Times New Roman"/>
          <w:sz w:val="18"/>
          <w:szCs w:val="18"/>
          <w:color w:val="auto"/>
        </w:rPr>
      </w:pPr>
    </w:p>
    <w:p>
      <w:pPr>
        <w:ind w:left="1920" w:hanging="633"/>
        <w:spacing w:after="0"/>
        <w:tabs>
          <w:tab w:leader="none" w:pos="192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award compensation expenses,</w:t>
      </w:r>
    </w:p>
    <w:p>
      <w:pPr>
        <w:spacing w:after="0" w:line="265" w:lineRule="exact"/>
        <w:rPr>
          <w:rFonts w:ascii="Times New Roman" w:cs="Times New Roman" w:eastAsia="Times New Roman" w:hAnsi="Times New Roman"/>
          <w:sz w:val="18"/>
          <w:szCs w:val="18"/>
          <w:color w:val="auto"/>
        </w:rPr>
      </w:pPr>
    </w:p>
    <w:p>
      <w:pPr>
        <w:ind w:left="1920" w:hanging="633"/>
        <w:spacing w:after="0"/>
        <w:tabs>
          <w:tab w:leader="none" w:pos="192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attributable to deferred compensation plans or trusts,</w:t>
      </w:r>
    </w:p>
    <w:p>
      <w:pPr>
        <w:spacing w:after="0" w:line="265" w:lineRule="exact"/>
        <w:rPr>
          <w:rFonts w:ascii="Times New Roman" w:cs="Times New Roman" w:eastAsia="Times New Roman" w:hAnsi="Times New Roman"/>
          <w:sz w:val="18"/>
          <w:szCs w:val="18"/>
          <w:color w:val="auto"/>
        </w:rPr>
      </w:pPr>
    </w:p>
    <w:p>
      <w:pPr>
        <w:ind w:left="1920" w:hanging="633"/>
        <w:spacing w:after="0"/>
        <w:tabs>
          <w:tab w:leader="none" w:pos="192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Investments recorded using the equity method, and</w:t>
      </w:r>
    </w:p>
    <w:p>
      <w:pPr>
        <w:spacing w:after="0" w:line="252" w:lineRule="exact"/>
        <w:rPr>
          <w:rFonts w:ascii="Times New Roman" w:cs="Times New Roman" w:eastAsia="Times New Roman" w:hAnsi="Times New Roman"/>
          <w:sz w:val="18"/>
          <w:szCs w:val="18"/>
          <w:color w:val="auto"/>
        </w:rPr>
      </w:pPr>
    </w:p>
    <w:p>
      <w:pPr>
        <w:ind w:left="1880" w:hanging="593"/>
        <w:spacing w:after="0"/>
        <w:tabs>
          <w:tab w:leader="none" w:pos="188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expense required to be recorded as compensation expense related to contingent transaction</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w:t>
      </w:r>
    </w:p>
    <w:p>
      <w:pPr>
        <w:spacing w:after="0" w:line="247"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220" w:lineRule="exact"/>
        <w:rPr>
          <w:sz w:val="20"/>
          <w:szCs w:val="20"/>
          <w:color w:val="auto"/>
        </w:rPr>
      </w:pPr>
    </w:p>
    <w:p>
      <w:pPr>
        <w:jc w:val="both"/>
        <w:ind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First Lien Net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secured by a Lien on </w:t>
      </w:r>
      <w:r>
        <w:rPr>
          <w:rFonts w:ascii="Times New Roman" w:cs="Times New Roman" w:eastAsia="Times New Roman" w:hAnsi="Times New Roman"/>
          <w:sz w:val="18"/>
          <w:szCs w:val="18"/>
          <w:color w:val="FF0000"/>
          <w:strike w:val="1"/>
        </w:rPr>
        <w:t>any asset of the Borrower or any of the Restricted Subsidiaries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is not expressly subordinated to Liens on any asset of the Borrower or any of the Restricted Subsidiaries</w:t>
      </w:r>
      <w:r>
        <w:rPr>
          <w:rFonts w:ascii="Times New Roman" w:cs="Times New Roman" w:eastAsia="Times New Roman" w:hAnsi="Times New Roman"/>
          <w:sz w:val="18"/>
          <w:szCs w:val="18"/>
          <w:u w:val="single" w:color="auto"/>
          <w:color w:val="0000FF"/>
          <w:strike w:val="1"/>
        </w:rPr>
        <w:t>the Collateral on an equal priority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basis with Liens on the Collateral</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securing the First Lien Loan Document Obligations (</w:t>
      </w:r>
      <w:r>
        <w:rPr>
          <w:rFonts w:ascii="Times New Roman" w:cs="Times New Roman" w:eastAsia="Times New Roman" w:hAnsi="Times New Roman"/>
          <w:sz w:val="18"/>
          <w:szCs w:val="18"/>
          <w:color w:val="FF0000"/>
          <w:strike w:val="1"/>
        </w:rPr>
        <w:t>including,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for the</w:t>
      </w:r>
    </w:p>
    <w:p>
      <w:pPr>
        <w:sectPr>
          <w:pgSz w:w="11900" w:h="16838" w:orient="portrait"/>
          <w:cols w:equalWidth="0" w:num="1">
            <w:col w:w="10060"/>
          </w:cols>
          <w:pgMar w:left="1020" w:top="1332" w:right="819" w:bottom="1440" w:gutter="0" w:footer="0" w:header="0"/>
        </w:sectPr>
      </w:pPr>
    </w:p>
    <w:bookmarkStart w:id="507" w:name="page508"/>
    <w:bookmarkEnd w:id="50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avoidance of doubt, </w:t>
      </w:r>
      <w:r>
        <w:rPr>
          <w:rFonts w:ascii="Times New Roman" w:cs="Times New Roman" w:eastAsia="Times New Roman" w:hAnsi="Times New Roman"/>
          <w:sz w:val="18"/>
          <w:szCs w:val="18"/>
          <w:u w:val="single" w:color="auto"/>
          <w:color w:val="0000FF"/>
        </w:rPr>
        <w:t>including</w:t>
      </w:r>
      <w:r>
        <w:rPr>
          <w:rFonts w:ascii="Times New Roman" w:cs="Times New Roman" w:eastAsia="Times New Roman" w:hAnsi="Times New Roman"/>
          <w:sz w:val="18"/>
          <w:szCs w:val="18"/>
          <w:color w:val="auto"/>
        </w:rPr>
        <w:t xml:space="preserve"> the First Lien Loan Document </w:t>
      </w:r>
      <w:r>
        <w:rPr>
          <w:rFonts w:ascii="Times New Roman" w:cs="Times New Roman" w:eastAsia="Times New Roman" w:hAnsi="Times New Roman"/>
          <w:sz w:val="18"/>
          <w:szCs w:val="18"/>
          <w:u w:val="single" w:color="auto"/>
          <w:color w:val="0000FF"/>
        </w:rPr>
        <w:t>Obligations but excluding any obligations in respect of Capitalized 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Cash Management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Obligations), determined on a consolidated basis in accordance with GAAP (but excluding the effects of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discounting of Indebtedness resulting from the application of the 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w:t>
      </w:r>
      <w:r>
        <w:rPr>
          <w:rFonts w:ascii="Times New Roman" w:cs="Times New Roman" w:eastAsia="Times New Roman" w:hAnsi="Times New Roman"/>
          <w:sz w:val="18"/>
          <w:szCs w:val="18"/>
          <w:color w:val="FF0000"/>
          <w:strike w:val="1"/>
        </w:rPr>
        <w:t>obligations in respect of Capitalized Leases</w:t>
      </w:r>
      <w:r>
        <w:rPr>
          <w:rFonts w:ascii="Times New Roman" w:cs="Times New Roman" w:eastAsia="Times New Roman" w:hAnsi="Times New Roman"/>
          <w:sz w:val="18"/>
          <w:szCs w:val="18"/>
          <w:color w:val="000000"/>
        </w:rPr>
        <w:t xml:space="preserve">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000000"/>
        </w:rPr>
        <w:t>minus</w:t>
      </w:r>
      <w:r>
        <w:rPr>
          <w:rFonts w:ascii="Times New Roman" w:cs="Times New Roman" w:eastAsia="Times New Roman" w:hAnsi="Times New Roman"/>
          <w:sz w:val="18"/>
          <w:szCs w:val="18"/>
          <w:color w:val="000000"/>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cs="Times New Roman" w:eastAsia="Times New Roman" w:hAnsi="Times New Roman"/>
          <w:sz w:val="18"/>
          <w:szCs w:val="18"/>
          <w:u w:val="single" w:color="auto"/>
          <w:color w:val="000000"/>
        </w:rPr>
        <w:t>pari passu</w:t>
      </w:r>
      <w:r>
        <w:rPr>
          <w:rFonts w:ascii="Times New Roman" w:cs="Times New Roman" w:eastAsia="Times New Roman" w:hAnsi="Times New Roman"/>
          <w:sz w:val="18"/>
          <w:szCs w:val="18"/>
          <w:color w:val="000000"/>
        </w:rPr>
        <w:t xml:space="preserve"> or junior lien on the Collateral along with the Secured Obligations).</w:t>
      </w:r>
    </w:p>
    <w:p>
      <w:pPr>
        <w:spacing w:after="0" w:line="23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w:t>
      </w:r>
      <w:r>
        <w:rPr>
          <w:rFonts w:ascii="Times New Roman" w:cs="Times New Roman" w:eastAsia="Times New Roman" w:hAnsi="Times New Roman"/>
          <w:sz w:val="18"/>
          <w:szCs w:val="18"/>
          <w:color w:val="FF0000"/>
          <w:strike w:val="1"/>
        </w:rPr>
        <w:t>not subordinated in right of payment to the Second Lien Debt Document Obligations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secured by a Lien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any asset of the Borrower or any of the Restricted Subsidiaries (including,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the Collateral (</w:t>
      </w:r>
      <w:r>
        <w:rPr>
          <w:rFonts w:ascii="Times New Roman" w:cs="Times New Roman" w:eastAsia="Times New Roman" w:hAnsi="Times New Roman"/>
          <w:sz w:val="18"/>
          <w:szCs w:val="18"/>
          <w:color w:val="000000"/>
        </w:rPr>
        <w:t>for the avoidance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doubt, </w:t>
      </w:r>
      <w:r>
        <w:rPr>
          <w:rFonts w:ascii="Times New Roman" w:cs="Times New Roman" w:eastAsia="Times New Roman" w:hAnsi="Times New Roman"/>
          <w:sz w:val="18"/>
          <w:szCs w:val="18"/>
          <w:u w:val="single" w:color="auto"/>
          <w:color w:val="0000FF"/>
        </w:rPr>
        <w:t>including</w:t>
      </w:r>
      <w:r>
        <w:rPr>
          <w:rFonts w:ascii="Times New Roman" w:cs="Times New Roman" w:eastAsia="Times New Roman" w:hAnsi="Times New Roman"/>
          <w:sz w:val="18"/>
          <w:szCs w:val="18"/>
          <w:color w:val="000000"/>
        </w:rPr>
        <w:t xml:space="preserve"> the First Lien Loan Document Obligations and the Second Lien Debt Document </w:t>
      </w:r>
      <w:r>
        <w:rPr>
          <w:rFonts w:ascii="Times New Roman" w:cs="Times New Roman" w:eastAsia="Times New Roman" w:hAnsi="Times New Roman"/>
          <w:sz w:val="18"/>
          <w:szCs w:val="18"/>
          <w:u w:val="single" w:color="auto"/>
          <w:color w:val="0000FF"/>
        </w:rPr>
        <w:t>Obligations but excluding any obligations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in respect of Capitalized Leases and Cash Management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Obligations), determined on a consolidated basis in accordance with GAAP (but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w:t>
      </w:r>
      <w:r>
        <w:rPr>
          <w:rFonts w:ascii="Times New Roman" w:cs="Times New Roman" w:eastAsia="Times New Roman" w:hAnsi="Times New Roman"/>
          <w:sz w:val="18"/>
          <w:szCs w:val="18"/>
          <w:color w:val="FF0000"/>
          <w:strike w:val="1"/>
        </w:rPr>
        <w:t>obligations in respect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Capitalized Leases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debt obligations evidenced by promissory notes or similar instruments, but excluding any obligations under or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respect of Qualified Securitization Facilities, </w:t>
      </w:r>
      <w:r>
        <w:rPr>
          <w:rFonts w:ascii="Times New Roman" w:cs="Times New Roman" w:eastAsia="Times New Roman" w:hAnsi="Times New Roman"/>
          <w:sz w:val="18"/>
          <w:szCs w:val="18"/>
          <w:u w:val="single" w:color="auto"/>
          <w:color w:val="000000"/>
        </w:rPr>
        <w:t>minus</w:t>
      </w:r>
      <w:r>
        <w:rPr>
          <w:rFonts w:ascii="Times New Roman" w:cs="Times New Roman" w:eastAsia="Times New Roman" w:hAnsi="Times New Roman"/>
          <w:sz w:val="18"/>
          <w:szCs w:val="18"/>
          <w:color w:val="000000"/>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Times New Roman" w:cs="Times New Roman" w:eastAsia="Times New Roman" w:hAnsi="Times New Roman"/>
          <w:sz w:val="18"/>
          <w:szCs w:val="18"/>
          <w:u w:val="single" w:color="auto"/>
          <w:color w:val="000000"/>
        </w:rPr>
        <w:t>pari passu</w:t>
      </w:r>
      <w:r>
        <w:rPr>
          <w:rFonts w:ascii="Times New Roman" w:cs="Times New Roman" w:eastAsia="Times New Roman" w:hAnsi="Times New Roman"/>
          <w:sz w:val="18"/>
          <w:szCs w:val="18"/>
          <w:color w:val="000000"/>
        </w:rPr>
        <w:t xml:space="preserve"> basis with, or a junior lien basis to, the Secured Obligations).</w:t>
      </w:r>
    </w:p>
    <w:p>
      <w:pPr>
        <w:spacing w:after="0" w:line="23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lien on the Collateral along with the Secured Obligations).</w:t>
      </w:r>
    </w:p>
    <w:p>
      <w:pPr>
        <w:spacing w:after="0" w:line="232"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sum of all amounts that would, in conformity with GAAP, be set forth opposite the caption “total current liabilities” (or any like caption) on a consolidated balance sheet of the Borrower and its Restricted Subsidiaries on such date, including</w:t>
      </w:r>
    </w:p>
    <w:p>
      <w:pPr>
        <w:sectPr>
          <w:pgSz w:w="11900" w:h="16838" w:orient="portrait"/>
          <w:cols w:equalWidth="0" w:num="1">
            <w:col w:w="10060"/>
          </w:cols>
          <w:pgMar w:left="1020" w:top="1336" w:right="819" w:bottom="1440" w:gutter="0" w:footer="0" w:header="0"/>
        </w:sectPr>
      </w:pPr>
    </w:p>
    <w:bookmarkStart w:id="508" w:name="page509"/>
    <w:bookmarkEnd w:id="508"/>
    <w:p>
      <w:pPr>
        <w:ind w:left="8" w:right="40"/>
        <w:spacing w:after="0" w:line="261" w:lineRule="auto"/>
        <w:rPr>
          <w:sz w:val="20"/>
          <w:szCs w:val="20"/>
          <w:color w:val="auto"/>
        </w:rPr>
      </w:pPr>
      <w:r>
        <w:rPr>
          <w:rFonts w:ascii="Times New Roman" w:cs="Times New Roman" w:eastAsia="Times New Roman" w:hAnsi="Times New Roman"/>
          <w:sz w:val="18"/>
          <w:szCs w:val="18"/>
          <w:color w:val="auto"/>
        </w:rPr>
        <w:t>deferred revenue but excluding, without duplication, (i) the current portion of any Funded Debt, (ii) all Indebtedness consisting of Loans and obligations under Letters of Credit to the extent otherwise included therein,</w:t>
      </w:r>
    </w:p>
    <w:p>
      <w:pPr>
        <w:jc w:val="both"/>
        <w:ind w:left="8" w:right="20" w:hanging="8"/>
        <w:spacing w:after="0" w:line="253" w:lineRule="auto"/>
        <w:tabs>
          <w:tab w:leader="none" w:pos="357"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portion of interest and (iv) the current portion of current and deferred income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spacing w:after="0" w:line="218"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has the meaning assigned to such term in the definition of “Excess Cash</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Flow.”</w:t>
      </w:r>
    </w:p>
    <w:p>
      <w:pPr>
        <w:spacing w:after="0" w:line="247" w:lineRule="exact"/>
        <w:rPr>
          <w:sz w:val="20"/>
          <w:szCs w:val="20"/>
          <w:color w:val="auto"/>
        </w:rPr>
      </w:pPr>
    </w:p>
    <w:p>
      <w:pPr>
        <w:jc w:val="both"/>
        <w:ind w:left="8"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21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has the meaning given such term in the definition of “Consolidated EBITDA.”</w:t>
      </w:r>
    </w:p>
    <w:p>
      <w:pPr>
        <w:spacing w:after="0" w:line="252" w:lineRule="exact"/>
        <w:rPr>
          <w:sz w:val="20"/>
          <w:szCs w:val="20"/>
          <w:color w:val="auto"/>
        </w:rPr>
      </w:pPr>
    </w:p>
    <w:p>
      <w:pPr>
        <w:ind w:left="1288" w:right="420" w:firstLine="1"/>
        <w:spacing w:after="0" w:line="4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Converted Unrestricted Subsidiary</w:t>
      </w:r>
      <w:r>
        <w:rPr>
          <w:rFonts w:ascii="Times New Roman" w:cs="Times New Roman" w:eastAsia="Times New Roman" w:hAnsi="Times New Roman"/>
          <w:sz w:val="17"/>
          <w:szCs w:val="17"/>
          <w:color w:val="auto"/>
        </w:rPr>
        <w:t>” has the meaning given such term in the definition of “Consolidated EBITDA.” “</w:t>
      </w:r>
      <w:r>
        <w:rPr>
          <w:rFonts w:ascii="Times New Roman" w:cs="Times New Roman" w:eastAsia="Times New Roman" w:hAnsi="Times New Roman"/>
          <w:sz w:val="17"/>
          <w:szCs w:val="17"/>
          <w:u w:val="single" w:color="auto"/>
          <w:color w:val="auto"/>
        </w:rPr>
        <w:t>Copyright</w:t>
      </w:r>
      <w:r>
        <w:rPr>
          <w:rFonts w:ascii="Times New Roman" w:cs="Times New Roman" w:eastAsia="Times New Roman" w:hAnsi="Times New Roman"/>
          <w:sz w:val="17"/>
          <w:szCs w:val="17"/>
          <w:color w:val="auto"/>
        </w:rPr>
        <w:t>” has the meaning assigned to such term in the First Lien Collateral Agreement. “</w:t>
      </w:r>
      <w:r>
        <w:rPr>
          <w:rFonts w:ascii="Times New Roman" w:cs="Times New Roman" w:eastAsia="Times New Roman" w:hAnsi="Times New Roman"/>
          <w:sz w:val="17"/>
          <w:szCs w:val="17"/>
          <w:u w:val="single" w:color="auto"/>
          <w:color w:val="auto"/>
        </w:rPr>
        <w:t>CORRA</w:t>
      </w:r>
      <w:r>
        <w:rPr>
          <w:rFonts w:ascii="Times New Roman" w:cs="Times New Roman" w:eastAsia="Times New Roman" w:hAnsi="Times New Roman"/>
          <w:sz w:val="17"/>
          <w:szCs w:val="17"/>
          <w:color w:val="auto"/>
        </w:rPr>
        <w:t>” means the</w:t>
      </w:r>
    </w:p>
    <w:p>
      <w:pPr>
        <w:spacing w:after="0" w:line="44"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Canadian Overnight Repo Rate Average administered and published by the</w:t>
      </w:r>
    </w:p>
    <w:p>
      <w:pPr>
        <w:spacing w:after="0" w:line="1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Bank of Canada (or any successor administrator of the Canadian Overnight Repo Rate Average).</w:t>
      </w:r>
    </w:p>
    <w:p>
      <w:pPr>
        <w:spacing w:after="0" w:line="266" w:lineRule="exact"/>
        <w:rPr>
          <w:sz w:val="20"/>
          <w:szCs w:val="20"/>
          <w:color w:val="auto"/>
        </w:rPr>
      </w:pPr>
    </w:p>
    <w:p>
      <w:pPr>
        <w:ind w:left="8" w:right="4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02" w:lineRule="exact"/>
        <w:rPr>
          <w:sz w:val="20"/>
          <w:szCs w:val="20"/>
          <w:color w:val="auto"/>
        </w:rPr>
      </w:pPr>
    </w:p>
    <w:p>
      <w:pPr>
        <w:ind w:left="8"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Jurisdiction</w:t>
      </w:r>
      <w:r>
        <w:rPr>
          <w:rFonts w:ascii="Times New Roman" w:cs="Times New Roman" w:eastAsia="Times New Roman" w:hAnsi="Times New Roman"/>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202" w:lineRule="exact"/>
        <w:rPr>
          <w:sz w:val="20"/>
          <w:szCs w:val="20"/>
          <w:color w:val="auto"/>
        </w:rPr>
      </w:pPr>
    </w:p>
    <w:p>
      <w:pPr>
        <w:jc w:val="both"/>
        <w:ind w:left="8" w:right="20" w:firstLine="13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Refinancing Indebtedness</w:t>
      </w:r>
      <w:r>
        <w:rPr>
          <w:rFonts w:ascii="Times New Roman" w:cs="Times New Roman" w:eastAsia="Times New Roman" w:hAnsi="Times New Roman"/>
          <w:sz w:val="18"/>
          <w:szCs w:val="18"/>
          <w:color w:val="auto"/>
        </w:rPr>
        <w:t xml:space="preserve">” means Indebtedness issued, incurred or otherwise obtained </w:t>
      </w:r>
      <w:r>
        <w:rPr>
          <w:rFonts w:ascii="Times New Roman" w:cs="Times New Roman" w:eastAsia="Times New Roman" w:hAnsi="Times New Roman"/>
          <w:sz w:val="18"/>
          <w:szCs w:val="18"/>
          <w:color w:val="FF0000"/>
          <w:strike w:val="1"/>
        </w:rPr>
        <w:t>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Borrower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(including by means of the extension or renewal of existing Indebtedness) in exchange for, or to extend, renew, replace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refinance, in whole or part, existing Term Loans, Revolving Loans (or unused Revolving Commitments) or First Lien Incremental Equivalent Debt (“</w:t>
      </w:r>
      <w:r>
        <w:rPr>
          <w:rFonts w:ascii="Times New Roman" w:cs="Times New Roman" w:eastAsia="Times New Roman" w:hAnsi="Times New Roman"/>
          <w:sz w:val="18"/>
          <w:szCs w:val="18"/>
          <w:u w:val="single" w:color="auto"/>
          <w:color w:val="000000"/>
        </w:rPr>
        <w:t>Refinanced Debt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exchanging, extending, renewing, replacing or refinancing Indebtedness (a) is in an original aggregate principal amount not greater than the aggregate principal amount of the Refinanced Debt (plus any premium, accrued interest and fees and expenses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 xml:space="preserve"> incurred in connection with such exchange, extension, renewal, replacement or refinancing </w:t>
      </w:r>
      <w:r>
        <w:rPr>
          <w:rFonts w:ascii="Times New Roman" w:cs="Times New Roman" w:eastAsia="Times New Roman" w:hAnsi="Times New Roman"/>
          <w:sz w:val="18"/>
          <w:szCs w:val="18"/>
          <w:color w:val="0000FF"/>
        </w:rPr>
        <w:t>or (2) paid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respect of the Refinanced Debt</w:t>
      </w:r>
      <w:r>
        <w:rPr>
          <w:rFonts w:ascii="Times New Roman" w:cs="Times New Roman" w:eastAsia="Times New Roman" w:hAnsi="Times New Roman"/>
          <w:sz w:val="18"/>
          <w:szCs w:val="18"/>
          <w:color w:val="000000"/>
        </w:rPr>
        <w:t>), (b</w:t>
      </w:r>
      <w:r>
        <w:rPr>
          <w:rFonts w:ascii="Times New Roman" w:cs="Times New Roman" w:eastAsia="Times New Roman" w:hAnsi="Times New Roman"/>
          <w:sz w:val="18"/>
          <w:szCs w:val="18"/>
          <w:color w:val="FF0000"/>
          <w:strike w:val="1"/>
        </w:rPr>
        <w:t>) (i</w:t>
      </w:r>
      <w:r>
        <w:rPr>
          <w:rFonts w:ascii="Times New Roman" w:cs="Times New Roman" w:eastAsia="Times New Roman" w:hAnsi="Times New Roman"/>
          <w:sz w:val="18"/>
          <w:szCs w:val="18"/>
          <w:color w:val="000000"/>
        </w:rPr>
        <w:t>) does not mature earlier than or, except in the case of Revolving Commitments, have a Weighted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Average Life to Maturity shorter than the Refinanced Debt </w:t>
      </w:r>
      <w:r>
        <w:rPr>
          <w:rFonts w:ascii="Times New Roman" w:cs="Times New Roman" w:eastAsia="Times New Roman" w:hAnsi="Times New Roman"/>
          <w:sz w:val="18"/>
          <w:szCs w:val="18"/>
          <w:color w:val="FF0000"/>
          <w:strike w:val="1"/>
        </w:rPr>
        <w:t>and (ii) if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such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Indebtedness is unsecured or secured by the Collateral on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junior lien basis to the Secured Obligations, does not mature or have scheduled amortization or payments of principal prior to the maturity date of the Refinanced Debt </w:t>
      </w:r>
      <w:r>
        <w:rPr>
          <w:rFonts w:ascii="Times New Roman" w:cs="Times New Roman" w:eastAsia="Times New Roman" w:hAnsi="Times New Roman"/>
          <w:sz w:val="18"/>
          <w:szCs w:val="18"/>
          <w:color w:val="000000"/>
          <w:strike w:val="1"/>
        </w:rPr>
        <w:t>(except in the case of customary bridge loans which, subject to customary conditions (including no payment 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bankruptcy event of default), would either automatically be converted into or required to be exchanged for permanent refinancing that does not mature earlier than the Refinanced Debt, (c) shall not be </w:t>
      </w:r>
      <w:r>
        <w:rPr>
          <w:rFonts w:ascii="Times New Roman" w:cs="Times New Roman" w:eastAsia="Times New Roman" w:hAnsi="Times New Roman"/>
          <w:sz w:val="18"/>
          <w:szCs w:val="18"/>
          <w:u w:val="single" w:color="auto"/>
          <w:color w:val="0000FF"/>
          <w:strike w:val="1"/>
        </w:rPr>
        <w:t>incurred or</w:t>
      </w:r>
      <w:r>
        <w:rPr>
          <w:rFonts w:ascii="Times New Roman" w:cs="Times New Roman" w:eastAsia="Times New Roman" w:hAnsi="Times New Roman"/>
          <w:sz w:val="18"/>
          <w:szCs w:val="18"/>
          <w:color w:val="000000"/>
          <w:strike w:val="1"/>
        </w:rPr>
        <w:t xml:space="preserv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5742940</wp:posOffset>
            </wp:positionH>
            <wp:positionV relativeFrom="paragraph">
              <wp:posOffset>-853440</wp:posOffset>
            </wp:positionV>
            <wp:extent cx="6369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ectPr>
          <w:pgSz w:w="11900" w:h="16838" w:orient="portrait"/>
          <w:cols w:equalWidth="0" w:num="1">
            <w:col w:w="10068"/>
          </w:cols>
          <w:pgMar w:left="1012" w:top="1336" w:right="819" w:bottom="1440" w:gutter="0" w:footer="0" w:header="0"/>
        </w:sectPr>
      </w:pPr>
    </w:p>
    <w:bookmarkStart w:id="509" w:name="page510"/>
    <w:bookmarkEnd w:id="509"/>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w:t>
      </w:r>
      <w:r>
        <w:rPr>
          <w:rFonts w:ascii="Times New Roman" w:cs="Times New Roman" w:eastAsia="Times New Roman" w:hAnsi="Times New Roman"/>
          <w:sz w:val="18"/>
          <w:szCs w:val="18"/>
          <w:color w:val="FF0000"/>
          <w:strike w:val="1"/>
        </w:rPr>
        <w:t>has covenants and events of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(excluding, for the avoidance of</w:t>
      </w:r>
      <w:r>
        <w:rPr>
          <w:rFonts w:ascii="Times New Roman" w:cs="Times New Roman" w:eastAsia="Times New Roman" w:hAnsi="Times New Roman"/>
          <w:sz w:val="18"/>
          <w:szCs w:val="18"/>
          <w:color w:val="FF0000"/>
        </w:rPr>
        <w:t xml:space="preserve"> doubt, pricing, interest rate </w:t>
      </w:r>
      <w:r>
        <w:rPr>
          <w:rFonts w:ascii="Times New Roman" w:cs="Times New Roman" w:eastAsia="Times New Roman" w:hAnsi="Times New Roman"/>
          <w:sz w:val="18"/>
          <w:szCs w:val="18"/>
          <w:color w:val="FF0000"/>
          <w:strike w:val="1"/>
        </w:rPr>
        <w:t>margins, rate floors, discounts, fees, premiums and prepayment or redemption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provisions) that are not materially more favorable (when taken as a whole) to</w:t>
      </w:r>
      <w:r>
        <w:rPr>
          <w:rFonts w:ascii="Times New Roman" w:cs="Times New Roman" w:eastAsia="Times New Roman" w:hAnsi="Times New Roman"/>
          <w:sz w:val="18"/>
          <w:szCs w:val="18"/>
          <w:u w:val="single" w:color="auto"/>
          <w:color w:val="0000FF"/>
          <w:strike w:val="1"/>
        </w:rPr>
        <w:t>otherwise has terms and conditions that shall be reasonably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satisfactory to the Borrower and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lenders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or investors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providing such</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Indebtedness than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the covenants and events of default of this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Agreement (when taken as a whole) are to the Lenders (unless (x) such covenants or other provisions are applicable only to periods after the maturity date of the Refinanced Debt at the time of such refinancing or (y) the Revolving Lenders or the Lenders under the Term Loans, as applicable, also receive the benefit of such more favorable covenants and events 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hereunder (and not for the benefit of any term loan facility hereunder) and/or (iii) only applicable after the Latest Maturity Date at the time of such refinancing)</w:t>
      </w:r>
      <w:r>
        <w:rPr>
          <w:rFonts w:ascii="Times New Roman" w:cs="Times New Roman" w:eastAsia="Times New Roman" w:hAnsi="Times New Roman"/>
          <w:sz w:val="18"/>
          <w:szCs w:val="18"/>
          <w:u w:val="single" w:color="auto"/>
          <w:color w:val="0000FF"/>
          <w:strike w:val="1"/>
        </w:rPr>
        <w:t>Credit Agreement Refinancing Indebtedness</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that the conditions in clause</w:t>
      </w: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8"/>
          <w:szCs w:val="18"/>
          <w:color w:val="000000"/>
          <w:strike w:val="1"/>
        </w:rPr>
        <w:t xml:space="preserve"> (b</w:t>
      </w:r>
      <w:r>
        <w:rPr>
          <w:rFonts w:ascii="Times New Roman" w:cs="Times New Roman" w:eastAsia="Times New Roman" w:hAnsi="Times New Roman"/>
          <w:sz w:val="18"/>
          <w:szCs w:val="18"/>
          <w:color w:val="FF0000"/>
          <w:strike w:val="1"/>
        </w:rPr>
        <w:t>) and</w:t>
      </w:r>
    </w:p>
    <w:p>
      <w:pPr>
        <w:spacing w:after="0" w:line="1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color w:val="000000"/>
        </w:rPr>
        <w:t>) above shall not apply to any ABL Facility. For the avoidance of doubt, it is understood and agreed that (x) notwithstanding anything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w:t>
      </w:r>
      <w:r>
        <w:rPr>
          <w:rFonts w:ascii="Times New Roman" w:cs="Times New Roman" w:eastAsia="Times New Roman" w:hAnsi="Times New Roman"/>
          <w:sz w:val="18"/>
          <w:szCs w:val="18"/>
          <w:color w:val="FF0000"/>
        </w:rPr>
        <w:t>and (y) such Credit Agreement Refinancing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Indebtedness</w:t>
      </w:r>
      <w:r>
        <w:rPr>
          <w:rFonts w:ascii="Times New Roman" w:cs="Times New Roman" w:eastAsia="Times New Roman" w:hAnsi="Times New Roman"/>
          <w:sz w:val="18"/>
          <w:szCs w:val="18"/>
          <w:color w:val="000000"/>
        </w:rPr>
        <w:t>. Notwithstanding anything to the contrary, no Credit Agreement Refinancing Indebtedness shall be subject to any “most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favored nation” pricing adjustments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-354965</wp:posOffset>
            </wp:positionV>
            <wp:extent cx="20732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3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assigned to such term in Section 7.02(a).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meaning assigned to such term in Section 7.02(a).</w:t>
      </w:r>
    </w:p>
    <w:p>
      <w:pPr>
        <w:spacing w:after="0" w:line="11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Intercreditor Agreement</w:t>
      </w:r>
      <w:r>
        <w:rPr>
          <w:rFonts w:ascii="Times New Roman" w:cs="Times New Roman" w:eastAsia="Times New Roman" w:hAnsi="Times New Roman"/>
          <w:sz w:val="18"/>
          <w:szCs w:val="18"/>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 objected to such changes within three (3) Business Days after posting, then the</w:t>
      </w:r>
    </w:p>
    <w:p>
      <w:pPr>
        <w:sectPr>
          <w:pgSz w:w="11900" w:h="16838" w:orient="portrait"/>
          <w:cols w:equalWidth="0" w:num="1">
            <w:col w:w="10040"/>
          </w:cols>
          <w:pgMar w:left="1020" w:top="1336" w:right="839" w:bottom="1440" w:gutter="0" w:footer="0" w:header="0"/>
        </w:sectPr>
      </w:pPr>
    </w:p>
    <w:bookmarkStart w:id="510" w:name="page511"/>
    <w:bookmarkEnd w:id="510"/>
    <w:p>
      <w:pPr>
        <w:jc w:val="both"/>
        <w:ind w:left="9" w:right="20"/>
        <w:spacing w:after="0" w:line="266" w:lineRule="auto"/>
        <w:rPr>
          <w:sz w:val="20"/>
          <w:szCs w:val="20"/>
          <w:color w:val="auto"/>
        </w:rPr>
      </w:pPr>
      <w:r>
        <w:rPr>
          <w:rFonts w:ascii="Times New Roman" w:cs="Times New Roman" w:eastAsia="Times New Roman" w:hAnsi="Times New Roman"/>
          <w:sz w:val="18"/>
          <w:szCs w:val="18"/>
          <w:color w:val="auto"/>
        </w:rPr>
        <w:t>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216" w:lineRule="exact"/>
        <w:rPr>
          <w:sz w:val="20"/>
          <w:szCs w:val="20"/>
          <w:color w:val="auto"/>
        </w:rPr>
      </w:pPr>
    </w:p>
    <w:p>
      <w:pPr>
        <w:jc w:val="both"/>
        <w:ind w:left="9"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 (i) Sterling, Adjusted Daily Simple SONIA for the day that is 5 RFR Business Days prior to (A) if such RFR Interest Day is an RFR Business Day, such RFR Interest Day or (B) if such RFR Interest Day is not an RFR Business Day, the RFR Business Day immediately preceding such RFR, and (ii) Dollars, Adjusted Daily Simple SOFR.</w:t>
      </w:r>
    </w:p>
    <w:p>
      <w:pPr>
        <w:spacing w:after="0" w:line="220"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that is five</w:t>
      </w:r>
    </w:p>
    <w:p>
      <w:pPr>
        <w:spacing w:after="0" w:line="27" w:lineRule="exact"/>
        <w:rPr>
          <w:sz w:val="20"/>
          <w:szCs w:val="20"/>
          <w:color w:val="auto"/>
        </w:rPr>
      </w:pPr>
    </w:p>
    <w:p>
      <w:pPr>
        <w:jc w:val="both"/>
        <w:ind w:left="9" w:right="40" w:hanging="9"/>
        <w:spacing w:after="0" w:line="253" w:lineRule="auto"/>
        <w:tabs>
          <w:tab w:leader="none" w:pos="267"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RFR Business Days prior to (i) if such SOFR Rate Day is a RFR Business Day, such SOFR Rate Day or (ii) if such SOFR Rate Day is not a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229" w:lineRule="exact"/>
        <w:rPr>
          <w:sz w:val="20"/>
          <w:szCs w:val="20"/>
          <w:color w:val="auto"/>
        </w:rPr>
      </w:pPr>
    </w:p>
    <w:p>
      <w:pPr>
        <w:jc w:val="both"/>
        <w:ind w:left="9" w:right="40" w:firstLine="1295"/>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Simple SONIA</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u w:val="single" w:color="auto"/>
          <w:color w:val="auto"/>
        </w:rPr>
        <w:t>SONIA Interest Day</w:t>
      </w:r>
      <w:r>
        <w:rPr>
          <w:rFonts w:ascii="Times New Roman" w:cs="Times New Roman" w:eastAsia="Times New Roman" w:hAnsi="Times New Roman"/>
          <w:sz w:val="17"/>
          <w:szCs w:val="17"/>
          <w:color w:val="auto"/>
        </w:rPr>
        <w:t>”), an interest rate per annum equal to SONIA for the day that is five SONIA Business Days prior to (a) if such SONIA Interest Day is a SONIA Business Day, such SONIA Interest Day or (b) if such SONIA Interest Day is not a SONIA Business Day, the SONIA Business Day immediately preceding such SONIA Interest Day.</w:t>
      </w:r>
    </w:p>
    <w:p>
      <w:pPr>
        <w:spacing w:after="0" w:line="198" w:lineRule="exact"/>
        <w:rPr>
          <w:sz w:val="20"/>
          <w:szCs w:val="20"/>
          <w:color w:val="auto"/>
        </w:rPr>
      </w:pPr>
    </w:p>
    <w:p>
      <w:pPr>
        <w:jc w:val="both"/>
        <w:ind w:left="9"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203" w:lineRule="exact"/>
        <w:rPr>
          <w:sz w:val="20"/>
          <w:szCs w:val="20"/>
          <w:color w:val="auto"/>
        </w:rPr>
      </w:pPr>
    </w:p>
    <w:p>
      <w:pPr>
        <w:jc w:val="both"/>
        <w:ind w:left="9" w:right="4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202" w:lineRule="exact"/>
        <w:rPr>
          <w:sz w:val="20"/>
          <w:szCs w:val="20"/>
          <w:color w:val="auto"/>
        </w:rPr>
      </w:pPr>
    </w:p>
    <w:p>
      <w:pPr>
        <w:jc w:val="both"/>
        <w:ind w:left="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 (c) 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w:t>
      </w:r>
    </w:p>
    <w:p>
      <w:pPr>
        <w:sectPr>
          <w:pgSz w:w="11900" w:h="16838" w:orient="portrait"/>
          <w:cols w:equalWidth="0" w:num="1">
            <w:col w:w="10069"/>
          </w:cols>
          <w:pgMar w:left="1011" w:top="1336" w:right="819" w:bottom="1440" w:gutter="0" w:footer="0" w:header="0"/>
        </w:sectPr>
      </w:pPr>
    </w:p>
    <w:bookmarkStart w:id="511" w:name="page512"/>
    <w:bookmarkEnd w:id="511"/>
    <w:p>
      <w:pPr>
        <w:jc w:val="both"/>
        <w:spacing w:after="0" w:line="258" w:lineRule="auto"/>
        <w:rPr>
          <w:sz w:val="20"/>
          <w:szCs w:val="20"/>
          <w:color w:val="auto"/>
        </w:rPr>
      </w:pPr>
      <w:r>
        <w:rPr>
          <w:rFonts w:ascii="Times New Roman" w:cs="Times New Roman" w:eastAsia="Times New Roman" w:hAnsi="Times New Roman"/>
          <w:sz w:val="18"/>
          <w:szCs w:val="18"/>
          <w:color w:val="auto"/>
        </w:rPr>
        <w:t>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359" w:lineRule="exact"/>
        <w:rPr>
          <w:sz w:val="20"/>
          <w:szCs w:val="20"/>
          <w:color w:val="auto"/>
        </w:rPr>
      </w:pPr>
    </w:p>
    <w:p>
      <w:pPr>
        <w:jc w:val="both"/>
        <w:ind w:right="4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 Fronting Exposure</w:t>
      </w:r>
      <w:r>
        <w:rPr>
          <w:rFonts w:ascii="Times New Roman" w:cs="Times New Roman" w:eastAsia="Times New Roman" w:hAnsi="Times New Roman"/>
          <w:sz w:val="18"/>
          <w:szCs w:val="18"/>
          <w:color w:val="auto"/>
        </w:rPr>
        <w:t>”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229" w:lineRule="exact"/>
        <w:rPr>
          <w:sz w:val="20"/>
          <w:szCs w:val="20"/>
          <w:color w:val="auto"/>
        </w:rPr>
      </w:pPr>
    </w:p>
    <w:p>
      <w:pPr>
        <w:jc w:val="both"/>
        <w:ind w:right="40" w:firstLine="13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Prepayment Accepting Lender</w:t>
      </w:r>
      <w:r>
        <w:rPr>
          <w:rFonts w:ascii="Times New Roman" w:cs="Times New Roman" w:eastAsia="Times New Roman" w:hAnsi="Times New Roman"/>
          <w:sz w:val="18"/>
          <w:szCs w:val="18"/>
          <w:color w:val="auto"/>
        </w:rPr>
        <w:t>” has the meaning assigned to such term in Section 2.11(a)(ii)(B)(2).</w:t>
      </w:r>
    </w:p>
    <w:p>
      <w:pPr>
        <w:spacing w:after="0" w:line="2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has the meaning assigned to such term in Section 2.11(a)(ii)(C)(1).</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Amount</w:t>
      </w:r>
      <w:r>
        <w:rPr>
          <w:rFonts w:ascii="Times New Roman" w:cs="Times New Roman" w:eastAsia="Times New Roman" w:hAnsi="Times New Roman"/>
          <w:sz w:val="18"/>
          <w:szCs w:val="18"/>
          <w:color w:val="auto"/>
        </w:rPr>
        <w:t>” has the meaning assigned to such term in Section 2.11(a)(ii)(C)(1).</w:t>
      </w:r>
    </w:p>
    <w:p>
      <w:pPr>
        <w:spacing w:after="0" w:line="266" w:lineRule="exact"/>
        <w:rPr>
          <w:sz w:val="20"/>
          <w:szCs w:val="20"/>
          <w:color w:val="auto"/>
        </w:rPr>
      </w:pPr>
    </w:p>
    <w:p>
      <w:pPr>
        <w:jc w:val="both"/>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Notice</w:t>
      </w:r>
      <w:r>
        <w:rPr>
          <w:rFonts w:ascii="Times New Roman" w:cs="Times New Roman" w:eastAsia="Times New Roman" w:hAnsi="Times New Roman"/>
          <w:sz w:val="18"/>
          <w:szCs w:val="18"/>
          <w:color w:val="auto"/>
        </w:rPr>
        <w:t>” means a written notice of a Borrower Solicitation of Discount Range Prepayment Offers made pursuant to Section 2.11(a)(ii)(C) substantially in the form of Exhibit I.</w:t>
      </w:r>
    </w:p>
    <w:p>
      <w:pPr>
        <w:spacing w:after="0" w:line="202"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Offer</w:t>
      </w:r>
      <w:r>
        <w:rPr>
          <w:rFonts w:ascii="Times New Roman" w:cs="Times New Roman" w:eastAsia="Times New Roman" w:hAnsi="Times New Roman"/>
          <w:sz w:val="18"/>
          <w:szCs w:val="18"/>
          <w:color w:val="auto"/>
        </w:rPr>
        <w:t>” means the irrevocable written offer by a Term Lender, substantially in the form of Exhibit J, submitted in response to an invitation to submit offers following the Auction Agent’s receipt of a Discount Range Prepayment Notice.</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Response Date</w:t>
      </w:r>
      <w:r>
        <w:rPr>
          <w:rFonts w:ascii="Times New Roman" w:cs="Times New Roman" w:eastAsia="Times New Roman" w:hAnsi="Times New Roman"/>
          <w:sz w:val="18"/>
          <w:szCs w:val="18"/>
          <w:color w:val="auto"/>
        </w:rPr>
        <w:t>” has the meaning assigned to such term in Section 2.11(a)(ii)(C)(1).</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Proration</w:t>
      </w:r>
      <w:r>
        <w:rPr>
          <w:rFonts w:ascii="Times New Roman" w:cs="Times New Roman" w:eastAsia="Times New Roman" w:hAnsi="Times New Roman"/>
          <w:sz w:val="18"/>
          <w:szCs w:val="18"/>
          <w:color w:val="auto"/>
        </w:rPr>
        <w:t>” has the meaning assigned to such term in Section 2.11(a)(ii)(C)(3). “</w:t>
      </w:r>
      <w:r>
        <w:rPr>
          <w:rFonts w:ascii="Times New Roman" w:cs="Times New Roman" w:eastAsia="Times New Roman" w:hAnsi="Times New Roman"/>
          <w:sz w:val="18"/>
          <w:szCs w:val="18"/>
          <w:u w:val="single" w:color="auto"/>
          <w:color w:val="auto"/>
        </w:rPr>
        <w:t>Discounted Prepayment</w:t>
      </w:r>
    </w:p>
    <w:p>
      <w:pPr>
        <w:spacing w:after="0" w:line="293" w:lineRule="exact"/>
        <w:rPr>
          <w:sz w:val="20"/>
          <w:szCs w:val="20"/>
          <w:color w:val="auto"/>
        </w:rPr>
      </w:pPr>
    </w:p>
    <w:p>
      <w:pPr>
        <w:ind w:right="4280" w:firstLine="1295"/>
        <w:spacing w:after="0" w:line="438" w:lineRule="auto"/>
        <w:rPr>
          <w:sz w:val="20"/>
          <w:szCs w:val="20"/>
          <w:color w:val="auto"/>
        </w:rPr>
      </w:pP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has the meaning assigned to such term in Section 2.11(a)(ii)(D)(3).</w:t>
      </w:r>
    </w:p>
    <w:p>
      <w:pPr>
        <w:spacing w:after="0" w:line="68" w:lineRule="exact"/>
        <w:rPr>
          <w:sz w:val="20"/>
          <w:szCs w:val="20"/>
          <w:color w:val="auto"/>
        </w:rPr>
      </w:pPr>
    </w:p>
    <w:p>
      <w:pPr>
        <w:jc w:val="both"/>
        <w:ind w:right="60" w:firstLine="129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Prepayment Effective Date</w:t>
      </w:r>
      <w:r>
        <w:rPr>
          <w:rFonts w:ascii="Times New Roman" w:cs="Times New Roman" w:eastAsia="Times New Roman" w:hAnsi="Times New Roman"/>
          <w:sz w:val="18"/>
          <w:szCs w:val="18"/>
          <w:color w:val="auto"/>
        </w:rPr>
        <w:t>” means in the case of a Borrower Offer of Specified Discount Prepayment or Borrower Solicitation of Discount Range Prepayment Offer, five (5) Business Days following the receipt by each relevant Term Lender of notice from the Auction Agent in accordance with Section 2.11(a)(ii)(B), Section 2.11(a)(ii)(C) or Section 2.11(a)(ii)(D), as applicable unless a shorter period is agreed to between the Borrower and the Auction Agent.</w:t>
      </w:r>
    </w:p>
    <w:p>
      <w:pPr>
        <w:sectPr>
          <w:pgSz w:w="11900" w:h="16838" w:orient="portrait"/>
          <w:cols w:equalWidth="0" w:num="1">
            <w:col w:w="10060"/>
          </w:cols>
          <w:pgMar w:left="1020" w:top="1336" w:right="819" w:bottom="1440" w:gutter="0" w:footer="0" w:header="0"/>
        </w:sectPr>
      </w:pPr>
    </w:p>
    <w:bookmarkStart w:id="512" w:name="page513"/>
    <w:bookmarkEnd w:id="512"/>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Term Loan Prepayment</w:t>
      </w:r>
      <w:r>
        <w:rPr>
          <w:rFonts w:ascii="Times New Roman" w:cs="Times New Roman" w:eastAsia="Times New Roman" w:hAnsi="Times New Roman"/>
          <w:sz w:val="18"/>
          <w:szCs w:val="18"/>
          <w:color w:val="auto"/>
        </w:rPr>
        <w:t>” has the meaning assigned to such term in Section 2.11(a)(ii)(A).</w:t>
      </w:r>
    </w:p>
    <w:p>
      <w:pPr>
        <w:spacing w:after="0" w:line="144"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each has the meaning assigned to such term in Section 6.05. “</w:t>
      </w: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means,</w:t>
      </w:r>
    </w:p>
    <w:p>
      <w:pPr>
        <w:spacing w:after="0" w:line="293"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with respect to any Sold Entity or Business or Converted</w:t>
      </w:r>
    </w:p>
    <w:p>
      <w:pPr>
        <w:spacing w:after="0" w:line="144" w:lineRule="exact"/>
        <w:rPr>
          <w:sz w:val="20"/>
          <w:szCs w:val="20"/>
          <w:color w:val="auto"/>
        </w:rPr>
      </w:pPr>
    </w:p>
    <w:p>
      <w:pPr>
        <w:jc w:val="both"/>
        <w:ind w:left="9"/>
        <w:spacing w:after="0" w:line="258" w:lineRule="auto"/>
        <w:rPr>
          <w:sz w:val="20"/>
          <w:szCs w:val="20"/>
          <w:color w:val="auto"/>
        </w:rPr>
      </w:pPr>
      <w:r>
        <w:rPr>
          <w:rFonts w:ascii="Times New Roman" w:cs="Times New Roman" w:eastAsia="Times New Roman" w:hAnsi="Times New Roman"/>
          <w:sz w:val="18"/>
          <w:szCs w:val="18"/>
          <w:color w:val="auto"/>
        </w:rPr>
        <w:t>Unrestricted 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224" w:lineRule="exact"/>
        <w:rPr>
          <w:sz w:val="20"/>
          <w:szCs w:val="20"/>
          <w:color w:val="auto"/>
        </w:rPr>
      </w:pPr>
    </w:p>
    <w:p>
      <w:pPr>
        <w:jc w:val="both"/>
        <w:ind w:left="9"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216" w:lineRule="exact"/>
        <w:rPr>
          <w:sz w:val="20"/>
          <w:szCs w:val="20"/>
          <w:color w:val="auto"/>
        </w:rPr>
      </w:pPr>
    </w:p>
    <w:p>
      <w:pPr>
        <w:jc w:val="both"/>
        <w:ind w:left="649" w:right="40" w:firstLine="647"/>
        <w:spacing w:after="0" w:line="266" w:lineRule="auto"/>
        <w:tabs>
          <w:tab w:leader="none" w:pos="1902"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202" w:lineRule="exact"/>
        <w:rPr>
          <w:rFonts w:ascii="Times New Roman" w:cs="Times New Roman" w:eastAsia="Times New Roman" w:hAnsi="Times New Roman"/>
          <w:sz w:val="18"/>
          <w:szCs w:val="18"/>
          <w:color w:val="auto"/>
        </w:rPr>
      </w:pPr>
    </w:p>
    <w:p>
      <w:pPr>
        <w:jc w:val="both"/>
        <w:ind w:left="649" w:right="40" w:firstLine="647"/>
        <w:spacing w:after="0" w:line="266" w:lineRule="auto"/>
        <w:tabs>
          <w:tab w:leader="none" w:pos="1898"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216" w:lineRule="exact"/>
        <w:rPr>
          <w:rFonts w:ascii="Times New Roman" w:cs="Times New Roman" w:eastAsia="Times New Roman" w:hAnsi="Times New Roman"/>
          <w:sz w:val="18"/>
          <w:szCs w:val="18"/>
          <w:color w:val="auto"/>
        </w:rPr>
      </w:pPr>
    </w:p>
    <w:p>
      <w:pPr>
        <w:jc w:val="both"/>
        <w:ind w:left="649" w:right="40" w:firstLine="647"/>
        <w:spacing w:after="0" w:line="266" w:lineRule="auto"/>
        <w:tabs>
          <w:tab w:leader="none" w:pos="1902"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21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in each case, on or prior to the date ninety-one (91) days after the Latest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27" w:lineRule="exact"/>
        <w:rPr>
          <w:sz w:val="20"/>
          <w:szCs w:val="20"/>
          <w:color w:val="auto"/>
        </w:rPr>
      </w:pPr>
    </w:p>
    <w:p>
      <w:pPr>
        <w:jc w:val="both"/>
        <w:ind w:left="9" w:right="40" w:hanging="9"/>
        <w:spacing w:after="0" w:line="252" w:lineRule="auto"/>
        <w:tabs>
          <w:tab w:leader="none" w:pos="228"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229" w:lineRule="exact"/>
        <w:rPr>
          <w:sz w:val="20"/>
          <w:szCs w:val="20"/>
          <w:color w:val="auto"/>
        </w:rPr>
      </w:pPr>
    </w:p>
    <w:p>
      <w:pPr>
        <w:jc w:val="both"/>
        <w:ind w:left="9"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xml:space="preserve">” means, (i) those Persons identified by the Borrower to the First Lien Administrative Agent in writing (x) with respect to the </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auto"/>
        </w:rPr>
        <w:t xml:space="preserve"> Term Loans,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prior to </w:t>
      </w:r>
      <w:r>
        <w:rPr>
          <w:rFonts w:ascii="Times New Roman" w:cs="Times New Roman" w:eastAsia="Times New Roman" w:hAnsi="Times New Roman"/>
          <w:sz w:val="18"/>
          <w:szCs w:val="18"/>
          <w:color w:val="FF0000"/>
          <w:strike w:val="1"/>
        </w:rPr>
        <w:t>November 21, 2019</w:t>
      </w:r>
      <w:r>
        <w:rPr>
          <w:rFonts w:ascii="Times New Roman" w:cs="Times New Roman" w:eastAsia="Times New Roman" w:hAnsi="Times New Roman"/>
          <w:sz w:val="18"/>
          <w:szCs w:val="18"/>
          <w:u w:val="single" w:color="auto"/>
          <w:color w:val="0000FF"/>
        </w:rPr>
        <w:t>the Amendment No. 4 Effective Date</w:t>
      </w:r>
      <w:r>
        <w:rPr>
          <w:rFonts w:ascii="Times New Roman" w:cs="Times New Roman" w:eastAsia="Times New Roman" w:hAnsi="Times New Roman"/>
          <w:sz w:val="18"/>
          <w:szCs w:val="18"/>
          <w:color w:val="auto"/>
        </w:rPr>
        <w:t xml:space="preserve"> as being “Disqualified Lenders” </w:t>
      </w:r>
      <w:r>
        <w:rPr>
          <w:rFonts w:ascii="Times New Roman" w:cs="Times New Roman" w:eastAsia="Times New Roman" w:hAnsi="Times New Roman"/>
          <w:sz w:val="18"/>
          <w:szCs w:val="18"/>
          <w:u w:val="single" w:color="auto"/>
          <w:color w:val="0000FF"/>
        </w:rPr>
        <w:t>or (II) in writing on or after the Amendment No. 4 Effective Date with the consent of the First Lien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or Commitment prior to such second Business Day after such written designation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(y) with respect to the Revolving Loans, (I) prior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Amendment No. 3 Effective Date as being “Disqualified Lenders” or (II) in writing on or after the Amendment No. 3 Effective Date with the consent of the First Lien Administrative 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w:t>
      </w:r>
    </w:p>
    <w:p>
      <w:pPr>
        <w:sectPr>
          <w:pgSz w:w="11900" w:h="16838" w:orient="portrait"/>
          <w:cols w:equalWidth="0" w:num="1">
            <w:col w:w="10069"/>
          </w:cols>
          <w:pgMar w:left="1011" w:top="1336" w:right="819" w:bottom="1440" w:gutter="0" w:footer="0" w:header="0"/>
        </w:sectPr>
      </w:pPr>
    </w:p>
    <w:bookmarkStart w:id="513" w:name="page514"/>
    <w:bookmarkEnd w:id="513"/>
    <w:p>
      <w:pPr>
        <w:jc w:val="both"/>
        <w:spacing w:after="0" w:line="252" w:lineRule="auto"/>
        <w:rPr>
          <w:sz w:val="20"/>
          <w:szCs w:val="20"/>
          <w:color w:val="auto"/>
        </w:rPr>
      </w:pPr>
      <w:r>
        <w:rPr>
          <w:rFonts w:ascii="Times New Roman" w:cs="Times New Roman" w:eastAsia="Times New Roman" w:hAnsi="Times New Roman"/>
          <w:sz w:val="18"/>
          <w:szCs w:val="18"/>
          <w:color w:val="auto"/>
        </w:rPr>
        <w:t>that previously acquired an assignment or participation interest in any Loan or Commitment prior to such second Business Day after such written designation,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 Person identified pursuant to clauses (i) or (ii) above, any of their Affiliates that are either (x) identified in writing by the Sponsor or the Borrower to the First Lien Administrative Agent from time to time or (y) known or reasonably identifiable as an Affiliate of any such Person, (v) any Lender that has made an incorrect representation or warranty or deemed representation or warranty with respect to not being a Net Short Lender, in each case as provided in the final sentence of Section 9.02(h) or (vi) solely with respect to the Revolving Loans, any Lender that informs the First Lien Administrative Agent that it is a Net Short Lender. Upon 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means, at any time:</w:t>
      </w:r>
    </w:p>
    <w:p>
      <w:pPr>
        <w:spacing w:after="0" w:line="266" w:lineRule="exact"/>
        <w:rPr>
          <w:sz w:val="20"/>
          <w:szCs w:val="20"/>
          <w:color w:val="auto"/>
        </w:rPr>
      </w:pPr>
    </w:p>
    <w:p>
      <w:pPr>
        <w:ind w:left="1940" w:hanging="652"/>
        <w:spacing w:after="0"/>
        <w:tabs>
          <w:tab w:leader="none" w:pos="194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Dollars, such amount;</w:t>
      </w:r>
    </w:p>
    <w:p>
      <w:pPr>
        <w:spacing w:after="0" w:line="252" w:lineRule="exact"/>
        <w:rPr>
          <w:rFonts w:ascii="Times New Roman" w:cs="Times New Roman" w:eastAsia="Times New Roman" w:hAnsi="Times New Roman"/>
          <w:sz w:val="18"/>
          <w:szCs w:val="18"/>
          <w:color w:val="auto"/>
        </w:rPr>
      </w:pPr>
    </w:p>
    <w:p>
      <w:pPr>
        <w:jc w:val="both"/>
        <w:ind w:right="20" w:firstLine="1287"/>
        <w:spacing w:after="0" w:line="258" w:lineRule="auto"/>
        <w:tabs>
          <w:tab w:leader="none" w:pos="1897"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spacing w:after="0" w:line="223" w:lineRule="exact"/>
        <w:rPr>
          <w:rFonts w:ascii="Times New Roman" w:cs="Times New Roman" w:eastAsia="Times New Roman" w:hAnsi="Times New Roman"/>
          <w:sz w:val="18"/>
          <w:szCs w:val="18"/>
          <w:color w:val="auto"/>
        </w:rPr>
      </w:pPr>
    </w:p>
    <w:p>
      <w:pPr>
        <w:jc w:val="both"/>
        <w:ind w:right="20" w:firstLine="1288"/>
        <w:spacing w:after="0" w:line="266" w:lineRule="auto"/>
        <w:tabs>
          <w:tab w:leader="none" w:pos="1901"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66" w:lineRule="exact"/>
        <w:rPr>
          <w:sz w:val="20"/>
          <w:szCs w:val="20"/>
          <w:color w:val="auto"/>
        </w:rPr>
      </w:pPr>
    </w:p>
    <w:p>
      <w:pPr>
        <w:ind w:righ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Foreign Holdco</w:t>
      </w:r>
      <w:r>
        <w:rPr>
          <w:rFonts w:ascii="Times New Roman" w:cs="Times New Roman" w:eastAsia="Times New Roman" w:hAnsi="Times New Roman"/>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means, with respect to the prepayment required by Section 2.11(d) with respect to any fiscal year of the Borrower, 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w:t>
      </w:r>
    </w:p>
    <w:p>
      <w:pPr>
        <w:spacing w:after="0" w:line="22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ectPr>
          <w:pgSz w:w="11900" w:h="16838" w:orient="portrait"/>
          <w:cols w:equalWidth="0" w:num="1">
            <w:col w:w="10040"/>
          </w:cols>
          <w:pgMar w:left="1020" w:top="1336" w:right="839" w:bottom="1440" w:gutter="0" w:footer="0" w:header="0"/>
        </w:sectPr>
      </w:pPr>
    </w:p>
    <w:bookmarkStart w:id="514" w:name="page515"/>
    <w:bookmarkEnd w:id="514"/>
    <w:p>
      <w:pPr>
        <w:spacing w:after="0" w:line="153" w:lineRule="exact"/>
        <w:rPr>
          <w:sz w:val="20"/>
          <w:szCs w:val="20"/>
          <w:color w:val="auto"/>
        </w:rPr>
      </w:pPr>
    </w:p>
    <w:p>
      <w:pPr>
        <w:jc w:val="both"/>
        <w:ind w:left="9" w:righ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Norway and the United Kingdom.</w:t>
      </w:r>
    </w:p>
    <w:p>
      <w:pPr>
        <w:spacing w:after="0" w:line="202" w:lineRule="exact"/>
        <w:rPr>
          <w:sz w:val="20"/>
          <w:szCs w:val="20"/>
          <w:color w:val="auto"/>
        </w:rPr>
      </w:pPr>
    </w:p>
    <w:p>
      <w:pPr>
        <w:jc w:val="both"/>
        <w:ind w:left="9"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203"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December 13, 2019.</w:t>
      </w:r>
    </w:p>
    <w:p>
      <w:pPr>
        <w:spacing w:after="0" w:line="266" w:lineRule="exact"/>
        <w:rPr>
          <w:sz w:val="20"/>
          <w:szCs w:val="20"/>
          <w:color w:val="auto"/>
        </w:rPr>
      </w:pPr>
    </w:p>
    <w:p>
      <w:pPr>
        <w:jc w:val="both"/>
        <w:ind w:left="9" w:right="20"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xml:space="preserve">” means, as to any Indebtedness, the effective yield on such Indebtedness in the reasonable determination of the First Lien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arrangement, syndication, commitment, </w:t>
      </w:r>
      <w:r>
        <w:rPr>
          <w:rFonts w:ascii="Times New Roman" w:cs="Times New Roman" w:eastAsia="Times New Roman" w:hAnsi="Times New Roman"/>
          <w:sz w:val="18"/>
          <w:szCs w:val="18"/>
          <w:color w:val="FF0000"/>
          <w:strike w:val="1"/>
        </w:rPr>
        <w:t>prepayment</w:t>
      </w:r>
      <w:r>
        <w:rPr>
          <w:rFonts w:ascii="Times New Roman" w:cs="Times New Roman" w:eastAsia="Times New Roman" w:hAnsi="Times New Roman"/>
          <w:sz w:val="18"/>
          <w:szCs w:val="18"/>
          <w:u w:val="single" w:color="auto"/>
          <w:color w:val="0000FF"/>
        </w:rPr>
        <w:t>underwriting</w:t>
      </w:r>
      <w:r>
        <w:rPr>
          <w:rFonts w:ascii="Times New Roman" w:cs="Times New Roman" w:eastAsia="Times New Roman" w:hAnsi="Times New Roman"/>
          <w:sz w:val="18"/>
          <w:szCs w:val="18"/>
          <w:color w:val="000000"/>
        </w:rPr>
        <w:t>, structuring,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ticking or other similar</w:t>
      </w:r>
      <w:r>
        <w:rPr>
          <w:rFonts w:ascii="Times New Roman" w:cs="Times New Roman" w:eastAsia="Times New Roman" w:hAnsi="Times New Roman"/>
          <w:sz w:val="18"/>
          <w:szCs w:val="18"/>
          <w:u w:val="single" w:color="auto"/>
          <w:color w:val="0000FF"/>
        </w:rPr>
        <w:t>unused line, consent, amendment, success, advisory, exit, ticking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commitment fees and prepayment premium or penalty payable in connection therewith (regardless of whether shared or paid, in whole or in part, with or to any or all lenders), (ii) other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fees payable in connection therewith that are not generally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shared with the</w:t>
      </w:r>
      <w:r>
        <w:rPr>
          <w:rFonts w:ascii="Times New Roman" w:cs="Times New Roman" w:eastAsia="Times New Roman" w:hAnsi="Times New Roman"/>
          <w:sz w:val="18"/>
          <w:szCs w:val="18"/>
          <w:u w:val="single" w:color="auto"/>
          <w:color w:val="0000FF"/>
        </w:rPr>
        <w:t>paid to 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relevant </w:t>
      </w:r>
      <w:r>
        <w:rPr>
          <w:rFonts w:ascii="Times New Roman" w:cs="Times New Roman" w:eastAsia="Times New Roman" w:hAnsi="Times New Roman"/>
          <w:sz w:val="18"/>
          <w:szCs w:val="18"/>
          <w:color w:val="FF0000"/>
          <w:strike w:val="1"/>
        </w:rPr>
        <w:t>L</w:t>
      </w:r>
      <w:r>
        <w:rPr>
          <w:rFonts w:ascii="Times New Roman" w:cs="Times New Roman" w:eastAsia="Times New Roman" w:hAnsi="Times New Roman"/>
          <w:sz w:val="18"/>
          <w:szCs w:val="18"/>
          <w:color w:val="0000FF"/>
        </w:rPr>
        <w:t>l</w:t>
      </w:r>
      <w:r>
        <w:rPr>
          <w:rFonts w:ascii="Times New Roman" w:cs="Times New Roman" w:eastAsia="Times New Roman" w:hAnsi="Times New Roman"/>
          <w:sz w:val="18"/>
          <w:szCs w:val="18"/>
          <w:color w:val="000000"/>
        </w:rPr>
        <w:t xml:space="preserve">enders </w:t>
      </w:r>
      <w:r>
        <w:rPr>
          <w:rFonts w:ascii="Times New Roman" w:cs="Times New Roman" w:eastAsia="Times New Roman" w:hAnsi="Times New Roman"/>
          <w:sz w:val="18"/>
          <w:szCs w:val="18"/>
          <w:u w:val="single" w:color="auto"/>
          <w:color w:val="0000FF"/>
        </w:rPr>
        <w:t>providing such Indebtedness of such type</w:t>
      </w:r>
      <w:r>
        <w:rPr>
          <w:rFonts w:ascii="Times New Roman" w:cs="Times New Roman" w:eastAsia="Times New Roman" w:hAnsi="Times New Roman"/>
          <w:sz w:val="18"/>
          <w:szCs w:val="18"/>
          <w:color w:val="000000"/>
        </w:rPr>
        <w:t xml:space="preserve"> and</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xml:space="preserve"> if applicable, consent </w:t>
      </w:r>
      <w:r>
        <w:rPr>
          <w:rFonts w:ascii="Times New Roman" w:cs="Times New Roman" w:eastAsia="Times New Roman" w:hAnsi="Times New Roman"/>
          <w:sz w:val="18"/>
          <w:szCs w:val="18"/>
          <w:u w:val="single" w:color="auto"/>
          <w:color w:val="0000FF"/>
        </w:rPr>
        <w:t>or waiver</w:t>
      </w:r>
      <w:r>
        <w:rPr>
          <w:rFonts w:ascii="Times New Roman" w:cs="Times New Roman" w:eastAsia="Times New Roman" w:hAnsi="Times New Roman"/>
          <w:sz w:val="18"/>
          <w:szCs w:val="18"/>
          <w:color w:val="000000"/>
        </w:rPr>
        <w:t xml:space="preserve"> fees for an amendment paid generally to consenting </w:t>
      </w:r>
      <w:r>
        <w:rPr>
          <w:rFonts w:ascii="Times New Roman" w:cs="Times New Roman" w:eastAsia="Times New Roman" w:hAnsi="Times New Roman"/>
          <w:sz w:val="18"/>
          <w:szCs w:val="18"/>
          <w:color w:val="FF0000"/>
          <w:strike w:val="1"/>
        </w:rPr>
        <w:t>Lenders and, solely for purposes of determining the effective yield for purposes of Section 3(d) of Refinancing Amendment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No. 1, any original issue discount, upfront fees or other fees payable in connection with the Refinancing Amendment No. 1 Term Loans issued on the Refinancing Amendment No. 1 Effective Date</w:t>
      </w:r>
      <w:r>
        <w:rPr>
          <w:rFonts w:ascii="Times New Roman" w:cs="Times New Roman" w:eastAsia="Times New Roman" w:hAnsi="Times New Roman"/>
          <w:sz w:val="18"/>
          <w:szCs w:val="18"/>
          <w:u w:val="single" w:color="auto"/>
          <w:color w:val="0000FF"/>
          <w:strike w:val="1"/>
        </w:rPr>
        <w:t>or waiving lenders</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that with respect to any Indebtedness that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includes a “SOFR floor” or “Base Rate floor,”</w:t>
      </w:r>
    </w:p>
    <w:p>
      <w:pPr>
        <w:spacing w:after="0" w:line="11" w:lineRule="exact"/>
        <w:rPr>
          <w:sz w:val="20"/>
          <w:szCs w:val="20"/>
          <w:color w:val="auto"/>
        </w:rPr>
      </w:pPr>
    </w:p>
    <w:p>
      <w:pPr>
        <w:jc w:val="both"/>
        <w:ind w:left="9" w:hanging="9"/>
        <w:spacing w:after="0" w:line="255" w:lineRule="auto"/>
        <w:tabs>
          <w:tab w:leader="none" w:pos="242"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Term SOFR Reference Rate (with an Interest Period of three months), SOFR,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Term SOFR Reference Rate (with an Interest Period of three months), SOFR or the Alternate Base Rate (without giving effect to any floors in such definitions), as applicable, on the date that the Effective Yield is being calculated is greater than such floor, then the floor shall be disregarded in calculating the Effective Yield.</w:t>
      </w:r>
    </w:p>
    <w:p>
      <w:pPr>
        <w:spacing w:after="0" w:line="228"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 a Lender, (b) an Affiliate of a Lender, (c) an Approved Fund and</w:t>
      </w:r>
    </w:p>
    <w:p>
      <w:pPr>
        <w:spacing w:after="0" w:line="27" w:lineRule="exact"/>
        <w:rPr>
          <w:sz w:val="20"/>
          <w:szCs w:val="20"/>
          <w:color w:val="auto"/>
        </w:rPr>
      </w:pPr>
    </w:p>
    <w:p>
      <w:pPr>
        <w:ind w:left="9" w:right="80" w:hanging="9"/>
        <w:spacing w:after="0" w:line="251" w:lineRule="auto"/>
        <w:tabs>
          <w:tab w:leader="none" w:pos="61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(other than Holdings, any Intermediate Parent, the Borrower or any of their respective Affiliates), other than, in each case, (i) a natural person, (ii) a Defaulting Lender or (iii) 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non-appealable judgment) and (ii) the Borrower has not consented to such assignment or is not deemed to have consented to such assignment to the extent required by Section 9.04(b).</w:t>
      </w:r>
    </w:p>
    <w:p>
      <w:pPr>
        <w:spacing w:after="0" w:line="220" w:lineRule="exact"/>
        <w:rPr>
          <w:sz w:val="20"/>
          <w:szCs w:val="20"/>
          <w:color w:val="auto"/>
        </w:rPr>
      </w:pPr>
    </w:p>
    <w:p>
      <w:pPr>
        <w:jc w:val="both"/>
        <w:ind w:left="9"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202" w:lineRule="exact"/>
        <w:rPr>
          <w:sz w:val="20"/>
          <w:szCs w:val="20"/>
          <w:color w:val="auto"/>
        </w:rPr>
      </w:pPr>
    </w:p>
    <w:p>
      <w:pPr>
        <w:jc w:val="both"/>
        <w:ind w:left="9" w:right="20" w:firstLine="129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w:t>
      </w:r>
    </w:p>
    <w:p>
      <w:pPr>
        <w:sectPr>
          <w:pgSz w:w="11900" w:h="16838" w:orient="portrait"/>
          <w:cols w:equalWidth="0" w:num="1">
            <w:col w:w="10049"/>
          </w:cols>
          <w:pgMar w:left="1011" w:top="1440" w:right="83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color w:val="auto"/>
        </w:rPr>
        <w:t>Release of any Hazardous Material or to the extent relating to exposure to Hazardous Materials, to health or safety matters.</w:t>
      </w:r>
    </w:p>
    <w:p>
      <w:pPr>
        <w:spacing w:after="0" w:line="266" w:lineRule="exact"/>
        <w:rPr>
          <w:sz w:val="20"/>
          <w:szCs w:val="20"/>
          <w:color w:val="auto"/>
        </w:rPr>
      </w:pPr>
    </w:p>
    <w:p>
      <w:pPr>
        <w:jc w:val="both"/>
        <w:ind w:right="4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297" w:lineRule="exact"/>
        <w:rPr>
          <w:sz w:val="20"/>
          <w:szCs w:val="20"/>
          <w:color w:val="auto"/>
        </w:rPr>
      </w:pPr>
    </w:p>
    <w:p>
      <w:pPr>
        <w:ind w:right="640" w:firstLine="13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47"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216" w:lineRule="exact"/>
        <w:rPr>
          <w:sz w:val="20"/>
          <w:szCs w:val="20"/>
          <w:color w:val="auto"/>
        </w:rPr>
      </w:pPr>
    </w:p>
    <w:p>
      <w:pPr>
        <w:jc w:val="both"/>
        <w:ind w:firstLine="129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2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u w:val="single" w:color="auto"/>
          <w:color w:val="0000FF"/>
        </w:rPr>
        <w:t>“Erroneous Payment” has the meaning assigned to such term in Section 9.22(a).</w:t>
      </w:r>
    </w:p>
    <w:p>
      <w:pPr>
        <w:spacing w:after="0" w:line="2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0000FF"/>
        </w:rPr>
        <w:t>“Erroneous Payment Subrogation Rights” has the meaning assigned to such term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9.22(d).</w:t>
      </w:r>
    </w:p>
    <w:p>
      <w:pPr>
        <w:spacing w:after="0" w:line="234"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202"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Interpolated Rate</w:t>
      </w:r>
      <w:r>
        <w:rPr>
          <w:rFonts w:ascii="Times New Roman" w:cs="Times New Roman" w:eastAsia="Times New Roman" w:hAnsi="Times New Roman"/>
          <w:sz w:val="18"/>
          <w:szCs w:val="18"/>
          <w:color w:val="auto"/>
        </w:rPr>
        <w:t>” means, at any time, with respect to any Term Benchmark Borrowing denominated in Euros and for any Interest Period, the rate per annum (rounded to the same number of</w:t>
      </w:r>
    </w:p>
    <w:p>
      <w:pPr>
        <w:sectPr>
          <w:pgSz w:w="11900" w:h="16838" w:orient="portrait"/>
          <w:cols w:equalWidth="0" w:num="1">
            <w:col w:w="10060"/>
          </w:cols>
          <w:pgMar w:left="1020" w:top="1336" w:right="819" w:bottom="1440" w:gutter="0" w:footer="0" w:header="0"/>
        </w:sectPr>
      </w:pPr>
    </w:p>
    <w:bookmarkStart w:id="516" w:name="page517"/>
    <w:bookmarkEnd w:id="516"/>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0.00%, such rate shall be deemed to be 0.00% for the purposes of this Agreement.</w:t>
      </w:r>
    </w:p>
    <w:p>
      <w:pPr>
        <w:spacing w:after="0" w:line="228" w:lineRule="exact"/>
        <w:rPr>
          <w:sz w:val="20"/>
          <w:szCs w:val="20"/>
          <w:color w:val="auto"/>
        </w:rPr>
      </w:pPr>
    </w:p>
    <w:p>
      <w:pPr>
        <w:jc w:val="both"/>
        <w:ind w:right="20" w:firstLine="129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 w:cs="Times New Roman" w:eastAsia="Times New Roman" w:hAnsi="Times New Roman"/>
          <w:sz w:val="18"/>
          <w:szCs w:val="18"/>
          <w:u w:val="single" w:color="auto"/>
          <w:color w:val="auto"/>
        </w:rPr>
        <w:t>Impacted EURIBOR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Rate Interest Period</w:t>
      </w:r>
      <w:r>
        <w:rPr>
          <w:rFonts w:ascii="Times New Roman" w:cs="Times New Roman" w:eastAsia="Times New Roman" w:hAnsi="Times New Roman"/>
          <w:sz w:val="18"/>
          <w:szCs w:val="18"/>
          <w:color w:val="auto"/>
        </w:rPr>
        <w:t>”) with respect to Euros then EURIBOR shall be the EURIBOR Interpolated Rate.</w:t>
      </w:r>
    </w:p>
    <w:p>
      <w:pPr>
        <w:spacing w:after="0" w:line="220"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First Lien Administrative Agent may specify another page or service displaying the relevant rate after consultation with the Borrower. If the EURIBOR Screen Rate shall be less than 0.00%, the EURIBOR Screen Rate shall be deemed to be 0.00% for purposes of this Agreement.</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single currency of the European Union.</w:t>
      </w:r>
    </w:p>
    <w:p>
      <w:pPr>
        <w:spacing w:after="0" w:line="3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Section 7.01. “</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means, for any period, an amount equal to the excess of:</w:t>
      </w:r>
    </w:p>
    <w:p>
      <w:pPr>
        <w:spacing w:after="0" w:line="131" w:lineRule="exact"/>
        <w:rPr>
          <w:sz w:val="20"/>
          <w:szCs w:val="20"/>
          <w:color w:val="auto"/>
        </w:rPr>
      </w:pPr>
    </w:p>
    <w:p>
      <w:pPr>
        <w:ind w:left="1940" w:hanging="652"/>
        <w:spacing w:after="0"/>
        <w:tabs>
          <w:tab w:leader="none" w:pos="19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265" w:lineRule="exact"/>
        <w:rPr>
          <w:rFonts w:ascii="Times New Roman" w:cs="Times New Roman" w:eastAsia="Times New Roman" w:hAnsi="Times New Roman"/>
          <w:sz w:val="18"/>
          <w:szCs w:val="18"/>
          <w:color w:val="auto"/>
        </w:rPr>
      </w:pPr>
    </w:p>
    <w:p>
      <w:pPr>
        <w:ind w:left="2580" w:hanging="491"/>
        <w:spacing w:after="0"/>
        <w:tabs>
          <w:tab w:leader="none" w:pos="25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w:t>
      </w:r>
    </w:p>
    <w:p>
      <w:pPr>
        <w:spacing w:after="0" w:line="252" w:lineRule="exact"/>
        <w:rPr>
          <w:rFonts w:ascii="Times New Roman" w:cs="Times New Roman" w:eastAsia="Times New Roman" w:hAnsi="Times New Roman"/>
          <w:sz w:val="18"/>
          <w:szCs w:val="18"/>
          <w:color w:val="auto"/>
        </w:rPr>
      </w:pPr>
    </w:p>
    <w:p>
      <w:pPr>
        <w:ind w:left="1280" w:right="20" w:firstLine="758"/>
        <w:spacing w:after="0" w:line="282" w:lineRule="auto"/>
        <w:tabs>
          <w:tab w:leader="none" w:pos="2535"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Charges to the extent deducted in arriving at such Consolidated Net Income,</w:t>
      </w:r>
    </w:p>
    <w:p>
      <w:pPr>
        <w:spacing w:after="0" w:line="202" w:lineRule="exact"/>
        <w:rPr>
          <w:rFonts w:ascii="Times New Roman" w:cs="Times New Roman" w:eastAsia="Times New Roman" w:hAnsi="Times New Roman"/>
          <w:sz w:val="18"/>
          <w:szCs w:val="18"/>
          <w:color w:val="auto"/>
        </w:rPr>
      </w:pPr>
    </w:p>
    <w:p>
      <w:pPr>
        <w:ind w:left="1280" w:right="20" w:firstLine="709"/>
        <w:spacing w:after="0" w:line="282" w:lineRule="auto"/>
        <w:tabs>
          <w:tab w:leader="none" w:pos="2535"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Consolidated Working Capital and long-term account receivables for such period (other than decreases relating to Dispositions permitted pursuant to Section 6.05(h) or Section 6.05(o))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202" w:lineRule="exact"/>
        <w:rPr>
          <w:rFonts w:ascii="Times New Roman" w:cs="Times New Roman" w:eastAsia="Times New Roman" w:hAnsi="Times New Roman"/>
          <w:sz w:val="18"/>
          <w:szCs w:val="18"/>
          <w:color w:val="auto"/>
        </w:rPr>
      </w:pPr>
    </w:p>
    <w:p>
      <w:pPr>
        <w:jc w:val="both"/>
        <w:ind w:left="1280" w:right="20" w:firstLine="717"/>
        <w:spacing w:after="0" w:line="266" w:lineRule="auto"/>
        <w:tabs>
          <w:tab w:leader="none" w:pos="2533"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252" w:lineRule="exact"/>
        <w:rPr>
          <w:rFonts w:ascii="Times New Roman" w:cs="Times New Roman" w:eastAsia="Times New Roman" w:hAnsi="Times New Roman"/>
          <w:sz w:val="18"/>
          <w:szCs w:val="18"/>
          <w:color w:val="auto"/>
        </w:rPr>
      </w:pPr>
    </w:p>
    <w:p>
      <w:pPr>
        <w:jc w:val="both"/>
        <w:ind w:left="1280" w:firstLine="809"/>
        <w:spacing w:after="0" w:line="258" w:lineRule="auto"/>
        <w:tabs>
          <w:tab w:leader="none" w:pos="2534"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w:t>
      </w:r>
    </w:p>
    <w:p>
      <w:pPr>
        <w:sectPr>
          <w:pgSz w:w="11900" w:h="16838" w:orient="portrait"/>
          <w:cols w:equalWidth="0" w:num="1">
            <w:col w:w="10040"/>
          </w:cols>
          <w:pgMar w:left="1020" w:top="1336" w:right="839" w:bottom="1440" w:gutter="0" w:footer="0" w:header="0"/>
        </w:sectPr>
      </w:pPr>
    </w:p>
    <w:bookmarkStart w:id="517" w:name="page518"/>
    <w:bookmarkEnd w:id="517"/>
    <w:p>
      <w:pPr>
        <w:jc w:val="both"/>
        <w:ind w:left="1280" w:right="20"/>
        <w:spacing w:after="0" w:line="266" w:lineRule="auto"/>
        <w:rPr>
          <w:sz w:val="20"/>
          <w:szCs w:val="20"/>
          <w:color w:val="auto"/>
        </w:rPr>
      </w:pPr>
      <w:r>
        <w:rPr>
          <w:rFonts w:ascii="Times New Roman" w:cs="Times New Roman" w:eastAsia="Times New Roman" w:hAnsi="Times New Roman"/>
          <w:sz w:val="18"/>
          <w:szCs w:val="18"/>
          <w:color w:val="auto"/>
        </w:rPr>
        <w:t>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spacing w:after="0" w:line="297" w:lineRule="exact"/>
        <w:rPr>
          <w:sz w:val="20"/>
          <w:szCs w:val="20"/>
          <w:color w:val="auto"/>
        </w:rPr>
      </w:pPr>
    </w:p>
    <w:p>
      <w:pPr>
        <w:jc w:val="both"/>
        <w:ind w:left="1280" w:right="40" w:firstLine="759"/>
        <w:spacing w:after="0" w:line="255" w:lineRule="auto"/>
        <w:tabs>
          <w:tab w:leader="none" w:pos="2535"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w:t>
      </w:r>
      <w:r>
        <w:rPr>
          <w:rFonts w:ascii="Times New Roman" w:cs="Times New Roman" w:eastAsia="Times New Roman" w:hAnsi="Times New Roman"/>
          <w:sz w:val="19"/>
          <w:szCs w:val="19"/>
          <w:color w:val="auto"/>
        </w:rPr>
        <w:t>clause (i) of the proviso to the first sentence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Section 2.11(d)) and Swingline Loans)) made during such period, other than (A) in respect of any revolving credit facility or swingline facility except to the extent there is an equivalent permanent reduction in commitments thereunder and</w:t>
      </w:r>
    </w:p>
    <w:p>
      <w:pPr>
        <w:spacing w:after="0" w:line="7"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financed with the proceeds of other Indebtedness of the Borrower or its Restricted Subsidiaries,</w:t>
      </w:r>
    </w:p>
    <w:p>
      <w:pPr>
        <w:spacing w:after="0" w:line="254" w:lineRule="exact"/>
        <w:rPr>
          <w:rFonts w:ascii="Times New Roman" w:cs="Times New Roman" w:eastAsia="Times New Roman" w:hAnsi="Times New Roman"/>
          <w:sz w:val="18"/>
          <w:szCs w:val="18"/>
          <w:color w:val="auto"/>
        </w:rPr>
      </w:pPr>
    </w:p>
    <w:p>
      <w:pPr>
        <w:jc w:val="both"/>
        <w:ind w:left="1280" w:right="40" w:firstLine="710"/>
        <w:spacing w:after="0" w:line="266" w:lineRule="auto"/>
        <w:tabs>
          <w:tab w:leader="none" w:pos="2535"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216" w:lineRule="exact"/>
        <w:rPr>
          <w:rFonts w:ascii="Times New Roman" w:cs="Times New Roman" w:eastAsia="Times New Roman" w:hAnsi="Times New Roman"/>
          <w:sz w:val="18"/>
          <w:szCs w:val="18"/>
          <w:color w:val="auto"/>
        </w:rPr>
      </w:pPr>
    </w:p>
    <w:p>
      <w:pPr>
        <w:ind w:left="2540" w:hanging="543"/>
        <w:spacing w:after="0"/>
        <w:tabs>
          <w:tab w:leader="none" w:pos="254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Consolidated Working Capital and long-term account receivables for such period,</w:t>
      </w:r>
    </w:p>
    <w:p>
      <w:pPr>
        <w:spacing w:after="0" w:line="252" w:lineRule="exact"/>
        <w:rPr>
          <w:rFonts w:ascii="Times New Roman" w:cs="Times New Roman" w:eastAsia="Times New Roman" w:hAnsi="Times New Roman"/>
          <w:sz w:val="18"/>
          <w:szCs w:val="18"/>
          <w:color w:val="auto"/>
        </w:rPr>
      </w:pPr>
    </w:p>
    <w:p>
      <w:pPr>
        <w:ind w:left="1280" w:right="40" w:firstLine="767"/>
        <w:spacing w:after="0" w:line="282" w:lineRule="auto"/>
        <w:tabs>
          <w:tab w:leader="none" w:pos="2533"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during such period in respect of long-term liabilities of the Borrower and its Restricted Subsidiaries other than Indebtedness,</w:t>
      </w:r>
    </w:p>
    <w:p>
      <w:pPr>
        <w:spacing w:after="0" w:line="202" w:lineRule="exact"/>
        <w:rPr>
          <w:rFonts w:ascii="Times New Roman" w:cs="Times New Roman" w:eastAsia="Times New Roman" w:hAnsi="Times New Roman"/>
          <w:sz w:val="18"/>
          <w:szCs w:val="18"/>
          <w:color w:val="auto"/>
        </w:rPr>
      </w:pPr>
    </w:p>
    <w:p>
      <w:pPr>
        <w:jc w:val="both"/>
        <w:ind w:left="1280" w:right="20" w:firstLine="718"/>
        <w:spacing w:after="0" w:line="266" w:lineRule="auto"/>
        <w:tabs>
          <w:tab w:leader="none" w:pos="2533"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w:t>
      </w:r>
    </w:p>
    <w:p>
      <w:pPr>
        <w:spacing w:after="0" w:line="216" w:lineRule="exact"/>
        <w:rPr>
          <w:rFonts w:ascii="Times New Roman" w:cs="Times New Roman" w:eastAsia="Times New Roman" w:hAnsi="Times New Roman"/>
          <w:sz w:val="18"/>
          <w:szCs w:val="18"/>
          <w:color w:val="auto"/>
        </w:rPr>
      </w:pPr>
    </w:p>
    <w:p>
      <w:pPr>
        <w:ind w:left="1280" w:right="40" w:firstLine="668"/>
        <w:spacing w:after="0" w:line="282" w:lineRule="auto"/>
        <w:tabs>
          <w:tab w:leader="none" w:pos="253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during such period in respect of Non-Cash Charges included in the calculation of Consolidated Net Income in any prior period,</w:t>
      </w:r>
    </w:p>
    <w:p>
      <w:pPr>
        <w:spacing w:after="0" w:line="188" w:lineRule="exact"/>
        <w:rPr>
          <w:rFonts w:ascii="Times New Roman" w:cs="Times New Roman" w:eastAsia="Times New Roman" w:hAnsi="Times New Roman"/>
          <w:sz w:val="18"/>
          <w:szCs w:val="18"/>
          <w:color w:val="auto"/>
        </w:rPr>
      </w:pPr>
    </w:p>
    <w:p>
      <w:pPr>
        <w:jc w:val="both"/>
        <w:ind w:left="1280" w:right="40" w:firstLine="619"/>
        <w:spacing w:after="0" w:line="266" w:lineRule="auto"/>
        <w:tabs>
          <w:tab w:leader="none" w:pos="253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premium, make-whole or penalty payments actually paid in cash by the Borrower and its Restricted Subsidiaries during such period that are required to be made in connection with any prepayment of Indebtedness, and</w:t>
      </w:r>
    </w:p>
    <w:p>
      <w:pPr>
        <w:spacing w:after="0" w:line="216" w:lineRule="exact"/>
        <w:rPr>
          <w:rFonts w:ascii="Times New Roman" w:cs="Times New Roman" w:eastAsia="Times New Roman" w:hAnsi="Times New Roman"/>
          <w:sz w:val="18"/>
          <w:szCs w:val="18"/>
          <w:color w:val="auto"/>
        </w:rPr>
      </w:pPr>
    </w:p>
    <w:p>
      <w:pPr>
        <w:jc w:val="both"/>
        <w:ind w:left="1280" w:right="40" w:firstLine="718"/>
        <w:spacing w:after="0" w:line="266" w:lineRule="auto"/>
        <w:tabs>
          <w:tab w:leader="none" w:pos="2533"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47" w:lineRule="exact"/>
        <w:rPr>
          <w:sz w:val="20"/>
          <w:szCs w:val="20"/>
          <w:color w:val="auto"/>
        </w:rPr>
      </w:pPr>
    </w:p>
    <w:p>
      <w:pPr>
        <w:jc w:val="both"/>
        <w:ind w:firstLine="129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Affiliates</w:t>
      </w:r>
      <w:r>
        <w:rPr>
          <w:rFonts w:ascii="Times New Roman" w:cs="Times New Roman" w:eastAsia="Times New Roman" w:hAnsi="Times New Roman"/>
          <w:sz w:val="18"/>
          <w:szCs w:val="18"/>
          <w:color w:val="auto"/>
        </w:rPr>
        <w:t>” 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 who are required, in accordance with industry regulations or such Joint Lead Arranger’s (or its Affiliate’s) internal</w:t>
      </w:r>
    </w:p>
    <w:p>
      <w:pPr>
        <w:sectPr>
          <w:pgSz w:w="11900" w:h="16838" w:orient="portrait"/>
          <w:cols w:equalWidth="0" w:num="1">
            <w:col w:w="10060"/>
          </w:cols>
          <w:pgMar w:left="1020" w:top="1336" w:right="819" w:bottom="1440" w:gutter="0" w:footer="0" w:header="0"/>
        </w:sectPr>
      </w:pPr>
    </w:p>
    <w:bookmarkStart w:id="518" w:name="page519"/>
    <w:bookmarkEnd w:id="518"/>
    <w:p>
      <w:pPr>
        <w:spacing w:after="0" w:line="282" w:lineRule="auto"/>
        <w:rPr>
          <w:sz w:val="20"/>
          <w:szCs w:val="20"/>
          <w:color w:val="auto"/>
        </w:rPr>
      </w:pPr>
      <w:r>
        <w:rPr>
          <w:rFonts w:ascii="Times New Roman" w:cs="Times New Roman" w:eastAsia="Times New Roman" w:hAnsi="Times New Roman"/>
          <w:sz w:val="18"/>
          <w:szCs w:val="18"/>
          <w:color w:val="auto"/>
        </w:rPr>
        <w:t>policies and procedures, to act in a supervisory capacity or (z) such Joint Lead Arranger’s (or its Affiliate’s) internal legal, compliance, risk management, credit or investment committee members).</w:t>
      </w:r>
    </w:p>
    <w:p>
      <w:pPr>
        <w:spacing w:after="0" w:line="202" w:lineRule="exact"/>
        <w:rPr>
          <w:sz w:val="20"/>
          <w:szCs w:val="20"/>
          <w:color w:val="auto"/>
        </w:rPr>
      </w:pPr>
    </w:p>
    <w:p>
      <w:pPr>
        <w:jc w:val="both"/>
        <w:ind w:right="20"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in the First Lien Collateral Agreement) with a value of less than $20,000,000 and commercial tort claims for which no complaint or counterclaim has been filed in a court of competent jurisdiction,(e) 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 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First Lien Collateral 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w:t>
      </w: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means Equity Interests in any (a) Unrestricted Subsidiary,</w:t>
      </w:r>
    </w:p>
    <w:p>
      <w:pPr>
        <w:sectPr>
          <w:pgSz w:w="11900" w:h="16838" w:orient="portrait"/>
          <w:cols w:equalWidth="0" w:num="1">
            <w:col w:w="10040"/>
          </w:cols>
          <w:pgMar w:left="1020" w:top="1336" w:right="839" w:bottom="1440" w:gutter="0" w:footer="0" w:header="0"/>
        </w:sectPr>
      </w:pPr>
    </w:p>
    <w:bookmarkStart w:id="519" w:name="page520"/>
    <w:bookmarkEnd w:id="519"/>
    <w:p>
      <w:pPr>
        <w:jc w:val="both"/>
        <w:ind w:left="9" w:hanging="9"/>
        <w:spacing w:after="0" w:line="253" w:lineRule="auto"/>
        <w:tabs>
          <w:tab w:leader="none" w:pos="281"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w:t>
      </w:r>
    </w:p>
    <w:p>
      <w:pPr>
        <w:spacing w:after="0" w:line="36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has the meaning assigned to such term in Section 2.11(a)(ii)(A).</w:t>
      </w:r>
    </w:p>
    <w:p>
      <w:pPr>
        <w:spacing w:after="0" w:line="266" w:lineRule="exact"/>
        <w:rPr>
          <w:sz w:val="20"/>
          <w:szCs w:val="20"/>
          <w:color w:val="auto"/>
        </w:rPr>
      </w:pPr>
    </w:p>
    <w:p>
      <w:pPr>
        <w:jc w:val="both"/>
        <w:ind w:left="9" w:firstLine="129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Subsidiary</w:t>
      </w:r>
      <w:r>
        <w:rPr>
          <w:rFonts w:ascii="Times New Roman" w:cs="Times New Roman" w:eastAsia="Times New Roman" w:hAnsi="Times New Roman"/>
          <w:sz w:val="17"/>
          <w:szCs w:val="17"/>
          <w:color w:val="auto"/>
        </w:rPr>
        <w:t>” means (a) any Subsidiary that is not a Wholly Owned Subsidiary of 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First Lien Administrative Agent and the Borrower (as agreed in writing), the cost or other consequences (including any adverse tax consequences) of providing a 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w:t>
      </w:r>
    </w:p>
    <w:p>
      <w:pPr>
        <w:spacing w:after="0" w:line="4" w:lineRule="exact"/>
        <w:rPr>
          <w:sz w:val="20"/>
          <w:szCs w:val="20"/>
          <w:color w:val="auto"/>
        </w:rPr>
      </w:pPr>
    </w:p>
    <w:p>
      <w:pPr>
        <w:jc w:val="both"/>
        <w:ind w:left="9" w:hanging="9"/>
        <w:spacing w:after="0" w:line="251" w:lineRule="auto"/>
        <w:tabs>
          <w:tab w:leader="none" w:pos="226"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whose provision of a Guarantee would constitute an investment in “United States property” by a CFC or otherwise result in a material adverse tax consequence to the Borrower or one of its subsidiaries (or, if applicable, the common parent of the Borrower's consolidated group for applicable income tax purposes) as reasonably determined by the Borrower in consultation with the 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 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as assumed Indebtedness and any 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Immaterial Subsidiary that is a signatory to any First Lien Collateral Agreement or the First Lien Guarantee Agreement shall be deemed not to be an Excluded Subsidiary for purposes of this Agreement and the other First Lien Loan Documents unless the Borrower has otherwise notified the First Lien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w:t>
      </w:r>
    </w:p>
    <w:p>
      <w:pPr>
        <w:spacing w:after="0" w:line="231" w:lineRule="exact"/>
        <w:rPr>
          <w:sz w:val="20"/>
          <w:szCs w:val="20"/>
          <w:color w:val="auto"/>
        </w:rPr>
      </w:pPr>
    </w:p>
    <w:p>
      <w:pPr>
        <w:jc w:val="both"/>
        <w:ind w:left="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w:t>
      </w:r>
    </w:p>
    <w:p>
      <w:pPr>
        <w:sectPr>
          <w:pgSz w:w="11900" w:h="16838" w:orient="portrait"/>
          <w:cols w:equalWidth="0" w:num="1">
            <w:col w:w="10049"/>
          </w:cols>
          <w:pgMar w:left="1011" w:top="1336" w:right="839" w:bottom="1440" w:gutter="0" w:footer="0" w:header="0"/>
        </w:sectPr>
      </w:pPr>
    </w:p>
    <w:bookmarkStart w:id="520" w:name="page521"/>
    <w:bookmarkEnd w:id="520"/>
    <w:p>
      <w:pPr>
        <w:jc w:val="both"/>
        <w:ind w:right="420"/>
        <w:spacing w:after="0" w:line="256" w:lineRule="auto"/>
        <w:rPr>
          <w:sz w:val="20"/>
          <w:szCs w:val="20"/>
          <w:color w:val="auto"/>
        </w:rPr>
      </w:pPr>
      <w:r>
        <w:rPr>
          <w:rFonts w:ascii="Times New Roman" w:cs="Times New Roman" w:eastAsia="Times New Roman" w:hAnsi="Times New Roman"/>
          <w:sz w:val="18"/>
          <w:szCs w:val="18"/>
          <w:color w:val="auto"/>
        </w:rPr>
        <w:t>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228" w:lineRule="exact"/>
        <w:rPr>
          <w:sz w:val="20"/>
          <w:szCs w:val="20"/>
          <w:color w:val="auto"/>
        </w:rPr>
      </w:pPr>
    </w:p>
    <w:p>
      <w:pPr>
        <w:jc w:val="both"/>
        <w:ind w:right="440" w:firstLine="129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U.S. federal withholding Taxes imposed 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w:t>
      </w:r>
    </w:p>
    <w:p>
      <w:pPr>
        <w:spacing w:after="0" w:line="235" w:lineRule="exact"/>
        <w:rPr>
          <w:sz w:val="20"/>
          <w:szCs w:val="20"/>
          <w:color w:val="auto"/>
        </w:rPr>
      </w:pPr>
    </w:p>
    <w:p>
      <w:pPr>
        <w:ind w:right="130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each of the letters of credit described by customer, letter of credit number, outstanding amount, and expiration date on Schedule 2.05 hereto.</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Notes</w:t>
      </w:r>
      <w:r>
        <w:rPr>
          <w:rFonts w:ascii="Times New Roman" w:cs="Times New Roman" w:eastAsia="Times New Roman" w:hAnsi="Times New Roman"/>
          <w:sz w:val="18"/>
          <w:szCs w:val="18"/>
          <w:color w:val="FF0000"/>
        </w:rPr>
        <w:t>” means the PIK Toggle Notes and the Senior Notes</w:t>
      </w:r>
      <w:r>
        <w:rPr>
          <w:rFonts w:ascii="Times New Roman" w:cs="Times New Roman" w:eastAsia="Times New Roman" w:hAnsi="Times New Roman"/>
          <w:sz w:val="18"/>
          <w:szCs w:val="18"/>
          <w:u w:val="single" w:color="auto"/>
          <w:color w:val="0000FF"/>
        </w:rPr>
        <w:t>Term Loans” has the meaning specified in Amendment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-59055</wp:posOffset>
            </wp:positionV>
            <wp:extent cx="26416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00"/>
        </w:rPr>
        <w:t>.</w:t>
      </w:r>
    </w:p>
    <w:p>
      <w:pPr>
        <w:spacing w:after="0" w:line="247" w:lineRule="exact"/>
        <w:rPr>
          <w:sz w:val="20"/>
          <w:szCs w:val="20"/>
          <w:color w:val="auto"/>
        </w:rPr>
      </w:pPr>
    </w:p>
    <w:p>
      <w:pPr>
        <w:jc w:val="both"/>
        <w:ind w:right="4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 Credit Agreement</w:t>
      </w:r>
      <w:r>
        <w:rPr>
          <w:rFonts w:ascii="Times New Roman" w:cs="Times New Roman" w:eastAsia="Times New Roman" w:hAnsi="Times New Roman"/>
          <w:sz w:val="18"/>
          <w:szCs w:val="18"/>
          <w:color w:val="auto"/>
        </w:rPr>
        <w:t xml:space="preserve">” means that certain Credit Agreement dated as of February 23, 2023, by and among Holdings, the Borrower, J.P. Morgan Chase Bank, N.A., as administrative agent and the other parties thereto from time to time. </w:t>
      </w:r>
      <w:r>
        <w:rPr>
          <w:rFonts w:ascii="Times New Roman" w:cs="Times New Roman" w:eastAsia="Times New Roman" w:hAnsi="Times New Roman"/>
          <w:sz w:val="18"/>
          <w:szCs w:val="18"/>
          <w:color w:val="0000FF"/>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the Amendment No. 4 Effective Date there are no Term Loans outstanding under the Existing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6200775</wp:posOffset>
            </wp:positionH>
            <wp:positionV relativeFrom="paragraph">
              <wp:posOffset>-175895</wp:posOffset>
            </wp:positionV>
            <wp:extent cx="1555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55575" cy="8255"/>
                    </a:xfrm>
                    <a:prstGeom prst="rect">
                      <a:avLst/>
                    </a:prstGeom>
                    <a:noFill/>
                  </pic:spPr>
                </pic:pic>
              </a:graphicData>
            </a:graphic>
          </wp:anchor>
        </w:drawing>
      </w:r>
    </w:p>
    <w:p>
      <w:pPr>
        <w:spacing w:after="0" w:line="196" w:lineRule="exact"/>
        <w:rPr>
          <w:sz w:val="20"/>
          <w:szCs w:val="20"/>
          <w:color w:val="auto"/>
        </w:rPr>
      </w:pPr>
    </w:p>
    <w:p>
      <w:pPr>
        <w:ind w:right="12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w:t>
      </w:r>
      <w:r>
        <w:rPr>
          <w:rFonts w:ascii="Times New Roman" w:cs="Times New Roman" w:eastAsia="Times New Roman" w:hAnsi="Times New Roman"/>
          <w:sz w:val="18"/>
          <w:szCs w:val="18"/>
          <w:color w:val="auto"/>
        </w:rPr>
        <w:t>” means the Revolving Commitments extended on the Revolving Facilities Amendment Effective Date.</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 means a Revolving Loan made with respect to an Extended Revolving Commitment.</w:t>
      </w:r>
    </w:p>
    <w:p>
      <w:pPr>
        <w:spacing w:after="0" w:line="266" w:lineRule="exact"/>
        <w:rPr>
          <w:sz w:val="20"/>
          <w:szCs w:val="20"/>
          <w:color w:val="auto"/>
        </w:rPr>
      </w:pPr>
    </w:p>
    <w:p>
      <w:pPr>
        <w:ind w:right="1220"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Extending Revolving Lender</w:t>
      </w:r>
      <w:r>
        <w:rPr>
          <w:rFonts w:ascii="Times New Roman" w:cs="Times New Roman" w:eastAsia="Times New Roman" w:hAnsi="Times New Roman"/>
          <w:sz w:val="17"/>
          <w:szCs w:val="17"/>
          <w:color w:val="auto"/>
        </w:rPr>
        <w:t>” means each Revolving Lender that voted in favor of the Revolving Facilities Amendment by delivering an executed counterpart thereof to the First Lien Administrative Agent on or prior to March 26, 2021.</w:t>
      </w:r>
    </w:p>
    <w:p>
      <w:pPr>
        <w:spacing w:after="0" w:line="180" w:lineRule="exact"/>
        <w:rPr>
          <w:sz w:val="20"/>
          <w:szCs w:val="20"/>
          <w:color w:val="auto"/>
        </w:rPr>
      </w:pPr>
    </w:p>
    <w:p>
      <w:pPr>
        <w:jc w:val="both"/>
        <w:ind w:right="4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w:t>
      </w:r>
    </w:p>
    <w:p>
      <w:pPr>
        <w:sectPr>
          <w:pgSz w:w="11900" w:h="16838" w:orient="portrait"/>
          <w:cols w:equalWidth="0" w:num="1">
            <w:col w:w="10460"/>
          </w:cols>
          <w:pgMar w:left="1020" w:top="1336" w:right="419" w:bottom="1440" w:gutter="0" w:footer="0" w:header="0"/>
        </w:sectPr>
      </w:pPr>
    </w:p>
    <w:bookmarkStart w:id="521" w:name="page522"/>
    <w:bookmarkEnd w:id="5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asset(which determination shall be conclusive), it being agreed that with respect to real property, in no event will any Loan Party be required to obtain independent appraisals or other third party valuations to establish such Fair Market Value unless required by FIRREA.</w:t>
      </w:r>
    </w:p>
    <w:p>
      <w:pPr>
        <w:spacing w:after="0" w:line="20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specified in Section 3.17(b).</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of the rates on overnight Federal funds transactions with members of the Federal Reserve System, as published on the next succeeding Business Day by the Federal Reserve Bank of New York.</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52" w:lineRule="exact"/>
        <w:rPr>
          <w:sz w:val="20"/>
          <w:szCs w:val="20"/>
          <w:color w:val="auto"/>
        </w:rPr>
      </w:pPr>
    </w:p>
    <w:p>
      <w:pPr>
        <w:jc w:val="both"/>
        <w:ind w:firstLine="136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corporate controller of Holdings or the Borrower, as applicable.</w:t>
      </w:r>
    </w:p>
    <w:p>
      <w:pPr>
        <w:spacing w:after="0" w:line="2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 means the covenant set forth in Section 6.11.</w:t>
      </w:r>
    </w:p>
    <w:p>
      <w:pPr>
        <w:spacing w:after="0" w:line="2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FIRREA</w:t>
      </w:r>
      <w:r>
        <w:rPr>
          <w:rFonts w:ascii="Times New Roman" w:cs="Times New Roman" w:eastAsia="Times New Roman" w:hAnsi="Times New Roman"/>
          <w:sz w:val="18"/>
          <w:szCs w:val="18"/>
          <w:color w:val="auto"/>
        </w:rPr>
        <w:t>” means the Financial Institutions Reform, Recovery and Enforcement Act of 1989,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3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Administrative Agent</w:t>
      </w:r>
      <w:r>
        <w:rPr>
          <w:rFonts w:ascii="Times New Roman" w:cs="Times New Roman" w:eastAsia="Times New Roman" w:hAnsi="Times New Roman"/>
          <w:sz w:val="18"/>
          <w:szCs w:val="18"/>
          <w:color w:val="auto"/>
        </w:rPr>
        <w:t>” means JPMorgan (formerly Jefferies Finance LLC), in its capacity as first lien administrative agent hereunder and under the other First Lien Loan Documents, and its successors in such capacity as provided in Article VIII.</w:t>
      </w:r>
    </w:p>
    <w:p>
      <w:pPr>
        <w:spacing w:after="0" w:line="21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Administrative Agent’s Office</w:t>
      </w:r>
      <w:r>
        <w:rPr>
          <w:rFonts w:ascii="Times New Roman" w:cs="Times New Roman" w:eastAsia="Times New Roman" w:hAnsi="Times New Roman"/>
          <w:sz w:val="18"/>
          <w:szCs w:val="18"/>
          <w:color w:val="auto"/>
        </w:rPr>
        <w:t>” means the First Lien Administrative Agent’s address and, as appropriate, account as set forth on Schedule 9.01, or such other address or account as the First Lien Administrative Agent may from time to time notify the Borrower and the Lenders.</w:t>
      </w:r>
    </w:p>
    <w:p>
      <w:pPr>
        <w:spacing w:after="0" w:line="21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 has the meaning given to such term in Section 8.01(b) and its successors in such capacity as provided in Article VIII.</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means the First Lien Collateral Agreement among the Loan Parties party thereto and the First Lien Collateral Agent, substantially in the form of Exhibit D.</w:t>
      </w:r>
    </w:p>
    <w:p>
      <w:pPr>
        <w:spacing w:after="0" w:line="20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Financing Transactions</w:t>
      </w:r>
      <w:r>
        <w:rPr>
          <w:rFonts w:ascii="Times New Roman" w:cs="Times New Roman" w:eastAsia="Times New Roman" w:hAnsi="Times New Roman"/>
          <w:sz w:val="18"/>
          <w:szCs w:val="18"/>
          <w:color w:val="auto"/>
        </w:rPr>
        <w:t>” 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w:t>
      </w:r>
    </w:p>
    <w:p>
      <w:pPr>
        <w:spacing w:after="0" w:line="216" w:lineRule="exact"/>
        <w:rPr>
          <w:sz w:val="20"/>
          <w:szCs w:val="20"/>
          <w:color w:val="auto"/>
        </w:rPr>
      </w:pPr>
    </w:p>
    <w:p>
      <w:pPr>
        <w:jc w:val="both"/>
        <w:ind w:righ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Guarantee Agreement</w:t>
      </w:r>
      <w:r>
        <w:rPr>
          <w:rFonts w:ascii="Times New Roman" w:cs="Times New Roman" w:eastAsia="Times New Roman" w:hAnsi="Times New Roman"/>
          <w:sz w:val="18"/>
          <w:szCs w:val="18"/>
          <w:color w:val="auto"/>
        </w:rPr>
        <w:t>” means the First Lien Guarantee Agreement among the Loan Parties and the First Lien Collateral Agent, substantially in the form of Exhibit B.</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has the meaning assigned to such term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6.01(a)(xx).</w:t>
      </w:r>
    </w:p>
    <w:p>
      <w:pPr>
        <w:sectPr>
          <w:pgSz w:w="11900" w:h="16838" w:orient="portrait"/>
          <w:cols w:equalWidth="0" w:num="1">
            <w:col w:w="10020"/>
          </w:cols>
          <w:pgMar w:left="1020" w:top="1336" w:right="859" w:bottom="1440" w:gutter="0" w:footer="0" w:header="0"/>
        </w:sectPr>
      </w:pPr>
    </w:p>
    <w:bookmarkStart w:id="522" w:name="page523"/>
    <w:bookmarkEnd w:id="522"/>
    <w:p>
      <w:pPr>
        <w:spacing w:after="0" w:line="31"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Facilities</w:t>
      </w:r>
      <w:r>
        <w:rPr>
          <w:rFonts w:ascii="Times New Roman" w:cs="Times New Roman" w:eastAsia="Times New Roman" w:hAnsi="Times New Roman"/>
          <w:sz w:val="18"/>
          <w:szCs w:val="18"/>
          <w:color w:val="auto"/>
        </w:rPr>
        <w:t>” has the meaning assigned to such term in Section 2.20(a). “</w:t>
      </w:r>
      <w:r>
        <w:rPr>
          <w:rFonts w:ascii="Times New Roman" w:cs="Times New Roman" w:eastAsia="Times New Roman" w:hAnsi="Times New Roman"/>
          <w:sz w:val="18"/>
          <w:szCs w:val="18"/>
          <w:u w:val="single" w:color="auto"/>
          <w:color w:val="auto"/>
        </w:rPr>
        <w:t>First Lien Incremental</w:t>
      </w:r>
    </w:p>
    <w:p>
      <w:pPr>
        <w:spacing w:after="0" w:line="293"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has the meaning assigned to such term in Section 2.20(a). “</w:t>
      </w:r>
      <w:r>
        <w:rPr>
          <w:rFonts w:ascii="Times New Roman" w:cs="Times New Roman" w:eastAsia="Times New Roman" w:hAnsi="Times New Roman"/>
          <w:sz w:val="18"/>
          <w:szCs w:val="18"/>
          <w:u w:val="single" w:color="auto"/>
          <w:color w:val="auto"/>
        </w:rPr>
        <w:t>First Lien Incremental Term Increase</w:t>
      </w:r>
      <w:r>
        <w:rPr>
          <w:rFonts w:ascii="Times New Roman" w:cs="Times New Roman" w:eastAsia="Times New Roman" w:hAnsi="Times New Roman"/>
          <w:sz w:val="18"/>
          <w:szCs w:val="18"/>
          <w:color w:val="auto"/>
        </w:rPr>
        <w:t>” has the</w:t>
      </w:r>
    </w:p>
    <w:p>
      <w:pPr>
        <w:spacing w:after="0" w:line="27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meaning assigned to such term in Section 2.20(a). “</w:t>
      </w:r>
      <w:r>
        <w:rPr>
          <w:rFonts w:ascii="Times New Roman" w:cs="Times New Roman" w:eastAsia="Times New Roman" w:hAnsi="Times New Roman"/>
          <w:sz w:val="18"/>
          <w:szCs w:val="18"/>
          <w:u w:val="single" w:color="auto"/>
          <w:color w:val="auto"/>
        </w:rPr>
        <w:t>First Lien Incremental Term Loan</w:t>
      </w:r>
      <w:r>
        <w:rPr>
          <w:rFonts w:ascii="Times New Roman" w:cs="Times New Roman" w:eastAsia="Times New Roman" w:hAnsi="Times New Roman"/>
          <w:sz w:val="18"/>
          <w:szCs w:val="18"/>
          <w:color w:val="auto"/>
        </w:rPr>
        <w:t>” means any Term Loan provided</w:t>
      </w:r>
    </w:p>
    <w:p>
      <w:pPr>
        <w:spacing w:after="0" w:line="27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under any First Lien</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Incremental Facility.</w:t>
      </w:r>
    </w:p>
    <w:p>
      <w:pPr>
        <w:spacing w:after="0" w:line="266" w:lineRule="exact"/>
        <w:rPr>
          <w:sz w:val="20"/>
          <w:szCs w:val="20"/>
          <w:color w:val="auto"/>
        </w:rPr>
      </w:pPr>
    </w:p>
    <w:p>
      <w:pPr>
        <w:jc w:val="both"/>
        <w:ind w:left="8"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 Obligations</w:t>
      </w:r>
      <w:r>
        <w:rPr>
          <w:rFonts w:ascii="Times New Roman" w:cs="Times New Roman" w:eastAsia="Times New Roman" w:hAnsi="Times New Roman"/>
          <w:sz w:val="18"/>
          <w:szCs w:val="18"/>
          <w:color w:val="auto"/>
        </w:rPr>
        <w:t>” 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w:t>
      </w:r>
    </w:p>
    <w:p>
      <w:pPr>
        <w:spacing w:after="0" w:line="228" w:lineRule="exact"/>
        <w:rPr>
          <w:sz w:val="20"/>
          <w:szCs w:val="20"/>
          <w:color w:val="auto"/>
        </w:rPr>
      </w:pPr>
    </w:p>
    <w:p>
      <w:pPr>
        <w:jc w:val="both"/>
        <w:ind w:left="8"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Documents</w:t>
      </w:r>
      <w:r>
        <w:rPr>
          <w:rFonts w:ascii="Times New Roman" w:cs="Times New Roman" w:eastAsia="Times New Roman" w:hAnsi="Times New Roman"/>
          <w:sz w:val="18"/>
          <w:szCs w:val="18"/>
          <w:color w:val="auto"/>
        </w:rPr>
        <w:t>” means this Agreement, any Refinancing Amendment, any Loan Modification Agreement, any Incremental Facility Amendment, the First Lien Guarantee Agreement, the First Lien Collateral Agreement, the First</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color w:val="auto"/>
        </w:rPr>
        <w:t xml:space="preserve"> Lien </w:t>
      </w:r>
      <w:r>
        <w:rPr>
          <w:rFonts w:ascii="Times New Roman" w:cs="Times New Roman" w:eastAsia="Times New Roman" w:hAnsi="Times New Roman"/>
          <w:sz w:val="18"/>
          <w:szCs w:val="18"/>
          <w:u w:val="single" w:color="auto"/>
          <w:color w:val="0000FF"/>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Passu</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Intercreditor Agreement, the other Security Documents, any Customary Intercreditor Agreement and any Note delivered pursuant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2.09(e).</w:t>
      </w:r>
    </w:p>
    <w:p>
      <w:pPr>
        <w:spacing w:after="0" w:line="207" w:lineRule="exact"/>
        <w:rPr>
          <w:sz w:val="20"/>
          <w:szCs w:val="20"/>
          <w:color w:val="auto"/>
        </w:rPr>
      </w:pPr>
    </w:p>
    <w:p>
      <w:pPr>
        <w:jc w:val="both"/>
        <w:ind w:left="8" w:right="40" w:firstLine="1296"/>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Pari Passu Intercreditor Agreement</w:t>
      </w:r>
      <w:r>
        <w:rPr>
          <w:rFonts w:ascii="Times New Roman" w:cs="Times New Roman" w:eastAsia="Times New Roman" w:hAnsi="Times New Roman"/>
          <w:sz w:val="18"/>
          <w:szCs w:val="18"/>
          <w:color w:val="auto"/>
        </w:rPr>
        <w:t xml:space="preserve">” means the First Lien Intercreditor Agreement substantially in the form of Exhibit E-1 among the First Lien Administrative Agent and one or more Senior Representatives for holders of Indebtedness permitted by this Agreement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such modifications thereto as the First Lien Administrative Agent and the Borrower may reasonably agree.</w:t>
      </w:r>
      <w:r>
        <w:rPr>
          <w:rFonts w:ascii="Times New Roman" w:cs="Times New Roman" w:eastAsia="Times New Roman" w:hAnsi="Times New Roman"/>
          <w:sz w:val="23"/>
          <w:szCs w:val="23"/>
          <w:color w:val="FF0000"/>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As of the Amendment No. 4 Effective Date, the First Lien Collateral Agent and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Collateral Agent entered into a Pari Passu Intercreditor Agreement.</w:t>
      </w:r>
    </w:p>
    <w:p>
      <w:pPr>
        <w:spacing w:after="0" w:line="240" w:lineRule="exact"/>
        <w:rPr>
          <w:sz w:val="20"/>
          <w:szCs w:val="20"/>
          <w:color w:val="auto"/>
        </w:rPr>
      </w:pPr>
    </w:p>
    <w:p>
      <w:pPr>
        <w:jc w:val="both"/>
        <w:ind w:left="8"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First/Second Lien Intercreditor Agreement</w:t>
      </w:r>
      <w:r>
        <w:rPr>
          <w:rFonts w:ascii="Times New Roman" w:cs="Times New Roman" w:eastAsia="Times New Roman" w:hAnsi="Times New Roman"/>
          <w:sz w:val="18"/>
          <w:szCs w:val="18"/>
          <w:color w:val="auto"/>
        </w:rPr>
        <w:t xml:space="preserve">” means the First/Second Lien Intercreditor Agreement substantially in the form of Exhibit E-2 among the First Lien Administrative Agent and one or more Senior Representatives for holders of Indebtedness permitted by this Agreement to be secured by the Collateral. </w:t>
      </w:r>
      <w:r>
        <w:rPr>
          <w:rFonts w:ascii="Times New Roman" w:cs="Times New Roman" w:eastAsia="Times New Roman" w:hAnsi="Times New Roman"/>
          <w:sz w:val="18"/>
          <w:szCs w:val="18"/>
          <w:color w:val="FF0000"/>
          <w:strike w:val="1"/>
        </w:rPr>
        <w:t>On the Effective Date, the First Lien Administrative Agent entered into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First/Second Lien Intercreditor Agreement with the Second Lien Trustee and the other parties party thereto.</w:t>
      </w:r>
    </w:p>
    <w:p>
      <w:pPr>
        <w:spacing w:after="0" w:line="22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has the meaning assigned to such term in 1.07.(b).</w:t>
      </w:r>
    </w:p>
    <w:p>
      <w:pPr>
        <w:spacing w:after="0" w:line="266" w:lineRule="exact"/>
        <w:rPr>
          <w:sz w:val="20"/>
          <w:szCs w:val="20"/>
          <w:color w:val="auto"/>
        </w:rPr>
      </w:pPr>
    </w:p>
    <w:p>
      <w:pPr>
        <w:jc w:val="both"/>
        <w:ind w:left="8" w:right="40" w:firstLine="129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Flood Insurance Laws</w:t>
      </w:r>
      <w:r>
        <w:rPr>
          <w:rFonts w:ascii="Times New Roman" w:cs="Times New Roman" w:eastAsia="Times New Roman" w:hAnsi="Times New Roman"/>
          <w:sz w:val="17"/>
          <w:szCs w:val="17"/>
          <w:color w:val="auto"/>
        </w:rPr>
        <w:t>” means, collectively, (i) the National Flood Insurance Act of 1968 as now or hereafter in effect or any successor statute thereto, (ii) the Flood Disaster Protection Act of 1973 as now or hereafter in effect or any successor statute thereto,</w:t>
      </w:r>
    </w:p>
    <w:p>
      <w:pPr>
        <w:spacing w:after="0" w:line="1" w:lineRule="exact"/>
        <w:rPr>
          <w:sz w:val="20"/>
          <w:szCs w:val="20"/>
          <w:color w:val="auto"/>
        </w:rPr>
      </w:pPr>
    </w:p>
    <w:p>
      <w:pPr>
        <w:jc w:val="both"/>
        <w:ind w:left="8" w:right="40" w:hanging="8"/>
        <w:spacing w:after="0" w:line="255" w:lineRule="auto"/>
        <w:tabs>
          <w:tab w:leader="none" w:pos="354"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ectPr>
          <w:pgSz w:w="11900" w:h="16838" w:orient="portrait"/>
          <w:cols w:equalWidth="0" w:num="1">
            <w:col w:w="10068"/>
          </w:cols>
          <w:pgMar w:left="1012" w:top="1440" w:right="819" w:bottom="1440" w:gutter="0" w:footer="0" w:header="0"/>
        </w:sectPr>
      </w:pPr>
    </w:p>
    <w:bookmarkStart w:id="523" w:name="page524"/>
    <w:bookmarkEnd w:id="523"/>
    <w:p>
      <w:pPr>
        <w:spacing w:after="0" w:line="153" w:lineRule="exact"/>
        <w:rPr>
          <w:sz w:val="20"/>
          <w:szCs w:val="20"/>
          <w:color w:val="auto"/>
        </w:rPr>
      </w:pPr>
    </w:p>
    <w:p>
      <w:pPr>
        <w:jc w:val="both"/>
        <w:ind w:left="8"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xml:space="preserve">” means the benchmark rate floor, if any, provided in this Agreement initially (as of the execution of this Agreement, the modification, amendment or renewal of this Agreement or otherwise) with respect to the EURIBOR, Adjusted Daily Simple SONIA, Adjusted Term SOFR Rate, Adjusted Daily Simple SOFR or Adjusted Term CORRA as applicable. The initial Floor for each of the Adjusted Term SOFR Rate, Adjusted Daily Simple SOFR and </w:t>
      </w:r>
      <w:r>
        <w:rPr>
          <w:rFonts w:ascii="Times New Roman" w:cs="Times New Roman" w:eastAsia="Times New Roman" w:hAnsi="Times New Roman"/>
          <w:sz w:val="18"/>
          <w:szCs w:val="18"/>
          <w:color w:val="FF0000"/>
          <w:strike w:val="1"/>
        </w:rPr>
        <w:t>Adjusted Term CORRA (i)</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with respect to Revolving Loans only, </w:t>
      </w:r>
      <w:r>
        <w:rPr>
          <w:rFonts w:ascii="Times New Roman" w:cs="Times New Roman" w:eastAsia="Times New Roman" w:hAnsi="Times New Roman"/>
          <w:sz w:val="18"/>
          <w:szCs w:val="18"/>
          <w:u w:val="single" w:color="auto"/>
          <w:color w:val="0000FF"/>
        </w:rPr>
        <w:t>Adjusted Term CORRA</w:t>
      </w:r>
      <w:r>
        <w:rPr>
          <w:rFonts w:ascii="Times New Roman" w:cs="Times New Roman" w:eastAsia="Times New Roman" w:hAnsi="Times New Roman"/>
          <w:sz w:val="18"/>
          <w:szCs w:val="18"/>
          <w:color w:val="auto"/>
        </w:rPr>
        <w:t xml:space="preserve"> shall be 0% </w:t>
      </w:r>
      <w:r>
        <w:rPr>
          <w:rFonts w:ascii="Times New Roman" w:cs="Times New Roman" w:eastAsia="Times New Roman" w:hAnsi="Times New Roman"/>
          <w:sz w:val="18"/>
          <w:szCs w:val="18"/>
          <w:color w:val="FF0000"/>
        </w:rPr>
        <w:t>and (ii) with respect to Term Loans only, shall be 0.50%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-85725</wp:posOffset>
            </wp:positionV>
            <wp:extent cx="25958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595880" cy="8890"/>
                    </a:xfrm>
                    <a:prstGeom prst="rect">
                      <a:avLst/>
                    </a:prstGeom>
                    <a:noFill/>
                  </pic:spPr>
                </pic:pic>
              </a:graphicData>
            </a:graphic>
          </wp:anchor>
        </w:drawing>
      </w:r>
    </w:p>
    <w:p>
      <w:pPr>
        <w:spacing w:after="0" w:line="204"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United States Person (as defined in Section 7701(a)(30) of the Code).</w:t>
      </w:r>
    </w:p>
    <w:p>
      <w:pPr>
        <w:spacing w:after="0" w:line="330" w:lineRule="exact"/>
        <w:rPr>
          <w:sz w:val="20"/>
          <w:szCs w:val="20"/>
          <w:color w:val="auto"/>
        </w:rPr>
      </w:pPr>
    </w:p>
    <w:p>
      <w:pPr>
        <w:ind w:left="108" w:hanging="108"/>
        <w:spacing w:after="0"/>
        <w:tabs>
          <w:tab w:leader="none" w:pos="108" w:val="left"/>
        </w:tabs>
        <w:numPr>
          <w:ilvl w:val="0"/>
          <w:numId w:val="566"/>
        </w:numPr>
        <w:rPr>
          <w:rFonts w:ascii="Times New Roman" w:cs="Times New Roman" w:eastAsia="Times New Roman" w:hAnsi="Times New Roman"/>
          <w:sz w:val="23"/>
          <w:szCs w:val="23"/>
          <w:color w:val="FF0000"/>
          <w:vertAlign w:val="superscript"/>
        </w:rPr>
      </w:pPr>
      <w:r>
        <w:rPr>
          <w:rFonts w:ascii="Times New Roman" w:cs="Times New Roman" w:eastAsia="Times New Roman" w:hAnsi="Times New Roman"/>
          <w:sz w:val="18"/>
          <w:szCs w:val="18"/>
          <w:color w:val="FF0000"/>
        </w:rPr>
        <w:t xml:space="preserve">A First Lien Pari Passu Intercreditor Agreement was entered into on February 23, 2023, between the First Lien </w:t>
      </w:r>
      <w:r>
        <w:rPr>
          <w:rFonts w:ascii="Times New Roman" w:cs="Times New Roman" w:eastAsia="Times New Roman" w:hAnsi="Times New Roman"/>
          <w:sz w:val="18"/>
          <w:szCs w:val="18"/>
          <w:color w:val="FF0000"/>
          <w:strike w:val="1"/>
        </w:rPr>
        <w:t>Administrative Agent and</w:t>
      </w:r>
    </w:p>
    <w:p>
      <w:pPr>
        <w:spacing w:after="0" w:line="1" w:lineRule="exact"/>
        <w:rPr>
          <w:rFonts w:ascii="Times New Roman" w:cs="Times New Roman" w:eastAsia="Times New Roman" w:hAnsi="Times New Roman"/>
          <w:sz w:val="23"/>
          <w:szCs w:val="23"/>
          <w:color w:val="FF0000"/>
          <w:vertAlign w:val="superscript"/>
        </w:rPr>
      </w:pPr>
    </w:p>
    <w:p>
      <w:pPr>
        <w:ind w:left="328" w:right="300"/>
        <w:spacing w:after="0" w:line="258" w:lineRule="auto"/>
        <w:rPr>
          <w:rFonts w:ascii="Times New Roman" w:cs="Times New Roman" w:eastAsia="Times New Roman" w:hAnsi="Times New Roman"/>
          <w:sz w:val="23"/>
          <w:szCs w:val="23"/>
          <w:color w:val="FF0000"/>
          <w:vertAlign w:val="superscript"/>
        </w:rPr>
      </w:pPr>
      <w:r>
        <w:rPr>
          <w:rFonts w:ascii="Times New Roman" w:cs="Times New Roman" w:eastAsia="Times New Roman" w:hAnsi="Times New Roman"/>
          <w:sz w:val="18"/>
          <w:szCs w:val="18"/>
          <w:color w:val="FF0000"/>
          <w:strike w:val="1"/>
        </w:rPr>
        <w:t>JPMorgan Chase Bank, N.A., as administrative agent and collateral agent under that certain Credit Agreement dated as of February 23, 2023, by and among Holdings, the Borrower and the other parties thereto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-360045</wp:posOffset>
            </wp:positionV>
            <wp:extent cx="50958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5095875" cy="8255"/>
                    </a:xfrm>
                    <a:prstGeom prst="rect">
                      <a:avLst/>
                    </a:prstGeom>
                    <a:noFill/>
                  </pic:spPr>
                </pic:pic>
              </a:graphicData>
            </a:graphic>
          </wp:anchor>
        </w:drawing>
      </w:r>
    </w:p>
    <w:p>
      <w:pPr>
        <w:spacing w:after="0" w:line="325" w:lineRule="exact"/>
        <w:rPr>
          <w:sz w:val="20"/>
          <w:szCs w:val="20"/>
          <w:color w:val="auto"/>
        </w:rPr>
      </w:pPr>
    </w:p>
    <w:p>
      <w:pPr>
        <w:jc w:val="both"/>
        <w:ind w:left="8"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Intercreditor Agreements</w:t>
      </w:r>
      <w:r>
        <w:rPr>
          <w:rFonts w:ascii="Times New Roman" w:cs="Times New Roman" w:eastAsia="Times New Roman" w:hAnsi="Times New Roman"/>
          <w:sz w:val="18"/>
          <w:szCs w:val="18"/>
          <w:color w:val="auto"/>
        </w:rPr>
        <w:t>”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spacing w:after="0" w:line="216" w:lineRule="exact"/>
        <w:rPr>
          <w:sz w:val="20"/>
          <w:szCs w:val="20"/>
          <w:color w:val="auto"/>
        </w:rPr>
      </w:pPr>
    </w:p>
    <w:p>
      <w:pPr>
        <w:jc w:val="both"/>
        <w:ind w:left="8" w:right="20" w:firstLine="145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220" w:lineRule="exact"/>
        <w:rPr>
          <w:sz w:val="20"/>
          <w:szCs w:val="20"/>
          <w:color w:val="auto"/>
        </w:rPr>
      </w:pPr>
    </w:p>
    <w:p>
      <w:pPr>
        <w:jc w:val="both"/>
        <w:ind w:left="8" w:right="40" w:firstLine="135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230" w:lineRule="exact"/>
        <w:rPr>
          <w:sz w:val="20"/>
          <w:szCs w:val="20"/>
          <w:color w:val="auto"/>
        </w:rPr>
      </w:pPr>
    </w:p>
    <w:p>
      <w:pPr>
        <w:jc w:val="both"/>
        <w:ind w:left="8" w:right="4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Restricted Payment Reallocated Amount</w:t>
      </w:r>
      <w:r>
        <w:rPr>
          <w:rFonts w:ascii="Times New Roman" w:cs="Times New Roman" w:eastAsia="Times New Roman" w:hAnsi="Times New Roman"/>
          <w:sz w:val="18"/>
          <w:szCs w:val="18"/>
          <w:color w:val="auto"/>
        </w:rPr>
        <w:t>” means any amount that, at the option of Holdings or the Borrower, has been reallocated from Section 6.07(a)(viii) to clause (C) of the proviso in Section 6.04(m), which shall be deemed to be a utilization of the basket set forth in Section 6.07(a)(viii).</w:t>
      </w:r>
    </w:p>
    <w:p>
      <w:pPr>
        <w:spacing w:after="0" w:line="216" w:lineRule="exact"/>
        <w:rPr>
          <w:sz w:val="20"/>
          <w:szCs w:val="20"/>
          <w:color w:val="auto"/>
        </w:rPr>
      </w:pPr>
    </w:p>
    <w:p>
      <w:pPr>
        <w:jc w:val="both"/>
        <w:ind w:left="8"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Goldman Sachs Letter of Credit Sublimit</w:t>
      </w:r>
      <w:r>
        <w:rPr>
          <w:rFonts w:ascii="Times New Roman" w:cs="Times New Roman" w:eastAsia="Times New Roman" w:hAnsi="Times New Roman"/>
          <w:sz w:val="18"/>
          <w:szCs w:val="18"/>
          <w:color w:val="auto"/>
        </w:rPr>
        <w:t>” means an amount equal to the amount listed on Schedule 2.01 as amended by Amendment No. 3. Letters of Credit issued pursuant to the Goldman Sachs Letter of Credit Sublimit will be issued by Goldman Sachs Bank USA in its capacity as an “Issuing Bank”.</w:t>
      </w:r>
    </w:p>
    <w:p>
      <w:pPr>
        <w:spacing w:after="0" w:line="216" w:lineRule="exact"/>
        <w:rPr>
          <w:sz w:val="20"/>
          <w:szCs w:val="20"/>
          <w:color w:val="auto"/>
        </w:rPr>
      </w:pPr>
    </w:p>
    <w:p>
      <w:pPr>
        <w:jc w:val="both"/>
        <w:ind w:left="8" w:right="60" w:firstLine="135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registrations and filings with, and reports to, Governmental Authorities.</w:t>
      </w:r>
    </w:p>
    <w:p>
      <w:pPr>
        <w:sectPr>
          <w:pgSz w:w="11900" w:h="16838" w:orient="portrait"/>
          <w:cols w:equalWidth="0" w:num="1">
            <w:col w:w="10068"/>
          </w:cols>
          <w:pgMar w:left="1012" w:top="1440" w:right="819" w:bottom="1440" w:gutter="0" w:footer="0" w:header="0"/>
        </w:sectPr>
      </w:pPr>
    </w:p>
    <w:bookmarkStart w:id="524" w:name="page525"/>
    <w:bookmarkEnd w:id="524"/>
    <w:p>
      <w:pPr>
        <w:spacing w:after="0" w:line="153" w:lineRule="exact"/>
        <w:rPr>
          <w:sz w:val="20"/>
          <w:szCs w:val="20"/>
          <w:color w:val="auto"/>
        </w:rPr>
      </w:pPr>
    </w:p>
    <w:p>
      <w:pPr>
        <w:jc w:val="both"/>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238"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207"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Participating Lenders</w:t>
      </w:r>
      <w:r>
        <w:rPr>
          <w:rFonts w:ascii="Times New Roman" w:cs="Times New Roman" w:eastAsia="Times New Roman" w:hAnsi="Times New Roman"/>
          <w:sz w:val="18"/>
          <w:szCs w:val="18"/>
          <w:color w:val="auto"/>
        </w:rPr>
        <w:t>” has the meaning assigned to such term in Section 2.11(a)(ii)(C)(3).</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Qualifying  Lenders</w:t>
      </w:r>
      <w:r>
        <w:rPr>
          <w:rFonts w:ascii="Times New Roman" w:cs="Times New Roman" w:eastAsia="Times New Roman" w:hAnsi="Times New Roman"/>
          <w:sz w:val="18"/>
          <w:szCs w:val="18"/>
          <w:color w:val="auto"/>
        </w:rPr>
        <w:t>”  has  the  meaning  specified  in  Section  2.11(a)(ii)(D)(3).  “</w:t>
      </w:r>
      <w:r>
        <w:rPr>
          <w:rFonts w:ascii="Times New Roman" w:cs="Times New Roman" w:eastAsia="Times New Roman" w:hAnsi="Times New Roman"/>
          <w:sz w:val="18"/>
          <w:szCs w:val="18"/>
          <w:u w:val="single" w:color="auto"/>
          <w:color w:val="auto"/>
        </w:rPr>
        <w:t>Immaterial</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other than a Material Subsidiary.</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EURIBOR Rate Interest Period</w:t>
      </w:r>
      <w:r>
        <w:rPr>
          <w:rFonts w:ascii="Times New Roman" w:cs="Times New Roman" w:eastAsia="Times New Roman" w:hAnsi="Times New Roman"/>
          <w:sz w:val="18"/>
          <w:szCs w:val="18"/>
          <w:color w:val="auto"/>
        </w:rPr>
        <w:t>” has the meaning assigned to such term in the definition of “EURIBOR.”</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has the meaning assigned to such term in Section 2.14(b).</w:t>
      </w:r>
    </w:p>
    <w:p>
      <w:pPr>
        <w:spacing w:after="0" w:line="2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means, as of any date of determination, the sum of (I)(a) the greater of (i)</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288,000,000</w:t>
      </w:r>
      <w:r>
        <w:rPr>
          <w:rFonts w:ascii="Times New Roman" w:cs="Times New Roman" w:eastAsia="Times New Roman" w:hAnsi="Times New Roman"/>
          <w:sz w:val="18"/>
          <w:szCs w:val="18"/>
          <w:u w:val="single" w:color="auto"/>
          <w:color w:val="0000FF"/>
        </w:rPr>
        <w:t>542,000,000</w:t>
      </w:r>
      <w:r>
        <w:rPr>
          <w:rFonts w:ascii="Times New Roman" w:cs="Times New Roman" w:eastAsia="Times New Roman" w:hAnsi="Times New Roman"/>
          <w:sz w:val="18"/>
          <w:szCs w:val="18"/>
          <w:color w:val="auto"/>
        </w:rPr>
        <w:t xml:space="preserve"> and (ii) </w:t>
      </w:r>
      <w:r>
        <w:rPr>
          <w:rFonts w:ascii="Times New Roman" w:cs="Times New Roman" w:eastAsia="Times New Roman" w:hAnsi="Times New Roman"/>
          <w:sz w:val="18"/>
          <w:szCs w:val="18"/>
          <w:color w:val="FF0000"/>
          <w:strike w:val="1"/>
        </w:rPr>
        <w:t>75</w:t>
      </w:r>
      <w:r>
        <w:rPr>
          <w:rFonts w:ascii="Times New Roman" w:cs="Times New Roman" w:eastAsia="Times New Roman" w:hAnsi="Times New Roman"/>
          <w:sz w:val="18"/>
          <w:szCs w:val="18"/>
          <w:u w:val="single" w:color="auto"/>
          <w:color w:val="0000FF"/>
        </w:rPr>
        <w:t>100</w:t>
      </w:r>
      <w:r>
        <w:rPr>
          <w:rFonts w:ascii="Times New Roman" w:cs="Times New Roman" w:eastAsia="Times New Roman" w:hAnsi="Times New Roman"/>
          <w:sz w:val="18"/>
          <w:szCs w:val="18"/>
          <w:color w:val="auto"/>
        </w:rPr>
        <w:t xml:space="preserve">% of Consolidated EBITDA for the most recently ended Test Period as of such date, calculated on a Pro Forma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w:t>
      </w:r>
    </w:p>
    <w:p>
      <w:pPr>
        <w:sectPr>
          <w:pgSz w:w="11900" w:h="16838" w:orient="portrait"/>
          <w:cols w:equalWidth="0" w:num="1">
            <w:col w:w="10060"/>
          </w:cols>
          <w:pgMar w:left="1020" w:top="1440" w:right="819" w:bottom="1440" w:gutter="0" w:footer="0" w:header="0"/>
        </w:sectPr>
      </w:pPr>
    </w:p>
    <w:bookmarkStart w:id="525" w:name="page526"/>
    <w:bookmarkEnd w:id="525"/>
    <w:p>
      <w:pPr>
        <w:jc w:val="both"/>
        <w:ind w:left="8" w:right="460"/>
        <w:spacing w:after="0" w:line="251" w:lineRule="auto"/>
        <w:rPr>
          <w:sz w:val="20"/>
          <w:szCs w:val="20"/>
          <w:color w:val="auto"/>
        </w:rPr>
      </w:pPr>
      <w:r>
        <w:rPr>
          <w:rFonts w:ascii="Times New Roman" w:cs="Times New Roman" w:eastAsia="Times New Roman" w:hAnsi="Times New Roman"/>
          <w:sz w:val="18"/>
          <w:szCs w:val="18"/>
          <w:color w:val="auto"/>
        </w:rPr>
        <w:t xml:space="preserve">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or otherwise in a manner not prohibited by Section 9.04(g)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Secured Obligations, the maximum aggregate principal amount that can be incurred without causing the Senior Secured Net Leverage Ratio to exceed</w:t>
      </w:r>
    </w:p>
    <w:p>
      <w:pPr>
        <w:spacing w:after="0" w:line="12" w:lineRule="exact"/>
        <w:rPr>
          <w:sz w:val="20"/>
          <w:szCs w:val="20"/>
          <w:color w:val="auto"/>
        </w:rPr>
      </w:pPr>
    </w:p>
    <w:p>
      <w:pPr>
        <w:ind w:left="8" w:right="500"/>
        <w:spacing w:after="0" w:line="252" w:lineRule="auto"/>
        <w:rPr>
          <w:sz w:val="20"/>
          <w:szCs w:val="20"/>
          <w:color w:val="auto"/>
        </w:rPr>
      </w:pPr>
      <w:r>
        <w:rPr>
          <w:rFonts w:ascii="Times New Roman" w:cs="Times New Roman" w:eastAsia="Times New Roman" w:hAnsi="Times New Roman"/>
          <w:sz w:val="18"/>
          <w:szCs w:val="18"/>
          <w:color w:val="auto"/>
        </w:rPr>
        <w:t>7.50 to 1.00, on a Pro Forma Basis for the most recently ended Test Period; and (c) in the case of any Incremental Facilities or Incremental Equivalent Debt that is unsecured, the Total Net Leverage Ratio, after giving effect to the incurrence of such unsecured Incremental Facility or Incremental Equivalent Debt and the use of proceeds thereof, shall not, on a Pro Forma Basis, exceed 7.50 to 1.00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w:t>
      </w:r>
    </w:p>
    <w:p>
      <w:pPr>
        <w:spacing w:after="0" w:line="200" w:lineRule="exact"/>
        <w:rPr>
          <w:sz w:val="20"/>
          <w:szCs w:val="20"/>
          <w:color w:val="auto"/>
        </w:rPr>
      </w:pPr>
    </w:p>
    <w:p>
      <w:pPr>
        <w:spacing w:after="0" w:line="248"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Equivalent Debt</w:t>
      </w:r>
      <w:r>
        <w:rPr>
          <w:rFonts w:ascii="Times New Roman" w:cs="Times New Roman" w:eastAsia="Times New Roman" w:hAnsi="Times New Roman"/>
          <w:sz w:val="17"/>
          <w:szCs w:val="17"/>
          <w:color w:val="auto"/>
        </w:rPr>
        <w:t>” means First Lien Incremental Equivalent Debt and/or Second Lien Incremental Equivalent Debt.</w:t>
      </w:r>
    </w:p>
    <w:p>
      <w:pPr>
        <w:spacing w:after="0" w:line="264"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has the meaning assigned to such term in Section 2.20(d).</w:t>
      </w:r>
    </w:p>
    <w:p>
      <w:pPr>
        <w:spacing w:after="0" w:line="252" w:lineRule="exact"/>
        <w:rPr>
          <w:sz w:val="20"/>
          <w:szCs w:val="20"/>
          <w:color w:val="auto"/>
        </w:rPr>
      </w:pPr>
    </w:p>
    <w:p>
      <w:pPr>
        <w:ind w:left="8" w:right="86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 Increase</w:t>
      </w:r>
      <w:r>
        <w:rPr>
          <w:rFonts w:ascii="Times New Roman" w:cs="Times New Roman" w:eastAsia="Times New Roman" w:hAnsi="Times New Roman"/>
          <w:sz w:val="18"/>
          <w:szCs w:val="18"/>
          <w:color w:val="auto"/>
        </w:rPr>
        <w:t>” has the meaning assigned to such term in Section 2.20(a), including Amendment No. 1 Revolving Commitment Increase and Amendment No. 2 Revolving Commitment Increase.</w:t>
      </w:r>
    </w:p>
    <w:p>
      <w:pPr>
        <w:spacing w:after="0" w:line="18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 Based Amounts</w:t>
      </w:r>
      <w:r>
        <w:rPr>
          <w:rFonts w:ascii="Times New Roman" w:cs="Times New Roman" w:eastAsia="Times New Roman" w:hAnsi="Times New Roman"/>
          <w:sz w:val="18"/>
          <w:szCs w:val="18"/>
          <w:color w:val="auto"/>
        </w:rPr>
        <w:t>” has the meaning assigned to such term in Section 1.07(b).</w:t>
      </w:r>
    </w:p>
    <w:p>
      <w:pPr>
        <w:spacing w:after="0" w:line="239" w:lineRule="exact"/>
        <w:rPr>
          <w:sz w:val="20"/>
          <w:szCs w:val="20"/>
          <w:color w:val="auto"/>
        </w:rPr>
      </w:pPr>
    </w:p>
    <w:p>
      <w:pPr>
        <w:jc w:val="both"/>
        <w:ind w:left="8" w:right="2360" w:firstLine="126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all obligations of such Person for borrowed money, (b) all obligations of such Person evidenced by bonds, debentures, notes or similar instruments,</w:t>
      </w:r>
    </w:p>
    <w:p>
      <w:pPr>
        <w:jc w:val="both"/>
        <w:ind w:left="8" w:right="500" w:hanging="8"/>
        <w:spacing w:after="0" w:line="253" w:lineRule="auto"/>
        <w:tabs>
          <w:tab w:leader="none" w:pos="253"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w:t>
      </w:r>
    </w:p>
    <w:p>
      <w:pPr>
        <w:sectPr>
          <w:pgSz w:w="11900" w:h="16838" w:orient="portrait"/>
          <w:cols w:equalWidth="0" w:num="1">
            <w:col w:w="10528"/>
          </w:cols>
          <w:pgMar w:left="1012" w:top="1336" w:right="359" w:bottom="1440" w:gutter="0" w:footer="0" w:header="0"/>
        </w:sectPr>
      </w:pPr>
    </w:p>
    <w:bookmarkStart w:id="526" w:name="page527"/>
    <w:bookmarkEnd w:id="526"/>
    <w:p>
      <w:pPr>
        <w:jc w:val="both"/>
        <w:ind w:left="9" w:right="40" w:hanging="8"/>
        <w:spacing w:after="0" w:line="261" w:lineRule="auto"/>
        <w:tabs>
          <w:tab w:leader="none" w:pos="256"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ind w:left="229" w:hanging="228"/>
        <w:spacing w:after="0"/>
        <w:tabs>
          <w:tab w:leader="none" w:pos="229"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of Indebtedness of others,</w:t>
      </w:r>
    </w:p>
    <w:p>
      <w:pPr>
        <w:spacing w:after="0" w:line="9"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269"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“Indebtedness” shall not include (i) deferred or prepaid revenue, (ii) 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 (v) 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230" w:lineRule="exact"/>
        <w:rPr>
          <w:sz w:val="20"/>
          <w:szCs w:val="20"/>
          <w:color w:val="auto"/>
        </w:rPr>
      </w:pPr>
    </w:p>
    <w:p>
      <w:pPr>
        <w:ind w:left="9" w:right="6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all Taxes, other than Excluded Taxes and Other Taxes, in each case, imposed on or with respect to any payment made by or on account of any obligation of any Loan Party under any First Lien Loan Document.</w:t>
      </w:r>
    </w:p>
    <w:p>
      <w:pPr>
        <w:spacing w:after="0" w:line="202"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9.03(b).</w:t>
      </w:r>
    </w:p>
    <w:p>
      <w:pPr>
        <w:spacing w:after="0" w:line="266" w:lineRule="exact"/>
        <w:rPr>
          <w:sz w:val="20"/>
          <w:szCs w:val="20"/>
          <w:color w:val="auto"/>
        </w:rPr>
      </w:pPr>
    </w:p>
    <w:p>
      <w:pPr>
        <w:jc w:val="both"/>
        <w:ind w:left="9" w:firstLine="1296"/>
        <w:spacing w:after="0" w:line="261" w:lineRule="auto"/>
        <w:rPr>
          <w:sz w:val="20"/>
          <w:szCs w:val="20"/>
          <w:color w:val="auto"/>
        </w:rPr>
      </w:pPr>
      <w:r>
        <w:rPr>
          <w:rFonts w:ascii="Times New Roman" w:cs="Times New Roman" w:eastAsia="Times New Roman" w:hAnsi="Times New Roman"/>
          <w:sz w:val="18"/>
          <w:szCs w:val="18"/>
          <w:u w:val="single" w:color="auto"/>
          <w:color w:val="0000FF"/>
        </w:rPr>
        <w:t>“Independent Assets or Operations” means, with respect to any parent of the Borrower, such parent’s total assets, revenues, income from continuing operations before income taxes or cash flows from operating activities (excluding in each case amounts related to its investment in Holdings, the Borrower and the Restricted Subsidiaries), determined in accordance with GAAP and as shown on the most recent balance sheet of such parent, is more than 5.0% of such parent corresponding consolidated amount.</w:t>
      </w:r>
    </w:p>
    <w:p>
      <w:pPr>
        <w:spacing w:after="0" w:line="20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9.12(a).</w:t>
      </w:r>
    </w:p>
    <w:p>
      <w:pPr>
        <w:spacing w:after="0" w:line="252"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has the meaning given to such term in the preliminary statements hereto.</w:t>
      </w:r>
    </w:p>
    <w:p>
      <w:pPr>
        <w:spacing w:after="0" w:line="252" w:lineRule="exact"/>
        <w:rPr>
          <w:sz w:val="20"/>
          <w:szCs w:val="20"/>
          <w:color w:val="auto"/>
        </w:rPr>
      </w:pPr>
    </w:p>
    <w:p>
      <w:pPr>
        <w:ind w:left="1289" w:right="17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means the Loans made pursuant to Section 2.01(a) on the Effective Date. </w:t>
      </w:r>
      <w:r>
        <w:rPr>
          <w:rFonts w:ascii="Times New Roman" w:cs="Times New Roman" w:eastAsia="Times New Roman" w:hAnsi="Times New Roman"/>
          <w:sz w:val="18"/>
          <w:szCs w:val="18"/>
          <w:color w:val="0000FF"/>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the Amendment No. 4 Effective Date there are no Initial Term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-185420</wp:posOffset>
            </wp:positionV>
            <wp:extent cx="1555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55575" cy="8890"/>
                    </a:xfrm>
                    <a:prstGeom prst="rect">
                      <a:avLst/>
                    </a:prstGeom>
                    <a:noFill/>
                  </pic:spPr>
                </pic:pic>
              </a:graphicData>
            </a:graphic>
          </wp:anchor>
        </w:drawing>
      </w:r>
    </w:p>
    <w:p>
      <w:pPr>
        <w:spacing w:after="0" w:line="182"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First Lien Collateral</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Agreement.</w:t>
      </w:r>
    </w:p>
    <w:p>
      <w:pPr>
        <w:spacing w:after="0" w:line="247" w:lineRule="exact"/>
        <w:rPr>
          <w:sz w:val="20"/>
          <w:szCs w:val="20"/>
          <w:color w:val="auto"/>
        </w:rPr>
      </w:pPr>
    </w:p>
    <w:p>
      <w:pPr>
        <w:jc w:val="both"/>
        <w:ind w:left="9"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means, collectively, the First Lien Trademark Security Agreement, the First Lien Patent Security Agreement and the First Lien Copyright Security Agreement, in each case which has the meaning assigned to such term in the First Lien Collateral Agreement.</w:t>
      </w:r>
    </w:p>
    <w:p>
      <w:pPr>
        <w:spacing w:after="0" w:line="216" w:lineRule="exact"/>
        <w:rPr>
          <w:sz w:val="20"/>
          <w:szCs w:val="20"/>
          <w:color w:val="auto"/>
        </w:rPr>
      </w:pPr>
    </w:p>
    <w:p>
      <w:pPr>
        <w:jc w:val="both"/>
        <w:ind w:left="9"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the First Lien Pari Passu Intercreditor Agreement, the First/Second Lien Intercreditor Agreement and the ABL Intercreditor Agreement.</w:t>
      </w:r>
    </w:p>
    <w:p>
      <w:pPr>
        <w:sectPr>
          <w:pgSz w:w="11900" w:h="16838" w:orient="portrait"/>
          <w:cols w:equalWidth="0" w:num="1">
            <w:col w:w="10069"/>
          </w:cols>
          <w:pgMar w:left="1011" w:top="1336" w:right="819" w:bottom="1440" w:gutter="0" w:footer="0" w:header="0"/>
        </w:sectPr>
      </w:pPr>
    </w:p>
    <w:bookmarkStart w:id="527" w:name="page528"/>
    <w:bookmarkEnd w:id="527"/>
    <w:p>
      <w:pPr>
        <w:jc w:val="both"/>
        <w:ind w:left="9"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as of any date of determination, the ratio, on a Pro Forma Basis, of (a) Consolidated EBITDA for the most recently ended Test Period as of such date to (b) Consolidated Interest Expense for the most recently ended Test Period as of such date.</w:t>
      </w:r>
    </w:p>
    <w:p>
      <w:pPr>
        <w:spacing w:after="0" w:line="216" w:lineRule="exact"/>
        <w:rPr>
          <w:sz w:val="20"/>
          <w:szCs w:val="20"/>
          <w:color w:val="auto"/>
        </w:rPr>
      </w:pPr>
    </w:p>
    <w:p>
      <w:pPr>
        <w:jc w:val="both"/>
        <w:ind w:left="9"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Revolving Borrowing or Term Borrowing in accordance with Section 2.07.</w:t>
      </w:r>
    </w:p>
    <w:p>
      <w:pPr>
        <w:spacing w:after="0" w:line="202" w:lineRule="exact"/>
        <w:rPr>
          <w:sz w:val="20"/>
          <w:szCs w:val="20"/>
          <w:color w:val="auto"/>
        </w:rPr>
      </w:pPr>
    </w:p>
    <w:p>
      <w:pPr>
        <w:jc w:val="both"/>
        <w:ind w:left="9"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(including a Swingline Loan), the last Business Day of each March, June, September and December to occur during any period in which such Loan is outstanding and the maturity date applicable to such ABR Loan,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applicable to such RFR Loan, and (c) with respect to any Term Benchmark Loan, the last Business Day of the Interest Period applicable to the Borrowing of which such Loan is a part and, in the case of a Term Benchmark Loan with an Interest Period of more than three months’ duration, each day prior to the last day of such Interest Period that occurs at intervals of three months’ duration after the first day of such Interest Period and the maturity date applicable to such Term Benchmark Loan.</w:t>
      </w:r>
    </w:p>
    <w:p>
      <w:pPr>
        <w:spacing w:after="0" w:line="232" w:lineRule="exact"/>
        <w:rPr>
          <w:sz w:val="20"/>
          <w:szCs w:val="20"/>
          <w:color w:val="auto"/>
        </w:rPr>
      </w:pPr>
    </w:p>
    <w:p>
      <w:pPr>
        <w:jc w:val="both"/>
        <w:ind w:left="9" w:firstLine="129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 with respect to any Term Benchmark Loan, the period commencing on the date of such Borrowing and ending on the numerically corresponding day in the calendar month that is one, three or, except with respect to any Term Benchmark Loan denominated in Canadian Dollars, six months thereafter, as the Borrower may elect or, with the consent of the First Lien Administrative Agent and each Lender, any other period ending on a Business Day that is within three months of the date of such Borrowing,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shall extend beyond (i) in the case of Term Loans, the Term Maturity Date and (ii) in the case of Revolving Loans, the Revolving Maturity Date and (d)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34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Parent</w:t>
      </w:r>
      <w:r>
        <w:rPr>
          <w:rFonts w:ascii="Times New Roman" w:cs="Times New Roman" w:eastAsia="Times New Roman" w:hAnsi="Times New Roman"/>
          <w:sz w:val="18"/>
          <w:szCs w:val="18"/>
          <w:color w:val="auto"/>
        </w:rPr>
        <w:t>” means any Subsidiary of Holdings of which the Borrower is a subsidiary.</w:t>
      </w:r>
    </w:p>
    <w:p>
      <w:pPr>
        <w:spacing w:after="0" w:line="144" w:lineRule="exact"/>
        <w:rPr>
          <w:sz w:val="20"/>
          <w:szCs w:val="20"/>
          <w:color w:val="auto"/>
        </w:rPr>
      </w:pPr>
    </w:p>
    <w:p>
      <w:pPr>
        <w:jc w:val="both"/>
        <w:ind w:left="9" w:firstLine="129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w:t>
      </w:r>
    </w:p>
    <w:p>
      <w:pPr>
        <w:spacing w:after="0" w:line="1" w:lineRule="exact"/>
        <w:rPr>
          <w:sz w:val="20"/>
          <w:szCs w:val="20"/>
          <w:color w:val="auto"/>
        </w:rPr>
      </w:pPr>
    </w:p>
    <w:p>
      <w:pPr>
        <w:ind w:left="9" w:right="20" w:hanging="9"/>
        <w:spacing w:after="0" w:line="260" w:lineRule="auto"/>
        <w:tabs>
          <w:tab w:leader="none" w:pos="281"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the form of a Guarantee shall be equal to the stated or determinable amount of the related primary obligation, or portion thereof,</w:t>
      </w:r>
    </w:p>
    <w:p>
      <w:pPr>
        <w:sectPr>
          <w:pgSz w:w="11900" w:h="16838" w:orient="portrait"/>
          <w:cols w:equalWidth="0" w:num="1">
            <w:col w:w="10049"/>
          </w:cols>
          <w:pgMar w:left="1011" w:top="1336" w:right="839" w:bottom="1440" w:gutter="0" w:footer="0" w:header="0"/>
        </w:sectPr>
      </w:pPr>
    </w:p>
    <w:bookmarkStart w:id="528" w:name="page529"/>
    <w:bookmarkEnd w:id="528"/>
    <w:p>
      <w:pPr>
        <w:jc w:val="both"/>
        <w:ind w:left="9" w:right="20"/>
        <w:spacing w:after="0" w:line="252" w:lineRule="auto"/>
        <w:rPr>
          <w:sz w:val="20"/>
          <w:szCs w:val="20"/>
          <w:color w:val="auto"/>
        </w:rPr>
      </w:pPr>
      <w:r>
        <w:rPr>
          <w:rFonts w:ascii="Times New Roman" w:cs="Times New Roman" w:eastAsia="Times New Roman" w:hAnsi="Times New Roman"/>
          <w:sz w:val="18"/>
          <w:szCs w:val="18"/>
          <w:color w:val="auto"/>
        </w:rPr>
        <w:t xml:space="preserve">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the cost of all additions thereto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pending the final determination of the amounts to be so allocated in accordance with GAAP, such allocation shall be as reasonably determined by a Financial Officer.</w:t>
      </w:r>
    </w:p>
    <w:p>
      <w:pPr>
        <w:spacing w:after="0" w:line="230"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a holder of Equity Interests in Holdings (or any direct or indirect parent</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thereof).</w:t>
      </w:r>
    </w:p>
    <w:p>
      <w:pPr>
        <w:spacing w:after="0" w:line="247" w:lineRule="exact"/>
        <w:rPr>
          <w:sz w:val="20"/>
          <w:szCs w:val="20"/>
          <w:color w:val="auto"/>
        </w:rPr>
      </w:pPr>
    </w:p>
    <w:p>
      <w:pPr>
        <w:jc w:val="both"/>
        <w:ind w:left="9"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203" w:lineRule="exact"/>
        <w:rPr>
          <w:sz w:val="20"/>
          <w:szCs w:val="20"/>
          <w:color w:val="auto"/>
        </w:rPr>
      </w:pPr>
    </w:p>
    <w:p>
      <w:pPr>
        <w:jc w:val="both"/>
        <w:ind w:left="9"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Entity</w:t>
      </w:r>
      <w:r>
        <w:rPr>
          <w:rFonts w:ascii="Times New Roman" w:cs="Times New Roman" w:eastAsia="Times New Roman" w:hAnsi="Times New Roman"/>
          <w:sz w:val="18"/>
          <w:szCs w:val="18"/>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w:t>
      </w:r>
    </w:p>
    <w:p>
      <w:pPr>
        <w:spacing w:after="0" w:line="224" w:lineRule="exact"/>
        <w:rPr>
          <w:sz w:val="20"/>
          <w:szCs w:val="20"/>
          <w:color w:val="auto"/>
        </w:rPr>
      </w:pPr>
    </w:p>
    <w:p>
      <w:pPr>
        <w:jc w:val="both"/>
        <w:ind w:left="9"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16" w:lineRule="exact"/>
        <w:rPr>
          <w:sz w:val="20"/>
          <w:szCs w:val="20"/>
          <w:color w:val="auto"/>
        </w:rPr>
      </w:pPr>
    </w:p>
    <w:p>
      <w:pPr>
        <w:jc w:val="both"/>
        <w:ind w:left="9" w:right="4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216"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(a) Citibank, N.A., (b) Citizens Bank, N.A., (c) Banco Santander, S.A., New York Branch,</w:t>
      </w:r>
    </w:p>
    <w:p>
      <w:pPr>
        <w:spacing w:after="0" w:line="27" w:lineRule="exact"/>
        <w:rPr>
          <w:sz w:val="20"/>
          <w:szCs w:val="20"/>
          <w:color w:val="auto"/>
        </w:rPr>
      </w:pPr>
    </w:p>
    <w:p>
      <w:pPr>
        <w:jc w:val="both"/>
        <w:ind w:left="9" w:right="40" w:hanging="9"/>
        <w:spacing w:after="0" w:line="255" w:lineRule="auto"/>
        <w:tabs>
          <w:tab w:leader="none" w:pos="281"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Goldman Sachs Bank USA (provided that Goldman Sachs Bank USA shall only be required to issue standby Letters of Credit), (e) Jefferies Finance LLC (provided that Jefferies Finance LLC shall only be required to issue standby Letters of Credit denominated in U.S. Dollars and will cause any Letters of Credit</w:t>
      </w:r>
    </w:p>
    <w:p>
      <w:pPr>
        <w:sectPr>
          <w:pgSz w:w="11900" w:h="16838" w:orient="portrait"/>
          <w:cols w:equalWidth="0" w:num="1">
            <w:col w:w="10069"/>
          </w:cols>
          <w:pgMar w:left="1011" w:top="1336" w:right="819" w:bottom="1440" w:gutter="0" w:footer="0" w:header="0"/>
        </w:sectPr>
      </w:pPr>
    </w:p>
    <w:bookmarkStart w:id="529" w:name="page530"/>
    <w:bookmarkEnd w:id="529"/>
    <w:p>
      <w:pPr>
        <w:ind w:left="9" w:right="40"/>
        <w:spacing w:after="0" w:line="261" w:lineRule="auto"/>
        <w:rPr>
          <w:sz w:val="20"/>
          <w:szCs w:val="20"/>
          <w:color w:val="auto"/>
        </w:rPr>
      </w:pPr>
      <w:r>
        <w:rPr>
          <w:rFonts w:ascii="Times New Roman" w:cs="Times New Roman" w:eastAsia="Times New Roman" w:hAnsi="Times New Roman"/>
          <w:sz w:val="18"/>
          <w:szCs w:val="18"/>
          <w:color w:val="auto"/>
        </w:rPr>
        <w:t>issued pursuant to the Jefferies Letter of Credit Sublimit to be issued by unaffiliated financial institutions and such Letters of Credit shall be treated as issued by Jefferies Finance LLC for all purposes under the Loan Documents),</w:t>
      </w:r>
    </w:p>
    <w:p>
      <w:pPr>
        <w:jc w:val="both"/>
        <w:ind w:left="9" w:right="20" w:hanging="9"/>
        <w:spacing w:after="0" w:line="252" w:lineRule="auto"/>
        <w:tabs>
          <w:tab w:leader="none" w:pos="236"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Bank, N.A., (g) KeyBank National Association, (h) Royal Bank of Canada (provided that Royal Bank of Canada shall only be required to issue standby Letters of Credit), (i) Barclays Bank PLC (provided that Barclays Bank PLC shall only be required to issue standby Letters of Credit), (j) BNP Paribas and (k)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229" w:lineRule="exact"/>
        <w:rPr>
          <w:sz w:val="20"/>
          <w:szCs w:val="20"/>
          <w:color w:val="auto"/>
        </w:rPr>
      </w:pPr>
    </w:p>
    <w:p>
      <w:pPr>
        <w:jc w:val="both"/>
        <w:ind w:left="9"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Jefferies Letter of Credit Sublimit</w:t>
      </w:r>
      <w:r>
        <w:rPr>
          <w:rFonts w:ascii="Times New Roman" w:cs="Times New Roman" w:eastAsia="Times New Roman" w:hAnsi="Times New Roman"/>
          <w:sz w:val="18"/>
          <w:szCs w:val="18"/>
          <w:color w:val="auto"/>
        </w:rPr>
        <w:t>” means an amount equal to the amount listed on Schedule 2.01 as amended by Amendment No. 3. Letters of Credit issued pursuant to the Jefferies Letter of Credit Sublimit will be issued by Jefferies Finance LLC in its capacity as an “Issuing Bank”.</w:t>
      </w:r>
    </w:p>
    <w:p>
      <w:pPr>
        <w:spacing w:after="0" w:line="216" w:lineRule="exact"/>
        <w:rPr>
          <w:sz w:val="20"/>
          <w:szCs w:val="20"/>
          <w:color w:val="auto"/>
        </w:rPr>
      </w:pPr>
    </w:p>
    <w:p>
      <w:pPr>
        <w:jc w:val="both"/>
        <w:ind w:left="9" w:firstLine="129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w</w:t>
      </w:r>
      <w:r>
        <w:rPr>
          <w:rFonts w:ascii="Times New Roman" w:cs="Times New Roman" w:eastAsia="Times New Roman" w:hAnsi="Times New Roman"/>
          <w:sz w:val="18"/>
          <w:szCs w:val="18"/>
          <w:color w:val="auto"/>
        </w:rPr>
        <w:t>)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in connection with Amendment No. 2, each of JPMorgan Chase Bank, N.A., Jefferies Finance LLC, Credit Suisse Loan Funding LLC, Goldman Sachs Bank USA, BNP Paribas Securities Corp., Citibank, N.A., RBC Capital Markets and Barclays Bank PLC, each in their capacity as joint lead arranger and joint bookrunner, and any permitted successors and assigns of the foregoing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z</w:t>
      </w:r>
      <w:r>
        <w:rPr>
          <w:rFonts w:ascii="Times New Roman" w:cs="Times New Roman" w:eastAsia="Times New Roman" w:hAnsi="Times New Roman"/>
          <w:sz w:val="18"/>
          <w:szCs w:val="18"/>
          <w:u w:val="single" w:color="auto"/>
          <w:color w:val="0000FF"/>
        </w:rPr>
        <w:t>y</w:t>
      </w:r>
      <w:r>
        <w:rPr>
          <w:rFonts w:ascii="Times New Roman" w:cs="Times New Roman" w:eastAsia="Times New Roman" w:hAnsi="Times New Roman"/>
          <w:sz w:val="18"/>
          <w:szCs w:val="18"/>
          <w:color w:val="auto"/>
        </w:rPr>
        <w:t xml:space="preserve">) in connection with Amendment No. 3, the Amendment No. 3 Arrangers (as defined in Amendment No. 3) </w:t>
      </w:r>
      <w:r>
        <w:rPr>
          <w:rFonts w:ascii="Times New Roman" w:cs="Times New Roman" w:eastAsia="Times New Roman" w:hAnsi="Times New Roman"/>
          <w:sz w:val="18"/>
          <w:szCs w:val="18"/>
          <w:color w:val="0000FF"/>
        </w:rPr>
        <w:t>and (z)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connection with Amendment No. 4, the Amendment No. 4 Arrangers (as defined in the Amendment No. 4)</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-217805</wp:posOffset>
            </wp:positionV>
            <wp:extent cx="1936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-166370</wp:posOffset>
            </wp:positionV>
            <wp:extent cx="492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212" w:lineRule="exact"/>
        <w:rPr>
          <w:sz w:val="20"/>
          <w:szCs w:val="20"/>
          <w:color w:val="auto"/>
        </w:rPr>
      </w:pPr>
    </w:p>
    <w:p>
      <w:pPr>
        <w:jc w:val="both"/>
        <w:ind w:left="9"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 Letter of Credit Sublimit</w:t>
      </w:r>
      <w:r>
        <w:rPr>
          <w:rFonts w:ascii="Times New Roman" w:cs="Times New Roman" w:eastAsia="Times New Roman" w:hAnsi="Times New Roman"/>
          <w:sz w:val="18"/>
          <w:szCs w:val="18"/>
          <w:color w:val="auto"/>
        </w:rPr>
        <w:t>” means an amount equal to the amount listed on Schedule 2.01 as amended by Amendment No. 3. Letters of Credit issued pursuant to the JPM Letter of Credit Sublimit will be issued by JPMorgan Chase Bank, N.A. in its capacity as an “Issuing Bank”.</w:t>
      </w:r>
    </w:p>
    <w:p>
      <w:pPr>
        <w:spacing w:after="0" w:line="216"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9.17.</w:t>
      </w:r>
    </w:p>
    <w:p>
      <w:pPr>
        <w:spacing w:after="0" w:line="252" w:lineRule="exact"/>
        <w:rPr>
          <w:sz w:val="20"/>
          <w:szCs w:val="20"/>
          <w:color w:val="auto"/>
        </w:rPr>
      </w:pPr>
    </w:p>
    <w:p>
      <w:pPr>
        <w:jc w:val="both"/>
        <w:ind w:left="9"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 Payment Reallocated Amount</w:t>
      </w:r>
      <w:r>
        <w:rPr>
          <w:rFonts w:ascii="Times New Roman" w:cs="Times New Roman" w:eastAsia="Times New Roman" w:hAnsi="Times New Roman"/>
          <w:sz w:val="18"/>
          <w:szCs w:val="18"/>
          <w:color w:val="auto"/>
        </w:rPr>
        <w:t>” means any amount that, at the option of Holdings or the Borrower, has been reallocated from Section 6.07(b)(iv) to clause (D) of the proviso in Section 6.04(m), which shall be deemed to be a utilization of the basket set forth in Section 6.07(b)(iv).</w:t>
      </w:r>
    </w:p>
    <w:p>
      <w:pPr>
        <w:spacing w:after="0" w:line="216"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means (a) any Indebtedness for borrowed money (other than (i) any permitted intercompany</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Indebtedness owing to Holdings, any Intermediate Parent, the Borrower or any Restricted Subsidiary or any Permitted Unsecured</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Refinancing Debt or (ii) any Indebtedness in an aggregate principal amount not exceeding $50,000,000) that is subordinated in right of</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payment to the First Lien Loan Document Obligations, and</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(b) any Permitted Refinancing in respect of the foregoing.</w:t>
      </w:r>
    </w:p>
    <w:p>
      <w:pPr>
        <w:spacing w:after="0" w:line="24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Keybank Letter of Credit Sublimit</w:t>
      </w:r>
      <w:r>
        <w:rPr>
          <w:rFonts w:ascii="Times New Roman" w:cs="Times New Roman" w:eastAsia="Times New Roman" w:hAnsi="Times New Roman"/>
          <w:sz w:val="18"/>
          <w:szCs w:val="18"/>
          <w:color w:val="auto"/>
        </w:rPr>
        <w:t>” means an amount equal to the amount listed on Schedule</w:t>
      </w:r>
    </w:p>
    <w:p>
      <w:pPr>
        <w:spacing w:after="0" w:line="27" w:lineRule="exact"/>
        <w:rPr>
          <w:sz w:val="20"/>
          <w:szCs w:val="20"/>
          <w:color w:val="auto"/>
        </w:rPr>
      </w:pPr>
    </w:p>
    <w:p>
      <w:pPr>
        <w:jc w:val="both"/>
        <w:ind w:left="9" w:right="40"/>
        <w:spacing w:after="0" w:line="260" w:lineRule="auto"/>
        <w:rPr>
          <w:sz w:val="20"/>
          <w:szCs w:val="20"/>
          <w:color w:val="auto"/>
        </w:rPr>
      </w:pPr>
      <w:r>
        <w:rPr>
          <w:rFonts w:ascii="Times New Roman" w:cs="Times New Roman" w:eastAsia="Times New Roman" w:hAnsi="Times New Roman"/>
          <w:sz w:val="18"/>
          <w:szCs w:val="18"/>
          <w:color w:val="auto"/>
        </w:rPr>
        <w:t>2.01 as amended by Amendment No. 3. Letters of Credit issued pursuant to the Keybank Letter of Credit Sublimit will be issued by Keybank National Association in its capacity as an “Issuing Bank”.</w:t>
      </w:r>
    </w:p>
    <w:p>
      <w:pPr>
        <w:spacing w:after="0" w:line="208" w:lineRule="exact"/>
        <w:rPr>
          <w:sz w:val="20"/>
          <w:szCs w:val="20"/>
          <w:color w:val="auto"/>
        </w:rPr>
      </w:pPr>
    </w:p>
    <w:p>
      <w:pPr>
        <w:jc w:val="both"/>
        <w:ind w:left="9"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w:t>
      </w:r>
    </w:p>
    <w:p>
      <w:pPr>
        <w:spacing w:after="0" w:line="220"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 honoring of a drawing by an Issuing Bank pursuant to a Letter of</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Credit.</w:t>
      </w:r>
    </w:p>
    <w:p>
      <w:pPr>
        <w:sectPr>
          <w:pgSz w:w="11900" w:h="16838" w:orient="portrait"/>
          <w:cols w:equalWidth="0" w:num="1">
            <w:col w:w="10069"/>
          </w:cols>
          <w:pgMar w:left="1011" w:top="1336" w:right="819" w:bottom="1440" w:gutter="0" w:footer="0" w:header="0"/>
        </w:sectPr>
      </w:pPr>
    </w:p>
    <w:bookmarkStart w:id="530" w:name="page531"/>
    <w:bookmarkEnd w:id="530"/>
    <w:p>
      <w:pPr>
        <w:jc w:val="both"/>
        <w:ind w:left="9" w:right="4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32"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Revaluation Date</w:t>
      </w:r>
      <w:r>
        <w:rPr>
          <w:rFonts w:ascii="Times New Roman" w:cs="Times New Roman" w:eastAsia="Times New Roman" w:hAnsi="Times New Roman"/>
          <w:sz w:val="18"/>
          <w:szCs w:val="18"/>
          <w:color w:val="auto"/>
        </w:rPr>
        <w:t>” means (a) the date of delivery of each request for Revolving Borrowings,</w:t>
      </w:r>
    </w:p>
    <w:p>
      <w:pPr>
        <w:spacing w:after="0" w:line="27" w:lineRule="exact"/>
        <w:rPr>
          <w:sz w:val="20"/>
          <w:szCs w:val="20"/>
          <w:color w:val="auto"/>
        </w:rPr>
      </w:pPr>
    </w:p>
    <w:p>
      <w:pPr>
        <w:jc w:val="both"/>
        <w:ind w:left="9" w:right="40" w:hanging="9"/>
        <w:spacing w:after="0" w:line="253" w:lineRule="auto"/>
        <w:tabs>
          <w:tab w:leader="none" w:pos="26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 (d) such additional dates as the First Lien Administrative Agent may reasonably specify.</w:t>
      </w:r>
    </w:p>
    <w:p>
      <w:pPr>
        <w:spacing w:after="0" w:line="33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has the meaning assigned to such term in Section 1.06.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has the</w:t>
      </w:r>
    </w:p>
    <w:p>
      <w:pPr>
        <w:spacing w:after="0" w:line="225"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meaning assigned to such term in Section 1.06.</w:t>
      </w:r>
    </w:p>
    <w:p>
      <w:pPr>
        <w:spacing w:after="0" w:line="185" w:lineRule="exact"/>
        <w:rPr>
          <w:sz w:val="20"/>
          <w:szCs w:val="20"/>
          <w:color w:val="auto"/>
        </w:rPr>
      </w:pPr>
    </w:p>
    <w:p>
      <w:pPr>
        <w:jc w:val="both"/>
        <w:ind w:left="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spacing w:after="0" w:line="207" w:lineRule="exact"/>
        <w:rPr>
          <w:sz w:val="20"/>
          <w:szCs w:val="20"/>
          <w:color w:val="auto"/>
        </w:rPr>
      </w:pPr>
    </w:p>
    <w:p>
      <w:pPr>
        <w:jc w:val="both"/>
        <w:ind w:left="9"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w:t>
      </w:r>
    </w:p>
    <w:p>
      <w:pPr>
        <w:spacing w:after="0" w:line="216"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has the meaning assigned to such term in Section 2.05(b).</w:t>
      </w:r>
    </w:p>
    <w:p>
      <w:pPr>
        <w:spacing w:after="0" w:line="266" w:lineRule="exact"/>
        <w:rPr>
          <w:sz w:val="20"/>
          <w:szCs w:val="20"/>
          <w:color w:val="auto"/>
        </w:rPr>
      </w:pPr>
    </w:p>
    <w:p>
      <w:pPr>
        <w:jc w:val="both"/>
        <w:ind w:left="9"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$398,750,000, which is the sum of the Barclays Letter of Credit Sublimit, the BNP Paribas Letter of Credit Sublimit, the Citibank Letter of Credit Sublimit, the Citizens Letter of Credit Sublimit, the Goldman Sachs Letter of Credit Sublimit, the Jefferies Letter of Credit Sublimit, the JPM Letter of Credit Sublimit, the KeyBank Letter of Credit Sublimit, the RBC Letter of Credit Sublimit and the Santander Letter of Credit Sublimit. The Letter of Credit Sublimit is part of and not in addition to the aggregate Revolving Commitments.</w:t>
      </w:r>
    </w:p>
    <w:p>
      <w:pPr>
        <w:spacing w:after="0" w:line="224" w:lineRule="exact"/>
        <w:rPr>
          <w:sz w:val="20"/>
          <w:szCs w:val="20"/>
          <w:color w:val="auto"/>
        </w:rPr>
      </w:pPr>
    </w:p>
    <w:p>
      <w:pPr>
        <w:jc w:val="both"/>
        <w:ind w:left="9"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220" w:lineRule="exact"/>
        <w:rPr>
          <w:sz w:val="20"/>
          <w:szCs w:val="20"/>
          <w:color w:val="auto"/>
        </w:rPr>
      </w:pPr>
    </w:p>
    <w:p>
      <w:pPr>
        <w:jc w:val="both"/>
        <w:ind w:left="9"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w:t>
      </w:r>
    </w:p>
    <w:p>
      <w:pPr>
        <w:sectPr>
          <w:pgSz w:w="11900" w:h="16838" w:orient="portrait"/>
          <w:cols w:equalWidth="0" w:num="1">
            <w:col w:w="10069"/>
          </w:cols>
          <w:pgMar w:left="1011" w:top="1336" w:right="819" w:bottom="1440" w:gutter="0" w:footer="0" w:header="0"/>
        </w:sectPr>
      </w:pPr>
    </w:p>
    <w:bookmarkStart w:id="531" w:name="page532"/>
    <w:bookmarkEnd w:id="531"/>
    <w:p>
      <w:pPr>
        <w:jc w:val="both"/>
        <w:spacing w:after="0" w:line="282" w:lineRule="auto"/>
        <w:rPr>
          <w:sz w:val="20"/>
          <w:szCs w:val="20"/>
          <w:color w:val="auto"/>
        </w:rPr>
      </w:pPr>
      <w:r>
        <w:rPr>
          <w:rFonts w:ascii="Times New Roman" w:cs="Times New Roman" w:eastAsia="Times New Roman" w:hAnsi="Times New Roman"/>
          <w:sz w:val="18"/>
          <w:szCs w:val="18"/>
          <w:color w:val="auto"/>
        </w:rPr>
        <w:t>prepayment, repurchase or redemption of Indebtedness requiring irrevocable notice in advance of such prepayment, repurchase or redemption.</w:t>
      </w:r>
    </w:p>
    <w:p>
      <w:pPr>
        <w:spacing w:after="0" w:line="3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Guarantors</w:t>
      </w:r>
      <w:r>
        <w:rPr>
          <w:rFonts w:ascii="Times New Roman" w:cs="Times New Roman" w:eastAsia="Times New Roman" w:hAnsi="Times New Roman"/>
          <w:sz w:val="18"/>
          <w:szCs w:val="18"/>
          <w:color w:val="auto"/>
        </w:rPr>
        <w:t>” means Holdings, any Intermediate Parent and the Subsidiary Loan Parties.</w:t>
      </w:r>
    </w:p>
    <w:p>
      <w:pPr>
        <w:spacing w:after="0" w:line="131" w:lineRule="exact"/>
        <w:rPr>
          <w:sz w:val="20"/>
          <w:szCs w:val="20"/>
          <w:color w:val="auto"/>
        </w:rPr>
      </w:pPr>
    </w:p>
    <w:p>
      <w:pPr>
        <w:jc w:val="both"/>
        <w:ind w:right="20" w:firstLine="1295"/>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 Modification Agreement</w:t>
      </w:r>
      <w:r>
        <w:rPr>
          <w:rFonts w:ascii="Times New Roman" w:cs="Times New Roman" w:eastAsia="Times New Roman" w:hAnsi="Times New Roman"/>
          <w:sz w:val="17"/>
          <w:szCs w:val="17"/>
          <w:color w:val="auto"/>
        </w:rPr>
        <w:t>” means a Loan Modification Agreement, in form reasonably satisfactory to the First Lien Administrative Agent, among the Borrower, the First Lien Administrative Agent and one or more Accepting Lenders, effecting one or</w:t>
      </w:r>
    </w:p>
    <w:p>
      <w:pPr>
        <w:jc w:val="both"/>
        <w:spacing w:after="0" w:line="226" w:lineRule="auto"/>
        <w:rPr>
          <w:sz w:val="20"/>
          <w:szCs w:val="20"/>
          <w:color w:val="auto"/>
        </w:rPr>
      </w:pPr>
      <w:r>
        <w:rPr>
          <w:rFonts w:ascii="Times New Roman" w:cs="Times New Roman" w:eastAsia="Times New Roman" w:hAnsi="Times New Roman"/>
          <w:sz w:val="18"/>
          <w:szCs w:val="18"/>
          <w:color w:val="auto"/>
        </w:rPr>
        <w:t>more Permitted Amendments and such other amendments hereto and to the other First Lien Loan Documents as are contemplated by Section 2.24.</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has the meaning specified in Section 2.24(a).</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Holdings, any Intermediate Parent, the Borrower and the Subsidiary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3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144" w:lineRule="exact"/>
        <w:rPr>
          <w:sz w:val="20"/>
          <w:szCs w:val="20"/>
          <w:color w:val="auto"/>
        </w:rPr>
      </w:pPr>
    </w:p>
    <w:p>
      <w:pPr>
        <w:jc w:val="both"/>
        <w:ind w:firstLine="129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spacing w:after="0" w:line="229"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means the members of the Board of Directors, officers and employees of Holdings, the Borrower and/or their respective Subsidiaries who are (directly or indirectly through one or more investment vehicles) investors in Holdings (or any direct or indirect parent thereof).</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assigned to such term in the definition of “Swap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34"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circumstance or condition affecting the business, financial condition, or results of operations of Holdings, any Intermediate Parent, the Borrower and their respective Subsidiaries, taken as a whole, that would reasonably be expected to have a materially adverse effect on (a) the ability of the Borrower and the other Loan Parties, taken as a whole, to perform their payment obligations under the First Lien Loan Documents or (b) the rights and remedies of the First Lien Administrative Agent, the First Lien Collateral Agent, the Issuing Banks and the Lenders under the First Lien Loan Documents.</w:t>
      </w:r>
    </w:p>
    <w:p>
      <w:pPr>
        <w:spacing w:after="0" w:line="224" w:lineRule="exact"/>
        <w:rPr>
          <w:sz w:val="20"/>
          <w:szCs w:val="20"/>
          <w:color w:val="auto"/>
        </w:rPr>
      </w:pPr>
    </w:p>
    <w:p>
      <w:pPr>
        <w:jc w:val="both"/>
        <w:ind w:right="20" w:firstLine="129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xml:space="preserve">” 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w:t>
      </w:r>
      <w:r>
        <w:rPr>
          <w:rFonts w:ascii="Times New Roman" w:cs="Times New Roman" w:eastAsia="Times New Roman" w:hAnsi="Times New Roman"/>
          <w:sz w:val="18"/>
          <w:szCs w:val="18"/>
          <w:u w:val="single" w:color="auto"/>
          <w:color w:val="0000FF"/>
        </w:rPr>
        <w:t>the greater of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162,600,000 and (y) 30% of Consolidated EBITDA for the most recently ended Test Period as of such time</w:t>
      </w:r>
      <w:r>
        <w:rPr>
          <w:rFonts w:ascii="Times New Roman" w:cs="Times New Roman" w:eastAsia="Times New Roman" w:hAnsi="Times New Roman"/>
          <w:sz w:val="18"/>
          <w:szCs w:val="18"/>
          <w:color w:val="auto"/>
        </w:rPr>
        <w:t>.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232"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means (a) if the Borrower is a public reporting company, material non-public information with respect to the Borrower or its Subsidiaries, or the respective securities of any of the foregoing, and (b) if the Borrower is not a public reporting company, information that is (i) of a type that would not be publicly available if the Borrower were a public reporting company or (ii) material with respect to the</w:t>
      </w:r>
    </w:p>
    <w:p>
      <w:pPr>
        <w:sectPr>
          <w:pgSz w:w="11900" w:h="16838" w:orient="portrait"/>
          <w:cols w:equalWidth="0" w:num="1">
            <w:col w:w="10040"/>
          </w:cols>
          <w:pgMar w:left="1020" w:top="1336" w:right="839" w:bottom="1440" w:gutter="0" w:footer="0" w:header="0"/>
        </w:sectPr>
      </w:pPr>
    </w:p>
    <w:bookmarkStart w:id="532" w:name="page533"/>
    <w:bookmarkEnd w:id="532"/>
    <w:p>
      <w:pPr>
        <w:ind w:right="60"/>
        <w:spacing w:after="0" w:line="282" w:lineRule="auto"/>
        <w:rPr>
          <w:sz w:val="20"/>
          <w:szCs w:val="20"/>
          <w:color w:val="auto"/>
        </w:rPr>
      </w:pPr>
      <w:r>
        <w:rPr>
          <w:rFonts w:ascii="Times New Roman" w:cs="Times New Roman" w:eastAsia="Times New Roman" w:hAnsi="Times New Roman"/>
          <w:sz w:val="18"/>
          <w:szCs w:val="18"/>
          <w:color w:val="auto"/>
        </w:rPr>
        <w:t>Borrower or its Subsidiaries or any of their respective securities for purposes of United States Federal and state and applicable foreign securities laws.</w:t>
      </w:r>
    </w:p>
    <w:p>
      <w:pPr>
        <w:spacing w:after="0" w:line="202"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any real property with a Fair Market Value, as reasonably determined by the Borrower in good faith, greater than or equal to $30,000,000.</w:t>
      </w:r>
    </w:p>
    <w:p>
      <w:pPr>
        <w:spacing w:after="0" w:line="202" w:lineRule="exact"/>
        <w:rPr>
          <w:sz w:val="20"/>
          <w:szCs w:val="20"/>
          <w:color w:val="auto"/>
        </w:rPr>
      </w:pPr>
    </w:p>
    <w:p>
      <w:pPr>
        <w:jc w:val="both"/>
        <w:ind w:firstLine="135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Immaterial Subsidiaries, taken together, had as of the last day of the fiscal quarter of the Borrower’s most recently ended net revenues or total assets in excess of 10.0% of the consolidated 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re-designate Material Subsidiaries as Immaterial Subsidiaries so long as the Borrower is in compliance with the foregoing.</w:t>
      </w:r>
    </w:p>
    <w:p>
      <w:pPr>
        <w:spacing w:after="0" w:line="2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2.16.</w:t>
      </w:r>
    </w:p>
    <w:p>
      <w:pPr>
        <w:spacing w:after="0" w:line="2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47" w:lineRule="exact"/>
        <w:rPr>
          <w:sz w:val="20"/>
          <w:szCs w:val="20"/>
          <w:color w:val="auto"/>
        </w:rPr>
      </w:pPr>
    </w:p>
    <w:p>
      <w:pPr>
        <w:jc w:val="both"/>
        <w:ind w:right="2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Model</w:t>
      </w:r>
      <w:r>
        <w:rPr>
          <w:rFonts w:ascii="Times New Roman" w:cs="Times New Roman" w:eastAsia="Times New Roman" w:hAnsi="Times New Roman"/>
          <w:sz w:val="18"/>
          <w:szCs w:val="18"/>
          <w:color w:val="auto"/>
        </w:rPr>
        <w:t>” means that certain financial model delivered by the Borrower to the First Lien Administrative Agent on November 7, 2019 (together with any updates or modifications thereto reasonably agreed between the Borrower and the First Lien Administrative Agent).</w:t>
      </w:r>
    </w:p>
    <w:p>
      <w:pPr>
        <w:spacing w:after="0" w:line="216"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spacing w:after="0" w:line="220" w:lineRule="exact"/>
        <w:rPr>
          <w:sz w:val="20"/>
          <w:szCs w:val="20"/>
          <w:color w:val="auto"/>
        </w:rPr>
      </w:pPr>
    </w:p>
    <w:p>
      <w:pPr>
        <w:jc w:val="both"/>
        <w:ind w:right="4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Material Real Property with respect to which a Mortgage is granted pursuant to the Collateral and Guarantee Requirement, Section 5.11, Section 5.12 or Section 5.14 (if any).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or its Restricted Subsidiaries as a result thereof and (z) the amount of any liabilities directly associated with such asset</w:t>
      </w:r>
    </w:p>
    <w:p>
      <w:pPr>
        <w:sectPr>
          <w:pgSz w:w="11900" w:h="16838" w:orient="portrait"/>
          <w:cols w:equalWidth="0" w:num="1">
            <w:col w:w="10060"/>
          </w:cols>
          <w:pgMar w:left="1020" w:top="1336" w:right="819" w:bottom="1440" w:gutter="0" w:footer="0" w:header="0"/>
        </w:sectPr>
      </w:pPr>
    </w:p>
    <w:bookmarkStart w:id="533" w:name="page534"/>
    <w:bookmarkEnd w:id="533"/>
    <w:p>
      <w:pPr>
        <w:jc w:val="both"/>
        <w:ind w:left="8" w:right="40"/>
        <w:spacing w:after="0" w:line="255" w:lineRule="auto"/>
        <w:rPr>
          <w:sz w:val="20"/>
          <w:szCs w:val="20"/>
          <w:color w:val="auto"/>
        </w:rPr>
      </w:pPr>
      <w:r>
        <w:rPr>
          <w:rFonts w:ascii="Times New Roman" w:cs="Times New Roman" w:eastAsia="Times New Roman" w:hAnsi="Times New Roman"/>
          <w:sz w:val="18"/>
          <w:szCs w:val="18"/>
          <w:color w:val="auto"/>
        </w:rPr>
        <w:t xml:space="preserve">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 (B)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243" w:lineRule="exact"/>
        <w:rPr>
          <w:sz w:val="20"/>
          <w:szCs w:val="20"/>
          <w:color w:val="auto"/>
        </w:rPr>
      </w:pPr>
    </w:p>
    <w:p>
      <w:pPr>
        <w:jc w:val="both"/>
        <w:ind w:left="8" w:firstLine="135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Project</w:t>
      </w:r>
      <w:r>
        <w:rPr>
          <w:rFonts w:ascii="Times New Roman" w:cs="Times New Roman" w:eastAsia="Times New Roman" w:hAnsi="Times New Roman"/>
          <w:sz w:val="18"/>
          <w:szCs w:val="18"/>
          <w:color w:val="auto"/>
        </w:rPr>
        <w:t>” shall mean (a) each facility which is either a new facility, branch or office or an expansion, relocation, remodeling or substantial modernization of an existing facility, branch or office owned by the Borrower or its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315"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has the meaning assigned to such term in Section 9.02(h). “</w:t>
      </w:r>
      <w:r>
        <w:rPr>
          <w:rFonts w:ascii="Times New Roman" w:cs="Times New Roman" w:eastAsia="Times New Roman" w:hAnsi="Times New Roman"/>
          <w:sz w:val="18"/>
          <w:szCs w:val="18"/>
          <w:u w:val="single" w:color="auto"/>
          <w:color w:val="auto"/>
        </w:rPr>
        <w:t>Non-Accepting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has the meaning assigned to such term in Section 2.24(c).</w:t>
      </w:r>
    </w:p>
    <w:p>
      <w:pPr>
        <w:spacing w:after="0" w:line="117" w:lineRule="exact"/>
        <w:rPr>
          <w:sz w:val="20"/>
          <w:szCs w:val="20"/>
          <w:color w:val="auto"/>
        </w:rPr>
      </w:pPr>
    </w:p>
    <w:p>
      <w:pPr>
        <w:jc w:val="both"/>
        <w:ind w:left="8" w:right="40" w:firstLine="129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Charges</w:t>
      </w:r>
      <w:r>
        <w:rPr>
          <w:rFonts w:ascii="Times New Roman" w:cs="Times New Roman" w:eastAsia="Times New Roman" w:hAnsi="Times New Roman"/>
          <w:sz w:val="18"/>
          <w:szCs w:val="18"/>
          <w:color w:val="auto"/>
        </w:rPr>
        <w:t>” means (a) any impairment charge or asset write-off or write-down related to intangible assets (including goodwill), long-lived assets, and Investments in debt and equity securities pursuant to GAAP, (b) all losses from Investments recorded using the equity method, (c) all Non-Cash Compensation Expenses, (d) the non-cash impact of acquisition method accounting,</w:t>
      </w:r>
    </w:p>
    <w:p>
      <w:pPr>
        <w:spacing w:after="0" w:line="1" w:lineRule="exact"/>
        <w:rPr>
          <w:sz w:val="20"/>
          <w:szCs w:val="20"/>
          <w:color w:val="auto"/>
        </w:rPr>
      </w:pPr>
    </w:p>
    <w:p>
      <w:pPr>
        <w:jc w:val="both"/>
        <w:ind w:left="8" w:right="40" w:hanging="8"/>
        <w:spacing w:after="0" w:line="252" w:lineRule="auto"/>
        <w:tabs>
          <w:tab w:leader="none" w:pos="253"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217" w:lineRule="exact"/>
        <w:rPr>
          <w:sz w:val="20"/>
          <w:szCs w:val="20"/>
          <w:color w:val="auto"/>
        </w:rPr>
      </w:pPr>
    </w:p>
    <w:p>
      <w:pPr>
        <w:ind w:left="8"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 based compensation awards or arrangements.</w:t>
      </w:r>
    </w:p>
    <w:p>
      <w:pPr>
        <w:spacing w:after="0" w:line="20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9.02(c).</w:t>
      </w:r>
    </w:p>
    <w:p>
      <w:pPr>
        <w:spacing w:after="0" w:line="26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of any Person means any subsidiary of such Person other than a Wholly Owned</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Subsidiary.</w:t>
      </w:r>
    </w:p>
    <w:p>
      <w:pPr>
        <w:spacing w:after="0" w:line="247" w:lineRule="exact"/>
        <w:rPr>
          <w:sz w:val="20"/>
          <w:szCs w:val="20"/>
          <w:color w:val="auto"/>
        </w:rPr>
      </w:pPr>
    </w:p>
    <w:p>
      <w:pPr>
        <w:jc w:val="both"/>
        <w:ind w:left="8"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means, with reference to the Available Amount or the Available Equity Amount, as applicable, that such amount was not previously applied pursuant to Sections 6.04(m), 6.07(a)(viii) and 6.07(b)(iv).</w:t>
      </w:r>
    </w:p>
    <w:p>
      <w:pPr>
        <w:spacing w:after="0" w:line="189" w:lineRule="exact"/>
        <w:rPr>
          <w:sz w:val="20"/>
          <w:szCs w:val="20"/>
          <w:color w:val="auto"/>
        </w:rPr>
      </w:pPr>
    </w:p>
    <w:p>
      <w:pPr>
        <w:jc w:val="both"/>
        <w:ind w:left="8"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20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u w:val="single" w:color="auto"/>
          <w:color w:val="0000FF"/>
        </w:rPr>
        <w:t>“Notes Collateral Agent” means, Wilmington Trust, National Association.</w:t>
      </w:r>
    </w:p>
    <w:p>
      <w:pPr>
        <w:spacing w:after="0" w:line="26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52" w:lineRule="exact"/>
        <w:rPr>
          <w:sz w:val="20"/>
          <w:szCs w:val="20"/>
          <w:color w:val="auto"/>
        </w:rPr>
      </w:pPr>
    </w:p>
    <w:p>
      <w:pPr>
        <w:jc w:val="both"/>
        <w:ind w:left="8"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w:t>
      </w:r>
    </w:p>
    <w:p>
      <w:pPr>
        <w:sectPr>
          <w:pgSz w:w="11900" w:h="16838" w:orient="portrait"/>
          <w:cols w:equalWidth="0" w:num="1">
            <w:col w:w="10068"/>
          </w:cols>
          <w:pgMar w:left="1012" w:top="1336" w:right="819" w:bottom="1440" w:gutter="0" w:footer="0" w:header="0"/>
        </w:sectPr>
      </w:pPr>
    </w:p>
    <w:bookmarkStart w:id="534" w:name="page535"/>
    <w:bookmarkEnd w:id="534"/>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that is a Business Day, the term “NYFRB Rate” means the rate for a federal funds transaction quoted at 11:00 a.m., New York City time, on such day received by the First Lien Administrative Agent from a federal funds broker of recognized standing selected by it; provided, further, that if any of the aforesaid rates as so determined would be less than 0%, then such rate shall be deemed to be 0% for purposes of this Agreement.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source.</w:t>
      </w:r>
    </w:p>
    <w:p>
      <w:pPr>
        <w:spacing w:after="0" w:line="2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Section 3.17(b).</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Amount</w:t>
      </w:r>
      <w:r>
        <w:rPr>
          <w:rFonts w:ascii="Times New Roman" w:cs="Times New Roman" w:eastAsia="Times New Roman" w:hAnsi="Times New Roman"/>
          <w:sz w:val="18"/>
          <w:szCs w:val="18"/>
          <w:color w:val="auto"/>
        </w:rPr>
        <w:t>” has the meaning assigned to such term in Section 2.11(a)(ii)(D)(1). “</w:t>
      </w:r>
      <w:r>
        <w:rPr>
          <w:rFonts w:ascii="Times New Roman" w:cs="Times New Roman" w:eastAsia="Times New Roman" w:hAnsi="Times New Roman"/>
          <w:sz w:val="18"/>
          <w:szCs w:val="18"/>
          <w:u w:val="single" w:color="auto"/>
          <w:color w:val="auto"/>
        </w:rPr>
        <w:t>Offered Discount</w:t>
      </w:r>
      <w:r>
        <w:rPr>
          <w:rFonts w:ascii="Times New Roman" w:cs="Times New Roman" w:eastAsia="Times New Roman" w:hAnsi="Times New Roman"/>
          <w:sz w:val="18"/>
          <w:szCs w:val="18"/>
          <w:color w:val="auto"/>
        </w:rPr>
        <w:t>” has the</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meaning assigned to such term in Section 2.11(a)(ii)(D)(1).</w:t>
      </w:r>
    </w:p>
    <w:p>
      <w:pPr>
        <w:spacing w:after="0" w:line="117"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charter, articles or certificate of organization or incorporation and bylaws or other organizational or governing documents of such Person.</w:t>
      </w:r>
    </w:p>
    <w:p>
      <w:pPr>
        <w:spacing w:after="0" w:line="189" w:lineRule="exact"/>
        <w:rPr>
          <w:sz w:val="20"/>
          <w:szCs w:val="20"/>
          <w:color w:val="auto"/>
        </w:rPr>
      </w:pPr>
    </w:p>
    <w:p>
      <w:pPr>
        <w:ind w:firstLine="129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 Term Commitments</w:t>
      </w:r>
      <w:r>
        <w:rPr>
          <w:rFonts w:ascii="Times New Roman" w:cs="Times New Roman" w:eastAsia="Times New Roman" w:hAnsi="Times New Roman"/>
          <w:sz w:val="18"/>
          <w:szCs w:val="18"/>
          <w:color w:val="auto"/>
        </w:rPr>
        <w:t>” means one or more Classes of term loan commitments hereunder that result from a Refinancing Amendment or a Loan Modification Agreement. “</w:t>
      </w:r>
      <w:r>
        <w:rPr>
          <w:rFonts w:ascii="Times New Roman" w:cs="Times New Roman" w:eastAsia="Times New Roman" w:hAnsi="Times New Roman"/>
          <w:sz w:val="18"/>
          <w:szCs w:val="18"/>
          <w:u w:val="single" w:color="auto"/>
          <w:color w:val="auto"/>
        </w:rPr>
        <w:t>Other First Lien Term Loans</w:t>
      </w:r>
      <w:r>
        <w:rPr>
          <w:rFonts w:ascii="Times New Roman" w:cs="Times New Roman" w:eastAsia="Times New Roman" w:hAnsi="Times New Roman"/>
          <w:sz w:val="18"/>
          <w:szCs w:val="18"/>
          <w:color w:val="auto"/>
        </w:rPr>
        <w:t>” means one or more Classes of Term Loans that result from a Refinancing Amendment or a Loan Modification Agreement</w:t>
      </w:r>
      <w:r>
        <w:rPr>
          <w:rFonts w:ascii="Times New Roman" w:cs="Times New Roman" w:eastAsia="Times New Roman" w:hAnsi="Times New Roman"/>
          <w:sz w:val="18"/>
          <w:szCs w:val="18"/>
          <w:u w:val="single" w:color="auto"/>
          <w:color w:val="0000FF"/>
        </w:rPr>
        <w:t>, including the 2024 Refinancing Term Loans which shall constitute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separate Class of Term Loans</w:t>
      </w:r>
      <w:r>
        <w:rPr>
          <w:rFonts w:ascii="Times New Roman" w:cs="Times New Roman" w:eastAsia="Times New Roman" w:hAnsi="Times New Roman"/>
          <w:sz w:val="18"/>
          <w:szCs w:val="18"/>
          <w:color w:val="000000"/>
        </w:rPr>
        <w:t>.</w:t>
      </w:r>
    </w:p>
    <w:p>
      <w:pPr>
        <w:spacing w:after="0" w:line="220"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Commitments</w:t>
      </w:r>
      <w:r>
        <w:rPr>
          <w:rFonts w:ascii="Times New Roman" w:cs="Times New Roman" w:eastAsia="Times New Roman" w:hAnsi="Times New Roman"/>
          <w:sz w:val="18"/>
          <w:szCs w:val="18"/>
          <w:color w:val="auto"/>
        </w:rPr>
        <w:t>” means one or more Classes of Revolving Commitments hereunder or extended Revolving Commitments that result from a Refinancing Amendment or a Loan Modification Agreement.</w:t>
      </w:r>
    </w:p>
    <w:p>
      <w:pPr>
        <w:spacing w:after="0" w:line="202" w:lineRule="exact"/>
        <w:rPr>
          <w:sz w:val="20"/>
          <w:szCs w:val="20"/>
          <w:color w:val="auto"/>
        </w:rPr>
      </w:pPr>
    </w:p>
    <w:p>
      <w:pPr>
        <w:ind w:right="3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Loans</w:t>
      </w:r>
      <w:r>
        <w:rPr>
          <w:rFonts w:ascii="Times New Roman" w:cs="Times New Roman" w:eastAsia="Times New Roman" w:hAnsi="Times New Roman"/>
          <w:sz w:val="18"/>
          <w:szCs w:val="18"/>
          <w:color w:val="auto"/>
        </w:rPr>
        <w:t>” means one or more classes of Revolving Loans made pursuant to any Other Revolving Commitment or a Loan Modification Agreement.</w:t>
      </w:r>
    </w:p>
    <w:p>
      <w:pPr>
        <w:spacing w:after="0" w:line="189" w:lineRule="exact"/>
        <w:rPr>
          <w:sz w:val="20"/>
          <w:szCs w:val="20"/>
          <w:color w:val="auto"/>
        </w:rPr>
      </w:pPr>
    </w:p>
    <w:p>
      <w:pPr>
        <w:jc w:val="both"/>
        <w:ind w:right="28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recording, stamp, documentary, excise, transfer, sales, property or similar Taxes, charges or levies arising from any payment made under any First Lien Loan Document or from the execution, delivery or enforcement of, or otherwise with respect to, any First Lien Loan Document.</w:t>
      </w:r>
    </w:p>
    <w:p>
      <w:pPr>
        <w:spacing w:after="0" w:line="216" w:lineRule="exact"/>
        <w:rPr>
          <w:sz w:val="20"/>
          <w:szCs w:val="20"/>
          <w:color w:val="auto"/>
        </w:rPr>
      </w:pPr>
    </w:p>
    <w:p>
      <w:pPr>
        <w:jc w:val="both"/>
        <w:ind w:right="3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Federal Reserve Bank of New York as set forth on the NYFRB’s Website from time to time, and published on the next succeeding Business Day by the Federal Reserve Bank of New York as an overnight bank funding rate.</w:t>
      </w:r>
    </w:p>
    <w:p>
      <w:pPr>
        <w:spacing w:after="0" w:line="3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9.04(c)(i).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meaning assigned to such term in Section 9.04(c)(ii).</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Lender</w:t>
      </w:r>
      <w:r>
        <w:rPr>
          <w:rFonts w:ascii="Times New Roman" w:cs="Times New Roman" w:eastAsia="Times New Roman" w:hAnsi="Times New Roman"/>
          <w:sz w:val="18"/>
          <w:szCs w:val="18"/>
          <w:color w:val="auto"/>
        </w:rPr>
        <w:t>” has the meaning assigned to such term in Section 2.11(a)(ii)(C)(2). “</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has the meaning</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assigned to such term in the First Lien Collateral Agreement. </w:t>
      </w:r>
      <w:r>
        <w:rPr>
          <w:rFonts w:ascii="Times New Roman" w:cs="Times New Roman" w:eastAsia="Times New Roman" w:hAnsi="Times New Roman"/>
          <w:sz w:val="18"/>
          <w:szCs w:val="18"/>
          <w:u w:val="single" w:color="auto"/>
          <w:color w:val="0000FF"/>
        </w:rPr>
        <w:t>"Payment Recipient” has the meaning assigned to such</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term in Section 9.22(a).</w:t>
      </w:r>
    </w:p>
    <w:p>
      <w:pPr>
        <w:spacing w:after="0" w:line="117" w:lineRule="exact"/>
        <w:rPr>
          <w:sz w:val="20"/>
          <w:szCs w:val="20"/>
          <w:color w:val="auto"/>
        </w:rPr>
      </w:pPr>
    </w:p>
    <w:p>
      <w:pPr>
        <w:jc w:val="both"/>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a certificate substantially in the form of Exhibit C.</w:t>
      </w:r>
    </w:p>
    <w:p>
      <w:pPr>
        <w:sectPr>
          <w:pgSz w:w="11900" w:h="16838" w:orient="portrait"/>
          <w:cols w:equalWidth="0" w:num="1">
            <w:col w:w="10340"/>
          </w:cols>
          <w:pgMar w:left="1020" w:top="1336" w:right="539" w:bottom="1440" w:gutter="0" w:footer="0" w:header="0"/>
        </w:sectPr>
      </w:pPr>
    </w:p>
    <w:bookmarkStart w:id="535" w:name="page536"/>
    <w:bookmarkEnd w:id="535"/>
    <w:p>
      <w:pPr>
        <w:spacing w:after="0" w:line="153"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has the meaning assigned to such term in the definition of “Term</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CORRA”.</w:t>
      </w:r>
    </w:p>
    <w:p>
      <w:pPr>
        <w:spacing w:after="0" w:line="247" w:lineRule="exact"/>
        <w:rPr>
          <w:sz w:val="20"/>
          <w:szCs w:val="20"/>
          <w:color w:val="auto"/>
        </w:rPr>
      </w:pPr>
    </w:p>
    <w:p>
      <w:pPr>
        <w:jc w:val="both"/>
        <w:ind w:left="8" w:right="2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spacing w:after="0" w:line="224" w:lineRule="exact"/>
        <w:rPr>
          <w:sz w:val="20"/>
          <w:szCs w:val="20"/>
          <w:color w:val="auto"/>
        </w:rPr>
      </w:pPr>
    </w:p>
    <w:p>
      <w:pPr>
        <w:jc w:val="both"/>
        <w:ind w:left="8" w:firstLine="129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Amendment</w:t>
      </w:r>
      <w:r>
        <w:rPr>
          <w:rFonts w:ascii="Times New Roman" w:cs="Times New Roman" w:eastAsia="Times New Roman" w:hAnsi="Times New Roman"/>
          <w:sz w:val="18"/>
          <w:szCs w:val="18"/>
          <w:color w:val="auto"/>
        </w:rPr>
        <w:t>” 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w:t>
      </w:r>
    </w:p>
    <w:p>
      <w:pPr>
        <w:spacing w:after="0" w:line="6" w:lineRule="exact"/>
        <w:rPr>
          <w:sz w:val="20"/>
          <w:szCs w:val="20"/>
          <w:color w:val="auto"/>
        </w:rPr>
      </w:pPr>
    </w:p>
    <w:p>
      <w:pPr>
        <w:jc w:val="both"/>
        <w:ind w:left="8" w:hanging="8"/>
        <w:spacing w:after="0" w:line="255" w:lineRule="auto"/>
        <w:tabs>
          <w:tab w:leader="none" w:pos="226"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added or modified for the benefit of any corresponding Loans remaining outstanding after the issuance or incurrence of such Loans and/or Commitments,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w:t>
      </w:r>
    </w:p>
    <w:p>
      <w:pPr>
        <w:spacing w:after="0" w:line="215"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66" w:lineRule="exact"/>
        <w:rPr>
          <w:sz w:val="20"/>
          <w:szCs w:val="20"/>
          <w:color w:val="auto"/>
        </w:rPr>
      </w:pPr>
    </w:p>
    <w:p>
      <w:pPr>
        <w:jc w:val="both"/>
        <w:ind w:left="648" w:right="20" w:firstLine="648"/>
        <w:spacing w:after="0" w:line="258" w:lineRule="auto"/>
        <w:tabs>
          <w:tab w:leader="none" w:pos="1901"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223" w:lineRule="exact"/>
        <w:rPr>
          <w:rFonts w:ascii="Times New Roman" w:cs="Times New Roman" w:eastAsia="Times New Roman" w:hAnsi="Times New Roman"/>
          <w:sz w:val="18"/>
          <w:szCs w:val="18"/>
          <w:color w:val="auto"/>
        </w:rPr>
      </w:pPr>
    </w:p>
    <w:p>
      <w:pPr>
        <w:jc w:val="both"/>
        <w:ind w:left="648" w:right="20" w:firstLine="647"/>
        <w:spacing w:after="0" w:line="258" w:lineRule="auto"/>
        <w:tabs>
          <w:tab w:leader="none" w:pos="1897"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w:t>
      </w:r>
    </w:p>
    <w:p>
      <w:pPr>
        <w:sectPr>
          <w:pgSz w:w="11900" w:h="16838" w:orient="portrait"/>
          <w:cols w:equalWidth="0" w:num="1">
            <w:col w:w="10048"/>
          </w:cols>
          <w:pgMar w:left="1012" w:top="1440" w:right="839" w:bottom="1440" w:gutter="0" w:footer="0" w:header="0"/>
        </w:sectPr>
      </w:pPr>
    </w:p>
    <w:bookmarkStart w:id="536" w:name="page537"/>
    <w:bookmarkEnd w:id="536"/>
    <w:p>
      <w:pPr>
        <w:ind w:left="220"/>
        <w:spacing w:after="0" w:line="282" w:lineRule="auto"/>
        <w:rPr>
          <w:sz w:val="20"/>
          <w:szCs w:val="20"/>
          <w:color w:val="auto"/>
        </w:rPr>
      </w:pPr>
      <w:r>
        <w:rPr>
          <w:rFonts w:ascii="Times New Roman" w:cs="Times New Roman" w:eastAsia="Times New Roman" w:hAnsi="Times New Roman"/>
          <w:sz w:val="18"/>
          <w:szCs w:val="18"/>
          <w:color w:val="auto"/>
        </w:rPr>
        <w:t>the applicable Person in accordance with GAAP, in each case so long as such Liens do not individually or in the aggregate have a Material Adverse Effect;</w:t>
      </w:r>
    </w:p>
    <w:p>
      <w:pPr>
        <w:spacing w:after="0" w:line="202" w:lineRule="exact"/>
        <w:rPr>
          <w:sz w:val="20"/>
          <w:szCs w:val="20"/>
          <w:color w:val="auto"/>
        </w:rPr>
      </w:pPr>
    </w:p>
    <w:p>
      <w:pPr>
        <w:jc w:val="both"/>
        <w:ind w:left="220" w:firstLine="647"/>
        <w:spacing w:after="0" w:line="256" w:lineRule="auto"/>
        <w:tabs>
          <w:tab w:leader="none" w:pos="1473"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w:t>
      </w:r>
    </w:p>
    <w:p>
      <w:pPr>
        <w:spacing w:after="0" w:line="295" w:lineRule="exact"/>
        <w:rPr>
          <w:rFonts w:ascii="Times New Roman" w:cs="Times New Roman" w:eastAsia="Times New Roman" w:hAnsi="Times New Roman"/>
          <w:sz w:val="18"/>
          <w:szCs w:val="18"/>
          <w:color w:val="auto"/>
        </w:rPr>
      </w:pPr>
    </w:p>
    <w:p>
      <w:pPr>
        <w:jc w:val="both"/>
        <w:ind w:left="220" w:firstLine="648"/>
        <w:spacing w:after="0" w:line="256" w:lineRule="auto"/>
        <w:tabs>
          <w:tab w:leader="none" w:pos="1469"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200" w:lineRule="exact"/>
        <w:rPr>
          <w:rFonts w:ascii="Times New Roman" w:cs="Times New Roman" w:eastAsia="Times New Roman" w:hAnsi="Times New Roman"/>
          <w:sz w:val="18"/>
          <w:szCs w:val="18"/>
          <w:color w:val="auto"/>
        </w:rPr>
      </w:pPr>
    </w:p>
    <w:p>
      <w:pPr>
        <w:jc w:val="both"/>
        <w:ind w:left="220" w:firstLine="648"/>
        <w:spacing w:after="0" w:line="220" w:lineRule="auto"/>
        <w:tabs>
          <w:tab w:leader="none" w:pos="1473"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w:t>
      </w:r>
    </w:p>
    <w:p>
      <w:pPr>
        <w:spacing w:after="0" w:line="211" w:lineRule="exact"/>
        <w:rPr>
          <w:rFonts w:ascii="Times New Roman" w:cs="Times New Roman" w:eastAsia="Times New Roman" w:hAnsi="Times New Roman"/>
          <w:sz w:val="18"/>
          <w:szCs w:val="18"/>
          <w:color w:val="auto"/>
        </w:rPr>
      </w:pPr>
    </w:p>
    <w:p>
      <w:pPr>
        <w:ind w:left="1480" w:hanging="612"/>
        <w:spacing w:after="0"/>
        <w:tabs>
          <w:tab w:leader="none" w:pos="148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otherwise arising from, judgments not constituting an Event of Default under Section 7.01(j);</w:t>
      </w:r>
    </w:p>
    <w:p>
      <w:pPr>
        <w:spacing w:after="0" w:line="265" w:lineRule="exact"/>
        <w:rPr>
          <w:rFonts w:ascii="Times New Roman" w:cs="Times New Roman" w:eastAsia="Times New Roman" w:hAnsi="Times New Roman"/>
          <w:sz w:val="18"/>
          <w:szCs w:val="18"/>
          <w:color w:val="auto"/>
        </w:rPr>
      </w:pPr>
    </w:p>
    <w:p>
      <w:pPr>
        <w:jc w:val="both"/>
        <w:ind w:left="220" w:firstLine="648"/>
        <w:spacing w:after="0" w:line="258" w:lineRule="auto"/>
        <w:tabs>
          <w:tab w:leader="none" w:pos="1469"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secures only the obligations of the Borrower or such Subsidiaries in respect of such letter of credit to the extent such obligations are permitted by Section 6.01;</w:t>
      </w:r>
    </w:p>
    <w:p>
      <w:pPr>
        <w:spacing w:after="0" w:line="223" w:lineRule="exact"/>
        <w:rPr>
          <w:rFonts w:ascii="Times New Roman" w:cs="Times New Roman" w:eastAsia="Times New Roman" w:hAnsi="Times New Roman"/>
          <w:sz w:val="18"/>
          <w:szCs w:val="18"/>
          <w:color w:val="auto"/>
        </w:rPr>
      </w:pPr>
    </w:p>
    <w:p>
      <w:pPr>
        <w:ind w:left="220" w:firstLine="648"/>
        <w:spacing w:after="0" w:line="282" w:lineRule="auto"/>
        <w:tabs>
          <w:tab w:leader="none" w:pos="1469"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or similar filings made in respect of operating leases entered into by the Borrower or any of its Subsidiaries;</w:t>
      </w:r>
    </w:p>
    <w:p>
      <w:pPr>
        <w:spacing w:after="0" w:line="188" w:lineRule="exact"/>
        <w:rPr>
          <w:rFonts w:ascii="Times New Roman" w:cs="Times New Roman" w:eastAsia="Times New Roman" w:hAnsi="Times New Roman"/>
          <w:sz w:val="18"/>
          <w:szCs w:val="18"/>
          <w:color w:val="auto"/>
        </w:rPr>
      </w:pPr>
    </w:p>
    <w:p>
      <w:pPr>
        <w:ind w:left="220" w:firstLine="648"/>
        <w:spacing w:after="0" w:line="282" w:lineRule="auto"/>
        <w:tabs>
          <w:tab w:leader="none" w:pos="147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202" w:lineRule="exact"/>
        <w:rPr>
          <w:rFonts w:ascii="Times New Roman" w:cs="Times New Roman" w:eastAsia="Times New Roman" w:hAnsi="Times New Roman"/>
          <w:sz w:val="18"/>
          <w:szCs w:val="18"/>
          <w:color w:val="auto"/>
        </w:rPr>
      </w:pPr>
    </w:p>
    <w:p>
      <w:pPr>
        <w:ind w:left="220" w:firstLine="648"/>
        <w:spacing w:after="0" w:line="282" w:lineRule="auto"/>
        <w:tabs>
          <w:tab w:leader="none" w:pos="147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202" w:lineRule="exact"/>
        <w:rPr>
          <w:rFonts w:ascii="Times New Roman" w:cs="Times New Roman" w:eastAsia="Times New Roman" w:hAnsi="Times New Roman"/>
          <w:sz w:val="18"/>
          <w:szCs w:val="18"/>
          <w:color w:val="auto"/>
        </w:rPr>
      </w:pPr>
    </w:p>
    <w:p>
      <w:pPr>
        <w:jc w:val="both"/>
        <w:ind w:left="220" w:firstLine="648"/>
        <w:spacing w:after="0" w:line="261" w:lineRule="auto"/>
        <w:tabs>
          <w:tab w:leader="none" w:pos="1469"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220" w:lineRule="exact"/>
        <w:rPr>
          <w:rFonts w:ascii="Times New Roman" w:cs="Times New Roman" w:eastAsia="Times New Roman" w:hAnsi="Times New Roman"/>
          <w:sz w:val="18"/>
          <w:szCs w:val="18"/>
          <w:color w:val="auto"/>
        </w:rPr>
      </w:pPr>
    </w:p>
    <w:p>
      <w:pPr>
        <w:ind w:left="220" w:firstLine="648"/>
        <w:spacing w:after="0" w:line="282" w:lineRule="auto"/>
        <w:tabs>
          <w:tab w:leader="none" w:pos="147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grants of non-exclusive licenses or sublicenses of Intellectual Property made in the ordinary course of business;</w:t>
      </w:r>
    </w:p>
    <w:p>
      <w:pPr>
        <w:sectPr>
          <w:pgSz w:w="11900" w:h="16838" w:orient="portrait"/>
          <w:cols w:equalWidth="0" w:num="1">
            <w:col w:w="9600"/>
          </w:cols>
          <w:pgMar w:left="1440" w:top="1336" w:right="859" w:bottom="1440" w:gutter="0" w:footer="0" w:header="0"/>
        </w:sectPr>
      </w:pPr>
    </w:p>
    <w:bookmarkStart w:id="537" w:name="page538"/>
    <w:bookmarkEnd w:id="537"/>
    <w:p>
      <w:pPr>
        <w:spacing w:after="0" w:line="153" w:lineRule="exact"/>
        <w:rPr>
          <w:sz w:val="20"/>
          <w:szCs w:val="20"/>
          <w:color w:val="auto"/>
        </w:rPr>
      </w:pPr>
    </w:p>
    <w:p>
      <w:pPr>
        <w:jc w:val="both"/>
        <w:ind w:left="640" w:right="20" w:firstLine="648"/>
        <w:spacing w:after="0" w:line="261" w:lineRule="auto"/>
        <w:tabs>
          <w:tab w:leader="none" w:pos="1899" w:val="left"/>
        </w:tabs>
        <w:numPr>
          <w:ilvl w:val="1"/>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220" w:lineRule="exact"/>
        <w:rPr>
          <w:rFonts w:ascii="Times New Roman" w:cs="Times New Roman" w:eastAsia="Times New Roman" w:hAnsi="Times New Roman"/>
          <w:sz w:val="18"/>
          <w:szCs w:val="18"/>
          <w:color w:val="auto"/>
        </w:rPr>
      </w:pPr>
    </w:p>
    <w:p>
      <w:pPr>
        <w:jc w:val="both"/>
        <w:ind w:left="640" w:right="40" w:firstLine="693"/>
        <w:spacing w:after="0" w:line="266" w:lineRule="auto"/>
        <w:tabs>
          <w:tab w:leader="none" w:pos="1894" w:val="left"/>
        </w:tabs>
        <w:numPr>
          <w:ilvl w:val="2"/>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202" w:lineRule="exact"/>
        <w:rPr>
          <w:rFonts w:ascii="Times New Roman" w:cs="Times New Roman" w:eastAsia="Times New Roman" w:hAnsi="Times New Roman"/>
          <w:sz w:val="18"/>
          <w:szCs w:val="18"/>
          <w:color w:val="auto"/>
        </w:rPr>
      </w:pPr>
    </w:p>
    <w:p>
      <w:pPr>
        <w:ind w:left="640" w:right="40" w:firstLine="648"/>
        <w:spacing w:after="0" w:line="282" w:lineRule="auto"/>
        <w:tabs>
          <w:tab w:leader="none" w:pos="1889"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to public utilities or to any Governmental Authority when required by the utility or other authority in connection with the supply of services or utilities to the Borrower and any Restricted Subsidiaries;</w:t>
      </w:r>
    </w:p>
    <w:p>
      <w:pPr>
        <w:spacing w:after="0" w:line="256" w:lineRule="exact"/>
        <w:rPr>
          <w:rFonts w:ascii="Times New Roman" w:cs="Times New Roman" w:eastAsia="Times New Roman" w:hAnsi="Times New Roman"/>
          <w:sz w:val="18"/>
          <w:szCs w:val="18"/>
          <w:color w:val="auto"/>
        </w:rPr>
      </w:pPr>
    </w:p>
    <w:p>
      <w:pPr>
        <w:jc w:val="both"/>
        <w:ind w:left="640" w:firstLine="648"/>
        <w:spacing w:after="0" w:line="261" w:lineRule="auto"/>
        <w:tabs>
          <w:tab w:leader="none" w:pos="1889"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valueof the assets of the Person or materially interfere with the use of such assets in the operation of the business of such Person;</w:t>
      </w:r>
    </w:p>
    <w:p>
      <w:pPr>
        <w:spacing w:after="0" w:line="220" w:lineRule="exact"/>
        <w:rPr>
          <w:rFonts w:ascii="Times New Roman" w:cs="Times New Roman" w:eastAsia="Times New Roman" w:hAnsi="Times New Roman"/>
          <w:sz w:val="18"/>
          <w:szCs w:val="18"/>
          <w:color w:val="auto"/>
        </w:rPr>
      </w:pPr>
    </w:p>
    <w:p>
      <w:pPr>
        <w:ind w:left="1880" w:hanging="592"/>
        <w:spacing w:after="0"/>
        <w:tabs>
          <w:tab w:leader="none" w:pos="188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of vehicles or equipment which are entered into in the ordinary course of business;</w:t>
      </w:r>
    </w:p>
    <w:p>
      <w:pPr>
        <w:spacing w:after="0" w:line="265" w:lineRule="exact"/>
        <w:rPr>
          <w:rFonts w:ascii="Times New Roman" w:cs="Times New Roman" w:eastAsia="Times New Roman" w:hAnsi="Times New Roman"/>
          <w:sz w:val="18"/>
          <w:szCs w:val="18"/>
          <w:color w:val="auto"/>
        </w:rPr>
      </w:pPr>
    </w:p>
    <w:p>
      <w:pPr>
        <w:ind w:left="1920" w:hanging="633"/>
        <w:spacing w:after="0"/>
        <w:tabs>
          <w:tab w:leader="none" w:pos="192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Priority Obligations;</w:t>
      </w:r>
    </w:p>
    <w:p>
      <w:pPr>
        <w:spacing w:after="0" w:line="252" w:lineRule="exact"/>
        <w:rPr>
          <w:rFonts w:ascii="Times New Roman" w:cs="Times New Roman" w:eastAsia="Times New Roman" w:hAnsi="Times New Roman"/>
          <w:sz w:val="18"/>
          <w:szCs w:val="18"/>
          <w:color w:val="auto"/>
        </w:rPr>
      </w:pPr>
    </w:p>
    <w:p>
      <w:pPr>
        <w:ind w:left="640" w:right="40" w:firstLine="647"/>
        <w:spacing w:after="0" w:line="282" w:lineRule="auto"/>
        <w:tabs>
          <w:tab w:leader="none" w:pos="1896"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202" w:lineRule="exact"/>
        <w:rPr>
          <w:rFonts w:ascii="Times New Roman" w:cs="Times New Roman" w:eastAsia="Times New Roman" w:hAnsi="Times New Roman"/>
          <w:sz w:val="18"/>
          <w:szCs w:val="18"/>
          <w:color w:val="auto"/>
        </w:rPr>
      </w:pPr>
    </w:p>
    <w:p>
      <w:pPr>
        <w:ind w:left="640" w:right="40" w:firstLine="647"/>
        <w:spacing w:after="0" w:line="282" w:lineRule="auto"/>
        <w:tabs>
          <w:tab w:leader="none" w:pos="189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building or similar law or right reserved to or vested in any Governmental Authority to control or regulate the use of any real property; and</w:t>
      </w:r>
    </w:p>
    <w:p>
      <w:pPr>
        <w:spacing w:after="0" w:line="202" w:lineRule="exact"/>
        <w:rPr>
          <w:rFonts w:ascii="Times New Roman" w:cs="Times New Roman" w:eastAsia="Times New Roman" w:hAnsi="Times New Roman"/>
          <w:sz w:val="18"/>
          <w:szCs w:val="18"/>
          <w:color w:val="auto"/>
        </w:rPr>
      </w:pPr>
    </w:p>
    <w:p>
      <w:pPr>
        <w:ind w:left="640" w:right="20" w:firstLine="647"/>
        <w:spacing w:after="0" w:line="261" w:lineRule="auto"/>
        <w:tabs>
          <w:tab w:leader="none" w:pos="1889"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that do not (A) interfere in any material respect with the business of the Borrower and its Restricted Subsidiaries, taken as a whole, or</w:t>
      </w:r>
    </w:p>
    <w:p>
      <w:pPr>
        <w:ind w:left="920" w:hanging="281"/>
        <w:spacing w:after="0"/>
        <w:tabs>
          <w:tab w:leader="none" w:pos="92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any Indebtedness;</w:t>
      </w:r>
    </w:p>
    <w:p>
      <w:pPr>
        <w:spacing w:after="0" w:line="24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203" w:lineRule="exact"/>
        <w:rPr>
          <w:sz w:val="20"/>
          <w:szCs w:val="20"/>
          <w:color w:val="auto"/>
        </w:rPr>
      </w:pPr>
    </w:p>
    <w:p>
      <w:pPr>
        <w:jc w:val="both"/>
        <w:ind w:firstLine="129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First Priority Refinancing Debt</w:t>
      </w:r>
      <w:r>
        <w:rPr>
          <w:rFonts w:ascii="Times New Roman" w:cs="Times New Roman" w:eastAsia="Times New Roman" w:hAnsi="Times New Roman"/>
          <w:sz w:val="18"/>
          <w:szCs w:val="18"/>
          <w:color w:val="auto"/>
        </w:rPr>
        <w:t xml:space="preserve">” means any secured Indebtedness incurred by the Borrower and/or any Subsidiary Loan Party (and any Guarantee thereof by Holdings or any Intermediate Parent) in the form of one or more series of senior secured notes or senior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 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w:t>
      </w:r>
    </w:p>
    <w:p>
      <w:pPr>
        <w:sectPr>
          <w:pgSz w:w="11900" w:h="16838" w:orient="portrait"/>
          <w:cols w:equalWidth="0" w:num="1">
            <w:col w:w="10060"/>
          </w:cols>
          <w:pgMar w:left="1020" w:top="1440" w:right="819" w:bottom="1440" w:gutter="0" w:footer="0" w:header="0"/>
        </w:sectPr>
      </w:pPr>
    </w:p>
    <w:bookmarkStart w:id="538" w:name="page539"/>
    <w:bookmarkEnd w:id="538"/>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(a) the Sponsor, (b) the Management Investors, (c) any Person who is acting solely as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in connection with a public or private offering of Equity Interests of any parent entity of the Borrower or the Borrower, acting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capacity and (d) any group (within the meaning of Section 13(d)(3) or Section 14(d)(2) of the Exchange Act or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of which any of the foregoing are members if a majority of the Equity Interests owned by the group is owned by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under clause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or (b) above.</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any of the following, to the extent owned by the Borrower or any Restricted Subsidiary:</w:t>
      </w:r>
    </w:p>
    <w:p>
      <w:pPr>
        <w:spacing w:after="0" w:line="266" w:lineRule="exact"/>
        <w:rPr>
          <w:sz w:val="20"/>
          <w:szCs w:val="20"/>
          <w:color w:val="auto"/>
        </w:rPr>
      </w:pPr>
    </w:p>
    <w:p>
      <w:pPr>
        <w:ind w:left="640" w:right="40" w:firstLine="648"/>
        <w:spacing w:after="0" w:line="282" w:lineRule="auto"/>
        <w:tabs>
          <w:tab w:leader="none" w:pos="1893"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Euros, Canadian Dollars, pounds sterling or such other currencies held by it from time to time in the ordinary course of business;</w:t>
      </w:r>
    </w:p>
    <w:p>
      <w:pPr>
        <w:spacing w:after="0" w:line="269" w:lineRule="exact"/>
        <w:rPr>
          <w:rFonts w:ascii="Times New Roman" w:cs="Times New Roman" w:eastAsia="Times New Roman" w:hAnsi="Times New Roman"/>
          <w:sz w:val="18"/>
          <w:szCs w:val="18"/>
          <w:color w:val="auto"/>
        </w:rPr>
      </w:pPr>
    </w:p>
    <w:p>
      <w:pPr>
        <w:jc w:val="both"/>
        <w:ind w:left="640" w:right="40" w:firstLine="647"/>
        <w:spacing w:after="0" w:line="258" w:lineRule="auto"/>
        <w:tabs>
          <w:tab w:leader="none" w:pos="1889"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readily marketable obligations issued or directly and fully guaranteed or insured by the government or any agency or instrumentality of (i) the United States, (ii) the United Kingdom, (iii) Canada, (iv) Switzerland or (v) any member nation of the European Union rated A (or the equivalent thereof) or better by S&amp;P and A2 (or the equivalent thereof) or better by Moody’s, having averagematurities of not more than 24 months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such country or such member nation of the European Union is pledged in support thereof;</w:t>
      </w:r>
    </w:p>
    <w:p>
      <w:pPr>
        <w:spacing w:after="0" w:line="223" w:lineRule="exact"/>
        <w:rPr>
          <w:rFonts w:ascii="Times New Roman" w:cs="Times New Roman" w:eastAsia="Times New Roman" w:hAnsi="Times New Roman"/>
          <w:sz w:val="18"/>
          <w:szCs w:val="18"/>
          <w:color w:val="auto"/>
        </w:rPr>
      </w:pPr>
    </w:p>
    <w:p>
      <w:pPr>
        <w:jc w:val="both"/>
        <w:ind w:left="640" w:firstLine="647"/>
        <w:spacing w:after="0" w:line="261" w:lineRule="auto"/>
        <w:tabs>
          <w:tab w:leader="none" w:pos="1893"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deposits with, or insured certificates of deposit or bankers’ acceptances of, any commercial bank that (i) is a Lender or (ii) has combined capital and surplus of at least (x) $250,000,000 in the case of U.S. banks or (y) $100,000,000 in the case of non-U.S. banks, or the U.S. dollar equivalent (any such bank in the foregoing clauses (i) or (ii) being an “</w:t>
      </w:r>
      <w:r>
        <w:rPr>
          <w:rFonts w:ascii="Times New Roman" w:cs="Times New Roman" w:eastAsia="Times New Roman" w:hAnsi="Times New Roman"/>
          <w:sz w:val="18"/>
          <w:szCs w:val="18"/>
          <w:u w:val="single" w:color="auto"/>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in each case with average maturities of not more than 12 months from the date of acquisition thereof;</w:t>
      </w:r>
    </w:p>
    <w:p>
      <w:pPr>
        <w:spacing w:after="0" w:line="206" w:lineRule="exact"/>
        <w:rPr>
          <w:rFonts w:ascii="Times New Roman" w:cs="Times New Roman" w:eastAsia="Times New Roman" w:hAnsi="Times New Roman"/>
          <w:sz w:val="18"/>
          <w:szCs w:val="18"/>
          <w:color w:val="auto"/>
        </w:rPr>
      </w:pPr>
    </w:p>
    <w:p>
      <w:pPr>
        <w:jc w:val="both"/>
        <w:ind w:left="640" w:firstLine="648"/>
        <w:spacing w:after="0" w:line="261" w:lineRule="auto"/>
        <w:tabs>
          <w:tab w:leader="none" w:pos="1889"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220" w:lineRule="exact"/>
        <w:rPr>
          <w:rFonts w:ascii="Times New Roman" w:cs="Times New Roman" w:eastAsia="Times New Roman" w:hAnsi="Times New Roman"/>
          <w:sz w:val="18"/>
          <w:szCs w:val="18"/>
          <w:color w:val="auto"/>
        </w:rPr>
      </w:pPr>
    </w:p>
    <w:p>
      <w:pPr>
        <w:jc w:val="both"/>
        <w:ind w:left="640" w:right="40" w:firstLine="648"/>
        <w:spacing w:after="0" w:line="257" w:lineRule="auto"/>
        <w:tabs>
          <w:tab w:leader="none" w:pos="1893"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w:t>
      </w:r>
    </w:p>
    <w:p>
      <w:pPr>
        <w:spacing w:after="0" w:line="1" w:lineRule="exact"/>
        <w:rPr>
          <w:rFonts w:ascii="Times New Roman" w:cs="Times New Roman" w:eastAsia="Times New Roman" w:hAnsi="Times New Roman"/>
          <w:sz w:val="18"/>
          <w:szCs w:val="18"/>
          <w:color w:val="auto"/>
        </w:rPr>
      </w:pPr>
    </w:p>
    <w:p>
      <w:pPr>
        <w:jc w:val="both"/>
        <w:ind w:left="640" w:right="40"/>
        <w:spacing w:after="0" w:line="253" w:lineRule="auto"/>
        <w:tabs>
          <w:tab w:leader="none" w:pos="867"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229" w:lineRule="exact"/>
        <w:rPr>
          <w:rFonts w:ascii="Times New Roman" w:cs="Times New Roman" w:eastAsia="Times New Roman" w:hAnsi="Times New Roman"/>
          <w:sz w:val="18"/>
          <w:szCs w:val="18"/>
          <w:color w:val="auto"/>
        </w:rPr>
      </w:pPr>
    </w:p>
    <w:p>
      <w:pPr>
        <w:jc w:val="both"/>
        <w:ind w:left="640" w:right="40" w:firstLine="648"/>
        <w:spacing w:after="0" w:line="266" w:lineRule="auto"/>
        <w:tabs>
          <w:tab w:leader="none" w:pos="190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216" w:lineRule="exact"/>
        <w:rPr>
          <w:rFonts w:ascii="Times New Roman" w:cs="Times New Roman" w:eastAsia="Times New Roman" w:hAnsi="Times New Roman"/>
          <w:sz w:val="18"/>
          <w:szCs w:val="18"/>
          <w:color w:val="auto"/>
        </w:rPr>
      </w:pPr>
    </w:p>
    <w:p>
      <w:pPr>
        <w:jc w:val="both"/>
        <w:ind w:left="640" w:firstLine="648"/>
        <w:spacing w:after="0" w:line="261" w:lineRule="auto"/>
        <w:tabs>
          <w:tab w:leader="none" w:pos="1889"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ectPr>
          <w:pgSz w:w="11900" w:h="16838" w:orient="portrait"/>
          <w:cols w:equalWidth="0" w:num="1">
            <w:col w:w="10060"/>
          </w:cols>
          <w:pgMar w:left="1020" w:top="1440" w:right="819" w:bottom="1440" w:gutter="0" w:footer="0" w:header="0"/>
        </w:sectPr>
      </w:pPr>
    </w:p>
    <w:bookmarkStart w:id="539" w:name="page540"/>
    <w:bookmarkEnd w:id="539"/>
    <w:p>
      <w:pPr>
        <w:ind w:left="648" w:right="40" w:firstLine="648"/>
        <w:spacing w:after="0" w:line="282" w:lineRule="auto"/>
        <w:tabs>
          <w:tab w:leader="none" w:pos="1897"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202" w:lineRule="exact"/>
        <w:rPr>
          <w:rFonts w:ascii="Times New Roman" w:cs="Times New Roman" w:eastAsia="Times New Roman" w:hAnsi="Times New Roman"/>
          <w:sz w:val="18"/>
          <w:szCs w:val="18"/>
          <w:color w:val="auto"/>
        </w:rPr>
      </w:pPr>
    </w:p>
    <w:p>
      <w:pPr>
        <w:jc w:val="both"/>
        <w:ind w:left="648" w:right="40" w:firstLine="648"/>
        <w:spacing w:after="0" w:line="261" w:lineRule="auto"/>
        <w:tabs>
          <w:tab w:leader="none" w:pos="1898"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220" w:lineRule="exact"/>
        <w:rPr>
          <w:rFonts w:ascii="Times New Roman" w:cs="Times New Roman" w:eastAsia="Times New Roman" w:hAnsi="Times New Roman"/>
          <w:sz w:val="18"/>
          <w:szCs w:val="18"/>
          <w:color w:val="auto"/>
        </w:rPr>
      </w:pPr>
    </w:p>
    <w:p>
      <w:pPr>
        <w:jc w:val="both"/>
        <w:ind w:left="648" w:right="40" w:firstLine="648"/>
        <w:spacing w:after="0" w:line="258" w:lineRule="auto"/>
        <w:tabs>
          <w:tab w:leader="none" w:pos="1898"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291" w:lineRule="exact"/>
        <w:rPr>
          <w:rFonts w:ascii="Times New Roman" w:cs="Times New Roman" w:eastAsia="Times New Roman" w:hAnsi="Times New Roman"/>
          <w:sz w:val="18"/>
          <w:szCs w:val="18"/>
          <w:color w:val="auto"/>
        </w:rPr>
      </w:pPr>
    </w:p>
    <w:p>
      <w:pPr>
        <w:jc w:val="both"/>
        <w:ind w:left="648" w:right="20" w:firstLine="647"/>
        <w:spacing w:after="0" w:line="253" w:lineRule="auto"/>
        <w:tabs>
          <w:tab w:leader="none" w:pos="1897"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24 months from the date of acquisition and (iii) the equivalent of demand deposit accounts which are maintained with an Approved Foreign Bank; and</w:t>
      </w:r>
    </w:p>
    <w:p>
      <w:pPr>
        <w:spacing w:after="0" w:line="232" w:lineRule="exact"/>
        <w:rPr>
          <w:rFonts w:ascii="Times New Roman" w:cs="Times New Roman" w:eastAsia="Times New Roman" w:hAnsi="Times New Roman"/>
          <w:sz w:val="18"/>
          <w:szCs w:val="18"/>
          <w:color w:val="auto"/>
        </w:rPr>
      </w:pPr>
    </w:p>
    <w:p>
      <w:pPr>
        <w:ind w:left="1248" w:hanging="600"/>
        <w:spacing w:after="0"/>
        <w:tabs>
          <w:tab w:leader="none" w:pos="1248"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at least 90% of their assets in securities of the types described in clauses (a) through (k)</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above.</w:t>
      </w:r>
    </w:p>
    <w:p>
      <w:pPr>
        <w:spacing w:after="0" w:line="247" w:lineRule="exact"/>
        <w:rPr>
          <w:sz w:val="20"/>
          <w:szCs w:val="20"/>
          <w:color w:val="auto"/>
        </w:rPr>
      </w:pPr>
    </w:p>
    <w:p>
      <w:pPr>
        <w:jc w:val="both"/>
        <w:ind w:left="8" w:right="40" w:firstLine="648"/>
        <w:spacing w:after="0" w:line="255" w:lineRule="auto"/>
        <w:rPr>
          <w:sz w:val="20"/>
          <w:szCs w:val="20"/>
          <w:color w:val="auto"/>
        </w:rPr>
      </w:pPr>
      <w:r>
        <w:rPr>
          <w:rFonts w:ascii="Times New Roman" w:cs="Times New Roman" w:eastAsia="Times New Roman" w:hAnsi="Times New Roman"/>
          <w:sz w:val="18"/>
          <w:szCs w:val="18"/>
          <w:u w:val="single" w:color="auto"/>
          <w:color w:val="0000FF"/>
        </w:rPr>
        <w:t>“Permitted Intercompany Activities” means any transactions (A) between or among the Borrower and its Restricted Subsidiaries that are entered into in the ordinary course of business or consistent with past practice of the Borrower and its Restricted Subsidiaries and, in the reasonable determination of the Borrower are necessary or advisable in connection with the ownership or operation of the business of the Borrower and its Restricted Subsidiaries, including (i) payroll, cash management, purchasing, insurance and hedging arrangements;</w:t>
      </w:r>
    </w:p>
    <w:p>
      <w:pPr>
        <w:spacing w:after="0" w:line="3" w:lineRule="exact"/>
        <w:rPr>
          <w:sz w:val="20"/>
          <w:szCs w:val="20"/>
          <w:color w:val="auto"/>
        </w:rPr>
      </w:pPr>
    </w:p>
    <w:p>
      <w:pPr>
        <w:ind w:left="8" w:right="40" w:hanging="8"/>
        <w:spacing w:after="0" w:line="260" w:lineRule="auto"/>
        <w:tabs>
          <w:tab w:leader="none" w:pos="283" w:val="left"/>
        </w:tabs>
        <w:numPr>
          <w:ilvl w:val="0"/>
          <w:numId w:val="5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management, technology and licensing arrangements; and (iii) customary loyalty and rewards programs or (B) constituting Permitted Tax Restructurings.</w:t>
      </w:r>
    </w:p>
    <w:p>
      <w:pPr>
        <w:spacing w:after="0" w:line="222" w:lineRule="exact"/>
        <w:rPr>
          <w:sz w:val="20"/>
          <w:szCs w:val="20"/>
          <w:color w:val="auto"/>
        </w:rPr>
      </w:pPr>
    </w:p>
    <w:p>
      <w:pPr>
        <w:jc w:val="both"/>
        <w:ind w:left="8"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means, with respect to any Person, any modification, refinancing, refunding, renewal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w:t>
      </w:r>
    </w:p>
    <w:p>
      <w:pPr>
        <w:sectPr>
          <w:pgSz w:w="11900" w:h="16838" w:orient="portrait"/>
          <w:cols w:equalWidth="0" w:num="1">
            <w:col w:w="10068"/>
          </w:cols>
          <w:pgMar w:left="1012" w:top="1336" w:right="819" w:bottom="1440" w:gutter="0" w:footer="0" w:header="0"/>
        </w:sectPr>
      </w:pPr>
    </w:p>
    <w:bookmarkStart w:id="540" w:name="page541"/>
    <w:bookmarkEnd w:id="540"/>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refunded, renewed or extended, (c) immediately after giving effect thereto, no Event of Default shall have occurred and be continuing, (d) if the Indebtedness being modified, refinanced, refunded, renewed or extended is subordinated in right of payment to the First Lien Loan Document Obligations, </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auto"/>
        </w:rPr>
        <w:t xml:space="preserve"> Indebtedness resulting from such modification, refinancing, refunding, renewal or extension is subordinated in right of payment to the First Lien Loan Document Obligations </w:t>
      </w:r>
      <w:r>
        <w:rPr>
          <w:rFonts w:ascii="Times New Roman" w:cs="Times New Roman" w:eastAsia="Times New Roman" w:hAnsi="Times New Roman"/>
          <w:sz w:val="18"/>
          <w:szCs w:val="18"/>
          <w:color w:val="FF0000"/>
          <w:strike w:val="1"/>
        </w:rPr>
        <w:t>on terms</w:t>
      </w:r>
      <w:r>
        <w:rPr>
          <w:rFonts w:ascii="Times New Roman" w:cs="Times New Roman" w:eastAsia="Times New Roman" w:hAnsi="Times New Roman"/>
          <w:sz w:val="18"/>
          <w:szCs w:val="18"/>
          <w:color w:val="auto"/>
        </w:rPr>
        <w:t xml:space="preserve"> at least </w:t>
      </w:r>
      <w:r>
        <w:rPr>
          <w:rFonts w:ascii="Times New Roman" w:cs="Times New Roman" w:eastAsia="Times New Roman" w:hAnsi="Times New Roman"/>
          <w:sz w:val="18"/>
          <w:szCs w:val="18"/>
          <w:color w:val="FF0000"/>
          <w:strike w:val="1"/>
        </w:rPr>
        <w:t>as favorable to the Lenders as those contained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documentation governing</w:t>
      </w:r>
      <w:r>
        <w:rPr>
          <w:rFonts w:ascii="Times New Roman" w:cs="Times New Roman" w:eastAsia="Times New Roman" w:hAnsi="Times New Roman"/>
          <w:sz w:val="18"/>
          <w:szCs w:val="18"/>
          <w:u w:val="single" w:color="auto"/>
          <w:color w:val="0000FF"/>
        </w:rPr>
        <w:t>to the same extent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Indebtedness being modified, refinanced, refunded, renewed or extended, (e) if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Indebtedness being modified, refinanced, refunded, renewed or extended is permitted pursuant to Section 6.01(a)(xxi) </w:t>
      </w:r>
      <w:r>
        <w:rPr>
          <w:rFonts w:ascii="Times New Roman" w:cs="Times New Roman" w:eastAsia="Times New Roman" w:hAnsi="Times New Roman"/>
          <w:sz w:val="18"/>
          <w:szCs w:val="18"/>
          <w:color w:val="FF0000"/>
        </w:rPr>
        <w:t>or (a)(xxii)</w:t>
      </w:r>
      <w:r>
        <w:rPr>
          <w:rFonts w:ascii="Times New Roman" w:cs="Times New Roman" w:eastAsia="Times New Roman" w:hAnsi="Times New Roman"/>
          <w:sz w:val="18"/>
          <w:szCs w:val="18"/>
          <w:color w:val="000000"/>
        </w:rPr>
        <w:t>, such Indebtedness complies with the Required Additional Debt Terms, (f</w:t>
      </w:r>
      <w:r>
        <w:rPr>
          <w:rFonts w:ascii="Times New Roman" w:cs="Times New Roman" w:eastAsia="Times New Roman" w:hAnsi="Times New Roman"/>
          <w:sz w:val="18"/>
          <w:szCs w:val="18"/>
          <w:color w:val="FF0000"/>
          <w:strike w:val="1"/>
        </w:rPr>
        <w:t>) the terms and conditions (including, if applicable, as to collateral but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(except for covenants or other provisions applicable to periods after the Latest Maturity Date at the time such Indebtedness is incurred) (together with, at the election of the Borrower,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corresponding Loans remaining outstanding after the issuance or incurrence of such Permitted Refinancing or (B) only applicable after the Latest Maturity Date at the time of such refinancing);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a certificate of a Responsible Officer of the Borrower delivered to the First Lien Administrative Agent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 and (ii</w:t>
      </w:r>
      <w:r>
        <w:rPr>
          <w:rFonts w:ascii="Times New Roman" w:cs="Times New Roman" w:eastAsia="Times New Roman" w:hAnsi="Times New Roman"/>
          <w:sz w:val="18"/>
          <w:szCs w:val="18"/>
          <w:color w:val="000000"/>
          <w:strike w:val="1"/>
        </w:rPr>
        <w:t>) the primary obligor in respect of, and/or the Persons (if any) that Guarantee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Indebtedness resulting from such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modification, refinancing, refunding, renewal or extension are the primary obligor in respect of, and/or Persons (if any) that Guarantee</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color w:val="000000"/>
          <w:strike w:val="1"/>
        </w:rPr>
        <w:t xml:space="preserve">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that such excess includes successive Permitted Refinancings of the same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-4328160</wp:posOffset>
            </wp:positionV>
            <wp:extent cx="5499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549910" cy="8255"/>
                    </a:xfrm>
                    <a:prstGeom prst="rect">
                      <a:avLst/>
                    </a:prstGeom>
                    <a:noFill/>
                  </pic:spPr>
                </pic:pic>
              </a:graphicData>
            </a:graphic>
          </wp:anchor>
        </w:drawing>
      </w:r>
    </w:p>
    <w:p>
      <w:pPr>
        <w:spacing w:after="0" w:line="233"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FF0000"/>
        </w:rPr>
        <w:t>Permitted Second Priority Debt</w:t>
      </w:r>
      <w:r>
        <w:rPr>
          <w:rFonts w:ascii="Times New Roman" w:cs="Times New Roman" w:eastAsia="Times New Roman" w:hAnsi="Times New Roman"/>
          <w:sz w:val="18"/>
          <w:szCs w:val="18"/>
          <w:color w:val="FF0000"/>
        </w:rPr>
        <w:t>” means (a) the Second Lien Facilities and (b) any Second Lien Incremental Equivalent Debt, in each case, permitted to be incurred pursuant to the terms of the Second Lien Indenture as in effect on the Effective Date (as it may be amended in accordance with the express terms of the First/Second Lien Intercreditor Agreement) and any Permitted Refinancing thereof. For the avoidance of doubt, the aggregate principal amount of Second Lien Facilities on the Effective Date shall not exceed $770,000,000.</w:t>
      </w:r>
    </w:p>
    <w:p>
      <w:pPr>
        <w:spacing w:after="0" w:line="210"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Second Priority Refinancing Debt</w:t>
      </w:r>
      <w:r>
        <w:rPr>
          <w:rFonts w:ascii="Times New Roman" w:cs="Times New Roman" w:eastAsia="Times New Roman" w:hAnsi="Times New Roman"/>
          <w:sz w:val="18"/>
          <w:szCs w:val="18"/>
          <w:color w:val="auto"/>
        </w:rPr>
        <w:t xml:space="preserve">” means any secured Indebtedness incurred by the Borrower and/or any Subsidiary Loan Party (and any Guarantee thereof by Holdings or any Intermediate Parent) in the form of one or more series of junior lien secured notes or junior lien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w:t>
      </w:r>
    </w:p>
    <w:p>
      <w:pPr>
        <w:sectPr>
          <w:pgSz w:w="11900" w:h="16838" w:orient="portrait"/>
          <w:cols w:equalWidth="0" w:num="1">
            <w:col w:w="10060"/>
          </w:cols>
          <w:pgMar w:left="1020" w:top="1336" w:right="819" w:bottom="1440" w:gutter="0" w:footer="0" w:header="0"/>
        </w:sectPr>
      </w:pPr>
    </w:p>
    <w:bookmarkStart w:id="541" w:name="page542"/>
    <w:bookmarkEnd w:id="541"/>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Indebtedness is secured by the Collateral on a junior lien, subordinated basis to the Secured Obligations and the obligations in respect of any Permitted First Priority Refinancing Debt,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 (vi) 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“Permitted Tax Restructuring” means any reorganizations and other activities related to Tax planning and Tax reorganization entered into prior to, on or after the Amendment No. 4 Effective Date so long as such Permitted Tax Restructuring is not materially adverse to the Lenders (as reasonably determined by the Borrower).</w:t>
      </w:r>
    </w:p>
    <w:p>
      <w:pPr>
        <w:spacing w:after="0" w:line="216" w:lineRule="exact"/>
        <w:rPr>
          <w:sz w:val="20"/>
          <w:szCs w:val="20"/>
          <w:color w:val="auto"/>
        </w:rPr>
      </w:pPr>
    </w:p>
    <w:p>
      <w:pPr>
        <w:jc w:val="both"/>
        <w:ind w:right="4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Unsecured Refinancing Debt</w:t>
      </w:r>
      <w:r>
        <w:rPr>
          <w:rFonts w:ascii="Times New Roman" w:cs="Times New Roman" w:eastAsia="Times New Roman" w:hAnsi="Times New Roman"/>
          <w:sz w:val="18"/>
          <w:szCs w:val="18"/>
          <w:color w:val="auto"/>
        </w:rPr>
        <w:t xml:space="preserve">” means any unsecured Indebtedness incurred by the Borrower and/or any Loan Party in the form of one or more series of senior unsecured notes or senior unsecured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Intermediate Parent, the Borrower or any Restricted Subsidiary. Permitted Unsecured Refinancing Debt will include any Registered Equivalent Notes issued in exchange therefor.</w:t>
      </w:r>
    </w:p>
    <w:p>
      <w:pPr>
        <w:spacing w:after="0" w:line="232" w:lineRule="exact"/>
        <w:rPr>
          <w:sz w:val="20"/>
          <w:szCs w:val="20"/>
          <w:color w:val="auto"/>
        </w:rPr>
      </w:pPr>
    </w:p>
    <w:p>
      <w:pPr>
        <w:jc w:val="both"/>
        <w:ind w:right="4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202"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PIK Toggle Notes</w:t>
      </w:r>
      <w:r>
        <w:rPr>
          <w:rFonts w:ascii="Times New Roman" w:cs="Times New Roman" w:eastAsia="Times New Roman" w:hAnsi="Times New Roman"/>
          <w:sz w:val="18"/>
          <w:szCs w:val="18"/>
          <w:color w:val="FF0000"/>
          <w:strike w:val="1"/>
        </w:rPr>
        <w:t>” means the $425,000,000 aggregate principal amount of 8.125% / 8.875% Senior PIK Toggle Notes due 2021 issued by Sotera Health Topco, Inc. (formerly Sterigenics-Nordion Topco, LLC) (“Topco”) pursuant to the indenture dated as of November 1, 2016, as supplemented by the first supplemental indenture dated as of November 24, 2017, between Topco and Wilmington Trust, National Association, as trustee.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3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has the meaning assigned to such term in Section 2.11(d)(v).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assigned to such term in Section 5.01.</w:t>
      </w:r>
    </w:p>
    <w:p>
      <w:pPr>
        <w:spacing w:after="0" w:line="104" w:lineRule="exact"/>
        <w:rPr>
          <w:sz w:val="20"/>
          <w:szCs w:val="20"/>
          <w:color w:val="auto"/>
        </w:rPr>
      </w:pPr>
    </w:p>
    <w:p>
      <w:pPr>
        <w:jc w:val="both"/>
        <w:ind w:right="40" w:firstLine="140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Post-Transaction Period</w:t>
      </w:r>
      <w:r>
        <w:rPr>
          <w:rFonts w:ascii="Times New Roman" w:cs="Times New Roman" w:eastAsia="Times New Roman" w:hAnsi="Times New Roman"/>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266" w:lineRule="exact"/>
        <w:rPr>
          <w:sz w:val="20"/>
          <w:szCs w:val="20"/>
          <w:color w:val="auto"/>
        </w:rPr>
      </w:pPr>
    </w:p>
    <w:p>
      <w:pPr>
        <w:jc w:val="both"/>
        <w:ind w:left="640" w:right="40" w:firstLine="648"/>
        <w:spacing w:after="0" w:line="261" w:lineRule="auto"/>
        <w:tabs>
          <w:tab w:leader="none" w:pos="1893"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non-ordinary course sale, transfer or other disposition </w:t>
      </w:r>
      <w:r>
        <w:rPr>
          <w:rFonts w:ascii="Times New Roman" w:cs="Times New Roman" w:eastAsia="Times New Roman" w:hAnsi="Times New Roman"/>
          <w:sz w:val="18"/>
          <w:szCs w:val="18"/>
          <w:color w:val="FF0000"/>
          <w:strike w:val="1"/>
        </w:rPr>
        <w:t>of any property or asset of</w:t>
      </w:r>
      <w:r>
        <w:rPr>
          <w:rFonts w:ascii="Times New Roman" w:cs="Times New Roman" w:eastAsia="Times New Roman" w:hAnsi="Times New Roman"/>
          <w:sz w:val="18"/>
          <w:szCs w:val="18"/>
          <w:u w:val="single" w:color="auto"/>
          <w:color w:val="0000FF"/>
        </w:rPr>
        <w:t>by</w:t>
      </w:r>
      <w:r>
        <w:rPr>
          <w:rFonts w:ascii="Times New Roman" w:cs="Times New Roman" w:eastAsia="Times New Roman" w:hAnsi="Times New Roman"/>
          <w:sz w:val="18"/>
          <w:szCs w:val="18"/>
          <w:color w:val="auto"/>
        </w:rPr>
        <w:t xml:space="preserve"> the Borrower or any </w:t>
      </w:r>
      <w:r>
        <w:rPr>
          <w:rFonts w:ascii="Times New Roman" w:cs="Times New Roman" w:eastAsia="Times New Roman" w:hAnsi="Times New Roman"/>
          <w:sz w:val="18"/>
          <w:szCs w:val="18"/>
          <w:color w:val="FF0000"/>
          <w:strike w:val="1"/>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its Restricted Subsidiaries</w:t>
      </w:r>
      <w:r>
        <w:rPr>
          <w:rFonts w:ascii="Times New Roman" w:cs="Times New Roman" w:eastAsia="Times New Roman" w:hAnsi="Times New Roman"/>
          <w:sz w:val="18"/>
          <w:szCs w:val="18"/>
          <w:u w:val="single" w:color="auto"/>
          <w:color w:val="0000FF"/>
        </w:rPr>
        <w:t>other Loan Party of any of its property or asset that constitutes Collateral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permitted by Section 6.05(k)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other than dispositions resulting in aggregate Net Proceeds not exceeding (A) $</w:t>
      </w:r>
      <w:r>
        <w:rPr>
          <w:rFonts w:ascii="Times New Roman" w:cs="Times New Roman" w:eastAsia="Times New Roman" w:hAnsi="Times New Roman"/>
          <w:sz w:val="18"/>
          <w:szCs w:val="18"/>
          <w:color w:val="FF0000"/>
          <w:strike w:val="1"/>
        </w:rPr>
        <w:t>25,000,000</w:t>
      </w:r>
      <w:r>
        <w:rPr>
          <w:rFonts w:ascii="Times New Roman" w:cs="Times New Roman" w:eastAsia="Times New Roman" w:hAnsi="Times New Roman"/>
          <w:sz w:val="18"/>
          <w:szCs w:val="18"/>
          <w:u w:val="single" w:color="auto"/>
          <w:color w:val="0000FF"/>
        </w:rPr>
        <w:t>29,000,000</w:t>
      </w:r>
      <w:r>
        <w:rPr>
          <w:rFonts w:ascii="Times New Roman" w:cs="Times New Roman" w:eastAsia="Times New Roman" w:hAnsi="Times New Roman"/>
          <w:sz w:val="18"/>
          <w:szCs w:val="18"/>
          <w:color w:val="000000"/>
        </w:rPr>
        <w:t xml:space="preserve"> in the case of any single transaction or series of</w:t>
      </w:r>
    </w:p>
    <w:p>
      <w:pPr>
        <w:sectPr>
          <w:pgSz w:w="11900" w:h="16838" w:orient="portrait"/>
          <w:cols w:equalWidth="0" w:num="1">
            <w:col w:w="10060"/>
          </w:cols>
          <w:pgMar w:left="1020" w:top="1336" w:right="819" w:bottom="1440" w:gutter="0" w:footer="0" w:header="0"/>
        </w:sectPr>
      </w:pPr>
    </w:p>
    <w:bookmarkStart w:id="542" w:name="page543"/>
    <w:bookmarkEnd w:id="542"/>
    <w:p>
      <w:pPr>
        <w:ind w:left="640"/>
        <w:spacing w:after="0"/>
        <w:rPr>
          <w:sz w:val="20"/>
          <w:szCs w:val="20"/>
          <w:color w:val="auto"/>
        </w:rPr>
      </w:pPr>
      <w:r>
        <w:rPr>
          <w:rFonts w:ascii="Times New Roman" w:cs="Times New Roman" w:eastAsia="Times New Roman" w:hAnsi="Times New Roman"/>
          <w:sz w:val="18"/>
          <w:szCs w:val="18"/>
          <w:color w:val="auto"/>
        </w:rPr>
        <w:t>related transactions and (B) $</w:t>
      </w:r>
      <w:r>
        <w:rPr>
          <w:rFonts w:ascii="Times New Roman" w:cs="Times New Roman" w:eastAsia="Times New Roman" w:hAnsi="Times New Roman"/>
          <w:sz w:val="18"/>
          <w:szCs w:val="18"/>
          <w:color w:val="FF0000"/>
          <w:strike w:val="1"/>
        </w:rPr>
        <w:t>50,000,000</w:t>
      </w:r>
      <w:r>
        <w:rPr>
          <w:rFonts w:ascii="Times New Roman" w:cs="Times New Roman" w:eastAsia="Times New Roman" w:hAnsi="Times New Roman"/>
          <w:sz w:val="18"/>
          <w:szCs w:val="18"/>
          <w:u w:val="single" w:color="auto"/>
          <w:color w:val="0000FF"/>
        </w:rPr>
        <w:t>70,000,000</w:t>
      </w:r>
      <w:r>
        <w:rPr>
          <w:rFonts w:ascii="Times New Roman" w:cs="Times New Roman" w:eastAsia="Times New Roman" w:hAnsi="Times New Roman"/>
          <w:sz w:val="18"/>
          <w:szCs w:val="18"/>
          <w:color w:val="auto"/>
        </w:rPr>
        <w:t xml:space="preserve"> for all such transactions during any fiscal year of the Borrower; or</w:t>
      </w:r>
    </w:p>
    <w:p>
      <w:pPr>
        <w:spacing w:after="0" w:line="266" w:lineRule="exact"/>
        <w:rPr>
          <w:sz w:val="20"/>
          <w:szCs w:val="20"/>
          <w:color w:val="auto"/>
        </w:rPr>
      </w:pPr>
    </w:p>
    <w:p>
      <w:pPr>
        <w:jc w:val="both"/>
        <w:ind w:left="640" w:right="40" w:firstLine="647"/>
        <w:spacing w:after="0" w:line="261" w:lineRule="auto"/>
        <w:tabs>
          <w:tab w:leader="none" w:pos="1889"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w:t>
      </w:r>
    </w:p>
    <w:p>
      <w:pPr>
        <w:spacing w:after="0" w:line="220" w:lineRule="exact"/>
        <w:rPr>
          <w:sz w:val="20"/>
          <w:szCs w:val="20"/>
          <w:color w:val="auto"/>
        </w:rPr>
      </w:pPr>
    </w:p>
    <w:p>
      <w:pPr>
        <w:jc w:val="both"/>
        <w:ind w:right="40" w:firstLine="129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announced from time to time by JPMorgan (or any successor to JPMorgan in its capacity as First Lien Administrative Agent) as its prime commercial lending rate in effect at its principal office in New York City and notified to the Borrower. The Prime Rate is a reference rate and does not necessarily represent the lowest or best rate actually charged to any customer.</w:t>
      </w:r>
    </w:p>
    <w:p>
      <w:pPr>
        <w:spacing w:after="0" w:line="220"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Obligation</w:t>
      </w:r>
      <w:r>
        <w:rPr>
          <w:rFonts w:ascii="Times New Roman" w:cs="Times New Roman" w:eastAsia="Times New Roman" w:hAnsi="Times New Roman"/>
          <w:sz w:val="18"/>
          <w:szCs w:val="18"/>
          <w:color w:val="auto"/>
        </w:rPr>
        <w:t xml:space="preserve">” means any obligation that is secured by a Lien on any Collateral in favor of a Governmental Authority, which Lien ranks or is capable of ranking prior to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207" w:lineRule="exact"/>
        <w:rPr>
          <w:sz w:val="20"/>
          <w:szCs w:val="20"/>
          <w:color w:val="auto"/>
        </w:rPr>
      </w:pPr>
    </w:p>
    <w:p>
      <w:pPr>
        <w:jc w:val="both"/>
        <w:ind w:right="4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xml:space="preserve">”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23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xml:space="preserve">”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clause (a) above, the</w:t>
      </w:r>
    </w:p>
    <w:p>
      <w:pPr>
        <w:sectPr>
          <w:pgSz w:w="11900" w:h="16838" w:orient="portrait"/>
          <w:cols w:equalWidth="0" w:num="1">
            <w:col w:w="10060"/>
          </w:cols>
          <w:pgMar w:left="1020" w:top="1336" w:right="819" w:bottom="1440" w:gutter="0" w:footer="0" w:header="0"/>
        </w:sectPr>
      </w:pPr>
    </w:p>
    <w:bookmarkStart w:id="543" w:name="page544"/>
    <w:bookmarkEnd w:id="543"/>
    <w:p>
      <w:pPr>
        <w:jc w:val="both"/>
        <w:ind w:right="260"/>
        <w:spacing w:after="0" w:line="256" w:lineRule="auto"/>
        <w:rPr>
          <w:sz w:val="20"/>
          <w:szCs w:val="20"/>
          <w:color w:val="auto"/>
        </w:rPr>
      </w:pPr>
      <w:r>
        <w:rPr>
          <w:rFonts w:ascii="Times New Roman" w:cs="Times New Roman" w:eastAsia="Times New Roman" w:hAnsi="Times New Roman"/>
          <w:sz w:val="18"/>
          <w:szCs w:val="18"/>
          <w:color w:val="auto"/>
        </w:rPr>
        <w:t>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241" w:lineRule="exact"/>
        <w:rPr>
          <w:sz w:val="20"/>
          <w:szCs w:val="20"/>
          <w:color w:val="auto"/>
        </w:rPr>
      </w:pPr>
    </w:p>
    <w:p>
      <w:pPr>
        <w:jc w:val="both"/>
        <w:ind w:right="300" w:firstLine="1295"/>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Disposal Adjustment</w:t>
      </w:r>
      <w:r>
        <w:rPr>
          <w:rFonts w:ascii="Times New Roman" w:cs="Times New Roman" w:eastAsia="Times New Roman" w:hAnsi="Times New Roman"/>
          <w:sz w:val="18"/>
          <w:szCs w:val="18"/>
          <w:color w:val="auto"/>
        </w:rPr>
        <w:t>”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3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has the meaning given to such term in the definition of “Acquired EBITDA.” “</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has the</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meaning assigned to such term in Section 9.02(c).</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w:t>
      </w:r>
      <w:r>
        <w:rPr>
          <w:rFonts w:ascii="Times New Roman" w:cs="Times New Roman" w:eastAsia="Times New Roman" w:hAnsi="Times New Roman"/>
          <w:sz w:val="18"/>
          <w:szCs w:val="18"/>
          <w:color w:val="auto"/>
        </w:rPr>
        <w:t>” means PSP Investments Credit USA LLC and any of its Affiliates who are from time to time a Lender hereunder.</w:t>
      </w:r>
    </w:p>
    <w:p>
      <w:pPr>
        <w:spacing w:after="0" w:line="252" w:lineRule="exact"/>
        <w:rPr>
          <w:sz w:val="20"/>
          <w:szCs w:val="20"/>
          <w:color w:val="auto"/>
        </w:rPr>
      </w:pPr>
    </w:p>
    <w:p>
      <w:pPr>
        <w:jc w:val="both"/>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89" w:lineRule="exact"/>
        <w:rPr>
          <w:sz w:val="20"/>
          <w:szCs w:val="20"/>
          <w:color w:val="auto"/>
        </w:rPr>
      </w:pPr>
    </w:p>
    <w:p>
      <w:pPr>
        <w:jc w:val="both"/>
        <w:ind w:right="30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means, as to the Borrower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assigned to such term in Section 5.01.</w:t>
      </w:r>
    </w:p>
    <w:p>
      <w:pPr>
        <w:spacing w:after="0" w:line="26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Holdings or the Borrower other than Disqualified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w:t>
      </w:r>
    </w:p>
    <w:p>
      <w:pPr>
        <w:spacing w:after="0" w:line="247" w:lineRule="exact"/>
        <w:rPr>
          <w:sz w:val="20"/>
          <w:szCs w:val="20"/>
          <w:color w:val="auto"/>
        </w:rPr>
      </w:pPr>
    </w:p>
    <w:p>
      <w:pPr>
        <w:jc w:val="both"/>
        <w:ind w:right="2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Facility</w:t>
      </w:r>
      <w:r>
        <w:rPr>
          <w:rFonts w:ascii="Times New Roman" w:cs="Times New Roman" w:eastAsia="Times New Roman" w:hAnsi="Times New Roman"/>
          <w:sz w:val="18"/>
          <w:szCs w:val="18"/>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has the meaning assigned to such term in Section 2.11(a)(ii)(D)(3).</w:t>
      </w:r>
    </w:p>
    <w:p>
      <w:pPr>
        <w:spacing w:after="0" w:line="266" w:lineRule="exact"/>
        <w:rPr>
          <w:sz w:val="20"/>
          <w:szCs w:val="20"/>
          <w:color w:val="auto"/>
        </w:rPr>
      </w:pPr>
    </w:p>
    <w:p>
      <w:pPr>
        <w:jc w:val="both"/>
        <w:ind w:right="3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RBC Letter of Credit Sublimit</w:t>
      </w:r>
      <w:r>
        <w:rPr>
          <w:rFonts w:ascii="Times New Roman" w:cs="Times New Roman" w:eastAsia="Times New Roman" w:hAnsi="Times New Roman"/>
          <w:sz w:val="18"/>
          <w:szCs w:val="18"/>
          <w:color w:val="auto"/>
        </w:rPr>
        <w:t>” means an amount equal to the amount listed on Schedule 2.01 as amended by Amendment No. 3. Letters of Credit issued pursuant to the RBC Letter of Credit Sublimit will be issued by Royal Bank of Canada in its capacity as an “Issuing Bank”.</w:t>
      </w:r>
    </w:p>
    <w:p>
      <w:pPr>
        <w:sectPr>
          <w:pgSz w:w="11900" w:h="16838" w:orient="portrait"/>
          <w:cols w:equalWidth="0" w:num="1">
            <w:col w:w="10320"/>
          </w:cols>
          <w:pgMar w:left="1020" w:top="1336" w:right="559" w:bottom="1440" w:gutter="0" w:footer="0" w:header="0"/>
        </w:sectPr>
      </w:pPr>
    </w:p>
    <w:bookmarkStart w:id="544" w:name="page545"/>
    <w:bookmarkEnd w:id="544"/>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(i) if such Benchmark is SONIA,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a.m. (London time) on the day that is four Business Days prior to such setting, (ii) if such Benchmark is the Term SOFR Rate,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 Chicago time, on the day that is two (2) U.S. Government Securities Business Days preceding the date of such setting, (iii)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is Daily Simple SOFR, then four (4) RFR Business Days prior to such setting and (iv) if such Benchmark is none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SONIA Rate, Term SOFR Rate, or Daily Simple SOFR, the time determined by the First Lien Administrative Agent in its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has the meaning assigned to such term in the definition of “Credit Agreement Refinancing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247" w:lineRule="exact"/>
        <w:rPr>
          <w:sz w:val="20"/>
          <w:szCs w:val="20"/>
          <w:color w:val="auto"/>
        </w:rPr>
      </w:pPr>
    </w:p>
    <w:p>
      <w:pPr>
        <w:jc w:val="both"/>
        <w:ind w:right="4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means (a) the refinancing of all indebtedness of the Borrower under the Credit Agreement dated as of May 15, 2015, as amended as of August 18, 2015, April 4, 2017, June 30, 2017, October 31,</w:t>
      </w:r>
    </w:p>
    <w:p>
      <w:pPr>
        <w:jc w:val="both"/>
        <w:ind w:right="440"/>
        <w:spacing w:after="0" w:line="252" w:lineRule="auto"/>
        <w:rPr>
          <w:sz w:val="20"/>
          <w:szCs w:val="20"/>
          <w:color w:val="auto"/>
        </w:rPr>
      </w:pPr>
      <w:r>
        <w:rPr>
          <w:rFonts w:ascii="Times New Roman" w:cs="Times New Roman" w:eastAsia="Times New Roman" w:hAnsi="Times New Roman"/>
          <w:sz w:val="18"/>
          <w:szCs w:val="18"/>
          <w:color w:val="auto"/>
        </w:rPr>
        <w:t>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 (c) redemption of the Existing Notes; it being agreed that the delivery of customary duly executed payoff and release letters to the First Lien Administrative Agent shall be satisfactory evidence.</w:t>
      </w:r>
    </w:p>
    <w:p>
      <w:pPr>
        <w:spacing w:after="0" w:line="230" w:lineRule="exact"/>
        <w:rPr>
          <w:sz w:val="20"/>
          <w:szCs w:val="20"/>
          <w:color w:val="auto"/>
        </w:rPr>
      </w:pPr>
    </w:p>
    <w:p>
      <w:pPr>
        <w:jc w:val="both"/>
        <w:ind w:right="440" w:firstLine="138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 No. 1</w:t>
      </w:r>
      <w:r>
        <w:rPr>
          <w:rFonts w:ascii="Times New Roman" w:cs="Times New Roman" w:eastAsia="Times New Roman" w:hAnsi="Times New Roman"/>
          <w:sz w:val="18"/>
          <w:szCs w:val="18"/>
          <w:color w:val="auto"/>
        </w:rPr>
        <w:t>” means the Refinancing Amendment to First Lien Credit Agreement dated as of January 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 No. 1 Effective Date</w:t>
      </w:r>
      <w:r>
        <w:rPr>
          <w:rFonts w:ascii="Times New Roman" w:cs="Times New Roman" w:eastAsia="Times New Roman" w:hAnsi="Times New Roman"/>
          <w:sz w:val="18"/>
          <w:szCs w:val="18"/>
          <w:color w:val="auto"/>
        </w:rPr>
        <w:t>” means January 20, 2021, the date of effectiveness of Refinancing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1.</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Refinancing Amendment No. 1 Term Loans</w:t>
      </w:r>
      <w:r>
        <w:rPr>
          <w:rFonts w:ascii="Times New Roman" w:cs="Times New Roman" w:eastAsia="Times New Roman" w:hAnsi="Times New Roman"/>
          <w:sz w:val="18"/>
          <w:szCs w:val="18"/>
          <w:color w:val="FF0000"/>
          <w:strike w:val="1"/>
        </w:rPr>
        <w:t>” means the “Refinancing Loans” as defined in Refinancing Amendment No. 1.</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9.04(b)(iv).</w:t>
      </w:r>
    </w:p>
    <w:p>
      <w:pPr>
        <w:spacing w:after="0" w:line="252" w:lineRule="exact"/>
        <w:rPr>
          <w:sz w:val="20"/>
          <w:szCs w:val="20"/>
          <w:color w:val="auto"/>
        </w:rPr>
      </w:pPr>
    </w:p>
    <w:p>
      <w:pPr>
        <w:jc w:val="both"/>
        <w:ind w:right="44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216" w:lineRule="exact"/>
        <w:rPr>
          <w:sz w:val="20"/>
          <w:szCs w:val="20"/>
          <w:color w:val="auto"/>
        </w:rPr>
      </w:pPr>
    </w:p>
    <w:p>
      <w:pPr>
        <w:jc w:val="both"/>
        <w:ind w:right="40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Bank</w:t>
      </w:r>
      <w:r>
        <w:rPr>
          <w:rFonts w:ascii="Times New Roman" w:cs="Times New Roman" w:eastAsia="Times New Roman" w:hAnsi="Times New Roman"/>
          <w:sz w:val="18"/>
          <w:szCs w:val="18"/>
          <w:color w:val="auto"/>
        </w:rPr>
        <w:t>” 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has the meaning assigned to such term in Section 2.05(f).</w:t>
      </w:r>
    </w:p>
    <w:p>
      <w:pPr>
        <w:sectPr>
          <w:pgSz w:w="11900" w:h="16838" w:orient="portrait"/>
          <w:cols w:equalWidth="0" w:num="1">
            <w:col w:w="10460"/>
          </w:cols>
          <w:pgMar w:left="1020" w:top="1336" w:right="419" w:bottom="1440" w:gutter="0" w:footer="0" w:header="0"/>
        </w:sectPr>
      </w:pPr>
    </w:p>
    <w:bookmarkStart w:id="545" w:name="page546"/>
    <w:bookmarkEnd w:id="545"/>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Funds</w:t>
      </w:r>
      <w:r>
        <w:rPr>
          <w:rFonts w:ascii="Times New Roman" w:cs="Times New Roman" w:eastAsia="Times New Roman" w:hAnsi="Times New Roman"/>
          <w:sz w:val="18"/>
          <w:szCs w:val="18"/>
          <w:color w:val="auto"/>
        </w:rPr>
        <w:t>” means with respect to any Lender that is an Approved Fund, any other Approved Fund that is managed by the same investment advisor as such Lender or by an Affiliate of such investment advisor.</w:t>
      </w:r>
    </w:p>
    <w:p>
      <w:pPr>
        <w:spacing w:after="0" w:line="20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21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216" w:lineRule="exact"/>
        <w:rPr>
          <w:sz w:val="20"/>
          <w:szCs w:val="20"/>
          <w:color w:val="auto"/>
        </w:rPr>
      </w:pPr>
    </w:p>
    <w:p>
      <w:pPr>
        <w:jc w:val="both"/>
        <w:ind w:firstLine="129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15" w:lineRule="exact"/>
        <w:rPr>
          <w:sz w:val="20"/>
          <w:szCs w:val="20"/>
          <w:color w:val="auto"/>
        </w:rPr>
      </w:pPr>
    </w:p>
    <w:p>
      <w:pPr>
        <w:jc w:val="both"/>
        <w:ind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Revolving Borrowing denominated in Dollars, the Adjusted Term SOFR Rate, (ii) with respect to any Term Benchmark Revolving Borrowing denominated in Euros, EURIBOR, (iii) with respect to any Term Benchmark Revolving Borrowing denominated in Canadian Dollars, the Adjusted Term CORRA Rate, (iv) with respect to any RFR Revolving Borrowing denominated in Sterling, the Daily Simple SONIA and (v) with respect to any RFR Borrowing denominated in Dollars, Adjusted Daily Simple SOFR.</w:t>
      </w:r>
    </w:p>
    <w:p>
      <w:pPr>
        <w:spacing w:after="0" w:line="224"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Revolving Borrowing denominated in Dollars, the Term SOFR Reference Rate, (ii) with respect to any Term Benchmark Revolving Borrowing denominated in Euros, the EURIBOR Screen Rate and (iii) with respect to any Term Benchmark Revolving Borrowing denominated in Canadian Dollars, the CAD Screen Rate.</w:t>
      </w:r>
    </w:p>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assigned to such term in Section 8.06.</w:t>
      </w:r>
    </w:p>
    <w:p>
      <w:pPr>
        <w:spacing w:after="0" w:line="266" w:lineRule="exact"/>
        <w:rPr>
          <w:sz w:val="20"/>
          <w:szCs w:val="20"/>
          <w:color w:val="auto"/>
        </w:rPr>
      </w:pPr>
    </w:p>
    <w:p>
      <w:pPr>
        <w:jc w:val="both"/>
        <w:ind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xml:space="preserve">”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Refinancing </w:t>
      </w:r>
      <w:r>
        <w:rPr>
          <w:rFonts w:ascii="Times New Roman" w:cs="Times New Roman" w:eastAsia="Times New Roman" w:hAnsi="Times New Roman"/>
          <w:sz w:val="18"/>
          <w:szCs w:val="18"/>
          <w:color w:val="FF0000"/>
          <w:strike w:val="1"/>
        </w:rPr>
        <w:t>Amendment No. 1</w:t>
      </w:r>
      <w:r>
        <w:rPr>
          <w:rFonts w:ascii="Times New Roman" w:cs="Times New Roman" w:eastAsia="Times New Roman" w:hAnsi="Times New Roman"/>
          <w:sz w:val="18"/>
          <w:szCs w:val="18"/>
          <w:color w:val="auto"/>
        </w:rPr>
        <w:t xml:space="preserve"> Term Loans of the respective equivalent Type, but excluding Indebtedness incurred in connection with (A) a Change of Control, (B) an IPO or (C) any material acquisition, merger or consolidation, material Investment or material Disposition and (ii) the proceeds of which are used to prepay (or, in the case of a conversion, deemed to prepay or replace), in whole or in part, outstanding principal of </w:t>
      </w:r>
      <w:r>
        <w:rPr>
          <w:rFonts w:ascii="Times New Roman" w:cs="Times New Roman" w:eastAsia="Times New Roman" w:hAnsi="Times New Roman"/>
          <w:sz w:val="18"/>
          <w:szCs w:val="18"/>
          <w:u w:val="single" w:color="auto"/>
          <w:color w:val="0000FF"/>
        </w:rPr>
        <w:t>the 2024</w:t>
      </w:r>
      <w:r>
        <w:rPr>
          <w:rFonts w:ascii="Times New Roman" w:cs="Times New Roman" w:eastAsia="Times New Roman" w:hAnsi="Times New Roman"/>
          <w:sz w:val="18"/>
          <w:szCs w:val="18"/>
          <w:color w:val="auto"/>
        </w:rPr>
        <w:t xml:space="preserve"> Refinancing </w:t>
      </w:r>
      <w:r>
        <w:rPr>
          <w:rFonts w:ascii="Times New Roman" w:cs="Times New Roman" w:eastAsia="Times New Roman" w:hAnsi="Times New Roman"/>
          <w:sz w:val="18"/>
          <w:szCs w:val="18"/>
          <w:color w:val="FF0000"/>
          <w:strike w:val="1"/>
        </w:rPr>
        <w:t>Amendment No. 1</w:t>
      </w:r>
      <w:r>
        <w:rPr>
          <w:rFonts w:ascii="Times New Roman" w:cs="Times New Roman" w:eastAsia="Times New Roman" w:hAnsi="Times New Roman"/>
          <w:sz w:val="18"/>
          <w:szCs w:val="18"/>
          <w:color w:val="auto"/>
        </w:rPr>
        <w:t xml:space="preserve"> Term Loans or (b) any amendment of this Agreement for the primary purpose of reducing the Effective Yield for the </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Refinancing </w:t>
      </w:r>
      <w:r>
        <w:rPr>
          <w:rFonts w:ascii="Times New Roman" w:cs="Times New Roman" w:eastAsia="Times New Roman" w:hAnsi="Times New Roman"/>
          <w:sz w:val="18"/>
          <w:szCs w:val="18"/>
          <w:color w:val="FF0000"/>
          <w:strike w:val="1"/>
        </w:rPr>
        <w:t>Amendment No. 1</w:t>
      </w:r>
      <w:r>
        <w:rPr>
          <w:rFonts w:ascii="Times New Roman" w:cs="Times New Roman" w:eastAsia="Times New Roman" w:hAnsi="Times New Roman"/>
          <w:sz w:val="18"/>
          <w:szCs w:val="18"/>
          <w:color w:val="auto"/>
        </w:rPr>
        <w:t xml:space="preserve"> Term Loans (e.g., by way of amendment, waiver or otherwise), except for a reduction in connection with (A) a Change of Control, (B) an IPO or (C) any material acquisition, merger or consolidation, material Investment or material Disposition. Any determination by the First Lien Administrative Agent with respect to whether a Repricing Transaction shall have occurred shall be conclusive and binding on all Lenders holding the </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Refinancing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Amendment No. 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Loans.</w:t>
      </w:r>
    </w:p>
    <w:p>
      <w:pPr>
        <w:sectPr>
          <w:pgSz w:w="11900" w:h="16838" w:orient="portrait"/>
          <w:cols w:equalWidth="0" w:num="1">
            <w:col w:w="10040"/>
          </w:cols>
          <w:pgMar w:left="1020" w:top="1336" w:right="839" w:bottom="1440" w:gutter="0" w:footer="0" w:header="0"/>
        </w:sectPr>
      </w:pPr>
    </w:p>
    <w:bookmarkStart w:id="546" w:name="page547"/>
    <w:bookmarkEnd w:id="546"/>
    <w:p>
      <w:pPr>
        <w:spacing w:after="0" w:line="153" w:lineRule="exact"/>
        <w:rPr>
          <w:sz w:val="20"/>
          <w:szCs w:val="20"/>
          <w:color w:val="auto"/>
        </w:rPr>
      </w:pPr>
    </w:p>
    <w:p>
      <w:pPr>
        <w:jc w:val="both"/>
        <w:ind w:right="40" w:firstLine="141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Additional Debt Terms</w:t>
      </w:r>
      <w:r>
        <w:rPr>
          <w:rFonts w:ascii="Times New Roman" w:cs="Times New Roman" w:eastAsia="Times New Roman" w:hAnsi="Times New Roman"/>
          <w:sz w:val="18"/>
          <w:szCs w:val="18"/>
          <w:color w:val="auto"/>
        </w:rPr>
        <w:t>” means with respect to any Indebtedness, (a) such Indebtedness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(d) if secured, such Indebtedness (i) is not secured by any assets other than Collateral and (ii) is subject to the First/Second Lien Intercreditor Agreement and/or a Customary Intercreditor Agreement(s), as applicable and (e) the </w:t>
      </w:r>
      <w:r>
        <w:rPr>
          <w:rFonts w:ascii="Times New Roman" w:cs="Times New Roman" w:eastAsia="Times New Roman" w:hAnsi="Times New Roman"/>
          <w:sz w:val="18"/>
          <w:szCs w:val="18"/>
          <w:u w:val="single" w:color="auto"/>
          <w:color w:val="0000FF"/>
        </w:rPr>
        <w:t>other</w:t>
      </w:r>
      <w:r>
        <w:rPr>
          <w:rFonts w:ascii="Times New Roman" w:cs="Times New Roman" w:eastAsia="Times New Roman" w:hAnsi="Times New Roman"/>
          <w:sz w:val="18"/>
          <w:szCs w:val="18"/>
          <w:color w:val="auto"/>
        </w:rPr>
        <w:t xml:space="preserve"> terms and conditions of such Indebtedness </w:t>
      </w:r>
      <w:r>
        <w:rPr>
          <w:rFonts w:ascii="Times New Roman" w:cs="Times New Roman" w:eastAsia="Times New Roman" w:hAnsi="Times New Roman"/>
          <w:sz w:val="18"/>
          <w:szCs w:val="18"/>
          <w:color w:val="FF0000"/>
          <w:strike w:val="1"/>
        </w:rPr>
        <w:t>(excluding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(x) such terms or conditions are applicable only to periods after the Latest Maturity Date at such time or (y) the Lenders also receive the benefit of such more favorable terms and conditions) (together with, at the election of the Borrower, any applicable “equity cure” provisions with respect to any financial maintenance covenant) (it being understood that, to the extent that any covenant, event of default, guarantee or other provision is added or modified for the benefit of any such Indebtedness, no consent shall be required by the First Lien Administrative Agent or any of the Lenders if such covenant, event of default or guarantee is either (i) also added or modified for the benefit of any corresponding Loans remaining outstanding after the issuance or incurrence of any such Indebtedness in connection therewith,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such time)</w:t>
      </w:r>
      <w:r>
        <w:rPr>
          <w:rFonts w:ascii="Times New Roman" w:cs="Times New Roman" w:eastAsia="Times New Roman" w:hAnsi="Times New Roman"/>
          <w:sz w:val="18"/>
          <w:szCs w:val="18"/>
          <w:u w:val="single" w:color="auto"/>
          <w:color w:val="0000FF"/>
          <w:strike w:val="1"/>
        </w:rPr>
        <w:t>shall be as agreed between the borrower of such Indebtedness and the parties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providing any such Indebtedness</w:t>
      </w:r>
      <w:r>
        <w:rPr>
          <w:rFonts w:ascii="Times New Roman" w:cs="Times New Roman" w:eastAsia="Times New Roman" w:hAnsi="Times New Roman"/>
          <w:sz w:val="18"/>
          <w:szCs w:val="18"/>
          <w:color w:val="000000"/>
          <w:strike w:val="1"/>
        </w:rPr>
        <w:t>; provided that the conditions in clauses (a)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and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(b)</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and (e)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shall not apply to an ABL Facility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that a certificate of a Responsible Officer of the Borrower delivered to the First Lien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w:t>
      </w:r>
      <w:r>
        <w:rPr>
          <w:rFonts w:ascii="Times New Roman" w:cs="Times New Roman" w:eastAsia="Times New Roman" w:hAnsi="Times New Roman"/>
          <w:sz w:val="18"/>
          <w:szCs w:val="18"/>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-759460</wp:posOffset>
            </wp:positionV>
            <wp:extent cx="63652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36524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spacing w:after="0" w:line="22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224"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statutes, laws, treaties, rules, regulations, statutory instruments, orders, decrees, writs, injunctions or determinations of any arbitrator or court or</w:t>
      </w:r>
    </w:p>
    <w:p>
      <w:pPr>
        <w:sectPr>
          <w:pgSz w:w="11900" w:h="16838" w:orient="portrait"/>
          <w:cols w:equalWidth="0" w:num="1">
            <w:col w:w="10060"/>
          </w:cols>
          <w:pgMar w:left="1020" w:top="1440" w:right="819" w:bottom="1440" w:gutter="0" w:footer="0" w:header="0"/>
        </w:sectPr>
      </w:pPr>
    </w:p>
    <w:bookmarkStart w:id="547" w:name="page548"/>
    <w:bookmarkEnd w:id="547"/>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other Governmental Authority, in each case applicable to or binding upon such Person or any of its property or to which such Person or any of its property is subject.</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has the meaning assigned to such term in Section 8.06.</w:t>
      </w:r>
    </w:p>
    <w:p>
      <w:pPr>
        <w:spacing w:after="0" w:line="266" w:lineRule="exact"/>
        <w:rPr>
          <w:sz w:val="20"/>
          <w:szCs w:val="20"/>
          <w:color w:val="auto"/>
        </w:rPr>
      </w:pPr>
    </w:p>
    <w:p>
      <w:pPr>
        <w:jc w:val="both"/>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89" w:lineRule="exact"/>
        <w:rPr>
          <w:sz w:val="20"/>
          <w:szCs w:val="20"/>
          <w:color w:val="auto"/>
        </w:rPr>
      </w:pPr>
    </w:p>
    <w:p>
      <w:pPr>
        <w:jc w:val="both"/>
        <w:ind w:right="40" w:firstLine="129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232"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Prepayment Event</w:t>
      </w:r>
      <w:r>
        <w:rPr>
          <w:rFonts w:ascii="Times New Roman" w:cs="Times New Roman" w:eastAsia="Times New Roman" w:hAnsi="Times New Roman"/>
          <w:sz w:val="18"/>
          <w:szCs w:val="18"/>
          <w:color w:val="auto"/>
        </w:rPr>
        <w:t>” has the meaning assigned to such term in Section 2.11(g).</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Borrower other than an Unrestricted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has the meaning assigned to such term in Section 2.11(e).</w:t>
      </w:r>
    </w:p>
    <w:p>
      <w:pPr>
        <w:spacing w:after="0" w:line="266"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when used in reference to any Loan or Borrowing, means that such Loan, or the Loans comprising such Borrowing, denominated in (a) Sterling, at a rate that bears reference to Adjusted Daily Simple SONIA and (b) Dollars, at a rate that bears reference to Adjusted Daily Simple SOFR.</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Loan denominated in Dollars, a U.S. Government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1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the Daily Simple RFR. “</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means the period from and including the Effective Date to but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the earlier of the Revolving Maturity Date and the date of termination of the Revolving Commitments.</w:t>
      </w:r>
    </w:p>
    <w:p>
      <w:pPr>
        <w:spacing w:after="0" w:line="266" w:lineRule="exact"/>
        <w:rPr>
          <w:sz w:val="20"/>
          <w:szCs w:val="20"/>
          <w:color w:val="auto"/>
        </w:rPr>
      </w:pPr>
    </w:p>
    <w:p>
      <w:pPr>
        <w:ind w:firstLine="137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w:t>
      </w:r>
      <w:r>
        <w:rPr>
          <w:rFonts w:ascii="Times New Roman" w:cs="Times New Roman" w:eastAsia="Times New Roman" w:hAnsi="Times New Roman"/>
          <w:sz w:val="18"/>
          <w:szCs w:val="18"/>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 (b) reduced or increased from time to time pursuant to (i) assignments by or to such Lender pursuant to an Assignment and Assumption, (ii) an Incremental Facility Amendment, (iii) a Refinancing Amendment, (iv) an Incremental Revolving Commitment Increase, (v) without duplication of the foregoing clause (v), the Amendment No. 1</w:t>
      </w:r>
    </w:p>
    <w:p>
      <w:pPr>
        <w:sectPr>
          <w:pgSz w:w="11900" w:h="16838" w:orient="portrait"/>
          <w:cols w:equalWidth="0" w:num="1">
            <w:col w:w="10060"/>
          </w:cols>
          <w:pgMar w:left="1020" w:top="1336" w:right="819" w:bottom="1440" w:gutter="0" w:footer="0" w:header="0"/>
        </w:sectPr>
      </w:pPr>
    </w:p>
    <w:bookmarkStart w:id="548" w:name="page549"/>
    <w:bookmarkEnd w:id="548"/>
    <w:p>
      <w:pPr>
        <w:ind w:right="60"/>
        <w:spacing w:after="0" w:line="253" w:lineRule="auto"/>
        <w:rPr>
          <w:sz w:val="20"/>
          <w:szCs w:val="20"/>
          <w:color w:val="auto"/>
        </w:rPr>
      </w:pPr>
      <w:r>
        <w:rPr>
          <w:rFonts w:ascii="Times New Roman" w:cs="Times New Roman" w:eastAsia="Times New Roman" w:hAnsi="Times New Roman"/>
          <w:sz w:val="18"/>
          <w:szCs w:val="18"/>
          <w:color w:val="auto"/>
        </w:rPr>
        <w:t>Revolving Commitment Increase, (vi) without duplication of the following clause (vii), the Extended Revolving Commitments, (vii) a Loan Modification Agreement or (viii) an Additional/Replacement Revolving Commitment. The initial amount of each Lender’s Revolving Commitment is set forth on Schedule 2.01</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with respect to the Amendment No. 1 Revolving Commitment Increase, Schedule I of Amendment No. 1, with respect to the Amendment No. 2 Revolving Commitment Increase, Schedule I of Amendment No. 2, with respect to the Revolving Commitments on and after the Amendment No. 3 Effective Date (including the Amendment No. 3 Refinancing Revolving Commitments), Schedule I of Amendment No. 3, or, in each case, in the Assignment and Assumption, Loan Modification Agreement or Refinancing Amendment pursuant to which such Lender shall have assumed its Revolving Commitment, as the case may be. As of the Amendment No. 1 Effective Date, the aggregate amount of the Lenders’ Revolving Commitments was $347,500,000, as of the Amendment No. 2 Effective Date, the aggregate amount of the Lenders’ Revolving Commitments is $423,750,000 and as of the Amendment No. 3 Effective Date, the aggregate amount of the Lenders’ Revolving Commitments is $423,750,000.</w:t>
      </w:r>
    </w:p>
    <w:p>
      <w:pPr>
        <w:spacing w:after="0" w:line="235" w:lineRule="exact"/>
        <w:rPr>
          <w:sz w:val="20"/>
          <w:szCs w:val="20"/>
          <w:color w:val="auto"/>
        </w:rPr>
      </w:pPr>
    </w:p>
    <w:p>
      <w:pPr>
        <w:jc w:val="both"/>
        <w:ind w:right="100" w:firstLine="13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with respect to any Revolving Lender at any time, the sum of the outstanding principal amount of such Revolving Lender’s Revolving Loans and its LC Exposure and its Swingline Exposure at such time.</w:t>
      </w:r>
    </w:p>
    <w:p>
      <w:pPr>
        <w:spacing w:after="0" w:line="202"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Facilities Amendment</w:t>
      </w:r>
      <w:r>
        <w:rPr>
          <w:rFonts w:ascii="Times New Roman" w:cs="Times New Roman" w:eastAsia="Times New Roman" w:hAnsi="Times New Roman"/>
          <w:sz w:val="18"/>
          <w:szCs w:val="18"/>
          <w:color w:val="auto"/>
        </w:rPr>
        <w:t>” means the Revolving Facilities Amendment to this Agreement, dated as of March 26, 2021 among the Borrower, the Extending Revolving Lenders party thereto, the Consenting Issuing Banks party thereto, the Administrative Agent and the other parties thereto.</w:t>
      </w:r>
    </w:p>
    <w:p>
      <w:pPr>
        <w:spacing w:after="0" w:line="216" w:lineRule="exact"/>
        <w:rPr>
          <w:sz w:val="20"/>
          <w:szCs w:val="20"/>
          <w:color w:val="auto"/>
        </w:rPr>
      </w:pPr>
    </w:p>
    <w:p>
      <w:pPr>
        <w:ind w:left="640"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Facilities Amendment Effective Date</w:t>
      </w:r>
      <w:r>
        <w:rPr>
          <w:rFonts w:ascii="Times New Roman" w:cs="Times New Roman" w:eastAsia="Times New Roman" w:hAnsi="Times New Roman"/>
          <w:sz w:val="18"/>
          <w:szCs w:val="18"/>
          <w:color w:val="auto"/>
        </w:rPr>
        <w:t>” means the date set forth in the definition of Revolving Facilities Amendment.</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at any time, the aggregate amount of Revolving Commitments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36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Lender with a Revolving Commitment or, if the Revolving Commitments have terminated or expired, a Lender with Revolving Exposure.</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by a Revolving Lender pursuant to clause (b)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w:t>
      </w:r>
    </w:p>
    <w:p>
      <w:pPr>
        <w:spacing w:after="0" w:line="247" w:lineRule="exact"/>
        <w:rPr>
          <w:sz w:val="20"/>
          <w:szCs w:val="20"/>
          <w:color w:val="auto"/>
        </w:rPr>
      </w:pPr>
    </w:p>
    <w:p>
      <w:pPr>
        <w:jc w:val="both"/>
        <w:ind w:right="10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Maturity Date</w:t>
      </w:r>
      <w:r>
        <w:rPr>
          <w:rFonts w:ascii="Times New Roman" w:cs="Times New Roman" w:eastAsia="Times New Roman" w:hAnsi="Times New Roman"/>
          <w:sz w:val="18"/>
          <w:szCs w:val="18"/>
          <w:color w:val="auto"/>
        </w:rPr>
        <w:t xml:space="preserve">” means (i) March 1, 2029 (or if such day is not a Business Day, the immediately preceding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as of the date that is 91 days prior to (x) the Term Maturity Date, any Term Loans with a Term Maturity Date prior to March 1, 2029 remain outstanding, the Revolving Maturity Date shall instead be the date that is 91 days prior to the Term Maturity Date (or if such day is not a Business Day, the immediately preceding Business Day) or (y) the Term Maturity Date (as defined in the Existing Term Loan Credit Agreement), any Term Loans (as defined in the Existing Term Loan Credit Agreement) with a Term Maturity Date (as defined in the Existing Term Loan Credit Agreement) prior to March 1, 2029 remain outstanding, the Revolving Maturity Date shall instead be the date that is 91 days prior to such Term Maturity Date (as defined in the Existing Term Loan Credit Agreement)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 </w:t>
      </w:r>
      <w:r>
        <w:rPr>
          <w:rFonts w:ascii="Times New Roman" w:cs="Times New Roman" w:eastAsia="Times New Roman" w:hAnsi="Times New Roman"/>
          <w:sz w:val="18"/>
          <w:szCs w:val="18"/>
          <w:color w:val="0000FF"/>
        </w:rPr>
        <w:t>As of the Amendment No. 4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Date there are no Term Loans with a Term Maturity Date prior to March 1, 2029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-165735</wp:posOffset>
            </wp:positionV>
            <wp:extent cx="18110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pacing w:after="0" w:line="212" w:lineRule="exact"/>
        <w:rPr>
          <w:sz w:val="20"/>
          <w:szCs w:val="20"/>
          <w:color w:val="auto"/>
        </w:rPr>
      </w:pPr>
    </w:p>
    <w:p>
      <w:pPr>
        <w:jc w:val="both"/>
        <w:ind w:right="1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to its rating agency business.</w:t>
      </w:r>
    </w:p>
    <w:p>
      <w:pPr>
        <w:spacing w:after="0" w:line="202" w:lineRule="exact"/>
        <w:rPr>
          <w:sz w:val="20"/>
          <w:szCs w:val="20"/>
          <w:color w:val="auto"/>
        </w:rPr>
      </w:pPr>
    </w:p>
    <w:p>
      <w:pPr>
        <w:jc w:val="both"/>
        <w:ind w:right="1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sanctions administered or enforced by the United States Government (including without limitation, sanctions enforced by OFAC).</w:t>
      </w:r>
    </w:p>
    <w:p>
      <w:pPr>
        <w:sectPr>
          <w:pgSz w:w="11900" w:h="16838" w:orient="portrait"/>
          <w:cols w:equalWidth="0" w:num="1">
            <w:col w:w="10120"/>
          </w:cols>
          <w:pgMar w:left="1020" w:top="1336" w:right="759" w:bottom="1440" w:gutter="0" w:footer="0" w:header="0"/>
        </w:sectPr>
      </w:pPr>
    </w:p>
    <w:bookmarkStart w:id="549" w:name="page550"/>
    <w:bookmarkEnd w:id="549"/>
    <w:p>
      <w:pPr>
        <w:jc w:val="both"/>
        <w:ind w:right="44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means, at any time, a country or territory which is the target of any comprehensive Sanctions (as of the date of this Agreement, the </w:t>
      </w:r>
      <w:r>
        <w:rPr>
          <w:rFonts w:ascii="Times New Roman" w:cs="Times New Roman" w:eastAsia="Times New Roman" w:hAnsi="Times New Roman"/>
          <w:sz w:val="18"/>
          <w:szCs w:val="18"/>
          <w:u w:val="single" w:color="auto"/>
          <w:color w:val="0000FF"/>
        </w:rPr>
        <w:t>so-called Donetsk People’s Republic, the so-called Luhansk People’s Republic, the</w:t>
      </w:r>
      <w:r>
        <w:rPr>
          <w:rFonts w:ascii="Times New Roman" w:cs="Times New Roman" w:eastAsia="Times New Roman" w:hAnsi="Times New Roman"/>
          <w:sz w:val="18"/>
          <w:szCs w:val="18"/>
          <w:color w:val="auto"/>
        </w:rPr>
        <w:t xml:space="preserve"> Crimea region of Ukraine, Cuba, Iran, North Korea and Syria).</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Santander Letter of Credit Sublimit</w:t>
      </w:r>
      <w:r>
        <w:rPr>
          <w:rFonts w:ascii="Times New Roman" w:cs="Times New Roman" w:eastAsia="Times New Roman" w:hAnsi="Times New Roman"/>
          <w:sz w:val="18"/>
          <w:szCs w:val="18"/>
          <w:color w:val="auto"/>
        </w:rPr>
        <w:t>” means an amount equal to the amount listed on Schedule</w:t>
      </w:r>
    </w:p>
    <w:p>
      <w:pPr>
        <w:spacing w:after="0" w:line="27" w:lineRule="exact"/>
        <w:rPr>
          <w:sz w:val="20"/>
          <w:szCs w:val="20"/>
          <w:color w:val="auto"/>
        </w:rPr>
      </w:pPr>
    </w:p>
    <w:p>
      <w:pPr>
        <w:ind w:right="920"/>
        <w:spacing w:after="0" w:line="260" w:lineRule="auto"/>
        <w:rPr>
          <w:sz w:val="20"/>
          <w:szCs w:val="20"/>
          <w:color w:val="auto"/>
        </w:rPr>
      </w:pPr>
      <w:r>
        <w:rPr>
          <w:rFonts w:ascii="Times New Roman" w:cs="Times New Roman" w:eastAsia="Times New Roman" w:hAnsi="Times New Roman"/>
          <w:sz w:val="18"/>
          <w:szCs w:val="18"/>
          <w:color w:val="auto"/>
        </w:rPr>
        <w:t>2.01 as amended by Amendment No. 3. Letters of Credit issued pursuant to the Santander Letter of Credit Sublimit will be issued by Banco Santander, S.A., New York Branch in its capacity as an “Issuing Bank”.</w:t>
      </w:r>
    </w:p>
    <w:p>
      <w:pPr>
        <w:spacing w:after="0" w:line="2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Debt Documents</w:t>
      </w:r>
      <w:r>
        <w:rPr>
          <w:rFonts w:ascii="Times New Roman" w:cs="Times New Roman" w:eastAsia="Times New Roman" w:hAnsi="Times New Roman"/>
          <w:sz w:val="18"/>
          <w:szCs w:val="18"/>
          <w:color w:val="FF0000"/>
          <w:strike w:val="1"/>
        </w:rPr>
        <w:t>” means the “Notes Documents” as such term is defined in the Second Lien Indenture.</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Debt Document Obligations</w:t>
      </w:r>
      <w:r>
        <w:rPr>
          <w:rFonts w:ascii="Times New Roman" w:cs="Times New Roman" w:eastAsia="Times New Roman" w:hAnsi="Times New Roman"/>
          <w:sz w:val="18"/>
          <w:szCs w:val="18"/>
          <w:color w:val="FF0000"/>
          <w:strike w:val="1"/>
        </w:rPr>
        <w:t>” means the “Notes Obligations” as such term is defined in the Second Lien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Indenture.</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Facilities</w:t>
      </w:r>
      <w:r>
        <w:rPr>
          <w:rFonts w:ascii="Times New Roman" w:cs="Times New Roman" w:eastAsia="Times New Roman" w:hAnsi="Times New Roman"/>
          <w:sz w:val="18"/>
          <w:szCs w:val="18"/>
          <w:color w:val="FF0000"/>
          <w:strike w:val="1"/>
        </w:rPr>
        <w:t>” means the notes under the Second Lien Indenture on the Effective Date.</w:t>
      </w:r>
    </w:p>
    <w:p>
      <w:pPr>
        <w:spacing w:after="0" w:line="266" w:lineRule="exact"/>
        <w:rPr>
          <w:sz w:val="20"/>
          <w:szCs w:val="20"/>
          <w:color w:val="auto"/>
        </w:rPr>
      </w:pPr>
    </w:p>
    <w:p>
      <w:pPr>
        <w:jc w:val="both"/>
        <w:ind w:right="400" w:firstLine="1296"/>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Financing Transactions</w:t>
      </w:r>
      <w:r>
        <w:rPr>
          <w:rFonts w:ascii="Times New Roman" w:cs="Times New Roman" w:eastAsia="Times New Roman" w:hAnsi="Times New Roman"/>
          <w:sz w:val="18"/>
          <w:szCs w:val="18"/>
          <w:color w:val="FF0000"/>
          <w:strike w:val="1"/>
        </w:rPr>
        <w:t>” means (a) the execution, delivery and performance by each Loan Party of the Second Lien Debt Documents to which it is to be a party and (b) the issuance of the Second Lien Notes thereunder and the use of proceeds thereof.</w:t>
      </w:r>
    </w:p>
    <w:p>
      <w:pPr>
        <w:spacing w:after="0" w:line="203" w:lineRule="exact"/>
        <w:rPr>
          <w:sz w:val="20"/>
          <w:szCs w:val="20"/>
          <w:color w:val="auto"/>
        </w:rPr>
      </w:pPr>
    </w:p>
    <w:p>
      <w:pPr>
        <w:ind w:right="880" w:firstLine="1296"/>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Incremental Equivalent Debt</w:t>
      </w:r>
      <w:r>
        <w:rPr>
          <w:rFonts w:ascii="Times New Roman" w:cs="Times New Roman" w:eastAsia="Times New Roman" w:hAnsi="Times New Roman"/>
          <w:sz w:val="18"/>
          <w:szCs w:val="18"/>
          <w:color w:val="FF0000"/>
          <w:strike w:val="1"/>
        </w:rPr>
        <w:t>” means the “Second Lien Incremental Equivalent Debt” as such term is defined in the Second Lien Indenture.</w:t>
      </w:r>
    </w:p>
    <w:p>
      <w:pPr>
        <w:spacing w:after="0" w:line="20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Indenture</w:t>
      </w:r>
      <w:r>
        <w:rPr>
          <w:rFonts w:ascii="Times New Roman" w:cs="Times New Roman" w:eastAsia="Times New Roman" w:hAnsi="Times New Roman"/>
          <w:sz w:val="18"/>
          <w:szCs w:val="18"/>
          <w:color w:val="FF0000"/>
          <w:strike w:val="1"/>
        </w:rPr>
        <w:t>” means the Indenture dated as of the Effective Date, by and among Holdings, the Borrower, each other Loan Party and the Second Lien Trustee.</w:t>
      </w:r>
    </w:p>
    <w:p>
      <w:pPr>
        <w:spacing w:after="0" w:line="3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Notes</w:t>
      </w:r>
      <w:r>
        <w:rPr>
          <w:rFonts w:ascii="Times New Roman" w:cs="Times New Roman" w:eastAsia="Times New Roman" w:hAnsi="Times New Roman"/>
          <w:sz w:val="18"/>
          <w:szCs w:val="18"/>
          <w:color w:val="FF0000"/>
          <w:strike w:val="1"/>
        </w:rPr>
        <w:t>” means the “Notes” as such term is defined in the Second Lien Indenture.</w:t>
      </w:r>
    </w:p>
    <w:p>
      <w:pPr>
        <w:spacing w:after="0" w:line="252" w:lineRule="exact"/>
        <w:rPr>
          <w:sz w:val="20"/>
          <w:szCs w:val="20"/>
          <w:color w:val="auto"/>
        </w:rPr>
      </w:pPr>
    </w:p>
    <w:p>
      <w:pPr>
        <w:jc w:val="both"/>
        <w:ind w:right="440" w:firstLine="1296"/>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Trustee</w:t>
      </w:r>
      <w:r>
        <w:rPr>
          <w:rFonts w:ascii="Times New Roman" w:cs="Times New Roman" w:eastAsia="Times New Roman" w:hAnsi="Times New Roman"/>
          <w:sz w:val="18"/>
          <w:szCs w:val="18"/>
          <w:color w:val="FF0000"/>
          <w:strike w:val="1"/>
        </w:rPr>
        <w:t>” means Wilmington Trust, National Association, in its capacity as trustee under the Second Lien Indenture and the other Second Lien Debt Documents, and its successors in such capacity as provided in the Second Lien Indenture.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Second Lien Security Documents</w:t>
      </w:r>
      <w:r>
        <w:rPr>
          <w:rFonts w:ascii="Times New Roman" w:cs="Times New Roman" w:eastAsia="Times New Roman" w:hAnsi="Times New Roman"/>
          <w:sz w:val="18"/>
          <w:szCs w:val="18"/>
          <w:color w:val="FF0000"/>
          <w:strike w:val="1"/>
        </w:rPr>
        <w:t>” means the “Security Documents” as such term is defined in the Second Lien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Indenture.</w:t>
      </w:r>
    </w:p>
    <w:p>
      <w:pPr>
        <w:spacing w:after="0" w:line="247" w:lineRule="exact"/>
        <w:rPr>
          <w:sz w:val="20"/>
          <w:szCs w:val="20"/>
          <w:color w:val="auto"/>
        </w:rPr>
      </w:pPr>
    </w:p>
    <w:p>
      <w:pPr>
        <w:jc w:val="both"/>
        <w:ind w:right="440" w:firstLine="134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Obligations</w:t>
      </w:r>
      <w:r>
        <w:rPr>
          <w:rFonts w:ascii="Times New Roman" w:cs="Times New Roman" w:eastAsia="Times New Roman" w:hAnsi="Times New Roman"/>
          <w:sz w:val="18"/>
          <w:szCs w:val="18"/>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provided to Holdings, the Borrower or any Subsidiary (whether absolute or contingent and howsoever and whenever created, arising, evidenced or acquired (including all renewals, extensions and modifications thereof and substitutions therefor)) that are (a) 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w:t>
      </w:r>
    </w:p>
    <w:p>
      <w:pPr>
        <w:spacing w:after="0" w:line="229" w:lineRule="exact"/>
        <w:rPr>
          <w:sz w:val="20"/>
          <w:szCs w:val="20"/>
          <w:color w:val="auto"/>
        </w:rPr>
      </w:pPr>
    </w:p>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 the First Lien Loan Document Obligations, (b) the Secured Cash Management Obligations and (c) the Secured Swap Obligations (excluding with respect to any Loan Guarantor, Excluded Swap Obligations of such Loan Guarantor).</w:t>
      </w:r>
    </w:p>
    <w:p>
      <w:pPr>
        <w:sectPr>
          <w:pgSz w:w="11900" w:h="16838" w:orient="portrait"/>
          <w:cols w:equalWidth="0" w:num="1">
            <w:col w:w="10460"/>
          </w:cols>
          <w:pgMar w:left="1020" w:top="1336" w:right="419" w:bottom="1440" w:gutter="0" w:footer="0" w:header="0"/>
        </w:sectPr>
      </w:pPr>
    </w:p>
    <w:bookmarkStart w:id="550" w:name="page551"/>
    <w:bookmarkEnd w:id="550"/>
    <w:p>
      <w:pPr>
        <w:jc w:val="both"/>
        <w:ind w:left="9"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each Lender, (b) each Issuing Bank, (c) the First Lien Administrative Agent, (d) the First Lien Collateral Agent, (e) each Joint Lead Arranger, (f) each Person to whom any Secured Cash 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w:t>
      </w:r>
    </w:p>
    <w:p>
      <w:pPr>
        <w:spacing w:after="0" w:line="224" w:lineRule="exact"/>
        <w:rPr>
          <w:sz w:val="20"/>
          <w:szCs w:val="20"/>
          <w:color w:val="auto"/>
        </w:rPr>
      </w:pPr>
    </w:p>
    <w:p>
      <w:pPr>
        <w:jc w:val="both"/>
        <w:ind w:left="9" w:right="20"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Obligations</w:t>
      </w:r>
      <w:r>
        <w:rPr>
          <w:rFonts w:ascii="Times New Roman" w:cs="Times New Roman" w:eastAsia="Times New Roman" w:hAnsi="Times New Roman"/>
          <w:sz w:val="18"/>
          <w:szCs w:val="18"/>
          <w:color w:val="auto"/>
        </w:rPr>
        <w:t>” means the due and punctual payment and performance of all obligations of the Borrower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spacing w:after="0" w:line="224" w:lineRule="exact"/>
        <w:rPr>
          <w:sz w:val="20"/>
          <w:szCs w:val="20"/>
          <w:color w:val="auto"/>
        </w:rPr>
      </w:pPr>
    </w:p>
    <w:p>
      <w:pPr>
        <w:jc w:val="both"/>
        <w:ind w:left="9"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Assets</w:t>
      </w:r>
      <w:r>
        <w:rPr>
          <w:rFonts w:ascii="Times New Roman" w:cs="Times New Roman" w:eastAsia="Times New Roman" w:hAnsi="Times New Roman"/>
          <w:sz w:val="18"/>
          <w:szCs w:val="18"/>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216" w:lineRule="exact"/>
        <w:rPr>
          <w:sz w:val="20"/>
          <w:szCs w:val="20"/>
          <w:color w:val="auto"/>
        </w:rPr>
      </w:pPr>
    </w:p>
    <w:p>
      <w:pPr>
        <w:jc w:val="both"/>
        <w:ind w:left="9"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w:t>
      </w:r>
    </w:p>
    <w:p>
      <w:pPr>
        <w:spacing w:after="0" w:line="5" w:lineRule="exact"/>
        <w:rPr>
          <w:sz w:val="20"/>
          <w:szCs w:val="20"/>
          <w:color w:val="auto"/>
        </w:rPr>
      </w:pPr>
    </w:p>
    <w:p>
      <w:pPr>
        <w:ind w:left="9" w:right="20" w:hanging="9"/>
        <w:spacing w:after="0" w:line="260" w:lineRule="auto"/>
        <w:tabs>
          <w:tab w:leader="none" w:pos="256"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not a Restricted Subsidiary or (b) a Securitization Subsidiary that in turn sells its accounts receivable to a Person that is not a Restricted Subsidiary.</w:t>
      </w:r>
    </w:p>
    <w:p>
      <w:pPr>
        <w:spacing w:after="0" w:line="222" w:lineRule="exact"/>
        <w:rPr>
          <w:sz w:val="20"/>
          <w:szCs w:val="20"/>
          <w:color w:val="auto"/>
        </w:rPr>
      </w:pPr>
    </w:p>
    <w:p>
      <w:pPr>
        <w:jc w:val="both"/>
        <w:ind w:left="9"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338" w:lineRule="exact"/>
        <w:rPr>
          <w:sz w:val="20"/>
          <w:szCs w:val="20"/>
          <w:color w:val="auto"/>
        </w:rPr>
      </w:pPr>
    </w:p>
    <w:p>
      <w:pPr>
        <w:jc w:val="both"/>
        <w:ind w:left="9" w:right="4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Subsidiary formed for the purpose of, and that solely engages only in one or more Qualified Securitization Facilities and other activities reasonably related thereto.</w:t>
      </w:r>
    </w:p>
    <w:p>
      <w:pPr>
        <w:spacing w:after="0" w:line="202" w:lineRule="exact"/>
        <w:rPr>
          <w:sz w:val="20"/>
          <w:szCs w:val="20"/>
          <w:color w:val="auto"/>
        </w:rPr>
      </w:pPr>
    </w:p>
    <w:p>
      <w:pPr>
        <w:jc w:val="both"/>
        <w:ind w:left="9"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First Lien Collateral Agreement, the Mortgages and each other security agreement or pledge agreement executed and delivered pursuant to the Collateral and Guarantee Requirement or Sections 5.11, 5.12 or 5.14 to secure any of the Secured Obligations.</w:t>
      </w:r>
    </w:p>
    <w:p>
      <w:pPr>
        <w:spacing w:after="0" w:line="216" w:lineRule="exact"/>
        <w:rPr>
          <w:sz w:val="20"/>
          <w:szCs w:val="20"/>
          <w:color w:val="auto"/>
        </w:rPr>
      </w:pPr>
    </w:p>
    <w:p>
      <w:pPr>
        <w:jc w:val="both"/>
        <w:ind w:left="9" w:right="20" w:firstLine="1296"/>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Senior Notes</w:t>
      </w:r>
      <w:r>
        <w:rPr>
          <w:rFonts w:ascii="Times New Roman" w:cs="Times New Roman" w:eastAsia="Times New Roman" w:hAnsi="Times New Roman"/>
          <w:sz w:val="18"/>
          <w:szCs w:val="18"/>
          <w:color w:val="FF0000"/>
          <w:strike w:val="1"/>
        </w:rPr>
        <w:t>” means the $450,000,000 aggregate principal amount of 6.500% Senior Notes due 2023 issued by the Borrower (formerly Sterigenics-Nordion Holdings, LLC) pursuant to the indenture dated as of May 15, 2015 among the Borrower, the guarantors named on the signature pages thereto and Wilmington Trust, National Association, as trustee.</w:t>
      </w:r>
    </w:p>
    <w:p>
      <w:pPr>
        <w:spacing w:after="0" w:line="216" w:lineRule="exact"/>
        <w:rPr>
          <w:sz w:val="20"/>
          <w:szCs w:val="20"/>
          <w:color w:val="auto"/>
        </w:rPr>
      </w:pPr>
    </w:p>
    <w:p>
      <w:pPr>
        <w:jc w:val="both"/>
        <w:ind w:left="9"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xml:space="preserve">” means, with respect to any series of Indebtedness permitted by this Agreement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207" w:lineRule="exact"/>
        <w:rPr>
          <w:sz w:val="20"/>
          <w:szCs w:val="20"/>
          <w:color w:val="auto"/>
        </w:rPr>
      </w:pPr>
    </w:p>
    <w:p>
      <w:pPr>
        <w:jc w:val="both"/>
        <w:ind w:left="9" w:right="20" w:firstLine="13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First Lien Net Leverage Ratio</w:t>
      </w:r>
      <w:r>
        <w:rPr>
          <w:rFonts w:ascii="Times New Roman" w:cs="Times New Roman" w:eastAsia="Times New Roman" w:hAnsi="Times New Roman"/>
          <w:sz w:val="18"/>
          <w:szCs w:val="18"/>
          <w:color w:val="auto"/>
        </w:rPr>
        <w:t>” means, as of any date of determination, the ratio, on a Pro Forma Basis, of (a) Consolidated Senior Secured First Lien Net Indebtedness as of such date to (b) Consolidated EBITDA for the most recently ended Test Period.</w:t>
      </w:r>
    </w:p>
    <w:p>
      <w:pPr>
        <w:sectPr>
          <w:pgSz w:w="11900" w:h="16838" w:orient="portrait"/>
          <w:cols w:equalWidth="0" w:num="1">
            <w:col w:w="10049"/>
          </w:cols>
          <w:pgMar w:left="1011" w:top="1336" w:right="839" w:bottom="1440" w:gutter="0" w:footer="0" w:header="0"/>
        </w:sectPr>
      </w:pPr>
    </w:p>
    <w:bookmarkStart w:id="551" w:name="page552"/>
    <w:bookmarkEnd w:id="551"/>
    <w:p>
      <w:pPr>
        <w:jc w:val="both"/>
        <w:ind w:right="60" w:firstLine="134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Net Leverage Ratio</w:t>
      </w:r>
      <w:r>
        <w:rPr>
          <w:rFonts w:ascii="Times New Roman" w:cs="Times New Roman" w:eastAsia="Times New Roman" w:hAnsi="Times New Roman"/>
          <w:sz w:val="18"/>
          <w:szCs w:val="18"/>
          <w:color w:val="auto"/>
        </w:rPr>
        <w:t>” means, as of any date of determination, the ratio, on a Pro Forma Basis, of (a) Consolidated Senior Secured Indebtedness as of such date to (b) Consolidated EBITDA for the most recently completed Test Period.</w:t>
      </w:r>
    </w:p>
    <w:p>
      <w:pPr>
        <w:spacing w:after="0" w:line="202" w:lineRule="exact"/>
        <w:rPr>
          <w:sz w:val="20"/>
          <w:szCs w:val="20"/>
          <w:color w:val="auto"/>
        </w:rPr>
      </w:pPr>
    </w:p>
    <w:p>
      <w:pPr>
        <w:jc w:val="both"/>
        <w:ind w:right="40"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“Senior Secured Notes” means the $750,000,000 aggregate principal amount of 7.375% Senior Secured Notes due 2031 issued by the Borrower pursuant to the Senior Secured Notes Documents.</w:t>
      </w:r>
    </w:p>
    <w:p>
      <w:pPr>
        <w:spacing w:after="0" w:line="202" w:lineRule="exact"/>
        <w:rPr>
          <w:sz w:val="20"/>
          <w:szCs w:val="20"/>
          <w:color w:val="auto"/>
        </w:rPr>
      </w:pPr>
    </w:p>
    <w:p>
      <w:pPr>
        <w:jc w:val="both"/>
        <w:ind w:right="60"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Senior Secured Notes Documents” means the Senior Secured Notes Indenture and all other agreements, instruments and other documents (including collateral documents with respect thereto) pursuant to which the Senior Secured Notes have been issued.</w:t>
      </w:r>
    </w:p>
    <w:p>
      <w:pPr>
        <w:spacing w:after="0" w:line="189"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“Senior Secured Notes Indenture” means the Indenture, dated as of May 30, 2024, among the Borrower, the subsidiary guarantors party thereto from time to time and Wilmington Trust, National Association, as trustee, governing the Senior Secured Notes, as the same may be amended, supplemented, waived or otherwise modified from time to time.</w:t>
      </w:r>
    </w:p>
    <w:p>
      <w:pPr>
        <w:spacing w:after="0" w:line="216"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216" w:lineRule="exact"/>
        <w:rPr>
          <w:sz w:val="20"/>
          <w:szCs w:val="20"/>
          <w:color w:val="auto"/>
        </w:rPr>
      </w:pPr>
    </w:p>
    <w:p>
      <w:pPr>
        <w:jc w:val="both"/>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5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351" w:lineRule="exact"/>
        <w:rPr>
          <w:sz w:val="20"/>
          <w:szCs w:val="20"/>
          <w:color w:val="auto"/>
        </w:rPr>
      </w:pPr>
    </w:p>
    <w:p>
      <w:pPr>
        <w:jc w:val="both"/>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202"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rate).</w:t>
      </w:r>
    </w:p>
    <w:p>
      <w:pPr>
        <w:spacing w:after="0" w:line="247" w:lineRule="exact"/>
        <w:rPr>
          <w:sz w:val="20"/>
          <w:szCs w:val="20"/>
          <w:color w:val="auto"/>
        </w:rPr>
      </w:pPr>
    </w:p>
    <w:p>
      <w:pPr>
        <w:jc w:val="both"/>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Amendment</w:t>
      </w:r>
      <w:r>
        <w:rPr>
          <w:rFonts w:ascii="Times New Roman" w:cs="Times New Roman" w:eastAsia="Times New Roman" w:hAnsi="Times New Roman"/>
          <w:sz w:val="18"/>
          <w:szCs w:val="18"/>
          <w:color w:val="auto"/>
        </w:rPr>
        <w:t>” means that certain Amendment to this Agreement dated as of June 22, 2023.</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Amendment Effective Date</w:t>
      </w:r>
      <w:r>
        <w:rPr>
          <w:rFonts w:ascii="Times New Roman" w:cs="Times New Roman" w:eastAsia="Times New Roman" w:hAnsi="Times New Roman"/>
          <w:sz w:val="18"/>
          <w:szCs w:val="18"/>
          <w:color w:val="auto"/>
        </w:rPr>
        <w:t>” means “Amendment Effective Date” as defined in the SOFR</w:t>
      </w:r>
    </w:p>
    <w:p>
      <w:pPr>
        <w:sectPr>
          <w:pgSz w:w="11900" w:h="16838" w:orient="portrait"/>
          <w:cols w:equalWidth="0" w:num="1">
            <w:col w:w="10060"/>
          </w:cols>
          <w:pgMar w:left="1020" w:top="1336" w:right="819" w:bottom="1440" w:gutter="0" w:footer="0" w:header="0"/>
        </w:sectPr>
      </w:pPr>
    </w:p>
    <w:bookmarkStart w:id="552" w:name="page553"/>
    <w:bookmarkEnd w:id="552"/>
    <w:p>
      <w:pPr>
        <w:ind w:left="20"/>
        <w:spacing w:after="0"/>
        <w:rPr>
          <w:sz w:val="20"/>
          <w:szCs w:val="20"/>
          <w:color w:val="auto"/>
        </w:rPr>
      </w:pPr>
      <w:r>
        <w:rPr>
          <w:rFonts w:ascii="Times New Roman" w:cs="Times New Roman" w:eastAsia="Times New Roman" w:hAnsi="Times New Roman"/>
          <w:sz w:val="18"/>
          <w:szCs w:val="18"/>
          <w:color w:val="auto"/>
        </w:rPr>
        <w:t>Amendment.</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assigned to such term in the definition of the term “Consolidated EBITDA.”</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 Proration</w:t>
      </w:r>
      <w:r>
        <w:rPr>
          <w:rFonts w:ascii="Times New Roman" w:cs="Times New Roman" w:eastAsia="Times New Roman" w:hAnsi="Times New Roman"/>
          <w:sz w:val="18"/>
          <w:szCs w:val="18"/>
          <w:color w:val="auto"/>
        </w:rPr>
        <w:t>” has the meaning assigned to such term in Section 2.11(a)(ii)(D)(3).</w:t>
      </w:r>
    </w:p>
    <w:p>
      <w:pPr>
        <w:spacing w:after="0" w:line="144" w:lineRule="exact"/>
        <w:rPr>
          <w:sz w:val="20"/>
          <w:szCs w:val="20"/>
          <w:color w:val="auto"/>
        </w:rPr>
      </w:pPr>
    </w:p>
    <w:p>
      <w:pPr>
        <w:ind w:left="20" w:right="25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Amount</w:t>
      </w:r>
      <w:r>
        <w:rPr>
          <w:rFonts w:ascii="Times New Roman" w:cs="Times New Roman" w:eastAsia="Times New Roman" w:hAnsi="Times New Roman"/>
          <w:sz w:val="18"/>
          <w:szCs w:val="18"/>
          <w:color w:val="auto"/>
        </w:rPr>
        <w:t>” has the meaning assigned to such term in Section 2.11(a)(ii)(D)(1).</w:t>
      </w:r>
    </w:p>
    <w:p>
      <w:pPr>
        <w:spacing w:after="0" w:line="202" w:lineRule="exact"/>
        <w:rPr>
          <w:sz w:val="20"/>
          <w:szCs w:val="20"/>
          <w:color w:val="auto"/>
        </w:rPr>
      </w:pPr>
    </w:p>
    <w:p>
      <w:pPr>
        <w:jc w:val="both"/>
        <w:ind w:left="2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Notice</w:t>
      </w:r>
      <w:r>
        <w:rPr>
          <w:rFonts w:ascii="Times New Roman" w:cs="Times New Roman" w:eastAsia="Times New Roman" w:hAnsi="Times New Roman"/>
          <w:sz w:val="18"/>
          <w:szCs w:val="18"/>
          <w:color w:val="auto"/>
        </w:rPr>
        <w:t>” means an irrevocable written notice of a Borrower Solicitation of Discounted Prepayment Offers made pursuant to Section 2.11(a)(ii)(D) substantially in the form of Exhibit K.</w:t>
      </w:r>
    </w:p>
    <w:p>
      <w:pPr>
        <w:spacing w:after="0" w:line="202" w:lineRule="exact"/>
        <w:rPr>
          <w:sz w:val="20"/>
          <w:szCs w:val="20"/>
          <w:color w:val="auto"/>
        </w:rPr>
      </w:pPr>
    </w:p>
    <w:p>
      <w:pPr>
        <w:jc w:val="both"/>
        <w:ind w:left="2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Offer</w:t>
      </w:r>
      <w:r>
        <w:rPr>
          <w:rFonts w:ascii="Times New Roman" w:cs="Times New Roman" w:eastAsia="Times New Roman" w:hAnsi="Times New Roman"/>
          <w:sz w:val="18"/>
          <w:szCs w:val="18"/>
          <w:color w:val="auto"/>
        </w:rPr>
        <w:t>” means the irrevocable written offer by each Term Lender, substantially in the form of Exhibit L, submitted following the First Lien Administrative Agent’s receipt of a Solicited Discounted Prepayment Notice.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Response Date</w:t>
      </w:r>
      <w:r>
        <w:rPr>
          <w:rFonts w:ascii="Times New Roman" w:cs="Times New Roman" w:eastAsia="Times New Roman" w:hAnsi="Times New Roman"/>
          <w:sz w:val="18"/>
          <w:szCs w:val="18"/>
          <w:color w:val="auto"/>
        </w:rPr>
        <w:t>” has the meaning assigned to such term in Section 2.11(a)(ii)(D)(1).</w:t>
      </w:r>
    </w:p>
    <w:p>
      <w:pPr>
        <w:spacing w:after="0" w:line="266" w:lineRule="exact"/>
        <w:rPr>
          <w:sz w:val="20"/>
          <w:szCs w:val="20"/>
          <w:color w:val="auto"/>
        </w:rPr>
      </w:pPr>
    </w:p>
    <w:p>
      <w:pPr>
        <w:jc w:val="both"/>
        <w:ind w:lef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Average).</w:t>
      </w:r>
    </w:p>
    <w:p>
      <w:pPr>
        <w:spacing w:after="0" w:line="234" w:lineRule="exact"/>
        <w:rPr>
          <w:sz w:val="20"/>
          <w:szCs w:val="20"/>
          <w:color w:val="auto"/>
        </w:rPr>
      </w:pPr>
    </w:p>
    <w:p>
      <w:pPr>
        <w:jc w:val="both"/>
        <w:ind w:lef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3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Borrowing</w:t>
      </w:r>
      <w:r>
        <w:rPr>
          <w:rFonts w:ascii="Times New Roman" w:cs="Times New Roman" w:eastAsia="Times New Roman" w:hAnsi="Times New Roman"/>
          <w:sz w:val="18"/>
          <w:szCs w:val="18"/>
          <w:color w:val="auto"/>
        </w:rPr>
        <w:t>” means, for any as to any Borrowing, the SONIA Loans comprising such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Borrowing.</w:t>
      </w:r>
    </w:p>
    <w:p>
      <w:pPr>
        <w:spacing w:after="0" w:line="247" w:lineRule="exact"/>
        <w:rPr>
          <w:sz w:val="20"/>
          <w:szCs w:val="20"/>
          <w:color w:val="auto"/>
        </w:rPr>
      </w:pPr>
    </w:p>
    <w:p>
      <w:pPr>
        <w:jc w:val="both"/>
        <w:ind w:lef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Business Day</w:t>
      </w:r>
      <w:r>
        <w:rPr>
          <w:rFonts w:ascii="Times New Roman" w:cs="Times New Roman" w:eastAsia="Times New Roman" w:hAnsi="Times New Roman"/>
          <w:sz w:val="18"/>
          <w:szCs w:val="18"/>
          <w:color w:val="auto"/>
        </w:rPr>
        <w:t>” means, for any Loan denominated in Sterling, any day except for (i) a Saturday, (ii) a Sunday or (iii) a day on which banks are closed for general business in London.</w:t>
      </w: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Interest Day</w:t>
      </w:r>
      <w:r>
        <w:rPr>
          <w:rFonts w:ascii="Times New Roman" w:cs="Times New Roman" w:eastAsia="Times New Roman" w:hAnsi="Times New Roman"/>
          <w:sz w:val="18"/>
          <w:szCs w:val="18"/>
          <w:color w:val="auto"/>
        </w:rPr>
        <w:t>” has the meaning specified in the definition of “Daily Simple SONIA”.</w:t>
      </w:r>
    </w:p>
    <w:p>
      <w:pPr>
        <w:spacing w:after="0" w:line="144" w:lineRule="exact"/>
        <w:rPr>
          <w:sz w:val="20"/>
          <w:szCs w:val="20"/>
          <w:color w:val="auto"/>
        </w:rPr>
      </w:pPr>
    </w:p>
    <w:p>
      <w:pPr>
        <w:ind w:left="20" w:right="17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Loan</w:t>
      </w:r>
      <w:r>
        <w:rPr>
          <w:rFonts w:ascii="Times New Roman" w:cs="Times New Roman" w:eastAsia="Times New Roman" w:hAnsi="Times New Roman"/>
          <w:sz w:val="18"/>
          <w:szCs w:val="18"/>
          <w:color w:val="auto"/>
        </w:rPr>
        <w:t>” means any Loan denominated in Sterling, which shall bear interest at a rate based on the Adjusted Daily Simple SONIA.</w:t>
      </w:r>
    </w:p>
    <w:p>
      <w:pPr>
        <w:spacing w:after="0" w:line="3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w:t>
      </w:r>
      <w:r>
        <w:rPr>
          <w:rFonts w:ascii="Times New Roman" w:cs="Times New Roman" w:eastAsia="Times New Roman" w:hAnsi="Times New Roman"/>
          <w:sz w:val="18"/>
          <w:szCs w:val="18"/>
          <w:color w:val="auto"/>
        </w:rPr>
        <w:t>” has the meaning assigned to such term in Section 2.11(a)(ii)(B)(1).</w:t>
      </w:r>
    </w:p>
    <w:p>
      <w:pPr>
        <w:spacing w:after="0" w:line="144" w:lineRule="exact"/>
        <w:rPr>
          <w:sz w:val="20"/>
          <w:szCs w:val="20"/>
          <w:color w:val="auto"/>
        </w:rPr>
      </w:pPr>
    </w:p>
    <w:p>
      <w:pPr>
        <w:ind w:right="2660"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Amount</w:t>
      </w:r>
      <w:r>
        <w:rPr>
          <w:rFonts w:ascii="Times New Roman" w:cs="Times New Roman" w:eastAsia="Times New Roman" w:hAnsi="Times New Roman"/>
          <w:sz w:val="18"/>
          <w:szCs w:val="18"/>
          <w:color w:val="auto"/>
        </w:rPr>
        <w:t>” has the meaning assigned to such term in Section 2.11(a)(ii)(B)(1).</w:t>
      </w:r>
    </w:p>
    <w:p>
      <w:pPr>
        <w:spacing w:after="0" w:line="230" w:lineRule="exact"/>
        <w:rPr>
          <w:sz w:val="20"/>
          <w:szCs w:val="20"/>
          <w:color w:val="auto"/>
        </w:rPr>
      </w:pPr>
    </w:p>
    <w:p>
      <w:pPr>
        <w:ind w:left="20" w:righ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Notice</w:t>
      </w:r>
      <w:r>
        <w:rPr>
          <w:rFonts w:ascii="Times New Roman" w:cs="Times New Roman" w:eastAsia="Times New Roman" w:hAnsi="Times New Roman"/>
          <w:sz w:val="18"/>
          <w:szCs w:val="18"/>
          <w:color w:val="auto"/>
        </w:rPr>
        <w:t>” means an irrevocable written notice of the Borrower of Specified Discount Prepayment Amount made pursuant to Section 2.11(a)(ii)(B) substantially in the form of Exhibit G.</w:t>
      </w:r>
    </w:p>
    <w:p>
      <w:pPr>
        <w:sectPr>
          <w:pgSz w:w="11900" w:h="16838" w:orient="portrait"/>
          <w:cols w:equalWidth="0" w:num="1">
            <w:col w:w="10040"/>
          </w:cols>
          <w:pgMar w:left="1000" w:top="1336" w:right="859" w:bottom="1440" w:gutter="0" w:footer="0" w:header="0"/>
        </w:sectPr>
      </w:pPr>
    </w:p>
    <w:bookmarkStart w:id="553" w:name="page554"/>
    <w:bookmarkEnd w:id="553"/>
    <w:p>
      <w:pPr>
        <w:spacing w:after="0" w:line="15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Response</w:t>
      </w:r>
      <w:r>
        <w:rPr>
          <w:rFonts w:ascii="Times New Roman" w:cs="Times New Roman" w:eastAsia="Times New Roman" w:hAnsi="Times New Roman"/>
          <w:sz w:val="18"/>
          <w:szCs w:val="18"/>
          <w:color w:val="auto"/>
        </w:rPr>
        <w:t>” means the irrevocable written response by each Term Lender, substantially in the form of Exhibit H, to a Specified Discount Prepayment Notice.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Response Date</w:t>
      </w:r>
      <w:r>
        <w:rPr>
          <w:rFonts w:ascii="Times New Roman" w:cs="Times New Roman" w:eastAsia="Times New Roman" w:hAnsi="Times New Roman"/>
          <w:sz w:val="18"/>
          <w:szCs w:val="18"/>
          <w:color w:val="auto"/>
        </w:rPr>
        <w:t>” has the meaning assigned to such term in Section 2.11(a)(ii)(B)(1).</w:t>
      </w:r>
    </w:p>
    <w:p>
      <w:pPr>
        <w:spacing w:after="0" w:line="2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Proration</w:t>
      </w:r>
      <w:r>
        <w:rPr>
          <w:rFonts w:ascii="Times New Roman" w:cs="Times New Roman" w:eastAsia="Times New Roman" w:hAnsi="Times New Roman"/>
          <w:sz w:val="18"/>
          <w:szCs w:val="18"/>
          <w:color w:val="auto"/>
        </w:rPr>
        <w:t>” has the meaning assigned to such term in Section 2.11(a)(ii)(B)(3).</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 Event of Default under Section 7.01(a), (b), (h) or (i).</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sale, transfer or other</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w:t>
      </w:r>
    </w:p>
    <w:p>
      <w:pPr>
        <w:spacing w:after="0" w:line="227" w:lineRule="exact"/>
        <w:rPr>
          <w:sz w:val="20"/>
          <w:szCs w:val="20"/>
          <w:color w:val="auto"/>
        </w:rPr>
      </w:pPr>
    </w:p>
    <w:p>
      <w:pPr>
        <w:jc w:val="both"/>
        <w:ind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Warburg Pincus LLC, GTCR LLC and each of their respective Affiliates, but not including, however, any portfolio companies of the foregoing.</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has the meaning assigned to such term in the definition of “Available Amount.”</w:t>
      </w:r>
    </w:p>
    <w:p>
      <w:pPr>
        <w:spacing w:after="0" w:line="25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xml:space="preserve">” means a fraction (expressed as a decimal), the numerator of which is the number one and the denominator of which is the number one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Term Benchmark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spacing w:after="0" w:line="219" w:lineRule="exact"/>
        <w:rPr>
          <w:sz w:val="20"/>
          <w:szCs w:val="20"/>
          <w:color w:val="auto"/>
        </w:rPr>
      </w:pPr>
    </w:p>
    <w:p>
      <w:pPr>
        <w:ind w:right="300" w:firstLine="129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Sterling</w:t>
      </w:r>
      <w:r>
        <w:rPr>
          <w:rFonts w:ascii="Times New Roman" w:cs="Times New Roman" w:eastAsia="Times New Roman" w:hAnsi="Times New Roman"/>
          <w:sz w:val="17"/>
          <w:szCs w:val="17"/>
          <w:color w:val="auto"/>
        </w:rPr>
        <w:t>” and “£” mean the lawful currency for the time being of the United Kingdom. “</w:t>
      </w:r>
      <w:r>
        <w:rPr>
          <w:rFonts w:ascii="Times New Roman" w:cs="Times New Roman" w:eastAsia="Times New Roman" w:hAnsi="Times New Roman"/>
          <w:sz w:val="17"/>
          <w:szCs w:val="17"/>
          <w:u w:val="single" w:color="auto"/>
          <w:color w:val="auto"/>
        </w:rPr>
        <w:t>Submitted Amount</w:t>
      </w:r>
      <w:r>
        <w:rPr>
          <w:rFonts w:ascii="Times New Roman" w:cs="Times New Roman" w:eastAsia="Times New Roman" w:hAnsi="Times New Roman"/>
          <w:sz w:val="17"/>
          <w:szCs w:val="17"/>
          <w:color w:val="auto"/>
        </w:rPr>
        <w:t>” has the meaning assigned to such term in Section 2.11(a)(ii)(C)(1). “</w:t>
      </w:r>
      <w:r>
        <w:rPr>
          <w:rFonts w:ascii="Times New Roman" w:cs="Times New Roman" w:eastAsia="Times New Roman" w:hAnsi="Times New Roman"/>
          <w:sz w:val="17"/>
          <w:szCs w:val="17"/>
          <w:u w:val="single" w:color="auto"/>
          <w:color w:val="auto"/>
        </w:rPr>
        <w:t>Submitted Discount</w:t>
      </w:r>
      <w:r>
        <w:rPr>
          <w:rFonts w:ascii="Times New Roman" w:cs="Times New Roman" w:eastAsia="Times New Roman" w:hAnsi="Times New Roman"/>
          <w:sz w:val="17"/>
          <w:szCs w:val="17"/>
          <w:color w:val="auto"/>
        </w:rPr>
        <w:t>” has the meaning assigned to such term in Section</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2.11(a)(ii)(C)(1).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w:t>
      </w:r>
    </w:p>
    <w:p>
      <w:pPr>
        <w:sectPr>
          <w:pgSz w:w="11900" w:h="16838" w:orient="portrait"/>
          <w:cols w:equalWidth="0" w:num="1">
            <w:col w:w="10020"/>
          </w:cols>
          <w:pgMar w:left="1020" w:top="1440" w:right="859" w:bottom="1440" w:gutter="0" w:footer="0" w:header="0"/>
        </w:sectPr>
      </w:pPr>
    </w:p>
    <w:bookmarkStart w:id="554" w:name="page555"/>
    <w:bookmarkEnd w:id="554"/>
    <w:p>
      <w:pPr>
        <w:ind w:right="160"/>
        <w:spacing w:after="0" w:line="261" w:lineRule="auto"/>
        <w:rPr>
          <w:sz w:val="20"/>
          <w:szCs w:val="20"/>
          <w:color w:val="auto"/>
        </w:rPr>
      </w:pPr>
      <w:r>
        <w:rPr>
          <w:rFonts w:ascii="Times New Roman" w:cs="Times New Roman" w:eastAsia="Times New Roman" w:hAnsi="Times New Roman"/>
          <w:sz w:val="18"/>
          <w:szCs w:val="18"/>
          <w:color w:val="auto"/>
        </w:rPr>
        <w:t>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 (unless otherwise specified).</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means each Subsidiary of the Borrower that is a party to the First Lien Guarantee Agreement.</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has the meaning assigned to such term in Section 6.03(a)(iv).</w:t>
      </w:r>
    </w:p>
    <w:p>
      <w:pPr>
        <w:spacing w:after="0" w:line="25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23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means the commitment of the Swingline Lender to make Swingline Loans up to an aggregate principal amount not to exceed $35,000,000.</w:t>
      </w:r>
    </w:p>
    <w:p>
      <w:pPr>
        <w:spacing w:after="0" w:line="2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(a) the First Lien Administrative Agent, (b) JPMorgan Chase Bank,</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N.A. and (c) each Revolving Lender that shall have become a Swingline Lender hereunder as provided in Section 2.04(d) (other than any Person that shall have ceased to be a Swingline Lender as provided in Section 2.04(e)), each in its capacity as a lender of Swingline Loans hereunder.</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2.04.</w:t>
      </w:r>
    </w:p>
    <w:p>
      <w:pPr>
        <w:spacing w:after="0" w:line="266" w:lineRule="exact"/>
        <w:rPr>
          <w:sz w:val="20"/>
          <w:szCs w:val="20"/>
          <w:color w:val="auto"/>
        </w:rPr>
      </w:pPr>
    </w:p>
    <w:p>
      <w:pPr>
        <w:jc w:val="both"/>
        <w:ind w:right="4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spacing w:after="0" w:line="3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has the meaning assigned to such term in Section 6.07(a)(vii)(A).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has the</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meaning assigned to such term in Section 6.07(a)(vii)(A).</w:t>
      </w:r>
    </w:p>
    <w:p>
      <w:pPr>
        <w:spacing w:after="0" w:line="11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w:t>
      </w:r>
    </w:p>
    <w:p>
      <w:pPr>
        <w:sectPr>
          <w:pgSz w:w="11900" w:h="16838" w:orient="portrait"/>
          <w:cols w:equalWidth="0" w:num="1">
            <w:col w:w="10040"/>
          </w:cols>
          <w:pgMar w:left="1020" w:top="1336" w:right="839" w:bottom="1440" w:gutter="0" w:footer="0" w:header="0"/>
        </w:sectPr>
      </w:pPr>
    </w:p>
    <w:bookmarkStart w:id="555" w:name="page556"/>
    <w:bookmarkEnd w:id="555"/>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Effective Date is set forth on Schedule 2.01 or in the Assignment and Assumption pursuant to which such Lender shall have assumed its Term Commitment, Incremental Facility Amendment, Loan Modification Agreement or Refinancing Amendment, as the case may be. As of the </w:t>
      </w:r>
      <w:r>
        <w:rPr>
          <w:rFonts w:ascii="Times New Roman" w:cs="Times New Roman" w:eastAsia="Times New Roman" w:hAnsi="Times New Roman"/>
          <w:sz w:val="18"/>
          <w:szCs w:val="18"/>
          <w:u w:val="single" w:color="auto"/>
          <w:color w:val="0000FF"/>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 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Effective Date, the total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Commitment 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2,120,000,000.00</w:t>
      </w:r>
      <w:r>
        <w:rPr>
          <w:rFonts w:ascii="Times New Roman" w:cs="Times New Roman" w:eastAsia="Times New Roman" w:hAnsi="Times New Roman"/>
          <w:sz w:val="18"/>
          <w:szCs w:val="18"/>
          <w:u w:val="single" w:color="auto"/>
          <w:color w:val="0000FF"/>
        </w:rPr>
        <w:t>1,509,350,000</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the Adjusted EURIBOR Rate, or the Adjusted Term CORRA Rate and a “Term Benchmark Loan” or “Term Benchmark Borrowing” is a Loan or Borrowing that bears interest at a rate determined by reference to the Adjusted Term SOFR Rate, the Adjusted EURIBOR Rate, or the Adjusted Term CORRA Rate.</w:t>
      </w:r>
    </w:p>
    <w:p>
      <w:pPr>
        <w:spacing w:after="0" w:line="224" w:lineRule="exact"/>
        <w:rPr>
          <w:sz w:val="20"/>
          <w:szCs w:val="20"/>
          <w:color w:val="auto"/>
        </w:rPr>
      </w:pPr>
    </w:p>
    <w:p>
      <w:pPr>
        <w:jc w:val="both"/>
        <w:ind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CORRA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 CORRA Administrator and is displayed on a screen or other information service, as identified or selected by the Administrative Agent (the “</w:t>
      </w:r>
      <w:r>
        <w:rPr>
          <w:rFonts w:ascii="Times New Roman" w:cs="Times New Roman" w:eastAsia="Times New Roman" w:hAnsi="Times New Roman"/>
          <w:sz w:val="18"/>
          <w:szCs w:val="18"/>
          <w:u w:val="single" w:color="auto"/>
          <w:color w:val="auto"/>
        </w:rPr>
        <w:t>CAD Screen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p>
    <w:p>
      <w:pPr>
        <w:spacing w:after="0" w:line="2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 of the Term CORRA Reference Rate selected by the Administrative Agent in its reasonable discretion.</w:t>
      </w:r>
    </w:p>
    <w:p>
      <w:pPr>
        <w:spacing w:after="0" w:line="3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 “</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Lender with a Term Commitment or an outstanding Term Loan.</w:t>
      </w:r>
    </w:p>
    <w:p>
      <w:pPr>
        <w:spacing w:after="0" w:line="104" w:lineRule="exact"/>
        <w:rPr>
          <w:sz w:val="20"/>
          <w:szCs w:val="20"/>
          <w:color w:val="auto"/>
        </w:rPr>
      </w:pPr>
    </w:p>
    <w:p>
      <w:pPr>
        <w:ind w:right="4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means Initial Term Loans, Other First Lien Term Loans </w:t>
      </w:r>
      <w:r>
        <w:rPr>
          <w:rFonts w:ascii="Times New Roman" w:cs="Times New Roman" w:eastAsia="Times New Roman" w:hAnsi="Times New Roman"/>
          <w:sz w:val="18"/>
          <w:szCs w:val="18"/>
          <w:u w:val="single" w:color="auto"/>
          <w:color w:val="0000FF"/>
        </w:rPr>
        <w:t>(including the 2024 Refinancing Term Loans)</w:t>
      </w:r>
      <w:r>
        <w:rPr>
          <w:rFonts w:ascii="Times New Roman" w:cs="Times New Roman" w:eastAsia="Times New Roman" w:hAnsi="Times New Roman"/>
          <w:sz w:val="18"/>
          <w:szCs w:val="18"/>
          <w:color w:val="auto"/>
        </w:rPr>
        <w:t xml:space="preserve"> and First Lien Incremental Term Loans, as the context requires.</w:t>
      </w:r>
    </w:p>
    <w:p>
      <w:pPr>
        <w:spacing w:after="0" w:line="20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Maturity Date</w:t>
      </w:r>
      <w:r>
        <w:rPr>
          <w:rFonts w:ascii="Times New Roman" w:cs="Times New Roman" w:eastAsia="Times New Roman" w:hAnsi="Times New Roman"/>
          <w:sz w:val="18"/>
          <w:szCs w:val="18"/>
          <w:color w:val="auto"/>
        </w:rPr>
        <w:t xml:space="preserve">” means (i) </w:t>
      </w:r>
      <w:r>
        <w:rPr>
          <w:rFonts w:ascii="Times New Roman" w:cs="Times New Roman" w:eastAsia="Times New Roman" w:hAnsi="Times New Roman"/>
          <w:sz w:val="18"/>
          <w:szCs w:val="18"/>
          <w:color w:val="FF0000"/>
          <w:strike w:val="1"/>
        </w:rPr>
        <w:t>December 13</w:t>
      </w:r>
      <w:r>
        <w:rPr>
          <w:rFonts w:ascii="Times New Roman" w:cs="Times New Roman" w:eastAsia="Times New Roman" w:hAnsi="Times New Roman"/>
          <w:sz w:val="18"/>
          <w:szCs w:val="18"/>
          <w:u w:val="single" w:color="auto"/>
          <w:color w:val="0000FF"/>
        </w:rPr>
        <w:t>May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2026</w:t>
      </w:r>
      <w:r>
        <w:rPr>
          <w:rFonts w:ascii="Times New Roman" w:cs="Times New Roman" w:eastAsia="Times New Roman" w:hAnsi="Times New Roman"/>
          <w:sz w:val="18"/>
          <w:szCs w:val="18"/>
          <w:u w:val="single" w:color="auto"/>
          <w:color w:val="0000FF"/>
        </w:rPr>
        <w:t>2031</w:t>
      </w:r>
      <w:r>
        <w:rPr>
          <w:rFonts w:ascii="Times New Roman" w:cs="Times New Roman" w:eastAsia="Times New Roman" w:hAnsi="Times New Roman"/>
          <w:sz w:val="18"/>
          <w:szCs w:val="18"/>
          <w:color w:val="auto"/>
        </w:rPr>
        <w:t xml:space="preserve"> (or, if such day is not a Business Day, the immediately preceding Business Day) or (ii), with respect to any Term Lender that has the maturity date of its Term Loans pursuant to a Permitted Amendment, the extended maturity date set forth in any such Loan Modification Agreement.</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52" w:lineRule="exact"/>
        <w:rPr>
          <w:sz w:val="20"/>
          <w:szCs w:val="20"/>
          <w:color w:val="auto"/>
        </w:rPr>
      </w:pPr>
    </w:p>
    <w:p>
      <w:pPr>
        <w:jc w:val="both"/>
        <w:ind w:right="40"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Rate as so determined would be less than the Floor, such rate shall be deemed to be equal to the Floor for purposes of this Agreement.</w:t>
      </w:r>
    </w:p>
    <w:p>
      <w:pPr>
        <w:sectPr>
          <w:pgSz w:w="11900" w:h="16838" w:orient="portrait"/>
          <w:cols w:equalWidth="0" w:num="1">
            <w:col w:w="10060"/>
          </w:cols>
          <w:pgMar w:left="1020" w:top="1336" w:right="819" w:bottom="1440" w:gutter="0" w:footer="0" w:header="0"/>
        </w:sectPr>
      </w:pPr>
    </w:p>
    <w:bookmarkStart w:id="556" w:name="page557"/>
    <w:bookmarkEnd w:id="556"/>
    <w:p>
      <w:pPr>
        <w:jc w:val="both"/>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and for any tenor comparable to the applicable Interest Period, the rate per annum determined by the First Lien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229" w:lineRule="exact"/>
        <w:rPr>
          <w:sz w:val="20"/>
          <w:szCs w:val="20"/>
          <w:color w:val="auto"/>
        </w:rPr>
      </w:pPr>
    </w:p>
    <w:p>
      <w:pPr>
        <w:jc w:val="both"/>
        <w:ind w:right="4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202"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on which all Commitments have expired or been terminated, all Secured Obligations have been paid in full in cash (other than (x) Secured Swap Obligations not yet due and payable, (y) Secured Cash Management Obligations not yet due and payable and (z) 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spacing w:after="0" w:line="224" w:lineRule="exact"/>
        <w:rPr>
          <w:sz w:val="20"/>
          <w:szCs w:val="20"/>
          <w:color w:val="auto"/>
        </w:rPr>
      </w:pPr>
    </w:p>
    <w:p>
      <w:pPr>
        <w:jc w:val="both"/>
        <w:ind w:right="20"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w:t>
      </w:r>
    </w:p>
    <w:p>
      <w:pPr>
        <w:spacing w:after="0" w:line="3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as of any date of determination, the ratio, on a Pro Forma Basis, of (a) Consolidated Total Net Indebtedness as of such date to (b) Consolidated EBITDA for the most recently ended Test Period.</w:t>
      </w:r>
    </w:p>
    <w:p>
      <w:pPr>
        <w:spacing w:after="0" w:line="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w:t>
      </w:r>
      <w:r>
        <w:rPr>
          <w:rFonts w:ascii="Times New Roman" w:cs="Times New Roman" w:eastAsia="Times New Roman" w:hAnsi="Times New Roman"/>
          <w:sz w:val="18"/>
          <w:szCs w:val="18"/>
          <w:color w:val="auto"/>
        </w:rPr>
        <w:t>” has the meaning assigned to such term in the First Lien Collateral Agreement.</w:t>
      </w:r>
    </w:p>
    <w:p>
      <w:pPr>
        <w:spacing w:after="0" w:line="131" w:lineRule="exact"/>
        <w:rPr>
          <w:sz w:val="20"/>
          <w:szCs w:val="20"/>
          <w:color w:val="auto"/>
        </w:rPr>
      </w:pPr>
    </w:p>
    <w:p>
      <w:pPr>
        <w:ind w:right="2140" w:firstLine="126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fees, costs and expenses incurred or payable by Holdings, the Borrower or any other Subsidiary in connection with the Transactions.</w:t>
      </w:r>
    </w:p>
    <w:p>
      <w:pPr>
        <w:spacing w:after="0" w:line="230" w:lineRule="exact"/>
        <w:rPr>
          <w:sz w:val="20"/>
          <w:szCs w:val="20"/>
          <w:color w:val="auto"/>
        </w:rPr>
      </w:pPr>
    </w:p>
    <w:p>
      <w:pPr>
        <w:ind w:righ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means (a) the First Lien Financing Transactions </w:t>
      </w:r>
      <w:r>
        <w:rPr>
          <w:rFonts w:ascii="Times New Roman" w:cs="Times New Roman" w:eastAsia="Times New Roman" w:hAnsi="Times New Roman"/>
          <w:sz w:val="18"/>
          <w:szCs w:val="18"/>
          <w:color w:val="FF0000"/>
        </w:rPr>
        <w:t>and the Second Lien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Transactions</w:t>
      </w:r>
      <w:r>
        <w:rPr>
          <w:rFonts w:ascii="Times New Roman" w:cs="Times New Roman" w:eastAsia="Times New Roman" w:hAnsi="Times New Roman"/>
          <w:sz w:val="18"/>
          <w:szCs w:val="18"/>
          <w:color w:val="auto"/>
        </w:rPr>
        <w:t xml:space="preserve">, (b) the Refinancing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(c) </w:t>
      </w:r>
      <w:r>
        <w:rPr>
          <w:rFonts w:ascii="Times New Roman" w:cs="Times New Roman" w:eastAsia="Times New Roman" w:hAnsi="Times New Roman"/>
          <w:sz w:val="18"/>
          <w:szCs w:val="18"/>
          <w:u w:val="single" w:color="auto"/>
          <w:color w:val="0000FF"/>
        </w:rPr>
        <w:t>the Amendment No. 4 Transactions and (d)</w:t>
      </w:r>
      <w:r>
        <w:rPr>
          <w:rFonts w:ascii="Times New Roman" w:cs="Times New Roman" w:eastAsia="Times New Roman" w:hAnsi="Times New Roman"/>
          <w:sz w:val="18"/>
          <w:szCs w:val="18"/>
          <w:color w:val="auto"/>
        </w:rPr>
        <w:t xml:space="preserve"> the payment of the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-236855</wp:posOffset>
            </wp:positionV>
            <wp:extent cx="15271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-99695</wp:posOffset>
            </wp:positionV>
            <wp:extent cx="1936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18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Adjusted Term CORRA Rate, Adjusted EURIBOR, Alternate Base Rate, Canadian Base Rate, Adjusted Daily Simple SOFR, or Adjusted Daily Simple SONIA.</w:t>
      </w:r>
    </w:p>
    <w:p>
      <w:pPr>
        <w:spacing w:after="0" w:line="216" w:lineRule="exact"/>
        <w:rPr>
          <w:sz w:val="20"/>
          <w:szCs w:val="20"/>
          <w:color w:val="auto"/>
        </w:rPr>
      </w:pPr>
    </w:p>
    <w:p>
      <w:pPr>
        <w:jc w:val="both"/>
        <w:ind w:right="2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ectPr>
          <w:pgSz w:w="11900" w:h="16838" w:orient="portrait"/>
          <w:cols w:equalWidth="0" w:num="1">
            <w:col w:w="10040"/>
          </w:cols>
          <w:pgMar w:left="1020" w:top="1336" w:right="839" w:bottom="1440" w:gutter="0" w:footer="0" w:header="0"/>
        </w:sectPr>
      </w:pPr>
    </w:p>
    <w:bookmarkStart w:id="557" w:name="page558"/>
    <w:bookmarkEnd w:id="557"/>
    <w:p>
      <w:pPr>
        <w:jc w:val="both"/>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220" w:lineRule="exact"/>
        <w:rPr>
          <w:sz w:val="20"/>
          <w:szCs w:val="20"/>
          <w:color w:val="auto"/>
        </w:rPr>
      </w:pPr>
    </w:p>
    <w:p>
      <w:pPr>
        <w:jc w:val="both"/>
        <w:ind w:right="20" w:firstLine="129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20" w:lineRule="exact"/>
        <w:rPr>
          <w:sz w:val="20"/>
          <w:szCs w:val="20"/>
          <w:color w:val="auto"/>
        </w:rPr>
      </w:pPr>
    </w:p>
    <w:p>
      <w:pPr>
        <w:jc w:val="both"/>
        <w:ind w:right="6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202" w:lineRule="exact"/>
        <w:rPr>
          <w:sz w:val="20"/>
          <w:szCs w:val="20"/>
          <w:color w:val="auto"/>
        </w:rPr>
      </w:pPr>
    </w:p>
    <w:p>
      <w:pPr>
        <w:jc w:val="both"/>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89"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has the meaning assigned to such term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2.17(f)(ii)(C).</w:t>
      </w:r>
    </w:p>
    <w:p>
      <w:pPr>
        <w:spacing w:after="0" w:line="382" w:lineRule="exact"/>
        <w:rPr>
          <w:sz w:val="20"/>
          <w:szCs w:val="20"/>
          <w:color w:val="auto"/>
        </w:rPr>
      </w:pPr>
    </w:p>
    <w:p>
      <w:pPr>
        <w:jc w:val="both"/>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designated by the Borrower as an Unrestricted Subsidiary pursuant to Section 5.13 subsequent to the Effective Date.</w:t>
      </w:r>
    </w:p>
    <w:p>
      <w:pPr>
        <w:spacing w:after="0" w:line="202" w:lineRule="exact"/>
        <w:rPr>
          <w:sz w:val="20"/>
          <w:szCs w:val="20"/>
          <w:color w:val="auto"/>
        </w:rPr>
      </w:pPr>
    </w:p>
    <w:p>
      <w:pPr>
        <w:jc w:val="both"/>
        <w:ind w:right="2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3" w:lineRule="exact"/>
        <w:rPr>
          <w:sz w:val="20"/>
          <w:szCs w:val="20"/>
          <w:color w:val="auto"/>
        </w:rPr>
      </w:pPr>
    </w:p>
    <w:p>
      <w:pPr>
        <w:jc w:val="both"/>
        <w:ind w:right="40" w:firstLine="13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as amended from time to time.</w:t>
      </w:r>
    </w:p>
    <w:p>
      <w:pPr>
        <w:spacing w:after="0" w:line="202"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Restricted Subsidiary that is a Wholly 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4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ectPr>
          <w:pgSz w:w="11900" w:h="16838" w:orient="portrait"/>
          <w:cols w:equalWidth="0" w:num="1">
            <w:col w:w="10060"/>
          </w:cols>
          <w:pgMar w:left="1020" w:top="1336" w:right="819" w:bottom="1440" w:gutter="0" w:footer="0" w:header="0"/>
        </w:sectPr>
      </w:pPr>
    </w:p>
    <w:bookmarkStart w:id="558" w:name="page559"/>
    <w:bookmarkEnd w:id="558"/>
    <w:p>
      <w:pPr>
        <w:jc w:val="both"/>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202"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3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1296"/>
        <w:spacing w:after="0" w:line="256" w:lineRule="auto"/>
        <w:rPr>
          <w:sz w:val="20"/>
          <w:szCs w:val="20"/>
          <w:color w:val="auto"/>
        </w:rPr>
      </w:pPr>
      <w:r>
        <w:rPr>
          <w:rFonts w:ascii="Times New Roman" w:cs="Times New Roman" w:eastAsia="Times New Roman" w:hAnsi="Times New Roman"/>
          <w:sz w:val="18"/>
          <w:szCs w:val="18"/>
          <w:color w:val="auto"/>
        </w:rPr>
        <w:t>For purposes of this Agreement, Loans and Borrowings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RFR Revolving Loan</w:t>
      </w:r>
      <w:r>
        <w:rPr>
          <w:rFonts w:ascii="Times New Roman" w:cs="Times New Roman" w:eastAsia="Times New Roman" w:hAnsi="Times New Roman"/>
          <w:sz w:val="18"/>
          <w:szCs w:val="18"/>
          <w:color w:val="auto"/>
        </w:rPr>
        <w:t>”).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Borrowing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Benchmark Term Loan Borrowing</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Term Benchmark Revolving Borrowing</w:t>
      </w:r>
      <w:r>
        <w:rPr>
          <w:rFonts w:ascii="Times New Roman" w:cs="Times New Roman" w:eastAsia="Times New Roman" w:hAnsi="Times New Roman"/>
          <w:sz w:val="18"/>
          <w:szCs w:val="18"/>
          <w:color w:val="auto"/>
        </w:rPr>
        <w:t>”). Borrowings of Revolving Loans are sometimes referred to herein as “</w:t>
      </w:r>
      <w:r>
        <w:rPr>
          <w:rFonts w:ascii="Times New Roman" w:cs="Times New Roman" w:eastAsia="Times New Roman" w:hAnsi="Times New Roman"/>
          <w:sz w:val="18"/>
          <w:szCs w:val="18"/>
          <w:u w:val="single" w:color="auto"/>
          <w:color w:val="auto"/>
        </w:rPr>
        <w:t>Revolving Borrowings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Terms Generally</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40" w:firstLine="1296"/>
        <w:spacing w:after="0" w:line="252" w:lineRule="auto"/>
        <w:rPr>
          <w:sz w:val="20"/>
          <w:szCs w:val="20"/>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38"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Accounting Terms; GAAP</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firstLine="1287"/>
        <w:spacing w:after="0" w:line="254" w:lineRule="auto"/>
        <w:tabs>
          <w:tab w:leader="none" w:pos="1901"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First Lien Loan Documents (whether or not such operating lease obligations were in effect on such date) notwithstanding the fact that such obligations are required in accordance with the ASU (on a prospective</w:t>
      </w:r>
    </w:p>
    <w:p>
      <w:pPr>
        <w:sectPr>
          <w:pgSz w:w="11900" w:h="16838" w:orient="portrait"/>
          <w:cols w:equalWidth="0" w:num="1">
            <w:col w:w="10060"/>
          </w:cols>
          <w:pgMar w:left="1020" w:top="1336" w:right="819" w:bottom="1440" w:gutter="0" w:footer="0" w:header="0"/>
        </w:sectPr>
      </w:pPr>
    </w:p>
    <w:bookmarkStart w:id="559" w:name="page560"/>
    <w:bookmarkEnd w:id="559"/>
    <w:p>
      <w:pPr>
        <w:spacing w:after="0" w:line="282" w:lineRule="auto"/>
        <w:rPr>
          <w:sz w:val="20"/>
          <w:szCs w:val="20"/>
          <w:color w:val="auto"/>
        </w:rPr>
      </w:pPr>
      <w:r>
        <w:rPr>
          <w:rFonts w:ascii="Times New Roman" w:cs="Times New Roman" w:eastAsia="Times New Roman" w:hAnsi="Times New Roman"/>
          <w:sz w:val="18"/>
          <w:szCs w:val="18"/>
          <w:color w:val="auto"/>
        </w:rPr>
        <w:t>or retroactive basis or otherwise) to be treated as capitalized lease obligations in the financial statements to be delivered pursuant to the First Lien Loan Documents.</w:t>
      </w:r>
    </w:p>
    <w:p>
      <w:pPr>
        <w:spacing w:after="0" w:line="202" w:lineRule="exact"/>
        <w:rPr>
          <w:sz w:val="20"/>
          <w:szCs w:val="20"/>
          <w:color w:val="auto"/>
        </w:rPr>
      </w:pPr>
    </w:p>
    <w:p>
      <w:pPr>
        <w:jc w:val="both"/>
        <w:ind w:firstLine="1287"/>
        <w:spacing w:after="0" w:line="256" w:lineRule="auto"/>
        <w:tabs>
          <w:tab w:leader="none" w:pos="1897"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228"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8"/>
          <w:szCs w:val="18"/>
          <w:u w:val="single" w:color="auto"/>
          <w:color w:val="auto"/>
        </w:rPr>
        <w:t>Effectuation of Transactions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All references herein to Holdings, the Borrower and their respective Subsidiaries shall be deemed to be references to such Persons, 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w:t>
      </w:r>
    </w:p>
    <w:p>
      <w:pPr>
        <w:spacing w:after="0" w:line="22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Limited Condition Transactions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right="20" w:firstLine="1296"/>
        <w:spacing w:after="0" w:line="251" w:lineRule="auto"/>
        <w:rPr>
          <w:sz w:val="20"/>
          <w:szCs w:val="20"/>
          <w:color w:val="auto"/>
        </w:rPr>
      </w:pPr>
      <w:r>
        <w:rPr>
          <w:rFonts w:ascii="Times New Roman" w:cs="Times New Roman" w:eastAsia="Times New Roman" w:hAnsi="Times New Roman"/>
          <w:sz w:val="18"/>
          <w:szCs w:val="18"/>
          <w:color w:val="auto"/>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option 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w:t>
      </w:r>
    </w:p>
    <w:p>
      <w:pPr>
        <w:sectPr>
          <w:pgSz w:w="11900" w:h="16838" w:orient="portrait"/>
          <w:cols w:equalWidth="0" w:num="1">
            <w:col w:w="10040"/>
          </w:cols>
          <w:pgMar w:left="1020" w:top="1336" w:right="839" w:bottom="1440" w:gutter="0" w:footer="0" w:header="0"/>
        </w:sectPr>
      </w:pPr>
    </w:p>
    <w:bookmarkStart w:id="560" w:name="page561"/>
    <w:bookmarkEnd w:id="560"/>
    <w:p>
      <w:pPr>
        <w:spacing w:after="0" w:line="282" w:lineRule="auto"/>
        <w:rPr>
          <w:sz w:val="20"/>
          <w:szCs w:val="20"/>
          <w:color w:val="auto"/>
        </w:rPr>
      </w:pPr>
      <w:r>
        <w:rPr>
          <w:rFonts w:ascii="Times New Roman" w:cs="Times New Roman" w:eastAsia="Times New Roman" w:hAnsi="Times New Roman"/>
          <w:sz w:val="18"/>
          <w:szCs w:val="18"/>
          <w:color w:val="auto"/>
        </w:rPr>
        <w:t>Indebtedness and the use of proceeds thereof) have been consummated until such time as the applicable Limited Condition Transaction has actually closed or the definitive agreement with respect thereto has been terminated or expires.</w:t>
      </w:r>
    </w:p>
    <w:p>
      <w:pPr>
        <w:spacing w:after="0" w:line="216"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8"/>
          <w:szCs w:val="18"/>
          <w:u w:val="single" w:color="auto"/>
          <w:color w:val="auto"/>
        </w:rPr>
        <w:t>Certain Determinations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87"/>
        <w:spacing w:after="0" w:line="252" w:lineRule="auto"/>
        <w:tabs>
          <w:tab w:leader="none" w:pos="1901"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w:t>
      </w:r>
      <w:r>
        <w:rPr>
          <w:rFonts w:ascii="Times New Roman" w:cs="Times New Roman" w:eastAsia="Times New Roman" w:hAnsi="Times New Roman"/>
          <w:sz w:val="18"/>
          <w:szCs w:val="18"/>
          <w:color w:val="FF0000"/>
          <w:strike w:val="1"/>
        </w:rPr>
        <w:t>and the Liens securing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Permitted Second Priority Debt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incurred on the Effective Date), Investment, Indebtedness (other than Indebtedness incurred under the First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Lien Loan Documents and the Permitted Second Priority Debt incurred under the Second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Lien Loan Documents on the Effective Date),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spacing w:after="0" w:line="317" w:lineRule="exact"/>
        <w:rPr>
          <w:rFonts w:ascii="Times New Roman" w:cs="Times New Roman" w:eastAsia="Times New Roman" w:hAnsi="Times New Roman"/>
          <w:sz w:val="18"/>
          <w:szCs w:val="18"/>
          <w:color w:val="auto"/>
        </w:rPr>
      </w:pPr>
    </w:p>
    <w:p>
      <w:pPr>
        <w:jc w:val="both"/>
        <w:ind w:firstLine="1288"/>
        <w:spacing w:after="0" w:line="253" w:lineRule="auto"/>
        <w:tabs>
          <w:tab w:leader="none" w:pos="1897"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spacing w:after="0" w:line="234" w:lineRule="exact"/>
        <w:rPr>
          <w:rFonts w:ascii="Times New Roman" w:cs="Times New Roman" w:eastAsia="Times New Roman" w:hAnsi="Times New Roman"/>
          <w:sz w:val="18"/>
          <w:szCs w:val="18"/>
          <w:color w:val="auto"/>
        </w:rPr>
      </w:pPr>
    </w:p>
    <w:p>
      <w:pPr>
        <w:jc w:val="both"/>
        <w:ind w:firstLine="1288"/>
        <w:spacing w:after="0" w:line="258" w:lineRule="auto"/>
        <w:tabs>
          <w:tab w:leader="none" w:pos="1901"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w:t>
      </w:r>
    </w:p>
    <w:p>
      <w:pPr>
        <w:spacing w:after="0" w:line="224"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88"/>
        <w:spacing w:after="0" w:line="258" w:lineRule="auto"/>
        <w:tabs>
          <w:tab w:leader="none" w:pos="1901"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from time to time request that Revolving Loans be made and/or Letters of Credit be issued in a currency other than Dollars or those specifically listed in the definition of “Alternative Currency.” In the case of any such request with respect to the making of Revolving Loans, such request shall be subject to the approval of the First Lien Administrative Agent and all of the Revolving Lenders. In the case of any such request with respect to the issuance of Letters of Credit, such request shall be subject to the approval of the First Lien Administrative Agent, the applicable Issuing Bank and all of the Revolving Lenders.</w:t>
      </w:r>
    </w:p>
    <w:p>
      <w:pPr>
        <w:sectPr>
          <w:pgSz w:w="11900" w:h="16838" w:orient="portrait"/>
          <w:cols w:equalWidth="0" w:num="1">
            <w:col w:w="10020"/>
          </w:cols>
          <w:pgMar w:left="1020" w:top="1336" w:right="859" w:bottom="1440" w:gutter="0" w:footer="0" w:header="0"/>
        </w:sectPr>
      </w:pPr>
    </w:p>
    <w:bookmarkStart w:id="561" w:name="page562"/>
    <w:bookmarkEnd w:id="561"/>
    <w:p>
      <w:pPr>
        <w:jc w:val="both"/>
        <w:ind w:left="-420" w:right="20" w:firstLine="1288"/>
        <w:spacing w:after="0" w:line="253" w:lineRule="auto"/>
        <w:tabs>
          <w:tab w:leader="none" w:pos="1477"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First Lien Administrative Agent not later than 11:00 a.m. (New York City time), ten (10) 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 of any such request pertaining to Revolving Loans) or each Issuing Bank (in the case of a request pertaining to Letters of Credit) shall notify the First Lien Administrative Agent, not later than 11:00 a.m. (New York City time), two (2) Business Days after its receipt of such request as to whether it consents, in its sole discretion, to the making of Revolving Loans or the issuance of Letters of Credit, as the case may be, in such requested currency.</w:t>
      </w:r>
    </w:p>
    <w:p>
      <w:pPr>
        <w:spacing w:after="0" w:line="234" w:lineRule="exact"/>
        <w:rPr>
          <w:rFonts w:ascii="Times New Roman" w:cs="Times New Roman" w:eastAsia="Times New Roman" w:hAnsi="Times New Roman"/>
          <w:sz w:val="18"/>
          <w:szCs w:val="18"/>
          <w:color w:val="auto"/>
        </w:rPr>
      </w:pPr>
    </w:p>
    <w:p>
      <w:pPr>
        <w:jc w:val="both"/>
        <w:ind w:left="-420" w:right="40" w:firstLine="1288"/>
        <w:spacing w:after="0" w:line="252" w:lineRule="auto"/>
        <w:tabs>
          <w:tab w:leader="none" w:pos="1481"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Revolving Lender or an Issuing Bank, as the case may be, to respond to such request within the time period specified in the last sentence of clause (b) above shall be deemed to be a refusal by such Revolving Lender or such Issuing Bank, as the case may be, to permit Revolving Loans to be made or Letters of Credit to be issued in such requested currency. If the First Lien Administrative Agent and all the Revolving Lenders consent to making Revolving Loans in such requested currency, the First Lien Administrative Agent shall so notify the Borrower and (i) the First Lien Administrative Agent and the Revolving Lenders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Borrowings of Revolving Loans. If the First Lien Administrative Agent and each Issuing Bank consent to the issuance of Letters of Credit in such requested currency, the First Lien Administrative Agent shall so notify the Borrower and (i) the First Lien Administrative Agent and the Issuing Banks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Letter of Credit issuances. If the First Lien Administrative Agent shall fail to obtain consent to any request for an additional currency under this Section 1.08, the First Lien Administrative Agent shall promptly so notify the Borrower.</w:t>
      </w:r>
    </w:p>
    <w:p>
      <w:pPr>
        <w:spacing w:after="0" w:line="3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420" w:right="40" w:firstLine="1287"/>
        <w:spacing w:after="0" w:line="255" w:lineRule="auto"/>
        <w:tabs>
          <w:tab w:leader="none" w:pos="1481"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w:t>
      </w:r>
    </w:p>
    <w:p>
      <w:pPr>
        <w:spacing w:after="0" w:line="229" w:lineRule="exact"/>
        <w:rPr>
          <w:rFonts w:ascii="Times New Roman" w:cs="Times New Roman" w:eastAsia="Times New Roman" w:hAnsi="Times New Roman"/>
          <w:sz w:val="18"/>
          <w:szCs w:val="18"/>
          <w:color w:val="auto"/>
        </w:rPr>
      </w:pPr>
    </w:p>
    <w:p>
      <w:pPr>
        <w:jc w:val="both"/>
        <w:ind w:left="-420" w:firstLine="1287"/>
        <w:spacing w:after="0" w:line="258" w:lineRule="auto"/>
        <w:tabs>
          <w:tab w:leader="none" w:pos="1477"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First Lien Administrative Agent or the applicable Issuing Bank, as the case may be.</w:t>
      </w:r>
    </w:p>
    <w:p>
      <w:pPr>
        <w:spacing w:after="0" w:line="21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1.10</w:t>
      </w:r>
      <w:r>
        <w:rPr>
          <w:sz w:val="20"/>
          <w:szCs w:val="20"/>
          <w:color w:val="auto"/>
        </w:rPr>
        <w:tab/>
      </w:r>
      <w:r>
        <w:rPr>
          <w:rFonts w:ascii="Times New Roman" w:cs="Times New Roman" w:eastAsia="Times New Roman" w:hAnsi="Times New Roman"/>
          <w:sz w:val="18"/>
          <w:szCs w:val="18"/>
          <w:u w:val="single" w:color="auto"/>
          <w:color w:val="auto"/>
        </w:rPr>
        <w:t>Change in Currency</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420" w:right="40" w:firstLine="1287"/>
        <w:spacing w:after="0" w:line="261" w:lineRule="auto"/>
        <w:tabs>
          <w:tab w:leader="none" w:pos="1481"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w:t>
      </w:r>
    </w:p>
    <w:p>
      <w:pPr>
        <w:sectPr>
          <w:pgSz w:w="11900" w:h="16838" w:orient="portrait"/>
          <w:cols w:equalWidth="0" w:num="1">
            <w:col w:w="9640"/>
          </w:cols>
          <w:pgMar w:left="1440" w:top="1336" w:right="819" w:bottom="1440" w:gutter="0" w:footer="0" w:header="0"/>
        </w:sectPr>
      </w:pPr>
    </w:p>
    <w:bookmarkStart w:id="562" w:name="page563"/>
    <w:bookmarkEnd w:id="562"/>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 xml:space="preserve">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Revolving Borrowing in the currency of such member state is outstanding immediately prior to such date, such replacement shall take effect, with respect to such Borrowing, at the end of the then current Interest Period.</w:t>
      </w:r>
    </w:p>
    <w:p>
      <w:pPr>
        <w:spacing w:after="0" w:line="224" w:lineRule="exact"/>
        <w:rPr>
          <w:sz w:val="20"/>
          <w:szCs w:val="20"/>
          <w:color w:val="auto"/>
        </w:rPr>
      </w:pPr>
    </w:p>
    <w:p>
      <w:pPr>
        <w:jc w:val="both"/>
        <w:ind w:right="40" w:firstLine="1288"/>
        <w:spacing w:after="0" w:line="266" w:lineRule="auto"/>
        <w:tabs>
          <w:tab w:leader="none" w:pos="1897"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w:t>
      </w:r>
    </w:p>
    <w:p>
      <w:pPr>
        <w:spacing w:after="0" w:line="216" w:lineRule="exact"/>
        <w:rPr>
          <w:rFonts w:ascii="Times New Roman" w:cs="Times New Roman" w:eastAsia="Times New Roman" w:hAnsi="Times New Roman"/>
          <w:sz w:val="18"/>
          <w:szCs w:val="18"/>
          <w:color w:val="auto"/>
        </w:rPr>
      </w:pPr>
    </w:p>
    <w:p>
      <w:pPr>
        <w:jc w:val="both"/>
        <w:ind w:right="40" w:firstLine="1288"/>
        <w:spacing w:after="0" w:line="266" w:lineRule="auto"/>
        <w:tabs>
          <w:tab w:leader="none" w:pos="1901"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w:t>
      </w:r>
    </w:p>
    <w:p>
      <w:pPr>
        <w:spacing w:after="0" w:line="216"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40" w:firstLine="1296"/>
        <w:spacing w:after="0" w:line="255" w:lineRule="auto"/>
        <w:rPr>
          <w:sz w:val="20"/>
          <w:szCs w:val="20"/>
          <w:color w:val="auto"/>
        </w:rPr>
      </w:pPr>
      <w:r>
        <w:rPr>
          <w:rFonts w:ascii="Times New Roman" w:cs="Times New Roman" w:eastAsia="Times New Roman" w:hAnsi="Times New Roman"/>
          <w:sz w:val="18"/>
          <w:szCs w:val="18"/>
          <w:color w:val="auto"/>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spacing w:after="0" w:line="22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Interest Rate; Benchmark Replacement.</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The interest rate on a Loan denominated in Dollars or a Loan denominated in an Alternative Currency may be derived from an interest rate benchmark that may be discontinued or is, or may in the future become, the subject of regulatory reform. Upon the occurrence of a Benchmark Transition Event, Section 2.14 provides a mechanism for determining an alternative rate of interest. The First Lien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First Lien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Affiliate of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to the extent provided by and attributable to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 xml:space="preserve">ARTICLE II </w:t>
      </w:r>
      <w:r>
        <w:rPr>
          <w:rFonts w:ascii="Times New Roman" w:cs="Times New Roman" w:eastAsia="Times New Roman" w:hAnsi="Times New Roman"/>
          <w:sz w:val="18"/>
          <w:szCs w:val="18"/>
          <w:u w:val="single" w:color="auto"/>
          <w:color w:val="auto"/>
        </w:rPr>
        <w:t>THE CREDITS</w:t>
      </w:r>
    </w:p>
    <w:p>
      <w:pPr>
        <w:sectPr>
          <w:pgSz w:w="11900" w:h="16838" w:orient="portrait"/>
          <w:cols w:equalWidth="0" w:num="1">
            <w:col w:w="10060"/>
          </w:cols>
          <w:pgMar w:left="1020" w:top="1336" w:right="819" w:bottom="1440" w:gutter="0" w:footer="0" w:header="0"/>
        </w:sectPr>
      </w:pPr>
    </w:p>
    <w:bookmarkStart w:id="563" w:name="page564"/>
    <w:bookmarkEnd w:id="563"/>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herein, (a) each </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auto"/>
        </w:rPr>
        <w:t xml:space="preserve"> Term Lender agrees to make </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Refinancing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Loans to the Borrower on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Effective Date denominated in Dollars in a principal amount not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exceeding such </w:t>
      </w:r>
      <w:r>
        <w:rPr>
          <w:rFonts w:ascii="Times New Roman" w:cs="Times New Roman" w:eastAsia="Times New Roman" w:hAnsi="Times New Roman"/>
          <w:sz w:val="18"/>
          <w:szCs w:val="18"/>
          <w:color w:val="FF0000"/>
          <w:strike w:val="1"/>
        </w:rPr>
        <w:t>Term Lender’s</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000000"/>
        </w:rPr>
        <w:t xml:space="preserve"> Term Commitment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Loans may not be reborrowed.</w:t>
      </w:r>
    </w:p>
    <w:p>
      <w:pPr>
        <w:spacing w:after="0" w:line="23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60" w:firstLine="1287"/>
        <w:spacing w:after="0" w:line="256" w:lineRule="auto"/>
        <w:tabs>
          <w:tab w:leader="none" w:pos="1901"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308" w:lineRule="exact"/>
        <w:rPr>
          <w:rFonts w:ascii="Times New Roman" w:cs="Times New Roman" w:eastAsia="Times New Roman" w:hAnsi="Times New Roman"/>
          <w:sz w:val="18"/>
          <w:szCs w:val="18"/>
          <w:color w:val="auto"/>
        </w:rPr>
      </w:pPr>
    </w:p>
    <w:p>
      <w:pPr>
        <w:jc w:val="both"/>
        <w:ind w:firstLine="1288"/>
        <w:spacing w:after="0" w:line="254" w:lineRule="auto"/>
        <w:tabs>
          <w:tab w:leader="none" w:pos="1897"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(i) each Term Borrowing shall be comprised entirely of ABR Loans or Term Benchmark Loans as the Borrower may request in accordance herewith and (ii) each Revolving Borrowing shall be comprised entirely of ABR Loans, Term Benchmark Loans or RFR Loans as the Borrower may request in accordance herewith. Revolving Loans denominated in (i) Dollars may be Term Benchmark Loans, ABR Loans or RFR Loans; (ii) Canadian Dollars may be Term Benchmark Loans or ABR Loans, (iii) any Alternative Currency (other than Canadian Dollars or Sterling) shall be Term Benchmark Loans and (iv) Sterling shall be SONIA Loans.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218" w:lineRule="exact"/>
        <w:rPr>
          <w:rFonts w:ascii="Times New Roman" w:cs="Times New Roman" w:eastAsia="Times New Roman" w:hAnsi="Times New Roman"/>
          <w:sz w:val="18"/>
          <w:szCs w:val="18"/>
          <w:color w:val="auto"/>
        </w:rPr>
      </w:pPr>
    </w:p>
    <w:p>
      <w:pPr>
        <w:jc w:val="both"/>
        <w:ind w:right="60" w:firstLine="1287"/>
        <w:spacing w:after="0" w:line="253" w:lineRule="auto"/>
        <w:tabs>
          <w:tab w:leader="none" w:pos="1901"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Benchmark Borrowing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Term Benchmark Borrowing that results from a continuation of an outstanding Term Benchmark Borrowing may be in an aggregate amount that is equal to such outstanding Borrowing. At the time that each ABR Borrowing or RFR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be more than a total of (i) twelve Term Benchmark Borrowings or RFR Borrowings (other than Borrowings denominated in Sterling) outstanding, and (ii) four SONIA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spacing w:after="0" w:line="23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To request a Borrowing, the Borrower shall notify the First Lien Administrative Agent of such request by telephone (a) in the case of a Term Benchmark Borrowing in Dollars or Canadian Dollars, not later than 2:00 p.m., New York City time, three (3) Business Days before the date of the proposed Borrowing, (b) in the case of an ABR Borrowing, not later than 10:00 a.m., New York City time, on the date of the proposed Borrowing, (c) in the case of a SONIA Borrowing, not later than 2:00 p.m. London, England time, five (5) Business Days before the</w:t>
      </w:r>
    </w:p>
    <w:p>
      <w:pPr>
        <w:sectPr>
          <w:pgSz w:w="11900" w:h="16838" w:orient="portrait"/>
          <w:cols w:equalWidth="0" w:num="1">
            <w:col w:w="10080"/>
          </w:cols>
          <w:pgMar w:left="1020" w:top="1349" w:right="799" w:bottom="1440" w:gutter="0" w:footer="0" w:header="0"/>
        </w:sectPr>
      </w:pPr>
    </w:p>
    <w:bookmarkStart w:id="564" w:name="page565"/>
    <w:bookmarkEnd w:id="564"/>
    <w:p>
      <w:pPr>
        <w:jc w:val="both"/>
        <w:spacing w:after="0" w:line="255" w:lineRule="auto"/>
        <w:rPr>
          <w:sz w:val="20"/>
          <w:szCs w:val="20"/>
          <w:color w:val="auto"/>
        </w:rPr>
      </w:pPr>
      <w:r>
        <w:rPr>
          <w:rFonts w:ascii="Times New Roman" w:cs="Times New Roman" w:eastAsia="Times New Roman" w:hAnsi="Times New Roman"/>
          <w:sz w:val="18"/>
          <w:szCs w:val="18"/>
          <w:color w:val="auto"/>
        </w:rPr>
        <w:t>date of the proposed Borrowing, (d) in the case of an RFR Borrowing (other than a SONIA Borrowing), not later than 11:00 a.m. New York City time, five (5) Business Days before the date of the proposed Borrowing (or such later time as the First Lien Administrative Agent may agree in its sole discretion) or (e) in the case of Term Benchmark Borrowing denominated in Euro, not later than 12:00 p.m., New York City time, three (3) Business Days before the date of the proposed Borrowing. Each such telephonic Borrowing Request shall be irrevocable and shall be confirmed promptly by hand delivery or facsimile to the First Lien Administrative Agent of a written Borrowing Request signed by the Borrower substantially in the form of Exhibit Q. Each such telephonic and written Borrowing Request shall specify the following information:</w:t>
      </w:r>
    </w:p>
    <w:p>
      <w:pPr>
        <w:spacing w:after="0" w:line="229" w:lineRule="exact"/>
        <w:rPr>
          <w:sz w:val="20"/>
          <w:szCs w:val="20"/>
          <w:color w:val="auto"/>
        </w:rPr>
      </w:pPr>
    </w:p>
    <w:p>
      <w:pPr>
        <w:ind w:right="20" w:firstLine="728"/>
        <w:spacing w:after="0" w:line="282" w:lineRule="auto"/>
        <w:tabs>
          <w:tab w:leader="none" w:pos="1257"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requested Borrowing is to be a Revolving Borrowing, a Term Borrowing or a Borrowing of any other Class (specifying the Class thereof);</w:t>
      </w:r>
    </w:p>
    <w:p>
      <w:pPr>
        <w:spacing w:after="0" w:line="202" w:lineRule="exact"/>
        <w:rPr>
          <w:rFonts w:ascii="Times New Roman" w:cs="Times New Roman" w:eastAsia="Times New Roman" w:hAnsi="Times New Roman"/>
          <w:sz w:val="18"/>
          <w:szCs w:val="18"/>
          <w:color w:val="auto"/>
        </w:rPr>
      </w:pPr>
    </w:p>
    <w:p>
      <w:pPr>
        <w:ind w:left="1660" w:hanging="981"/>
        <w:spacing w:after="0"/>
        <w:tabs>
          <w:tab w:leader="none" w:pos="166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Borrowing;</w:t>
      </w:r>
    </w:p>
    <w:p>
      <w:pPr>
        <w:spacing w:after="0" w:line="265" w:lineRule="exact"/>
        <w:rPr>
          <w:rFonts w:ascii="Times New Roman" w:cs="Times New Roman" w:eastAsia="Times New Roman" w:hAnsi="Times New Roman"/>
          <w:sz w:val="18"/>
          <w:szCs w:val="18"/>
          <w:color w:val="auto"/>
        </w:rPr>
      </w:pPr>
    </w:p>
    <w:p>
      <w:pPr>
        <w:ind w:left="1660" w:hanging="1031"/>
        <w:spacing w:after="0"/>
        <w:tabs>
          <w:tab w:leader="none" w:pos="166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52" w:lineRule="exact"/>
        <w:rPr>
          <w:rFonts w:ascii="Times New Roman" w:cs="Times New Roman" w:eastAsia="Times New Roman" w:hAnsi="Times New Roman"/>
          <w:sz w:val="18"/>
          <w:szCs w:val="18"/>
          <w:color w:val="auto"/>
        </w:rPr>
      </w:pPr>
    </w:p>
    <w:p>
      <w:pPr>
        <w:ind w:left="1240" w:hanging="603"/>
        <w:spacing w:after="0"/>
        <w:tabs>
          <w:tab w:leader="none" w:pos="12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Term Benchmark Borrowing or an RFR Borrowing;</w:t>
      </w:r>
    </w:p>
    <w:p>
      <w:pPr>
        <w:spacing w:after="0" w:line="265" w:lineRule="exact"/>
        <w:rPr>
          <w:rFonts w:ascii="Times New Roman" w:cs="Times New Roman" w:eastAsia="Times New Roman" w:hAnsi="Times New Roman"/>
          <w:sz w:val="18"/>
          <w:szCs w:val="18"/>
          <w:color w:val="auto"/>
        </w:rPr>
      </w:pPr>
    </w:p>
    <w:p>
      <w:pPr>
        <w:ind w:right="20" w:firstLine="686"/>
        <w:spacing w:after="0" w:line="282" w:lineRule="auto"/>
        <w:tabs>
          <w:tab w:leader="none" w:pos="1255"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w:t>
      </w:r>
    </w:p>
    <w:p>
      <w:pPr>
        <w:spacing w:after="0" w:line="202" w:lineRule="exact"/>
        <w:rPr>
          <w:rFonts w:ascii="Times New Roman" w:cs="Times New Roman" w:eastAsia="Times New Roman" w:hAnsi="Times New Roman"/>
          <w:sz w:val="18"/>
          <w:szCs w:val="18"/>
          <w:color w:val="auto"/>
        </w:rPr>
      </w:pPr>
    </w:p>
    <w:p>
      <w:pPr>
        <w:jc w:val="both"/>
        <w:ind w:right="20" w:firstLine="637"/>
        <w:spacing w:after="0" w:line="266" w:lineRule="auto"/>
        <w:tabs>
          <w:tab w:leader="none" w:pos="1256"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spacing w:after="0" w:line="216" w:lineRule="exact"/>
        <w:rPr>
          <w:rFonts w:ascii="Times New Roman" w:cs="Times New Roman" w:eastAsia="Times New Roman" w:hAnsi="Times New Roman"/>
          <w:sz w:val="18"/>
          <w:szCs w:val="18"/>
          <w:color w:val="auto"/>
        </w:rPr>
      </w:pPr>
    </w:p>
    <w:p>
      <w:pPr>
        <w:ind w:left="1240" w:hanging="652"/>
        <w:spacing w:after="0"/>
        <w:tabs>
          <w:tab w:leader="none" w:pos="12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of the date of such Borrowing, the conditions set forth in Sections 4.02(a) and 4.02(b) are satisfied; and</w:t>
      </w:r>
    </w:p>
    <w:p>
      <w:pPr>
        <w:spacing w:after="0" w:line="319" w:lineRule="exact"/>
        <w:rPr>
          <w:rFonts w:ascii="Times New Roman" w:cs="Times New Roman" w:eastAsia="Times New Roman" w:hAnsi="Times New Roman"/>
          <w:sz w:val="18"/>
          <w:szCs w:val="18"/>
          <w:color w:val="auto"/>
        </w:rPr>
      </w:pPr>
    </w:p>
    <w:p>
      <w:pPr>
        <w:ind w:left="1240" w:hanging="703"/>
        <w:spacing w:after="0"/>
        <w:tabs>
          <w:tab w:leader="none" w:pos="12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Revolving Borrowing, the currency in which such Borrowing is to be denominated.</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no election as to the Type of Borrowing is specified as to any requested Borrowing in Dollars or Canadian Dollars, then the requested Borrowing shall be an ABR Borrowing. If no Interest Period is specified with respect to any requested Term Benchmark Borrowing, then the Borrower shall be deemed to have selected an Interest Period of one month’s duration. If no currency is specified with respect to any requested Term Benchmark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spacing w:after="0" w:line="22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Swingline Loans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right="20" w:firstLine="1288"/>
        <w:spacing w:after="0" w:line="255" w:lineRule="auto"/>
        <w:tabs>
          <w:tab w:leader="none" w:pos="1901"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ectPr>
          <w:pgSz w:w="11900" w:h="16838" w:orient="portrait"/>
          <w:cols w:equalWidth="0" w:num="1">
            <w:col w:w="10040"/>
          </w:cols>
          <w:pgMar w:left="1020" w:top="1336" w:right="839" w:bottom="1440" w:gutter="0" w:footer="0" w:header="0"/>
        </w:sectPr>
      </w:pPr>
    </w:p>
    <w:bookmarkStart w:id="565" w:name="page566"/>
    <w:bookmarkEnd w:id="565"/>
    <w:p>
      <w:pPr>
        <w:jc w:val="both"/>
        <w:ind w:right="40" w:firstLine="1287"/>
        <w:spacing w:after="0" w:line="252" w:lineRule="auto"/>
        <w:tabs>
          <w:tab w:leader="none" w:pos="1897"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a Swingline Loan, the Borrower shall notify the First Lien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 (y) in the case of any ABR Revolving 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 Swingline Lender shall be under any obligation to make a Swingline Loan if any Lender is at that time a Defaulting Lender, if after giving effect to Section 2.22(a)(iv), any Defaulting Lender Fronting Exposure remains outstanding.</w:t>
      </w:r>
    </w:p>
    <w:p>
      <w:pPr>
        <w:spacing w:after="0" w:line="237" w:lineRule="exact"/>
        <w:rPr>
          <w:rFonts w:ascii="Times New Roman" w:cs="Times New Roman" w:eastAsia="Times New Roman" w:hAnsi="Times New Roman"/>
          <w:sz w:val="18"/>
          <w:szCs w:val="18"/>
          <w:color w:val="auto"/>
        </w:rPr>
      </w:pPr>
    </w:p>
    <w:p>
      <w:pPr>
        <w:jc w:val="both"/>
        <w:ind w:right="20" w:firstLine="1287"/>
        <w:spacing w:after="0" w:line="253" w:lineRule="auto"/>
        <w:tabs>
          <w:tab w:leader="none" w:pos="1901"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may by written notice given to the First Lien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w:t>
      </w:r>
    </w:p>
    <w:p>
      <w:pPr>
        <w:spacing w:after="0" w:line="3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2.06 with respect to Loans made by such Lender (with references to 12:00 noon, New York City time, in such Section being deemed to be references to 3:00 p.m., New York City time) (and Section 2.06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payment obligations of the Revolving Lenders pursuant to this paragraph), and the First Lien Administrative Agent shall promptly remit 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238" w:lineRule="exact"/>
        <w:rPr>
          <w:sz w:val="20"/>
          <w:szCs w:val="20"/>
          <w:color w:val="auto"/>
        </w:rPr>
      </w:pPr>
    </w:p>
    <w:p>
      <w:pPr>
        <w:jc w:val="both"/>
        <w:ind w:firstLine="1287"/>
        <w:spacing w:after="0" w:line="258" w:lineRule="auto"/>
        <w:tabs>
          <w:tab w:leader="none" w:pos="1897"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w:t>
      </w:r>
    </w:p>
    <w:p>
      <w:pPr>
        <w:sectPr>
          <w:pgSz w:w="11900" w:h="16838" w:orient="portrait"/>
          <w:cols w:equalWidth="0" w:num="1">
            <w:col w:w="10060"/>
          </w:cols>
          <w:pgMar w:left="1020" w:top="1336" w:right="819" w:bottom="1440" w:gutter="0" w:footer="0" w:header="0"/>
        </w:sectPr>
      </w:pPr>
    </w:p>
    <w:bookmarkStart w:id="566" w:name="page567"/>
    <w:bookmarkEnd w:id="566"/>
    <w:p>
      <w:pPr>
        <w:jc w:val="both"/>
        <w:spacing w:after="0" w:line="266" w:lineRule="auto"/>
        <w:rPr>
          <w:sz w:val="20"/>
          <w:szCs w:val="20"/>
          <w:color w:val="auto"/>
        </w:rPr>
      </w:pPr>
      <w:r>
        <w:rPr>
          <w:rFonts w:ascii="Times New Roman" w:cs="Times New Roman" w:eastAsia="Times New Roman" w:hAnsi="Times New Roman"/>
          <w:sz w:val="18"/>
          <w:szCs w:val="18"/>
          <w:color w:val="auto"/>
        </w:rPr>
        <w:t>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spacing w:after="0" w:line="216" w:lineRule="exact"/>
        <w:rPr>
          <w:sz w:val="20"/>
          <w:szCs w:val="20"/>
          <w:color w:val="auto"/>
        </w:rPr>
      </w:pPr>
    </w:p>
    <w:p>
      <w:pPr>
        <w:jc w:val="both"/>
        <w:ind w:firstLine="1287"/>
        <w:spacing w:after="0" w:line="255" w:lineRule="auto"/>
        <w:tabs>
          <w:tab w:leader="none" w:pos="1901"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22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40" w:firstLine="1288"/>
        <w:spacing w:after="0" w:line="253" w:lineRule="auto"/>
        <w:tabs>
          <w:tab w:leader="none" w:pos="1901"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w:t>
      </w:r>
    </w:p>
    <w:p>
      <w:pPr>
        <w:spacing w:after="0" w:line="234" w:lineRule="exact"/>
        <w:rPr>
          <w:rFonts w:ascii="Times New Roman" w:cs="Times New Roman" w:eastAsia="Times New Roman" w:hAnsi="Times New Roman"/>
          <w:sz w:val="18"/>
          <w:szCs w:val="18"/>
          <w:color w:val="auto"/>
        </w:rPr>
      </w:pPr>
    </w:p>
    <w:p>
      <w:pPr>
        <w:jc w:val="both"/>
        <w:ind w:right="40" w:firstLine="1287"/>
        <w:spacing w:after="0" w:line="252" w:lineRule="auto"/>
        <w:tabs>
          <w:tab w:leader="none" w:pos="1897"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Amendment, Renewal or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Revolving Commitment, (ii) the aggregate Revolving Exposures shall not exceed the aggregate Revolving Commitments and (iii) (p) the aggregate LC Exposure of Barclays Bank PLC shall not exceed the Barclays Letter of Credit Sublimit, (q) the aggregate LC Exposure of Citibank, N.A. shall not exceed the Citibank Letter of Credit Sublimit, (r) the aggregate LC Exposure of Citizens Bank, N.A. shall not exceed the Citizens Letter of Credit Sublimit, (s) the aggregate LC Exposure of Banco Santander, S.A., New York Branch shall not exceed the Santander Letter of Credit Sublimit, (t) the aggregate LC Exposure of Goldman Sachs Bank USA shall not exceed the Goldman Sachs Letter of Credit Sublimit, (u) the aggregate LC Exposure of Jefferies Finance</w:t>
      </w:r>
    </w:p>
    <w:p>
      <w:pPr>
        <w:sectPr>
          <w:pgSz w:w="11900" w:h="16838" w:orient="portrait"/>
          <w:cols w:equalWidth="0" w:num="1">
            <w:col w:w="10060"/>
          </w:cols>
          <w:pgMar w:left="1020" w:top="1336" w:right="819" w:bottom="1440" w:gutter="0" w:footer="0" w:header="0"/>
        </w:sectPr>
      </w:pPr>
    </w:p>
    <w:bookmarkStart w:id="567" w:name="page568"/>
    <w:bookmarkEnd w:id="567"/>
    <w:p>
      <w:pPr>
        <w:jc w:val="both"/>
        <w:ind w:right="40"/>
        <w:spacing w:after="0" w:line="251" w:lineRule="auto"/>
        <w:rPr>
          <w:sz w:val="20"/>
          <w:szCs w:val="20"/>
          <w:color w:val="auto"/>
        </w:rPr>
      </w:pPr>
      <w:r>
        <w:rPr>
          <w:rFonts w:ascii="Times New Roman" w:cs="Times New Roman" w:eastAsia="Times New Roman" w:hAnsi="Times New Roman"/>
          <w:sz w:val="18"/>
          <w:szCs w:val="18"/>
          <w:color w:val="auto"/>
        </w:rPr>
        <w:t>LLC shall not exceed the Jefferies Letter of Credit Sublimit, (v) the aggregate LC Exposure of JPMorgan Chase Bank, N.A. shall not exceed the JPM Letter of Credit Sublimit, (w) the aggregate LC Exposure of KeyBank National Association shall not exceed the Keybank Letter of Credit Sublimit, (x) the aggregate LC Exposure of Royal Bank of Canada shall not exceed the RBC Letter of Credit Sublimit, (y) the aggregate LC Exposure of BNP Paribas shall not exceed the BNP Paribas Letter of Credit Sublimit and (z) the aggregate LC 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w:t>
      </w:r>
    </w:p>
    <w:p>
      <w:pPr>
        <w:spacing w:after="0" w:line="37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w:t>
      </w:r>
    </w:p>
    <w:p>
      <w:pPr>
        <w:spacing w:after="0" w:line="224" w:lineRule="exact"/>
        <w:rPr>
          <w:sz w:val="20"/>
          <w:szCs w:val="20"/>
          <w:color w:val="auto"/>
        </w:rPr>
      </w:pPr>
    </w:p>
    <w:p>
      <w:pPr>
        <w:jc w:val="both"/>
        <w:ind w:right="40" w:firstLine="1288"/>
        <w:spacing w:after="0" w:line="266" w:lineRule="auto"/>
        <w:tabs>
          <w:tab w:leader="none" w:pos="1901"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Issuing Bank agrees that it shall not permit any issuance, amendment, renewal or extension of a Letter of Credit to occur unless it shall have given to the First Lien Administrative Agent written notice thereof required under paragraph (m)(iii) of this Section 2.05.</w:t>
      </w:r>
    </w:p>
    <w:p>
      <w:pPr>
        <w:spacing w:after="0" w:line="216" w:lineRule="exact"/>
        <w:rPr>
          <w:rFonts w:ascii="Times New Roman" w:cs="Times New Roman" w:eastAsia="Times New Roman" w:hAnsi="Times New Roman"/>
          <w:sz w:val="18"/>
          <w:szCs w:val="18"/>
          <w:color w:val="auto"/>
        </w:rPr>
      </w:pPr>
    </w:p>
    <w:p>
      <w:pPr>
        <w:jc w:val="both"/>
        <w:ind w:firstLine="1287"/>
        <w:spacing w:after="0" w:line="254" w:lineRule="auto"/>
        <w:tabs>
          <w:tab w:leader="none" w:pos="1897"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expiry date is not a Business Day, such Letter of Credit shall expire at or prior to the close of business on the next succeeding Business Day;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Letter of Credit may, upon the request of the Borrower, include a provision whereby such Letter of Credit shall be renewed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w:t>
      </w:r>
    </w:p>
    <w:p>
      <w:pPr>
        <w:sectPr>
          <w:pgSz w:w="11900" w:h="16838" w:orient="portrait"/>
          <w:cols w:equalWidth="0" w:num="1">
            <w:col w:w="10060"/>
          </w:cols>
          <w:pgMar w:left="1020" w:top="1336" w:right="819" w:bottom="1440" w:gutter="0" w:footer="0" w:header="0"/>
        </w:sectPr>
      </w:pPr>
    </w:p>
    <w:bookmarkStart w:id="568" w:name="page569"/>
    <w:bookmarkEnd w:id="568"/>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Letter of Credit or, if no such time period is specified, at least thirty (30) days prior to the then-applicable expiration date, that such Letter of Credit will not be renewed or extended;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Letter of Credit shall not be required to expire on such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237" w:lineRule="exact"/>
        <w:rPr>
          <w:sz w:val="20"/>
          <w:szCs w:val="20"/>
          <w:color w:val="auto"/>
        </w:rPr>
      </w:pPr>
    </w:p>
    <w:p>
      <w:pPr>
        <w:jc w:val="both"/>
        <w:ind w:firstLine="1288"/>
        <w:spacing w:after="0" w:line="253" w:lineRule="auto"/>
        <w:tabs>
          <w:tab w:leader="none" w:pos="1901"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 in Letters of Credit</w:t>
      </w:r>
      <w:r>
        <w:rPr>
          <w:rFonts w:ascii="Times New Roman" w:cs="Times New Roman" w:eastAsia="Times New Roman" w:hAnsi="Times New Roman"/>
          <w:sz w:val="18"/>
          <w:szCs w:val="18"/>
          <w:color w:val="auto"/>
        </w:rPr>
        <w: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spacing w:after="0" w:line="308" w:lineRule="exact"/>
        <w:rPr>
          <w:rFonts w:ascii="Times New Roman" w:cs="Times New Roman" w:eastAsia="Times New Roman" w:hAnsi="Times New Roman"/>
          <w:sz w:val="18"/>
          <w:szCs w:val="18"/>
          <w:color w:val="auto"/>
        </w:rPr>
      </w:pPr>
    </w:p>
    <w:p>
      <w:pPr>
        <w:jc w:val="both"/>
        <w:ind w:right="40" w:firstLine="1287"/>
        <w:spacing w:after="0" w:line="267" w:lineRule="auto"/>
        <w:tabs>
          <w:tab w:leader="none" w:pos="1908" w:val="left"/>
        </w:tabs>
        <w:numPr>
          <w:ilvl w:val="0"/>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 of LC Disbursements</w:t>
      </w:r>
      <w:r>
        <w:rPr>
          <w:rFonts w:ascii="Times New Roman" w:cs="Times New Roman" w:eastAsia="Times New Roman" w:hAnsi="Times New Roman"/>
          <w:sz w:val="17"/>
          <w:szCs w:val="17"/>
          <w:color w:val="auto"/>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Times New Roman" w:cs="Times New Roman" w:eastAsia="Times New Roman" w:hAnsi="Times New Roman"/>
          <w:sz w:val="17"/>
          <w:szCs w:val="17"/>
          <w:u w:val="single" w:color="auto"/>
          <w:color w:val="auto"/>
        </w:rPr>
        <w:t>LC Reimbursement Date</w:t>
      </w:r>
      <w:r>
        <w:rPr>
          <w:rFonts w:ascii="Times New Roman" w:cs="Times New Roman" w:eastAsia="Times New Roman" w:hAnsi="Times New Roman"/>
          <w:sz w:val="17"/>
          <w:szCs w:val="17"/>
          <w:color w:val="auto"/>
        </w:rPr>
        <w:t xml:space="preserve">”),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First Lien Administrative Agent to reimburse the applicable Issuing Bank for the amount of such LC Disbursement (together with any accrued interest or fees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for any reason proceeds of Revolving Loans are not received by the applicable Issuing Bank on the 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spacing w:after="0" w:line="295" w:lineRule="exact"/>
        <w:rPr>
          <w:rFonts w:ascii="Times New Roman" w:cs="Times New Roman" w:eastAsia="Times New Roman" w:hAnsi="Times New Roman"/>
          <w:sz w:val="17"/>
          <w:szCs w:val="17"/>
          <w:color w:val="auto"/>
        </w:rPr>
      </w:pPr>
    </w:p>
    <w:p>
      <w:pPr>
        <w:jc w:val="both"/>
        <w:ind w:right="40" w:firstLine="1287"/>
        <w:spacing w:after="0" w:line="266" w:lineRule="auto"/>
        <w:tabs>
          <w:tab w:leader="none" w:pos="1896"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w:t>
      </w:r>
    </w:p>
    <w:p>
      <w:pPr>
        <w:sectPr>
          <w:pgSz w:w="11900" w:h="16838" w:orient="portrait"/>
          <w:cols w:equalWidth="0" w:num="1">
            <w:col w:w="10060"/>
          </w:cols>
          <w:pgMar w:left="1020" w:top="1336" w:right="819" w:bottom="1440" w:gutter="0" w:footer="0" w:header="0"/>
        </w:sectPr>
      </w:pPr>
    </w:p>
    <w:bookmarkStart w:id="569" w:name="page570"/>
    <w:bookmarkEnd w:id="569"/>
    <w:p>
      <w:pPr>
        <w:jc w:val="both"/>
        <w:spacing w:after="0" w:line="251" w:lineRule="auto"/>
        <w:rPr>
          <w:sz w:val="20"/>
          <w:szCs w:val="20"/>
          <w:color w:val="auto"/>
        </w:rPr>
      </w:pPr>
      <w:r>
        <w:rPr>
          <w:rFonts w:ascii="Times New Roman" w:cs="Times New Roman" w:eastAsia="Times New Roman" w:hAnsi="Times New Roman"/>
          <w:sz w:val="18"/>
          <w:szCs w:val="18"/>
          <w:color w:val="auto"/>
        </w:rPr>
        <w:t>of (i) any lack of validity or enforceability of any Letter of Credit, this Agreement or any other First Lien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Lien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ectPr>
          <w:pgSz w:w="11900" w:h="16838" w:orient="portrait"/>
          <w:cols w:equalWidth="0" w:num="1">
            <w:col w:w="10020"/>
          </w:cols>
          <w:pgMar w:left="1020" w:top="1417" w:right="859" w:bottom="1440" w:gutter="0" w:footer="0" w:header="0"/>
        </w:sectPr>
      </w:pPr>
    </w:p>
    <w:bookmarkStart w:id="570" w:name="page571"/>
    <w:bookmarkEnd w:id="570"/>
    <w:p>
      <w:pPr>
        <w:jc w:val="both"/>
        <w:ind w:left="-420" w:right="40" w:firstLine="1288"/>
        <w:spacing w:after="0" w:line="256" w:lineRule="auto"/>
        <w:tabs>
          <w:tab w:leader="none" w:pos="1477"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promptly following its receipt thereof, examine all documents purporting to represent a demand for payment under such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obligations to reimburse such Issuing Bank and the Revolving Lenders with respect to any such LC Disbursement in accordance with paragraph (f) of this Section 2.05.</w:t>
      </w:r>
    </w:p>
    <w:p>
      <w:pPr>
        <w:spacing w:after="0" w:line="227" w:lineRule="exact"/>
        <w:rPr>
          <w:rFonts w:ascii="Times New Roman" w:cs="Times New Roman" w:eastAsia="Times New Roman" w:hAnsi="Times New Roman"/>
          <w:sz w:val="18"/>
          <w:szCs w:val="18"/>
          <w:color w:val="auto"/>
        </w:rPr>
      </w:pPr>
    </w:p>
    <w:p>
      <w:pPr>
        <w:jc w:val="both"/>
        <w:ind w:left="-420" w:right="20" w:firstLine="1288"/>
        <w:spacing w:after="0" w:line="253" w:lineRule="auto"/>
        <w:tabs>
          <w:tab w:leader="none" w:pos="1478"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(f) of this Section 2.05, then Section 2.13(c) shall apply. Interest 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302" w:lineRule="exact"/>
        <w:rPr>
          <w:rFonts w:ascii="Times New Roman" w:cs="Times New Roman" w:eastAsia="Times New Roman" w:hAnsi="Times New Roman"/>
          <w:sz w:val="18"/>
          <w:szCs w:val="18"/>
          <w:color w:val="auto"/>
        </w:rPr>
      </w:pPr>
    </w:p>
    <w:p>
      <w:pPr>
        <w:jc w:val="both"/>
        <w:ind w:left="-420" w:firstLine="1287"/>
        <w:spacing w:after="0" w:line="251" w:lineRule="auto"/>
        <w:tabs>
          <w:tab w:leader="none" w:pos="1478"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 of Letters of Credit</w:t>
      </w:r>
      <w:r>
        <w:rPr>
          <w:rFonts w:ascii="Times New Roman" w:cs="Times New Roman" w:eastAsia="Times New Roman" w:hAnsi="Times New Roman"/>
          <w:sz w:val="18"/>
          <w:szCs w:val="18"/>
          <w:color w:val="auto"/>
        </w:rPr>
        <w:t>.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The Borrower also shall deposit cash collateral pursuant to this paragraph as and to the extent required by Section 2.11(c).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 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w:t>
      </w:r>
    </w:p>
    <w:p>
      <w:pPr>
        <w:sectPr>
          <w:pgSz w:w="11900" w:h="16838" w:orient="portrait"/>
          <w:cols w:equalWidth="0" w:num="1">
            <w:col w:w="9640"/>
          </w:cols>
          <w:pgMar w:left="1440" w:top="1336" w:right="819" w:bottom="1440" w:gutter="0" w:footer="0" w:header="0"/>
        </w:sectPr>
      </w:pPr>
    </w:p>
    <w:bookmarkStart w:id="571" w:name="page572"/>
    <w:bookmarkEnd w:id="571"/>
    <w:p>
      <w:pPr>
        <w:jc w:val="both"/>
        <w:ind w:left="9" w:right="20"/>
        <w:spacing w:after="0" w:line="256" w:lineRule="auto"/>
        <w:rPr>
          <w:sz w:val="20"/>
          <w:szCs w:val="20"/>
          <w:color w:val="auto"/>
        </w:rPr>
      </w:pPr>
      <w:r>
        <w:rPr>
          <w:rFonts w:ascii="Times New Roman" w:cs="Times New Roman" w:eastAsia="Times New Roman" w:hAnsi="Times New Roman"/>
          <w:sz w:val="18"/>
          <w:szCs w:val="18"/>
          <w:color w:val="auto"/>
        </w:rPr>
        <w:t>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2.11(c), such amount (to the extent not applied as aforesaid) shall be returned to the Borrower as and to the extent that, after giving effect to such return, the Borrower would remain in compliance with Section 2.11(c) and no Event of Default shall have occurred and be continuing.</w:t>
      </w:r>
    </w:p>
    <w:p>
      <w:pPr>
        <w:spacing w:after="0" w:line="228" w:lineRule="exact"/>
        <w:rPr>
          <w:sz w:val="20"/>
          <w:szCs w:val="20"/>
          <w:color w:val="auto"/>
        </w:rPr>
      </w:pPr>
    </w:p>
    <w:p>
      <w:pPr>
        <w:jc w:val="both"/>
        <w:ind w:left="9" w:right="40" w:firstLine="1287"/>
        <w:spacing w:after="0" w:line="255" w:lineRule="auto"/>
        <w:tabs>
          <w:tab w:leader="none" w:pos="1906"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Additional Issuing Banks</w:t>
      </w:r>
      <w:r>
        <w:rPr>
          <w:rFonts w:ascii="Times New Roman" w:cs="Times New Roman" w:eastAsia="Times New Roman" w:hAnsi="Times New Roman"/>
          <w:sz w:val="18"/>
          <w:szCs w:val="18"/>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229" w:lineRule="exact"/>
        <w:rPr>
          <w:rFonts w:ascii="Times New Roman" w:cs="Times New Roman" w:eastAsia="Times New Roman" w:hAnsi="Times New Roman"/>
          <w:sz w:val="18"/>
          <w:szCs w:val="18"/>
          <w:color w:val="auto"/>
        </w:rPr>
      </w:pPr>
    </w:p>
    <w:p>
      <w:pPr>
        <w:jc w:val="both"/>
        <w:ind w:left="9" w:firstLine="1286"/>
        <w:spacing w:after="0" w:line="254" w:lineRule="auto"/>
        <w:tabs>
          <w:tab w:leader="none" w:pos="1906"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or Termination of an Issuing Bank</w:t>
      </w:r>
      <w:r>
        <w:rPr>
          <w:rFonts w:ascii="Times New Roman" w:cs="Times New Roman" w:eastAsia="Times New Roman" w:hAnsi="Times New Roman"/>
          <w:sz w:val="18"/>
          <w:szCs w:val="18"/>
          <w:color w:val="auto"/>
        </w:rPr>
        <w:t>.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 (i) such Issuing Bank’s acknowledging receipt of such notice and</w:t>
      </w:r>
    </w:p>
    <w:p>
      <w:pPr>
        <w:spacing w:after="0" w:line="3"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289"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Business Day following the date of the delivery thereof; provided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w:t>
      </w:r>
    </w:p>
    <w:p>
      <w:pPr>
        <w:spacing w:after="0" w:line="301" w:lineRule="exact"/>
        <w:rPr>
          <w:rFonts w:ascii="Times New Roman" w:cs="Times New Roman" w:eastAsia="Times New Roman" w:hAnsi="Times New Roman"/>
          <w:sz w:val="18"/>
          <w:szCs w:val="18"/>
          <w:color w:val="auto"/>
        </w:rPr>
      </w:pPr>
    </w:p>
    <w:p>
      <w:pPr>
        <w:jc w:val="both"/>
        <w:ind w:left="9" w:right="20" w:firstLine="1287"/>
        <w:spacing w:after="0" w:line="253" w:lineRule="auto"/>
        <w:tabs>
          <w:tab w:leader="none" w:pos="1916"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First Lien Administrative Agent</w:t>
      </w:r>
      <w:r>
        <w:rPr>
          <w:rFonts w:ascii="Times New Roman" w:cs="Times New Roman" w:eastAsia="Times New Roman" w:hAnsi="Times New Roman"/>
          <w:sz w:val="18"/>
          <w:szCs w:val="18"/>
          <w:color w:val="auto"/>
        </w:rPr>
        <w:t xml:space="preserve">. Unless otherwise agreed by the First Lien Administrative Agent, each Issuing Bank shall, in addition to its notification obligations set forth elsewhere in this Section 2.05, report in writing to the First Lien Administrative Agent (i) periodic activity (for such period or recurrent periods as shall be requested by the First Lien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have any liability hereunder to any Person for any failure to deliver the reports contemplated by this paragraph (m) of Section 2.05.</w:t>
      </w:r>
    </w:p>
    <w:p>
      <w:pPr>
        <w:sectPr>
          <w:pgSz w:w="11900" w:h="16838" w:orient="portrait"/>
          <w:cols w:equalWidth="0" w:num="1">
            <w:col w:w="10069"/>
          </w:cols>
          <w:pgMar w:left="1011" w:top="1417" w:right="819" w:bottom="1440" w:gutter="0" w:footer="0" w:header="0"/>
        </w:sectPr>
      </w:pPr>
    </w:p>
    <w:bookmarkStart w:id="572" w:name="page573"/>
    <w:bookmarkEnd w:id="572"/>
    <w:p>
      <w:pPr>
        <w:jc w:val="both"/>
        <w:ind w:left="-420" w:right="20" w:firstLine="1286"/>
        <w:spacing w:after="0" w:line="253" w:lineRule="auto"/>
        <w:tabs>
          <w:tab w:leader="none" w:pos="1476"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234" w:lineRule="exact"/>
        <w:rPr>
          <w:rFonts w:ascii="Times New Roman" w:cs="Times New Roman" w:eastAsia="Times New Roman" w:hAnsi="Times New Roman"/>
          <w:sz w:val="18"/>
          <w:szCs w:val="18"/>
          <w:color w:val="auto"/>
        </w:rPr>
      </w:pPr>
    </w:p>
    <w:p>
      <w:pPr>
        <w:jc w:val="both"/>
        <w:ind w:left="-420" w:firstLine="1288"/>
        <w:spacing w:after="0" w:line="255" w:lineRule="auto"/>
        <w:tabs>
          <w:tab w:leader="none" w:pos="1477"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Rollover of Existing Letters of Credit and Other Letters of Credit</w:t>
      </w:r>
      <w:r>
        <w:rPr>
          <w:rFonts w:ascii="Times New Roman" w:cs="Times New Roman" w:eastAsia="Times New Roman" w:hAnsi="Times New Roman"/>
          <w:sz w:val="18"/>
          <w:szCs w:val="18"/>
          <w:color w:val="auto"/>
        </w:rPr>
        <w:t xml:space="preserve">. Each of the Existing Letters of Credit outstanding on the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Effective Date shall remain outstanding as a Letter of Credit 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 be executed if such letter of credit would be permitted to be issued under this Agreement as a Letter of Credit on such date.</w:t>
      </w:r>
    </w:p>
    <w:p>
      <w:pPr>
        <w:spacing w:after="0" w:line="229"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both"/>
        <w:ind w:left="-420" w:right="20" w:firstLine="1288"/>
        <w:spacing w:after="0" w:line="253" w:lineRule="auto"/>
        <w:tabs>
          <w:tab w:leader="none" w:pos="1481"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12:00 noon, New York City time to the Applicable Account of the First Lien Administrative Agent most recently designated by it for such purpose by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an LC Disbursement as provided in Section 2.05(f) shall be remitted by the First Lien Administrative Agent to the applicable Issuing Bank;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solely with respect to PSP in its capacity as a Lender, (i) so long as PSP receives written notice of a Borrowing of any ABR Loan in Dollars (including Swingline Loans notwithstanding anything in Section 2.04(c) to the contrary) by 10:00 a.m., New York City time, on the proposed date thereof, PSP shall make such ABR Loan on such proposed date by wire transfer of immediately available funds by 4:00 p.m., New York City time and (ii) PSP shall not be required to make any Revolving Loans in Canadian Dollars without prior written notice delivered at least one (1) Business Day prior to the proposed date of such Borrowing.</w:t>
      </w:r>
    </w:p>
    <w:p>
      <w:pPr>
        <w:spacing w:after="0" w:line="230" w:lineRule="exact"/>
        <w:rPr>
          <w:rFonts w:ascii="Times New Roman" w:cs="Times New Roman" w:eastAsia="Times New Roman" w:hAnsi="Times New Roman"/>
          <w:sz w:val="18"/>
          <w:szCs w:val="18"/>
          <w:color w:val="auto"/>
        </w:rPr>
      </w:pPr>
    </w:p>
    <w:p>
      <w:pPr>
        <w:jc w:val="both"/>
        <w:ind w:left="-420" w:firstLine="1288"/>
        <w:spacing w:after="0" w:line="253" w:lineRule="auto"/>
        <w:tabs>
          <w:tab w:leader="none" w:pos="1477"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w:t>
      </w:r>
    </w:p>
    <w:p>
      <w:pPr>
        <w:sectPr>
          <w:pgSz w:w="11900" w:h="16838" w:orient="portrait"/>
          <w:cols w:equalWidth="0" w:num="1">
            <w:col w:w="9620"/>
          </w:cols>
          <w:pgMar w:left="1440" w:top="1336" w:right="839" w:bottom="1440" w:gutter="0" w:footer="0" w:header="0"/>
        </w:sectPr>
      </w:pPr>
    </w:p>
    <w:bookmarkStart w:id="573" w:name="page574"/>
    <w:bookmarkEnd w:id="57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spacing w:after="0" w:line="216" w:lineRule="exact"/>
        <w:rPr>
          <w:sz w:val="20"/>
          <w:szCs w:val="20"/>
          <w:color w:val="auto"/>
        </w:rPr>
      </w:pPr>
    </w:p>
    <w:p>
      <w:pPr>
        <w:jc w:val="both"/>
        <w:ind w:right="20" w:firstLine="1288"/>
        <w:spacing w:after="0" w:line="258" w:lineRule="auto"/>
        <w:tabs>
          <w:tab w:leader="none" w:pos="1901"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224"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u w:val="single" w:color="auto"/>
          <w:color w:val="auto"/>
        </w:rPr>
        <w:t>Interest Elections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20" w:firstLine="1287"/>
        <w:spacing w:after="0" w:line="254" w:lineRule="auto"/>
        <w:tabs>
          <w:tab w:leader="none" w:pos="1901"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Borrowing of the applicable Class and each Term Borrowing initially shall be of the Type specified in the applicable Borrowing Request or designated by Section 2.03 and, in the case of 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2.07;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228" w:lineRule="exact"/>
        <w:rPr>
          <w:rFonts w:ascii="Times New Roman" w:cs="Times New Roman" w:eastAsia="Times New Roman" w:hAnsi="Times New Roman"/>
          <w:sz w:val="18"/>
          <w:szCs w:val="18"/>
          <w:color w:val="auto"/>
        </w:rPr>
      </w:pPr>
    </w:p>
    <w:p>
      <w:pPr>
        <w:jc w:val="both"/>
        <w:ind w:firstLine="1287"/>
        <w:spacing w:after="0" w:line="258" w:lineRule="auto"/>
        <w:tabs>
          <w:tab w:leader="none" w:pos="1897"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p>
    <w:p>
      <w:pPr>
        <w:spacing w:after="0" w:line="223" w:lineRule="exact"/>
        <w:rPr>
          <w:rFonts w:ascii="Times New Roman" w:cs="Times New Roman" w:eastAsia="Times New Roman" w:hAnsi="Times New Roman"/>
          <w:sz w:val="18"/>
          <w:szCs w:val="18"/>
          <w:color w:val="auto"/>
        </w:rPr>
      </w:pPr>
    </w:p>
    <w:p>
      <w:pPr>
        <w:ind w:left="1900" w:hanging="613"/>
        <w:spacing w:after="0"/>
        <w:tabs>
          <w:tab w:leader="none" w:pos="1900"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telephonic and written Interest Election Request shall specify the following information in compliance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 2.03:</w:t>
      </w:r>
    </w:p>
    <w:p>
      <w:pPr>
        <w:spacing w:after="0" w:line="314" w:lineRule="exact"/>
        <w:rPr>
          <w:rFonts w:ascii="Times New Roman" w:cs="Times New Roman" w:eastAsia="Times New Roman" w:hAnsi="Times New Roman"/>
          <w:sz w:val="18"/>
          <w:szCs w:val="18"/>
          <w:color w:val="auto"/>
        </w:rPr>
      </w:pPr>
    </w:p>
    <w:p>
      <w:pPr>
        <w:ind w:right="180" w:firstLine="728"/>
        <w:spacing w:after="0" w:line="266" w:lineRule="auto"/>
        <w:tabs>
          <w:tab w:leader="none" w:pos="1257"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216" w:lineRule="exact"/>
        <w:rPr>
          <w:rFonts w:ascii="Times New Roman" w:cs="Times New Roman" w:eastAsia="Times New Roman" w:hAnsi="Times New Roman"/>
          <w:sz w:val="18"/>
          <w:szCs w:val="18"/>
          <w:color w:val="auto"/>
        </w:rPr>
      </w:pPr>
    </w:p>
    <w:p>
      <w:pPr>
        <w:ind w:left="1240" w:hanging="562"/>
        <w:spacing w:after="0"/>
        <w:tabs>
          <w:tab w:leader="none" w:pos="1240"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52" w:lineRule="exact"/>
        <w:rPr>
          <w:rFonts w:ascii="Times New Roman" w:cs="Times New Roman" w:eastAsia="Times New Roman" w:hAnsi="Times New Roman"/>
          <w:sz w:val="18"/>
          <w:szCs w:val="18"/>
          <w:color w:val="auto"/>
        </w:rPr>
      </w:pPr>
    </w:p>
    <w:p>
      <w:pPr>
        <w:jc w:val="both"/>
        <w:ind w:right="20" w:firstLine="629"/>
        <w:spacing w:after="0" w:line="266" w:lineRule="auto"/>
        <w:tabs>
          <w:tab w:leader="none" w:pos="1258"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a Term Benchmark Borrowing or RFR Borrowing; provided that no Term Borrowing shall be converted to a RFR Borrowing unless Adjusted Daily Simple SOFR is being used as an alternate rate of interest pursuant to Section 2.14; and</w:t>
      </w:r>
    </w:p>
    <w:p>
      <w:pPr>
        <w:spacing w:after="0" w:line="216" w:lineRule="exact"/>
        <w:rPr>
          <w:rFonts w:ascii="Times New Roman" w:cs="Times New Roman" w:eastAsia="Times New Roman" w:hAnsi="Times New Roman"/>
          <w:sz w:val="18"/>
          <w:szCs w:val="18"/>
          <w:color w:val="auto"/>
        </w:rPr>
      </w:pPr>
    </w:p>
    <w:p>
      <w:pPr>
        <w:ind w:right="20" w:firstLine="636"/>
        <w:spacing w:after="0" w:line="282" w:lineRule="auto"/>
        <w:tabs>
          <w:tab w:leader="none" w:pos="1256"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to be a Term Benchmark Borrowing, the Interest Period to be applicable thereto after giving effect to such election, which shall be a period contemplated by the definition of the term “Interest Period.”</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 shall be deemed to have selected an Interest Period of one month’s duration.</w:t>
      </w:r>
    </w:p>
    <w:p>
      <w:pPr>
        <w:sectPr>
          <w:pgSz w:w="11900" w:h="16838" w:orient="portrait"/>
          <w:cols w:equalWidth="0" w:num="1">
            <w:col w:w="10040"/>
          </w:cols>
          <w:pgMar w:left="1020" w:top="1336" w:right="839" w:bottom="1440" w:gutter="0" w:footer="0" w:header="0"/>
        </w:sectPr>
      </w:pPr>
    </w:p>
    <w:bookmarkStart w:id="574" w:name="page575"/>
    <w:bookmarkEnd w:id="574"/>
    <w:p>
      <w:pPr>
        <w:jc w:val="both"/>
        <w:ind w:left="-420" w:firstLine="1287"/>
        <w:spacing w:after="0" w:line="266" w:lineRule="auto"/>
        <w:tabs>
          <w:tab w:leader="none" w:pos="1477"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in accordance with this Section 2.07, the First Lien Administrative Agent shall advise each Lender of the applicable Class of the details thereof and of such Lender’s portion of each resulting Borrowing.</w:t>
      </w:r>
    </w:p>
    <w:p>
      <w:pPr>
        <w:spacing w:after="0" w:line="216" w:lineRule="exact"/>
        <w:rPr>
          <w:rFonts w:ascii="Times New Roman" w:cs="Times New Roman" w:eastAsia="Times New Roman" w:hAnsi="Times New Roman"/>
          <w:sz w:val="18"/>
          <w:szCs w:val="18"/>
          <w:color w:val="auto"/>
        </w:rPr>
      </w:pPr>
    </w:p>
    <w:p>
      <w:pPr>
        <w:jc w:val="both"/>
        <w:ind w:left="-420" w:firstLine="1287"/>
        <w:spacing w:after="0" w:line="254" w:lineRule="auto"/>
        <w:tabs>
          <w:tab w:leader="none" w:pos="1481"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Term Benchmark Borrowing prior to the end of the Interest Period applicable thereto, then, unless such Borrowing is repaid as provided herein, then the Borrower shall be 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 (i) no outstanding Borrowing may be converted to or continued as a Term Benchmark Borrowing and (ii) unless repaid, (A) each Term Benchmark Borrowing and (B) each RFR Borrowing, if denominated in Dollars, shall be converted to an ABR Borrowing (in the case of a Term Benchmark Borrowing) at the end of the Interest Period applicable thereto or (in the case of an RFR Borrowing) on the next Interest Payment Date in respect thereof.</w:t>
      </w:r>
    </w:p>
    <w:p>
      <w:pPr>
        <w:spacing w:after="0" w:line="23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420" w:firstLine="1288"/>
        <w:spacing w:after="0" w:line="312" w:lineRule="auto"/>
        <w:tabs>
          <w:tab w:leader="none" w:pos="1481" w:val="left"/>
        </w:tabs>
        <w:numPr>
          <w:ilvl w:val="0"/>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previously terminated, (i) the Term Commitments provided on the Effective Date shall terminate at 11:59 p.m., New York City time, on the Effective Date and (ii) the Revolving Commitments shall terminate on the Revolving Maturity Date.</w:t>
      </w:r>
    </w:p>
    <w:p>
      <w:pPr>
        <w:spacing w:after="0" w:line="166" w:lineRule="exact"/>
        <w:rPr>
          <w:rFonts w:ascii="Times New Roman" w:cs="Times New Roman" w:eastAsia="Times New Roman" w:hAnsi="Times New Roman"/>
          <w:sz w:val="17"/>
          <w:szCs w:val="17"/>
          <w:color w:val="auto"/>
        </w:rPr>
      </w:pPr>
    </w:p>
    <w:p>
      <w:pPr>
        <w:jc w:val="both"/>
        <w:ind w:left="-420" w:firstLine="1288"/>
        <w:spacing w:after="0" w:line="256" w:lineRule="auto"/>
        <w:tabs>
          <w:tab w:leader="none" w:pos="1477"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w:t>
      </w:r>
    </w:p>
    <w:p>
      <w:pPr>
        <w:spacing w:after="0" w:line="308" w:lineRule="exact"/>
        <w:rPr>
          <w:rFonts w:ascii="Times New Roman" w:cs="Times New Roman" w:eastAsia="Times New Roman" w:hAnsi="Times New Roman"/>
          <w:sz w:val="18"/>
          <w:szCs w:val="18"/>
          <w:color w:val="auto"/>
        </w:rPr>
      </w:pPr>
    </w:p>
    <w:p>
      <w:pPr>
        <w:jc w:val="both"/>
        <w:ind w:left="-420" w:firstLine="1288"/>
        <w:spacing w:after="0" w:line="253" w:lineRule="auto"/>
        <w:tabs>
          <w:tab w:leader="none" w:pos="1481"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of any Class delivered by the Borrower may state that such notice is conditioned upon the effectiveness of the ABL Facility, any other credit facilities or the receipt of the proceeds from the issuance of other Indebtedness or the occurrence of some other identifiable and specified event or condition, in which case such notice may be revoked or extended by the Borrower (by notice to the First LienAdministrative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219"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420" w:firstLine="1288"/>
        <w:spacing w:after="0" w:line="255" w:lineRule="auto"/>
        <w:tabs>
          <w:tab w:leader="none" w:pos="1481"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unconditionally promise to pay (i) to the First Lien Administrative Agent for the account of each Lender the then unpaid principal amount of each Revolving Loan of such Lender on the Revolving Maturity Date, (ii) to the First Lien Administrative Agent for the account of each Lender the then unpaid principal amount of each Term Loan of such Lender as provided in Section 2.10 and (iii) to the Swingline Lender the then unpaid principal amount of each Swingline Loan made by the Swingline Lender on the earlier to occur of (A) the date that is ten (10) Business Days after such Loan is made and (B)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Borrower shall repay all Swingline Loans that were outstanding on the date such Borrowing was requested.</w:t>
      </w:r>
    </w:p>
    <w:p>
      <w:pPr>
        <w:sectPr>
          <w:pgSz w:w="11900" w:h="16838" w:orient="portrait"/>
          <w:cols w:equalWidth="0" w:num="1">
            <w:col w:w="9600"/>
          </w:cols>
          <w:pgMar w:left="1440" w:top="1336" w:right="859" w:bottom="1440" w:gutter="0" w:footer="0" w:header="0"/>
        </w:sectPr>
      </w:pPr>
    </w:p>
    <w:bookmarkStart w:id="575" w:name="page576"/>
    <w:bookmarkEnd w:id="575"/>
    <w:p>
      <w:pPr>
        <w:jc w:val="both"/>
        <w:ind w:left="8" w:right="20" w:firstLine="1288"/>
        <w:spacing w:after="0" w:line="266" w:lineRule="auto"/>
        <w:tabs>
          <w:tab w:leader="none" w:pos="1905"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216" w:lineRule="exact"/>
        <w:rPr>
          <w:rFonts w:ascii="Times New Roman" w:cs="Times New Roman" w:eastAsia="Times New Roman" w:hAnsi="Times New Roman"/>
          <w:sz w:val="18"/>
          <w:szCs w:val="18"/>
          <w:color w:val="auto"/>
        </w:rPr>
      </w:pPr>
    </w:p>
    <w:p>
      <w:pPr>
        <w:jc w:val="both"/>
        <w:ind w:left="8" w:right="20" w:firstLine="1287"/>
        <w:spacing w:after="0" w:line="258" w:lineRule="auto"/>
        <w:tabs>
          <w:tab w:leader="none" w:pos="1909"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First Lien Administrative Agent hereunder for the account of the Lenders and each Lender’s share thereof.</w:t>
      </w:r>
    </w:p>
    <w:p>
      <w:pPr>
        <w:spacing w:after="0" w:line="223" w:lineRule="exact"/>
        <w:rPr>
          <w:rFonts w:ascii="Times New Roman" w:cs="Times New Roman" w:eastAsia="Times New Roman" w:hAnsi="Times New Roman"/>
          <w:sz w:val="18"/>
          <w:szCs w:val="18"/>
          <w:color w:val="auto"/>
        </w:rPr>
      </w:pPr>
    </w:p>
    <w:p>
      <w:pPr>
        <w:jc w:val="both"/>
        <w:ind w:left="8" w:right="20" w:firstLine="1287"/>
        <w:spacing w:after="0" w:line="256" w:lineRule="auto"/>
        <w:tabs>
          <w:tab w:leader="none" w:pos="1905"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2.09 shall be </w:t>
      </w:r>
      <w:r>
        <w:rPr>
          <w:rFonts w:ascii="Times New Roman" w:cs="Times New Roman" w:eastAsia="Times New Roman" w:hAnsi="Times New Roman"/>
          <w:sz w:val="18"/>
          <w:szCs w:val="18"/>
          <w:u w:val="single" w:color="auto"/>
          <w:color w:val="auto"/>
        </w:rPr>
        <w:t>prima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2.09, the accounts maintained by the First Lien Administrative Agent pursuant to paragraph (c) of this Section 2.09 shall control.</w:t>
      </w:r>
    </w:p>
    <w:p>
      <w:pPr>
        <w:spacing w:after="0" w:line="227" w:lineRule="exact"/>
        <w:rPr>
          <w:rFonts w:ascii="Times New Roman" w:cs="Times New Roman" w:eastAsia="Times New Roman" w:hAnsi="Times New Roman"/>
          <w:sz w:val="18"/>
          <w:szCs w:val="18"/>
          <w:color w:val="auto"/>
        </w:rPr>
      </w:pPr>
    </w:p>
    <w:p>
      <w:pPr>
        <w:jc w:val="both"/>
        <w:ind w:left="8" w:right="20" w:firstLine="1287"/>
        <w:spacing w:after="0" w:line="266" w:lineRule="auto"/>
        <w:tabs>
          <w:tab w:leader="none" w:pos="1909"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203" w:lineRule="exact"/>
        <w:rPr>
          <w:sz w:val="20"/>
          <w:szCs w:val="20"/>
          <w:color w:val="auto"/>
        </w:rPr>
      </w:pPr>
    </w:p>
    <w:p>
      <w:pPr>
        <w:ind w:left="1288"/>
        <w:spacing w:after="0"/>
        <w:tabs>
          <w:tab w:leader="none" w:pos="2568"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Amortization of Term Loans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left="8" w:firstLine="1288"/>
        <w:spacing w:after="0" w:line="258" w:lineRule="auto"/>
        <w:tabs>
          <w:tab w:leader="none" w:pos="1909"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pursuant to paragraph (c) of this Section 2.10 and increases in connection with fungible increases 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auto"/>
        </w:rPr>
        <w:t xml:space="preserve"> Term Loans to reflect the equivalent amortization for such fungible increases, the Borrower shall repay Borrowings of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auto"/>
        </w:rPr>
        <w:t xml:space="preserve"> Term Loans on the last day of each March, June, September and December (commencing on </w:t>
      </w:r>
      <w:r>
        <w:rPr>
          <w:rFonts w:ascii="Times New Roman" w:cs="Times New Roman" w:eastAsia="Times New Roman" w:hAnsi="Times New Roman"/>
          <w:sz w:val="18"/>
          <w:szCs w:val="18"/>
          <w:color w:val="FF0000"/>
          <w:strike w:val="1"/>
        </w:rPr>
        <w:t>June 30</w:t>
      </w:r>
      <w:r>
        <w:rPr>
          <w:rFonts w:ascii="Times New Roman" w:cs="Times New Roman" w:eastAsia="Times New Roman" w:hAnsi="Times New Roman"/>
          <w:sz w:val="18"/>
          <w:szCs w:val="18"/>
          <w:u w:val="single" w:color="auto"/>
          <w:color w:val="0000FF"/>
        </w:rPr>
        <w:t>December 31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2020</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each case in an amount equal to 0.25% of the aggregate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principal amount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Term Loans </w:t>
      </w:r>
      <w:r>
        <w:rPr>
          <w:rFonts w:ascii="Times New Roman" w:cs="Times New Roman" w:eastAsia="Times New Roman" w:hAnsi="Times New Roman"/>
          <w:sz w:val="18"/>
          <w:szCs w:val="18"/>
          <w:color w:val="FF0000"/>
          <w:strike w:val="1"/>
        </w:rPr>
        <w:t>as follows</w:t>
      </w:r>
      <w:r>
        <w:rPr>
          <w:rFonts w:ascii="Times New Roman" w:cs="Times New Roman" w:eastAsia="Times New Roman" w:hAnsi="Times New Roman"/>
          <w:sz w:val="18"/>
          <w:szCs w:val="18"/>
          <w:u w:val="single" w:color="auto"/>
          <w:color w:val="0000FF"/>
        </w:rPr>
        <w:t>on the Amendment No. 4 Effective Date</w:t>
      </w:r>
      <w:r>
        <w:rPr>
          <w:rFonts w:ascii="Times New Roman" w:cs="Times New Roman" w:eastAsia="Times New Roman" w:hAnsi="Times New Roman"/>
          <w:sz w:val="18"/>
          <w:szCs w:val="18"/>
          <w:color w:val="000000"/>
        </w:rPr>
        <w:t>; provided that if any such date is not a Business Day, such payment shall be due on the immediately preceding Business Day</w:t>
      </w:r>
      <w:r>
        <w:rPr>
          <w:rFonts w:ascii="Times New Roman" w:cs="Times New Roman" w:eastAsia="Times New Roman" w:hAnsi="Times New Roman"/>
          <w:sz w:val="18"/>
          <w:szCs w:val="18"/>
          <w:color w:val="FF0000"/>
        </w:rPr>
        <w:t>:</w:t>
      </w:r>
      <w:r>
        <w:rPr>
          <w:rFonts w:ascii="Times New Roman" w:cs="Times New Roman" w:eastAsia="Times New Roman" w:hAnsi="Times New Roman"/>
          <w:sz w:val="23"/>
          <w:szCs w:val="23"/>
          <w:color w:val="FF0000"/>
          <w:vertAlign w:val="superscript"/>
        </w:rPr>
        <w:t>3</w:t>
      </w:r>
      <w:r>
        <w:rPr>
          <w:rFonts w:ascii="Times New Roman" w:cs="Times New Roman" w:eastAsia="Times New Roman" w:hAnsi="Times New Roman"/>
          <w:sz w:val="18"/>
          <w:szCs w:val="18"/>
          <w:color w:val="0000FF"/>
        </w:rPr>
        <w:t>.</w:t>
      </w:r>
    </w:p>
    <w:p>
      <w:pPr>
        <w:spacing w:after="0" w:line="200" w:lineRule="exact"/>
        <w:rPr>
          <w:sz w:val="20"/>
          <w:szCs w:val="20"/>
          <w:color w:val="auto"/>
        </w:rPr>
      </w:pPr>
    </w:p>
    <w:p>
      <w:pPr>
        <w:spacing w:after="0" w:line="293" w:lineRule="exact"/>
        <w:rPr>
          <w:sz w:val="20"/>
          <w:szCs w:val="20"/>
          <w:color w:val="auto"/>
        </w:rPr>
      </w:pPr>
    </w:p>
    <w:p>
      <w:pPr>
        <w:ind w:left="328" w:right="420" w:hanging="328"/>
        <w:spacing w:after="0" w:line="235" w:lineRule="auto"/>
        <w:tabs>
          <w:tab w:leader="none" w:pos="108" w:val="left"/>
        </w:tabs>
        <w:numPr>
          <w:ilvl w:val="0"/>
          <w:numId w:val="618"/>
        </w:numPr>
        <w:rPr>
          <w:rFonts w:ascii="Times New Roman" w:cs="Times New Roman" w:eastAsia="Times New Roman" w:hAnsi="Times New Roman"/>
          <w:sz w:val="23"/>
          <w:szCs w:val="23"/>
          <w:color w:val="FF0000"/>
          <w:vertAlign w:val="superscript"/>
        </w:rPr>
      </w:pPr>
      <w:r>
        <w:rPr>
          <w:rFonts w:ascii="Times New Roman" w:cs="Times New Roman" w:eastAsia="Times New Roman" w:hAnsi="Times New Roman"/>
          <w:sz w:val="18"/>
          <w:szCs w:val="18"/>
          <w:color w:val="FF0000"/>
        </w:rPr>
        <w:t xml:space="preserve">On November 25, 2020, the Borrower made a prepayment of $191,000,000 and on November 27, 2020, the </w:t>
      </w:r>
      <w:r>
        <w:rPr>
          <w:rFonts w:ascii="Times New Roman" w:cs="Times New Roman" w:eastAsia="Times New Roman" w:hAnsi="Times New Roman"/>
          <w:sz w:val="18"/>
          <w:szCs w:val="18"/>
          <w:color w:val="FF0000"/>
          <w:strike w:val="1"/>
        </w:rPr>
        <w:t>Borrower made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prepayment of $150,000,000. Both payments were applied to the remaining amortization payments in full through September 30, 2026, resulting in no further amortization payments being due prior to the Term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-349250</wp:posOffset>
            </wp:positionV>
            <wp:extent cx="49466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4946650" cy="8255"/>
                    </a:xfrm>
                    <a:prstGeom prst="rect">
                      <a:avLst/>
                    </a:prstGeom>
                    <a:noFill/>
                  </pic:spPr>
                </pic:pic>
              </a:graphicData>
            </a:graphic>
          </wp:anchor>
        </w:drawing>
      </w:r>
    </w:p>
    <w:p>
      <w:pPr>
        <w:sectPr>
          <w:pgSz w:w="11900" w:h="16838" w:orient="portrait"/>
          <w:cols w:equalWidth="0" w:num="1">
            <w:col w:w="10048"/>
          </w:cols>
          <w:pgMar w:left="1012" w:top="1336" w:right="839" w:bottom="1440" w:gutter="0" w:footer="0" w:header="0"/>
        </w:sectPr>
      </w:pPr>
    </w:p>
    <w:bookmarkStart w:id="576" w:name="page577"/>
    <w:bookmarkEnd w:id="576"/>
    <w:tbl>
      <w:tblPr>
        <w:tblLayout w:type="fixed"/>
        <w:tblInd w:w="0" w:type="dxa"/>
        <w:tblCellMar>
          <w:top w:w="0" w:type="dxa"/>
          <w:left w:w="0" w:type="dxa"/>
          <w:bottom w:w="0" w:type="dxa"/>
          <w:right w:w="0" w:type="dxa"/>
        </w:tblCellMar>
      </w:tblPr>
      <w:tr>
        <w:trPr>
          <w:trHeight w:val="238"/>
        </w:trPr>
        <w:tc>
          <w:tcPr>
            <w:tcW w:w="318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FF0000"/>
                <w:strike w:val="1"/>
              </w:rPr>
              <w:t>PAYMENT DATE</w:t>
            </w:r>
          </w:p>
        </w:tc>
        <w:tc>
          <w:tcPr>
            <w:tcW w:w="336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FF0000"/>
                <w:strike w:val="1"/>
                <w:w w:val="98"/>
              </w:rPr>
              <w:t>AMORTIZATION PAYMENT</w:t>
            </w:r>
          </w:p>
        </w:tc>
        <w:tc>
          <w:tcPr>
            <w:tcW w:w="0" w:type="dxa"/>
            <w:vAlign w:val="bottom"/>
          </w:tcPr>
          <w:p>
            <w:pPr>
              <w:spacing w:after="0"/>
              <w:rPr>
                <w:sz w:val="1"/>
                <w:szCs w:val="1"/>
                <w:color w:val="auto"/>
              </w:rPr>
            </w:pPr>
          </w:p>
        </w:tc>
      </w:tr>
      <w:tr>
        <w:trPr>
          <w:trHeight w:val="94"/>
        </w:trPr>
        <w:tc>
          <w:tcPr>
            <w:tcW w:w="3180" w:type="dxa"/>
            <w:vAlign w:val="bottom"/>
            <w:vMerge w:val="continue"/>
          </w:tcPr>
          <w:p>
            <w:pPr>
              <w:spacing w:after="0"/>
              <w:rPr>
                <w:sz w:val="8"/>
                <w:szCs w:val="8"/>
                <w:color w:val="auto"/>
              </w:rPr>
            </w:pPr>
          </w:p>
        </w:tc>
        <w:tc>
          <w:tcPr>
            <w:tcW w:w="3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June 30, 2020</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311"/>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September 30, 2020</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324"/>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December 31, 2020</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March 31, 2021</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8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June 30, 2021</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September 30, 2021</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84"/>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December 31, 2021</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March 31, 2022</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8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June 30, 2022</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September 30, 2022</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8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December 31, 2022</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March 31, 2023</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8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June 30, 2023</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September 30, 2023</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8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December 31, 2023</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March 31, 2024</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84"/>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June 30, 2024</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September 30, 2024</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December 31, 2024</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FF0000"/>
                <w:strike w:val="1"/>
              </w:rPr>
              <w:t>March 31, 2025</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FF0000"/>
                <w:strike w:val="1"/>
              </w:rPr>
              <w:t>June 30, 2025</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FF0000"/>
                <w:strike w:val="1"/>
              </w:rPr>
              <w:t>September 30, 2025</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FF0000"/>
                <w:strike w:val="1"/>
              </w:rPr>
              <w:t>December 31, 2025</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FF0000"/>
                <w:strike w:val="1"/>
              </w:rPr>
              <w:t>March 31, 2026</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FF0000"/>
                <w:strike w:val="1"/>
              </w:rPr>
              <w:t>June 30, 2026</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FF0000"/>
                <w:strike w:val="1"/>
              </w:rPr>
              <w:t>September 30, 2026</w:t>
            </w:r>
          </w:p>
        </w:tc>
        <w:tc>
          <w:tcPr>
            <w:tcW w:w="33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FF0000"/>
                <w:strike w:val="1"/>
                <w:w w:val="98"/>
              </w:rPr>
              <w:t>$5,300,000</w:t>
            </w:r>
          </w:p>
        </w:tc>
        <w:tc>
          <w:tcPr>
            <w:tcW w:w="0" w:type="dxa"/>
            <w:vAlign w:val="bottom"/>
          </w:tcPr>
          <w:p>
            <w:pPr>
              <w:spacing w:after="0"/>
              <w:rPr>
                <w:sz w:val="1"/>
                <w:szCs w:val="1"/>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FF0000"/>
                <w:strike w:val="1"/>
              </w:rPr>
              <w:t>Term Maturity Date</w:t>
            </w:r>
          </w:p>
        </w:tc>
        <w:tc>
          <w:tcPr>
            <w:tcW w:w="3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FF0000"/>
                <w:strike w:val="1"/>
                <w:w w:val="98"/>
              </w:rPr>
              <w:t>Remainder</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876935</wp:posOffset>
            </wp:positionV>
            <wp:extent cx="4577715" cy="52546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4577715" cy="525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00" w:hanging="592"/>
        <w:spacing w:after="0"/>
        <w:tabs>
          <w:tab w:leader="none" w:pos="250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paid, all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auto"/>
        </w:rPr>
        <w:t xml:space="preserve"> Term Loans shall be due and payable on the</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Maturity Date.</w:t>
      </w:r>
    </w:p>
    <w:p>
      <w:pPr>
        <w:spacing w:after="0" w:line="247" w:lineRule="exact"/>
        <w:rPr>
          <w:rFonts w:ascii="Times New Roman" w:cs="Times New Roman" w:eastAsia="Times New Roman" w:hAnsi="Times New Roman"/>
          <w:sz w:val="18"/>
          <w:szCs w:val="18"/>
          <w:color w:val="auto"/>
        </w:rPr>
      </w:pPr>
    </w:p>
    <w:p>
      <w:pPr>
        <w:jc w:val="both"/>
        <w:ind w:left="620" w:firstLine="1287"/>
        <w:spacing w:after="0" w:line="255" w:lineRule="auto"/>
        <w:tabs>
          <w:tab w:leader="none" w:pos="2521"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 (including any First Lien Incremental Facility).</w:t>
      </w:r>
    </w:p>
    <w:p>
      <w:pPr>
        <w:spacing w:after="0" w:line="296" w:lineRule="exact"/>
        <w:rPr>
          <w:rFonts w:ascii="Times New Roman" w:cs="Times New Roman" w:eastAsia="Times New Roman" w:hAnsi="Times New Roman"/>
          <w:sz w:val="18"/>
          <w:szCs w:val="18"/>
          <w:color w:val="auto"/>
        </w:rPr>
      </w:pPr>
    </w:p>
    <w:p>
      <w:pPr>
        <w:jc w:val="both"/>
        <w:ind w:left="620" w:firstLine="1288"/>
        <w:spacing w:after="0" w:line="256" w:lineRule="auto"/>
        <w:tabs>
          <w:tab w:leader="none" w:pos="2517"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one (1) Business Day before the scheduled date of such repayment. In the absence of a designation by the Borrower as described in 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w:t>
      </w:r>
    </w:p>
    <w:p>
      <w:pPr>
        <w:sectPr>
          <w:pgSz w:w="11900" w:h="16838" w:orient="portrait"/>
          <w:cols w:equalWidth="0" w:num="1">
            <w:col w:w="10660"/>
          </w:cols>
          <w:pgMar w:left="400" w:top="1440" w:right="839" w:bottom="1440" w:gutter="0" w:footer="0" w:header="0"/>
        </w:sectPr>
      </w:pPr>
    </w:p>
    <w:bookmarkStart w:id="577" w:name="page578"/>
    <w:bookmarkEnd w:id="577"/>
    <w:p>
      <w:pPr>
        <w:ind w:left="8" w:right="20"/>
        <w:spacing w:after="0" w:line="282" w:lineRule="auto"/>
        <w:rPr>
          <w:sz w:val="20"/>
          <w:szCs w:val="20"/>
          <w:color w:val="auto"/>
        </w:rPr>
      </w:pPr>
      <w:r>
        <w:rPr>
          <w:rFonts w:ascii="Times New Roman" w:cs="Times New Roman" w:eastAsia="Times New Roman" w:hAnsi="Times New Roman"/>
          <w:sz w:val="18"/>
          <w:szCs w:val="18"/>
          <w:color w:val="auto"/>
        </w:rPr>
        <w:t>ratably to the Loans included in the repaid Borrowing. Repayments of Term Borrowings shall be accompanied by accrued interest on the amount repaid.</w:t>
      </w:r>
    </w:p>
    <w:p>
      <w:pPr>
        <w:spacing w:after="0" w:line="189" w:lineRule="exact"/>
        <w:rPr>
          <w:sz w:val="20"/>
          <w:szCs w:val="20"/>
          <w:color w:val="auto"/>
        </w:rPr>
      </w:pPr>
    </w:p>
    <w:p>
      <w:pPr>
        <w:ind w:left="1288"/>
        <w:spacing w:after="0"/>
        <w:tabs>
          <w:tab w:leader="none" w:pos="2568"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Prepayment of Loans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left="8" w:right="40" w:firstLine="1287"/>
        <w:spacing w:after="0" w:line="253" w:lineRule="auto"/>
        <w:tabs>
          <w:tab w:leader="none" w:pos="1909"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shall have the right at any time and from time to time to prepay any Borrowing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on or prior to the date that is six months after the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Effective Date, the Borrower enters into any Repricing Transaction </w:t>
      </w:r>
      <w:r>
        <w:rPr>
          <w:rFonts w:ascii="Times New Roman" w:cs="Times New Roman" w:eastAsia="Times New Roman" w:hAnsi="Times New Roman"/>
          <w:sz w:val="18"/>
          <w:szCs w:val="18"/>
          <w:u w:val="single" w:color="auto"/>
          <w:color w:val="0000FF"/>
        </w:rPr>
        <w:t>with respect to the 2024 Refinancing Term Loans</w:t>
      </w:r>
      <w:r>
        <w:rPr>
          <w:rFonts w:ascii="Times New Roman" w:cs="Times New Roman" w:eastAsia="Times New Roman" w:hAnsi="Times New Roman"/>
          <w:sz w:val="18"/>
          <w:szCs w:val="18"/>
          <w:color w:val="auto"/>
        </w:rPr>
        <w:t xml:space="preserve">, the Borrower shall pay to the First Lien Administrative Agent, for the ratable account of each of the applicable </w:t>
      </w:r>
      <w:r>
        <w:rPr>
          <w:rFonts w:ascii="Times New Roman" w:cs="Times New Roman" w:eastAsia="Times New Roman" w:hAnsi="Times New Roman"/>
          <w:sz w:val="18"/>
          <w:szCs w:val="18"/>
          <w:u w:val="single" w:color="auto"/>
          <w:color w:val="0000FF"/>
        </w:rPr>
        <w:t>2024 Refinancing</w:t>
      </w:r>
      <w:r>
        <w:rPr>
          <w:rFonts w:ascii="Times New Roman" w:cs="Times New Roman" w:eastAsia="Times New Roman" w:hAnsi="Times New Roman"/>
          <w:sz w:val="18"/>
          <w:szCs w:val="18"/>
          <w:color w:val="auto"/>
        </w:rPr>
        <w:t xml:space="preserve"> Term Lenders, (I) in the case of clause (a) of the definition of “Repricing Transaction”, a prepayment premium of 1.00% of the principal amount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Refinancing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Loans being prepaid in connection with such Repricing Transaction or (II) in the case of clause</w:t>
      </w:r>
    </w:p>
    <w:p>
      <w:pPr>
        <w:spacing w:after="0" w:line="5" w:lineRule="exact"/>
        <w:rPr>
          <w:rFonts w:ascii="Times New Roman" w:cs="Times New Roman" w:eastAsia="Times New Roman" w:hAnsi="Times New Roman"/>
          <w:sz w:val="18"/>
          <w:szCs w:val="18"/>
          <w:color w:val="auto"/>
        </w:rPr>
      </w:pPr>
    </w:p>
    <w:p>
      <w:pPr>
        <w:jc w:val="both"/>
        <w:ind w:left="8" w:right="60" w:hanging="8"/>
        <w:spacing w:after="0" w:line="255" w:lineRule="auto"/>
        <w:tabs>
          <w:tab w:leader="none" w:pos="609"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“Repricing Transaction”, </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an amount equal to 1.00% of the aggregate amount of the applicable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Refinancing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Loans outstanding immediately prior to such amendment that are subject to an effective pricing reduction pursuant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Repricing Transaction.</w:t>
      </w:r>
    </w:p>
    <w:p>
      <w:pPr>
        <w:spacing w:after="0" w:line="226" w:lineRule="exact"/>
        <w:rPr>
          <w:rFonts w:ascii="Times New Roman" w:cs="Times New Roman" w:eastAsia="Times New Roman" w:hAnsi="Times New Roman"/>
          <w:sz w:val="18"/>
          <w:szCs w:val="18"/>
          <w:color w:val="auto"/>
        </w:rPr>
      </w:pPr>
    </w:p>
    <w:p>
      <w:pPr>
        <w:jc w:val="both"/>
        <w:ind w:left="8" w:right="40" w:firstLine="1287"/>
        <w:spacing w:after="0" w:line="266" w:lineRule="auto"/>
        <w:tabs>
          <w:tab w:leader="none" w:pos="1916"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spacing w:after="0" w:line="283" w:lineRule="exact"/>
        <w:rPr>
          <w:rFonts w:ascii="Times New Roman" w:cs="Times New Roman" w:eastAsia="Times New Roman" w:hAnsi="Times New Roman"/>
          <w:sz w:val="18"/>
          <w:szCs w:val="18"/>
          <w:color w:val="auto"/>
        </w:rPr>
      </w:pPr>
    </w:p>
    <w:p>
      <w:pPr>
        <w:jc w:val="both"/>
        <w:ind w:left="648" w:firstLine="648"/>
        <w:spacing w:after="0" w:line="251" w:lineRule="auto"/>
        <w:tabs>
          <w:tab w:leader="none" w:pos="1897" w:val="left"/>
        </w:tabs>
        <w:numPr>
          <w:ilvl w:val="2"/>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their respective Subsidiaries shall have the right to make a voluntary prepayment of Term Loans at a discount to par (such prepayment, the “</w:t>
      </w:r>
      <w:r>
        <w:rPr>
          <w:rFonts w:ascii="Times New Roman" w:cs="Times New Roman" w:eastAsia="Times New Roman" w:hAnsi="Times New Roman"/>
          <w:sz w:val="18"/>
          <w:szCs w:val="18"/>
          <w:u w:val="single" w:color="auto"/>
          <w:color w:val="auto"/>
        </w:rPr>
        <w:t>Discounted Term Loan Prepayment</w:t>
      </w:r>
      <w:r>
        <w:rPr>
          <w:rFonts w:ascii="Times New Roman" w:cs="Times New Roman" w:eastAsia="Times New Roman" w:hAnsi="Times New Roman"/>
          <w:sz w:val="18"/>
          <w:szCs w:val="18"/>
          <w:color w:val="auto"/>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Holdings, any Intermediate Parent, the Borrower or any of their respective Subsidiaries shall not make any Borrowing of Revolving Loans or Swingline Loans to fund any Discounted Term Loan Prepayment and (y) Holdings, any Intermediate Parent,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 (3) Business Days shall have passed since the date Holdings, any Intermediate Parent, the Borrower 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xml:space="preserve">”), (2) such Lender has independently and, without reliance on Holdings, any of its Subsidiaries, the First Lien Administrative Agent or any of their respective Affiliates, made its own analysis and 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Excluded Information;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Term Loan that is prepaid will be automatically and irrevocably cancelled.</w:t>
      </w:r>
    </w:p>
    <w:p>
      <w:pPr>
        <w:sectPr>
          <w:pgSz w:w="11900" w:h="16838" w:orient="portrait"/>
          <w:cols w:equalWidth="0" w:num="1">
            <w:col w:w="10068"/>
          </w:cols>
          <w:pgMar w:left="1012" w:top="1417" w:right="819" w:bottom="1440" w:gutter="0" w:footer="0" w:header="0"/>
        </w:sectPr>
      </w:pPr>
    </w:p>
    <w:bookmarkStart w:id="578" w:name="page579"/>
    <w:bookmarkEnd w:id="578"/>
    <w:p>
      <w:pPr>
        <w:jc w:val="both"/>
        <w:ind w:left="220" w:firstLine="647"/>
        <w:spacing w:after="0" w:line="252" w:lineRule="auto"/>
        <w:tabs>
          <w:tab w:leader="none" w:pos="1472"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 w:cs="Times New Roman" w:eastAsia="Times New Roman" w:hAnsi="Times New Roman"/>
          <w:sz w:val="18"/>
          <w:szCs w:val="18"/>
          <w:u w:val="single" w:color="auto"/>
          <w:color w:val="auto"/>
        </w:rPr>
        <w:t>Specified Discount Prepayment Amount</w:t>
      </w:r>
      <w:r>
        <w:rPr>
          <w:rFonts w:ascii="Times New Roman" w:cs="Times New Roman" w:eastAsia="Times New Roman" w:hAnsi="Times New Roman"/>
          <w:sz w:val="18"/>
          <w:szCs w:val="18"/>
          <w:color w:val="auto"/>
        </w:rPr>
        <w:t>”) with respect to each applicable tranche, the tranche or tranches of Term Loans subject to such offer and the specific percentage discount to par (the “</w:t>
      </w:r>
      <w:r>
        <w:rPr>
          <w:rFonts w:ascii="Times New Roman" w:cs="Times New Roman" w:eastAsia="Times New Roman" w:hAnsi="Times New Roman"/>
          <w:sz w:val="18"/>
          <w:szCs w:val="18"/>
          <w:u w:val="single" w:color="auto"/>
          <w:color w:val="auto"/>
        </w:rPr>
        <w:t>Specified Discount</w:t>
      </w:r>
      <w:r>
        <w:rPr>
          <w:rFonts w:ascii="Times New Roman" w:cs="Times New Roman" w:eastAsia="Times New Roman" w:hAnsi="Times New Roman"/>
          <w:sz w:val="18"/>
          <w:szCs w:val="18"/>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Specified Discount Prepayment Response Date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jc w:val="both"/>
        <w:ind w:left="220" w:firstLine="648"/>
        <w:spacing w:after="0" w:line="255" w:lineRule="auto"/>
        <w:tabs>
          <w:tab w:leader="none" w:pos="1469"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 w:cs="Times New Roman" w:eastAsia="Times New Roman" w:hAnsi="Times New Roman"/>
          <w:sz w:val="18"/>
          <w:szCs w:val="18"/>
          <w:u w:val="single" w:color="auto"/>
          <w:color w:val="auto"/>
        </w:rPr>
        <w:t>Discount Prepayment Accepting Lender</w:t>
      </w:r>
      <w:r>
        <w:rPr>
          <w:rFonts w:ascii="Times New Roman" w:cs="Times New Roman" w:eastAsia="Times New Roman" w:hAnsi="Times New Roman"/>
          <w:sz w:val="18"/>
          <w:szCs w:val="18"/>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310" w:lineRule="exact"/>
        <w:rPr>
          <w:rFonts w:ascii="Times New Roman" w:cs="Times New Roman" w:eastAsia="Times New Roman" w:hAnsi="Times New Roman"/>
          <w:sz w:val="18"/>
          <w:szCs w:val="18"/>
          <w:color w:val="auto"/>
        </w:rPr>
      </w:pPr>
    </w:p>
    <w:p>
      <w:pPr>
        <w:jc w:val="both"/>
        <w:ind w:left="220" w:firstLine="647"/>
        <w:spacing w:after="0" w:line="252" w:lineRule="auto"/>
        <w:tabs>
          <w:tab w:leader="none" w:pos="1469"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Times New Roman" w:cs="Times New Roman" w:eastAsia="Times New Roman" w:hAnsi="Times New Roman"/>
          <w:sz w:val="18"/>
          <w:szCs w:val="18"/>
          <w:u w:val="single" w:color="auto"/>
          <w:color w:val="auto"/>
        </w:rPr>
        <w:t>Specified Discount Proration</w:t>
      </w:r>
      <w:r>
        <w:rPr>
          <w:rFonts w:ascii="Times New Roman" w:cs="Times New Roman" w:eastAsia="Times New Roman" w:hAnsi="Times New Roman"/>
          <w:sz w:val="18"/>
          <w:szCs w:val="18"/>
          <w:color w:val="auto"/>
        </w:rPr>
        <w:t>”).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w:t>
      </w:r>
    </w:p>
    <w:p>
      <w:pPr>
        <w:sectPr>
          <w:pgSz w:w="11900" w:h="16838" w:orient="portrait"/>
          <w:cols w:equalWidth="0" w:num="1">
            <w:col w:w="9600"/>
          </w:cols>
          <w:pgMar w:left="1440" w:top="1336" w:right="859" w:bottom="1440" w:gutter="0" w:footer="0" w:header="0"/>
        </w:sectPr>
      </w:pPr>
    </w:p>
    <w:bookmarkStart w:id="579" w:name="page580"/>
    <w:bookmarkEnd w:id="579"/>
    <w:p>
      <w:pPr>
        <w:jc w:val="both"/>
        <w:ind w:left="220" w:right="40"/>
        <w:spacing w:after="0" w:line="266" w:lineRule="auto"/>
        <w:rPr>
          <w:sz w:val="20"/>
          <w:szCs w:val="20"/>
          <w:color w:val="auto"/>
        </w:rPr>
      </w:pPr>
      <w:r>
        <w:rPr>
          <w:rFonts w:ascii="Times New Roman" w:cs="Times New Roman" w:eastAsia="Times New Roman" w:hAnsi="Times New Roman"/>
          <w:sz w:val="18"/>
          <w:szCs w:val="18"/>
          <w:color w:val="auto"/>
        </w:rPr>
        <w:t>Intermediate Parent, the Borrower or any of their respective Subsidiaries shall be due and payable by Holdings, any Intermediate Parent, the Borrower or any of their respective Subsidiaries on the Discounted Prepayment Effective Date in accordance with subsection (F) below (subject to subsection (J) below).</w:t>
      </w:r>
    </w:p>
    <w:p>
      <w:pPr>
        <w:spacing w:after="0" w:line="203" w:lineRule="exact"/>
        <w:rPr>
          <w:sz w:val="20"/>
          <w:szCs w:val="20"/>
          <w:color w:val="auto"/>
        </w:rPr>
      </w:pPr>
    </w:p>
    <w:p>
      <w:pPr>
        <w:jc w:val="both"/>
        <w:ind w:left="220" w:right="40" w:firstLine="647"/>
        <w:spacing w:after="0" w:line="254" w:lineRule="auto"/>
        <w:tabs>
          <w:tab w:leader="none" w:pos="1472"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w:t>
      </w:r>
    </w:p>
    <w:p>
      <w:pPr>
        <w:spacing w:after="0" w:line="3" w:lineRule="exact"/>
        <w:rPr>
          <w:rFonts w:ascii="Times New Roman" w:cs="Times New Roman" w:eastAsia="Times New Roman" w:hAnsi="Times New Roman"/>
          <w:sz w:val="18"/>
          <w:szCs w:val="18"/>
          <w:color w:val="auto"/>
        </w:rPr>
      </w:pPr>
    </w:p>
    <w:p>
      <w:pPr>
        <w:jc w:val="both"/>
        <w:ind w:left="220" w:hanging="1"/>
        <w:spacing w:after="0" w:line="251" w:lineRule="auto"/>
        <w:tabs>
          <w:tab w:leader="none" w:pos="528"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notice shall specify the maximum aggregate principal amount of the relevant Term Loans (the “</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 Amount</w:t>
      </w:r>
      <w:r>
        <w:rPr>
          <w:rFonts w:ascii="Times New Roman" w:cs="Times New Roman" w:eastAsia="Times New Roman" w:hAnsi="Times New Roman"/>
          <w:sz w:val="18"/>
          <w:szCs w:val="18"/>
          <w:color w:val="auto"/>
        </w:rPr>
        <w:t>”), the tranche or tranches of Term Loans subject to such offer and the maximum and minimum percentage discounts to par (the “</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Discount Range Prepayment Response Date</w:t>
      </w:r>
      <w:r>
        <w:rPr>
          <w:rFonts w:ascii="Times New Roman" w:cs="Times New Roman" w:eastAsia="Times New Roman" w:hAnsi="Times New Roman"/>
          <w:sz w:val="18"/>
          <w:szCs w:val="18"/>
          <w:color w:val="auto"/>
        </w:rPr>
        <w:t>”). Each relevant Term Lender’s Discount Range Prepayment Offer shall be irrevocable and shall specify a discount to par within the Discount Range (the “</w:t>
      </w:r>
      <w:r>
        <w:rPr>
          <w:rFonts w:ascii="Times New Roman" w:cs="Times New Roman" w:eastAsia="Times New Roman" w:hAnsi="Times New Roman"/>
          <w:sz w:val="18"/>
          <w:szCs w:val="18"/>
          <w:u w:val="single" w:color="auto"/>
          <w:color w:val="auto"/>
        </w:rPr>
        <w:t>Submitted Discount</w:t>
      </w:r>
      <w:r>
        <w:rPr>
          <w:rFonts w:ascii="Times New Roman" w:cs="Times New Roman" w:eastAsia="Times New Roman" w:hAnsi="Times New Roman"/>
          <w:sz w:val="18"/>
          <w:szCs w:val="18"/>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 w:cs="Times New Roman" w:eastAsia="Times New Roman" w:hAnsi="Times New Roman"/>
          <w:sz w:val="18"/>
          <w:szCs w:val="18"/>
          <w:u w:val="single" w:color="auto"/>
          <w:color w:val="auto"/>
        </w:rPr>
        <w:t>Submitted Amount</w:t>
      </w:r>
      <w:r>
        <w:rPr>
          <w:rFonts w:ascii="Times New Roman" w:cs="Times New Roman" w:eastAsia="Times New Roman" w:hAnsi="Times New Roman"/>
          <w:sz w:val="18"/>
          <w:szCs w:val="18"/>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243" w:lineRule="exact"/>
        <w:rPr>
          <w:sz w:val="20"/>
          <w:szCs w:val="20"/>
          <w:color w:val="auto"/>
        </w:rPr>
      </w:pPr>
    </w:p>
    <w:p>
      <w:pPr>
        <w:jc w:val="both"/>
        <w:ind w:left="220" w:right="20" w:firstLine="647"/>
        <w:spacing w:after="0" w:line="254" w:lineRule="auto"/>
        <w:tabs>
          <w:tab w:leader="none" w:pos="1469"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w:t>
      </w:r>
    </w:p>
    <w:p>
      <w:pPr>
        <w:spacing w:after="0" w:line="3" w:lineRule="exact"/>
        <w:rPr>
          <w:rFonts w:ascii="Times New Roman" w:cs="Times New Roman" w:eastAsia="Times New Roman" w:hAnsi="Times New Roman"/>
          <w:sz w:val="18"/>
          <w:szCs w:val="18"/>
          <w:color w:val="auto"/>
        </w:rPr>
      </w:pPr>
    </w:p>
    <w:p>
      <w:pPr>
        <w:jc w:val="both"/>
        <w:ind w:left="220" w:right="20" w:hanging="1"/>
        <w:spacing w:after="0" w:line="250" w:lineRule="auto"/>
        <w:tabs>
          <w:tab w:leader="none" w:pos="577"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cs="Times New Roman" w:eastAsia="Times New Roman" w:hAnsi="Times New Roman"/>
          <w:sz w:val="18"/>
          <w:szCs w:val="18"/>
          <w:u w:val="single" w:color="auto"/>
          <w:color w:val="auto"/>
        </w:rPr>
        <w:t>Applicable Discount</w:t>
      </w:r>
      <w:r>
        <w:rPr>
          <w:rFonts w:ascii="Times New Roman" w:cs="Times New Roman" w:eastAsia="Times New Roman" w:hAnsi="Times New Roman"/>
          <w:sz w:val="18"/>
          <w:szCs w:val="18"/>
          <w:color w:val="auto"/>
        </w:rPr>
        <w:t>”) which yields a Discounted Term Loan Prepayment in an aggregate principal amount equal to the lower of</w:t>
      </w:r>
    </w:p>
    <w:p>
      <w:pPr>
        <w:spacing w:after="0" w:line="2" w:lineRule="exact"/>
        <w:rPr>
          <w:rFonts w:ascii="Times New Roman" w:cs="Times New Roman" w:eastAsia="Times New Roman" w:hAnsi="Times New Roman"/>
          <w:sz w:val="18"/>
          <w:szCs w:val="18"/>
          <w:color w:val="auto"/>
        </w:rPr>
      </w:pPr>
    </w:p>
    <w:p>
      <w:pPr>
        <w:jc w:val="both"/>
        <w:ind w:left="220" w:right="20" w:hanging="1"/>
        <w:spacing w:after="0" w:line="253" w:lineRule="auto"/>
        <w:tabs>
          <w:tab w:leader="none" w:pos="478"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 w:cs="Times New Roman" w:eastAsia="Times New Roman" w:hAnsi="Times New Roman"/>
          <w:sz w:val="18"/>
          <w:szCs w:val="18"/>
          <w:u w:val="single" w:color="auto"/>
          <w:color w:val="auto"/>
        </w:rPr>
        <w:t>Participating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ectPr>
          <w:pgSz w:w="11900" w:h="16838" w:orient="portrait"/>
          <w:cols w:equalWidth="0" w:num="1">
            <w:col w:w="9640"/>
          </w:cols>
          <w:pgMar w:left="1440" w:top="1417" w:right="819" w:bottom="1440" w:gutter="0" w:footer="0" w:header="0"/>
        </w:sectPr>
      </w:pPr>
    </w:p>
    <w:bookmarkStart w:id="580" w:name="page581"/>
    <w:bookmarkEnd w:id="580"/>
    <w:p>
      <w:pPr>
        <w:jc w:val="both"/>
        <w:ind w:left="220" w:firstLine="647"/>
        <w:spacing w:after="0" w:line="251" w:lineRule="auto"/>
        <w:tabs>
          <w:tab w:leader="none" w:pos="1469"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cs="Times New Roman" w:eastAsia="Times New Roman" w:hAnsi="Times New Roman"/>
          <w:sz w:val="18"/>
          <w:szCs w:val="18"/>
          <w:u w:val="single" w:color="auto"/>
          <w:color w:val="auto"/>
        </w:rPr>
        <w:t>Identified Participating Lenders</w:t>
      </w:r>
      <w:r>
        <w:rPr>
          <w:rFonts w:ascii="Times New Roman" w:cs="Times New Roman" w:eastAsia="Times New Roman" w:hAnsi="Times New Roman"/>
          <w:sz w:val="18"/>
          <w:szCs w:val="18"/>
          <w:color w:val="auto"/>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cs="Times New Roman" w:eastAsia="Times New Roman" w:hAnsi="Times New Roman"/>
          <w:sz w:val="18"/>
          <w:szCs w:val="18"/>
          <w:u w:val="single" w:color="auto"/>
          <w:color w:val="auto"/>
        </w:rPr>
        <w:t>Discount Range Proration</w:t>
      </w:r>
      <w:r>
        <w:rPr>
          <w:rFonts w:ascii="Times New Roman" w:cs="Times New Roman" w:eastAsia="Times New Roman" w:hAnsi="Times New Roman"/>
          <w:sz w:val="18"/>
          <w:szCs w:val="18"/>
          <w:color w:val="auto"/>
        </w:rPr>
        <w:t>”). The Auction Agent shall promptly, and in any case within five (5) 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w:t>
      </w:r>
    </w:p>
    <w:p>
      <w:pPr>
        <w:spacing w:after="0" w:line="260" w:lineRule="exact"/>
        <w:rPr>
          <w:sz w:val="20"/>
          <w:szCs w:val="20"/>
          <w:color w:val="auto"/>
        </w:rPr>
      </w:pPr>
    </w:p>
    <w:p>
      <w:pPr>
        <w:jc w:val="both"/>
        <w:ind w:left="220" w:right="40" w:firstLine="647"/>
        <w:spacing w:after="0" w:line="252" w:lineRule="auto"/>
        <w:tabs>
          <w:tab w:leader="none" w:pos="1469"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 w:cs="Times New Roman" w:eastAsia="Times New Roman" w:hAnsi="Times New Roman"/>
          <w:sz w:val="18"/>
          <w:szCs w:val="18"/>
          <w:u w:val="single" w:color="auto"/>
          <w:color w:val="auto"/>
        </w:rPr>
        <w:t>Solicited Discounted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w:t>
      </w:r>
    </w:p>
    <w:p>
      <w:pPr>
        <w:spacing w:after="0" w:line="3" w:lineRule="exact"/>
        <w:rPr>
          <w:rFonts w:ascii="Times New Roman" w:cs="Times New Roman" w:eastAsia="Times New Roman" w:hAnsi="Times New Roman"/>
          <w:sz w:val="18"/>
          <w:szCs w:val="18"/>
          <w:color w:val="auto"/>
        </w:rPr>
      </w:pPr>
    </w:p>
    <w:p>
      <w:pPr>
        <w:jc w:val="both"/>
        <w:ind w:left="2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Solicited Discounted Prepayment Response Date</w:t>
      </w:r>
      <w:r>
        <w:rPr>
          <w:rFonts w:ascii="Times New Roman" w:cs="Times New Roman" w:eastAsia="Times New Roman" w:hAnsi="Times New Roman"/>
          <w:sz w:val="18"/>
          <w:szCs w:val="18"/>
          <w:color w:val="auto"/>
        </w:rPr>
        <w:t>”). Each Term Lender’s Solicited Discounted Prepayment Offer shall (x) be irrevocable, (y) remain outstanding until the Acceptance Date, and (z) specify both a discount to par (the “</w:t>
      </w:r>
      <w:r>
        <w:rPr>
          <w:rFonts w:ascii="Times New Roman" w:cs="Times New Roman" w:eastAsia="Times New Roman" w:hAnsi="Times New Roman"/>
          <w:sz w:val="18"/>
          <w:szCs w:val="18"/>
          <w:u w:val="single" w:color="auto"/>
          <w:color w:val="auto"/>
        </w:rPr>
        <w:t>Offered Discount</w:t>
      </w:r>
      <w:r>
        <w:rPr>
          <w:rFonts w:ascii="Times New Roman" w:cs="Times New Roman" w:eastAsia="Times New Roman" w:hAnsi="Times New Roman"/>
          <w:sz w:val="18"/>
          <w:szCs w:val="18"/>
          <w:color w:val="auto"/>
        </w:rPr>
        <w:t>”) such Term Lender is willing to allow to be applied to the prepayment of its then outstanding Term Loan and the maximum aggregate principal amount and tranches of such Term Loans (the “</w:t>
      </w:r>
      <w:r>
        <w:rPr>
          <w:rFonts w:ascii="Times New Roman" w:cs="Times New Roman" w:eastAsia="Times New Roman" w:hAnsi="Times New Roman"/>
          <w:sz w:val="18"/>
          <w:szCs w:val="18"/>
          <w:u w:val="single" w:color="auto"/>
          <w:color w:val="auto"/>
        </w:rPr>
        <w:t>Offered Amount</w:t>
      </w:r>
      <w:r>
        <w:rPr>
          <w:rFonts w:ascii="Times New Roman" w:cs="Times New Roman" w:eastAsia="Times New Roman" w:hAnsi="Times New Roman"/>
          <w:sz w:val="18"/>
          <w:szCs w:val="18"/>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ectPr>
          <w:pgSz w:w="11900" w:h="16838" w:orient="portrait"/>
          <w:cols w:equalWidth="0" w:num="1">
            <w:col w:w="9640"/>
          </w:cols>
          <w:pgMar w:left="1440" w:top="1336" w:right="819" w:bottom="1440" w:gutter="0" w:footer="0" w:header="0"/>
        </w:sectPr>
      </w:pPr>
    </w:p>
    <w:bookmarkStart w:id="581" w:name="page582"/>
    <w:bookmarkEnd w:id="581"/>
    <w:p>
      <w:pPr>
        <w:spacing w:after="0" w:line="153" w:lineRule="exact"/>
        <w:rPr>
          <w:sz w:val="20"/>
          <w:szCs w:val="20"/>
          <w:color w:val="auto"/>
        </w:rPr>
      </w:pPr>
    </w:p>
    <w:p>
      <w:pPr>
        <w:jc w:val="both"/>
        <w:ind w:left="220" w:firstLine="647"/>
        <w:spacing w:after="0" w:line="252" w:lineRule="auto"/>
        <w:tabs>
          <w:tab w:leader="none" w:pos="1469"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Times New Roman" w:cs="Times New Roman" w:eastAsia="Times New Roman" w:hAnsi="Times New Roman"/>
          <w:sz w:val="18"/>
          <w:szCs w:val="18"/>
          <w:u w:val="single" w:color="auto"/>
          <w:color w:val="auto"/>
        </w:rPr>
        <w:t>Acceptable Discount</w:t>
      </w:r>
      <w:r>
        <w:rPr>
          <w:rFonts w:ascii="Times New Roman" w:cs="Times New Roman" w:eastAsia="Times New Roman" w:hAnsi="Times New Roman"/>
          <w:sz w:val="18"/>
          <w:szCs w:val="18"/>
          <w:color w:val="auto"/>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Times New Roman" w:cs="Times New Roman" w:eastAsia="Times New Roman" w:hAnsi="Times New Roman"/>
          <w:sz w:val="18"/>
          <w:szCs w:val="18"/>
          <w:u w:val="single" w:color="auto"/>
          <w:color w:val="auto"/>
        </w:rPr>
        <w:t>Acceptance Date</w:t>
      </w:r>
      <w:r>
        <w:rPr>
          <w:rFonts w:ascii="Times New Roman" w:cs="Times New Roman" w:eastAsia="Times New Roman" w:hAnsi="Times New Roman"/>
          <w:sz w:val="18"/>
          <w:szCs w:val="18"/>
          <w:color w:val="auto"/>
        </w:rPr>
        <w:t>”),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spacing w:after="0" w:line="317" w:lineRule="exact"/>
        <w:rPr>
          <w:rFonts w:ascii="Times New Roman" w:cs="Times New Roman" w:eastAsia="Times New Roman" w:hAnsi="Times New Roman"/>
          <w:sz w:val="18"/>
          <w:szCs w:val="18"/>
          <w:color w:val="auto"/>
        </w:rPr>
      </w:pPr>
    </w:p>
    <w:p>
      <w:pPr>
        <w:jc w:val="both"/>
        <w:ind w:left="220" w:right="20" w:firstLine="648"/>
        <w:spacing w:after="0" w:line="251" w:lineRule="auto"/>
        <w:tabs>
          <w:tab w:leader="none" w:pos="1469"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 w:cs="Times New Roman" w:eastAsia="Times New Roman" w:hAnsi="Times New Roman"/>
          <w:sz w:val="18"/>
          <w:szCs w:val="18"/>
          <w:u w:val="single" w:color="auto"/>
          <w:color w:val="auto"/>
        </w:rPr>
        <w:t>Discounted Prepayment Determination Date</w:t>
      </w:r>
      <w:r>
        <w:rPr>
          <w:rFonts w:ascii="Times New Roman" w:cs="Times New Roman" w:eastAsia="Times New Roman" w:hAnsi="Times New Roman"/>
          <w:sz w:val="18"/>
          <w:szCs w:val="18"/>
          <w:color w:val="auto"/>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Times New Roman" w:cs="Times New Roman" w:eastAsia="Times New Roman" w:hAnsi="Times New Roman"/>
          <w:sz w:val="18"/>
          <w:szCs w:val="18"/>
          <w:u w:val="single" w:color="auto"/>
          <w:color w:val="auto"/>
        </w:rPr>
        <w:t>Acceptable Prepayment Amount</w:t>
      </w:r>
      <w:r>
        <w:rPr>
          <w:rFonts w:ascii="Times New Roman" w:cs="Times New Roman" w:eastAsia="Times New Roman" w:hAnsi="Times New Roman"/>
          <w:sz w:val="18"/>
          <w:szCs w:val="18"/>
          <w:color w:val="auto"/>
        </w:rPr>
        <w:t>”) to be prepaid by Holdings, any Intermediate Parent, the Borrower or any of their respective Subsidiaries at the Acceptable Discount in accordance with this Section 2.11(a)(ii)(D). If Holdings, any Intermediate Parent, the Borrower or any of their respective Subsidiaries elects to accept any Acceptable Discount, then Holdings, any Intermediate Parent, the Borrower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xml:space="preserve">”).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cs="Times New Roman" w:eastAsia="Times New Roman" w:hAnsi="Times New Roman"/>
          <w:sz w:val="18"/>
          <w:szCs w:val="18"/>
          <w:u w:val="single" w:color="auto"/>
          <w:color w:val="auto"/>
        </w:rPr>
        <w:t>Identified Qualifying Lenders</w:t>
      </w:r>
      <w:r>
        <w:rPr>
          <w:rFonts w:ascii="Times New Roman" w:cs="Times New Roman" w:eastAsia="Times New Roman" w:hAnsi="Times New Roman"/>
          <w:sz w:val="18"/>
          <w:szCs w:val="18"/>
          <w:color w:val="auto"/>
        </w:rPr>
        <w:t>”) shall be made pro-rata among the Identified Qualifying Lenders in accordance with the Offered Amount of each such Identified 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cs="Times New Roman" w:eastAsia="Times New Roman" w:hAnsi="Times New Roman"/>
          <w:sz w:val="18"/>
          <w:szCs w:val="18"/>
          <w:u w:val="single" w:color="auto"/>
          <w:color w:val="auto"/>
        </w:rPr>
        <w:t>Solicited Discount Proration</w:t>
      </w:r>
      <w:r>
        <w:rPr>
          <w:rFonts w:ascii="Times New Roman" w:cs="Times New Roman" w:eastAsia="Times New Roman" w:hAnsi="Times New Roman"/>
          <w:sz w:val="18"/>
          <w:szCs w:val="18"/>
          <w:color w:val="auto"/>
        </w:rPr>
        <w:t>”). On or prior to the Discounted Prepayment Determination Date, the Auction Agent shall promptly notify (I) 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w:t>
      </w:r>
    </w:p>
    <w:p>
      <w:pPr>
        <w:sectPr>
          <w:pgSz w:w="11900" w:h="16838" w:orient="portrait"/>
          <w:cols w:equalWidth="0" w:num="1">
            <w:col w:w="9620"/>
          </w:cols>
          <w:pgMar w:left="1440" w:top="1440" w:right="839" w:bottom="1440" w:gutter="0" w:footer="0" w:header="0"/>
        </w:sectPr>
      </w:pPr>
    </w:p>
    <w:bookmarkStart w:id="582" w:name="page583"/>
    <w:bookmarkEnd w:id="582"/>
    <w:p>
      <w:pPr>
        <w:jc w:val="both"/>
        <w:ind w:left="220" w:right="40"/>
        <w:spacing w:after="0" w:line="256" w:lineRule="auto"/>
        <w:rPr>
          <w:sz w:val="20"/>
          <w:szCs w:val="20"/>
          <w:color w:val="auto"/>
        </w:rPr>
      </w:pPr>
      <w:r>
        <w:rPr>
          <w:rFonts w:ascii="Times New Roman" w:cs="Times New Roman" w:eastAsia="Times New Roman" w:hAnsi="Times New Roman"/>
          <w:sz w:val="18"/>
          <w:szCs w:val="18"/>
          <w:color w:val="auto"/>
        </w:rPr>
        <w:t>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228" w:lineRule="exact"/>
        <w:rPr>
          <w:sz w:val="20"/>
          <w:szCs w:val="20"/>
          <w:color w:val="auto"/>
        </w:rPr>
      </w:pPr>
    </w:p>
    <w:p>
      <w:pPr>
        <w:jc w:val="both"/>
        <w:ind w:left="220" w:right="40" w:firstLine="648"/>
        <w:spacing w:after="0" w:line="261" w:lineRule="auto"/>
        <w:tabs>
          <w:tab w:leader="none" w:pos="1476"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w:t>
      </w:r>
    </w:p>
    <w:p>
      <w:pPr>
        <w:spacing w:after="0" w:line="206" w:lineRule="exact"/>
        <w:rPr>
          <w:rFonts w:ascii="Times New Roman" w:cs="Times New Roman" w:eastAsia="Times New Roman" w:hAnsi="Times New Roman"/>
          <w:sz w:val="18"/>
          <w:szCs w:val="18"/>
          <w:color w:val="auto"/>
        </w:rPr>
      </w:pPr>
    </w:p>
    <w:p>
      <w:pPr>
        <w:jc w:val="both"/>
        <w:ind w:left="220" w:firstLine="648"/>
        <w:spacing w:after="0" w:line="253" w:lineRule="auto"/>
        <w:tabs>
          <w:tab w:leader="none" w:pos="1479"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Loan is prepaid in accordance with paragraphs (B) through (D)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227" w:lineRule="exact"/>
        <w:rPr>
          <w:rFonts w:ascii="Times New Roman" w:cs="Times New Roman" w:eastAsia="Times New Roman" w:hAnsi="Times New Roman"/>
          <w:sz w:val="18"/>
          <w:szCs w:val="18"/>
          <w:color w:val="auto"/>
        </w:rPr>
      </w:pPr>
    </w:p>
    <w:p>
      <w:pPr>
        <w:jc w:val="both"/>
        <w:ind w:left="220" w:right="20" w:firstLine="648"/>
        <w:spacing w:after="0" w:line="261" w:lineRule="auto"/>
        <w:tabs>
          <w:tab w:leader="none" w:pos="1469"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w:t>
      </w:r>
    </w:p>
    <w:p>
      <w:pPr>
        <w:spacing w:after="0" w:line="220" w:lineRule="exact"/>
        <w:rPr>
          <w:rFonts w:ascii="Times New Roman" w:cs="Times New Roman" w:eastAsia="Times New Roman" w:hAnsi="Times New Roman"/>
          <w:sz w:val="18"/>
          <w:szCs w:val="18"/>
          <w:color w:val="auto"/>
        </w:rPr>
      </w:pPr>
    </w:p>
    <w:p>
      <w:pPr>
        <w:jc w:val="both"/>
        <w:ind w:left="220" w:right="40" w:firstLine="648"/>
        <w:spacing w:after="0" w:line="258" w:lineRule="auto"/>
        <w:tabs>
          <w:tab w:leader="none" w:pos="1469"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any First Lien Loan Document to the contrary, for purposes of this Section 2.11(a) (ii),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actually received outside of normal business hours shall be deemed to have been given as of the opening of business on the next Business Day.</w:t>
      </w:r>
    </w:p>
    <w:p>
      <w:pPr>
        <w:spacing w:after="0" w:line="291" w:lineRule="exact"/>
        <w:rPr>
          <w:rFonts w:ascii="Times New Roman" w:cs="Times New Roman" w:eastAsia="Times New Roman" w:hAnsi="Times New Roman"/>
          <w:sz w:val="18"/>
          <w:szCs w:val="18"/>
          <w:color w:val="auto"/>
        </w:rPr>
      </w:pPr>
    </w:p>
    <w:p>
      <w:pPr>
        <w:jc w:val="both"/>
        <w:ind w:left="220" w:right="40" w:firstLine="648"/>
        <w:spacing w:after="0" w:line="254" w:lineRule="auto"/>
        <w:tabs>
          <w:tab w:leader="none" w:pos="1480"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 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w:t>
      </w:r>
    </w:p>
    <w:p>
      <w:pPr>
        <w:sectPr>
          <w:pgSz w:w="11900" w:h="16838" w:orient="portrait"/>
          <w:cols w:equalWidth="0" w:num="1">
            <w:col w:w="9640"/>
          </w:cols>
          <w:pgMar w:left="1440" w:top="1417" w:right="819" w:bottom="1440" w:gutter="0" w:footer="0" w:header="0"/>
        </w:sectPr>
      </w:pPr>
    </w:p>
    <w:bookmarkStart w:id="583" w:name="page584"/>
    <w:bookmarkEnd w:id="583"/>
    <w:p>
      <w:pPr>
        <w:jc w:val="both"/>
        <w:ind w:left="649" w:right="40"/>
        <w:spacing w:after="0" w:line="261" w:lineRule="auto"/>
        <w:rPr>
          <w:sz w:val="20"/>
          <w:szCs w:val="20"/>
          <w:color w:val="auto"/>
        </w:rPr>
      </w:pPr>
      <w:r>
        <w:rPr>
          <w:rFonts w:ascii="Times New Roman" w:cs="Times New Roman" w:eastAsia="Times New Roman" w:hAnsi="Times New Roman"/>
          <w:sz w:val="18"/>
          <w:szCs w:val="18"/>
          <w:color w:val="auto"/>
        </w:rPr>
        <w:t>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 Section 7.01 or otherwise).</w:t>
      </w:r>
    </w:p>
    <w:p>
      <w:pPr>
        <w:spacing w:after="0" w:line="220" w:lineRule="exact"/>
        <w:rPr>
          <w:sz w:val="20"/>
          <w:szCs w:val="20"/>
          <w:color w:val="auto"/>
        </w:rPr>
      </w:pPr>
    </w:p>
    <w:p>
      <w:pPr>
        <w:jc w:val="both"/>
        <w:ind w:left="9" w:firstLine="1288"/>
        <w:spacing w:after="0" w:line="261" w:lineRule="auto"/>
        <w:tabs>
          <w:tab w:leader="none" w:pos="1906" w:val="left"/>
        </w:tabs>
        <w:numPr>
          <w:ilvl w:val="2"/>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 Section 2.05(j)) in an aggregate amount necessary to eliminate such excess.</w:t>
      </w:r>
    </w:p>
    <w:p>
      <w:pPr>
        <w:spacing w:after="0" w:line="206" w:lineRule="exact"/>
        <w:rPr>
          <w:rFonts w:ascii="Times New Roman" w:cs="Times New Roman" w:eastAsia="Times New Roman" w:hAnsi="Times New Roman"/>
          <w:sz w:val="18"/>
          <w:szCs w:val="18"/>
          <w:color w:val="auto"/>
        </w:rPr>
      </w:pPr>
    </w:p>
    <w:p>
      <w:pPr>
        <w:jc w:val="both"/>
        <w:ind w:left="9" w:right="20" w:firstLine="1287"/>
        <w:spacing w:after="0" w:line="261" w:lineRule="auto"/>
        <w:tabs>
          <w:tab w:leader="none" w:pos="1910" w:val="left"/>
        </w:tabs>
        <w:numPr>
          <w:ilvl w:val="2"/>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any Net Proceeds are received by or on behalf of the Borrower or its Restricted Subsidiaries in respect of any Prepayment Event described in clause (a) of the definition thereof, the Borrower shall, within five</w:t>
      </w:r>
    </w:p>
    <w:p>
      <w:pPr>
        <w:jc w:val="both"/>
        <w:ind w:left="9" w:right="20" w:hanging="9"/>
        <w:spacing w:after="0" w:line="250" w:lineRule="auto"/>
        <w:tabs>
          <w:tab w:leader="none" w:pos="273"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such Net Proceeds are received (or, in the case of a Prepayment Event described in clause (b) of the definition of “Prepayment Event,” on the date of such Prepayment Event), prepay Term Borrowings in an aggregate amount equal to </w:t>
      </w:r>
      <w:r>
        <w:rPr>
          <w:rFonts w:ascii="Times New Roman" w:cs="Times New Roman" w:eastAsia="Times New Roman" w:hAnsi="Times New Roman"/>
          <w:sz w:val="18"/>
          <w:szCs w:val="18"/>
          <w:color w:val="FF0000"/>
          <w:strike w:val="1"/>
        </w:rPr>
        <w:t>100%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amount of</w:t>
      </w:r>
      <w:r>
        <w:rPr>
          <w:rFonts w:ascii="Times New Roman" w:cs="Times New Roman" w:eastAsia="Times New Roman" w:hAnsi="Times New Roman"/>
          <w:sz w:val="18"/>
          <w:szCs w:val="18"/>
          <w:u w:val="single" w:color="auto"/>
          <w:color w:val="0000FF"/>
        </w:rPr>
        <w:t>the Asset Sale Percentage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such Net Proceeds;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in the case of any event described in clause (a) of the definition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w:t>
      </w:r>
      <w:r>
        <w:rPr>
          <w:rFonts w:ascii="Times New Roman" w:cs="Times New Roman" w:eastAsia="Times New Roman" w:hAnsi="Times New Roman"/>
          <w:sz w:val="18"/>
          <w:szCs w:val="18"/>
          <w:color w:val="FF0000"/>
          <w:strike w:val="1"/>
        </w:rPr>
        <w:t>12</w:t>
      </w:r>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00"/>
        </w:rPr>
        <w:t xml:space="preserve">-month period (or if committed to be so invested within such </w:t>
      </w:r>
      <w:r>
        <w:rPr>
          <w:rFonts w:ascii="Times New Roman" w:cs="Times New Roman" w:eastAsia="Times New Roman" w:hAnsi="Times New Roman"/>
          <w:sz w:val="18"/>
          <w:szCs w:val="18"/>
          <w:color w:val="FF0000"/>
          <w:strike w:val="1"/>
        </w:rPr>
        <w:t>12</w:t>
      </w:r>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00"/>
        </w:rPr>
        <w:t xml:space="preserve">-month period, have not been so invested within </w:t>
      </w:r>
      <w:r>
        <w:rPr>
          <w:rFonts w:ascii="Times New Roman" w:cs="Times New Roman" w:eastAsia="Times New Roman" w:hAnsi="Times New Roman"/>
          <w:sz w:val="18"/>
          <w:szCs w:val="18"/>
          <w:color w:val="FF0000"/>
          <w:strike w:val="1"/>
        </w:rPr>
        <w:t>18</w:t>
      </w:r>
      <w:r>
        <w:rPr>
          <w:rFonts w:ascii="Times New Roman" w:cs="Times New Roman" w:eastAsia="Times New Roman" w:hAnsi="Times New Roman"/>
          <w:sz w:val="18"/>
          <w:szCs w:val="18"/>
          <w:u w:val="single" w:color="auto"/>
          <w:color w:val="0000FF"/>
        </w:rPr>
        <w:t>24</w:t>
      </w:r>
      <w:r>
        <w:rPr>
          <w:rFonts w:ascii="Times New Roman" w:cs="Times New Roman" w:eastAsia="Times New Roman" w:hAnsi="Times New Roman"/>
          <w:sz w:val="18"/>
          <w:szCs w:val="18"/>
          <w:color w:val="000000"/>
        </w:rPr>
        <w:t xml:space="preserve"> months after receipt thereof), at which time a prepayment shall be required in an amount equal to such Net Proceeds that have not been so invested (or committed to be invested);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the Borrower may use a portion of such Net Proceeds to prepay or repurchase any other Indebtedness that is secured by the Collateral on a </w:t>
      </w:r>
      <w:r>
        <w:rPr>
          <w:rFonts w:ascii="Times New Roman" w:cs="Times New Roman" w:eastAsia="Times New Roman" w:hAnsi="Times New Roman"/>
          <w:sz w:val="18"/>
          <w:szCs w:val="18"/>
          <w:u w:val="single" w:color="auto"/>
          <w:color w:val="000000"/>
        </w:rPr>
        <w:t>pari passu</w:t>
      </w:r>
      <w:r>
        <w:rPr>
          <w:rFonts w:ascii="Times New Roman" w:cs="Times New Roman" w:eastAsia="Times New Roman" w:hAnsi="Times New Roman"/>
          <w:sz w:val="18"/>
          <w:szCs w:val="18"/>
          <w:color w:val="000000"/>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w:t>
      </w:r>
    </w:p>
    <w:p>
      <w:pPr>
        <w:spacing w:after="0" w:line="5" w:lineRule="exact"/>
        <w:rPr>
          <w:rFonts w:ascii="Times New Roman" w:cs="Times New Roman" w:eastAsia="Times New Roman" w:hAnsi="Times New Roman"/>
          <w:sz w:val="18"/>
          <w:szCs w:val="18"/>
          <w:color w:val="auto"/>
        </w:rPr>
      </w:pPr>
    </w:p>
    <w:p>
      <w:pPr>
        <w:ind w:left="9"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 fraction, the numerator of which is the outstanding principal amount of such other Indebtedness and the denominator of which is the aggregate outstanding principal amount of Term Loans and such other Indebtedness.</w:t>
      </w:r>
    </w:p>
    <w:p>
      <w:pPr>
        <w:spacing w:after="0" w:line="235" w:lineRule="exact"/>
        <w:rPr>
          <w:rFonts w:ascii="Times New Roman" w:cs="Times New Roman" w:eastAsia="Times New Roman" w:hAnsi="Times New Roman"/>
          <w:sz w:val="18"/>
          <w:szCs w:val="18"/>
          <w:color w:val="auto"/>
        </w:rPr>
      </w:pPr>
    </w:p>
    <w:p>
      <w:pPr>
        <w:jc w:val="both"/>
        <w:ind w:left="9" w:right="40" w:firstLine="1287"/>
        <w:spacing w:after="0" w:line="289" w:lineRule="auto"/>
        <w:tabs>
          <w:tab w:leader="none" w:pos="1906" w:val="left"/>
        </w:tabs>
        <w:numPr>
          <w:ilvl w:val="2"/>
          <w:numId w:val="6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the end of each fiscal year of the Borrower, commencing with the fiscal year ending December 31, </w:t>
      </w:r>
      <w:r>
        <w:rPr>
          <w:rFonts w:ascii="Times New Roman" w:cs="Times New Roman" w:eastAsia="Times New Roman" w:hAnsi="Times New Roman"/>
          <w:sz w:val="17"/>
          <w:szCs w:val="17"/>
          <w:color w:val="FF0000"/>
          <w:strike w:val="1"/>
        </w:rPr>
        <w:t>2020</w:t>
      </w:r>
      <w:r>
        <w:rPr>
          <w:rFonts w:ascii="Times New Roman" w:cs="Times New Roman" w:eastAsia="Times New Roman" w:hAnsi="Times New Roman"/>
          <w:sz w:val="17"/>
          <w:szCs w:val="17"/>
          <w:u w:val="single" w:color="auto"/>
          <w:color w:val="0000FF"/>
        </w:rPr>
        <w:t>2024</w:t>
      </w:r>
      <w:r>
        <w:rPr>
          <w:rFonts w:ascii="Times New Roman" w:cs="Times New Roman" w:eastAsia="Times New Roman" w:hAnsi="Times New Roman"/>
          <w:sz w:val="17"/>
          <w:szCs w:val="17"/>
          <w:color w:val="000000"/>
        </w:rPr>
        <w:t>, the Borrower shall prepay Term Borrowings in an aggregate amount equal to the ECF Percentage of Excess Cash Flow for such</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fiscal year;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such amount shall, at the option of the Borrower, be reduced on a dollar-for-dollar basis for such fiscal year by:</w:t>
      </w:r>
    </w:p>
    <w:p>
      <w:pPr>
        <w:spacing w:after="0" w:line="184" w:lineRule="exact"/>
        <w:rPr>
          <w:rFonts w:ascii="Times New Roman" w:cs="Times New Roman" w:eastAsia="Times New Roman" w:hAnsi="Times New Roman"/>
          <w:sz w:val="17"/>
          <w:szCs w:val="17"/>
          <w:color w:val="auto"/>
        </w:rPr>
      </w:pPr>
    </w:p>
    <w:p>
      <w:pPr>
        <w:jc w:val="both"/>
        <w:ind w:left="9" w:firstLine="727"/>
        <w:spacing w:after="0" w:line="253" w:lineRule="auto"/>
        <w:tabs>
          <w:tab w:leader="none" w:pos="1266"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prepayments and repurchases of (A) Term Loans (and, to the extent the Revolving Commitments are reduced in a corresponding amount pursuant to Section 2.08, Revolving Loans) made pursuant to Section 2.11(a) or otherwise in a manner not prohibited by Section 9.04(g) during such fiscal year or after such fiscal year and on or prior to the time such prepayment is due (without duplication to subsequent years) as provided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(provided that in the case of the prepayment of any revolving commitments, there is a corresponding reduction in commitments) (excluding all such prepayments funded with the proceeds of other Indebtedness (other than the Revolving Loans) or the issuance of Equity Interests). Each prepayment pursuant to this paragraph shall be made on or before the date that is ten (10) days after the date on which financial statements are required to be delivered pursuant to Section 5.01 with respect to the fiscal year for which Excess Cash Flow is being calculated;</w:t>
      </w:r>
    </w:p>
    <w:p>
      <w:pPr>
        <w:sectPr>
          <w:pgSz w:w="11900" w:h="16838" w:orient="portrait"/>
          <w:cols w:equalWidth="0" w:num="1">
            <w:col w:w="10069"/>
          </w:cols>
          <w:pgMar w:left="1011" w:top="1417" w:right="819" w:bottom="1440" w:gutter="0" w:footer="0" w:header="0"/>
        </w:sectPr>
      </w:pPr>
    </w:p>
    <w:bookmarkStart w:id="584" w:name="page585"/>
    <w:bookmarkEnd w:id="584"/>
    <w:p>
      <w:pPr>
        <w:jc w:val="both"/>
        <w:ind w:right="60" w:firstLine="678"/>
        <w:spacing w:after="0" w:line="261" w:lineRule="auto"/>
        <w:tabs>
          <w:tab w:leader="none" w:pos="1257"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the Revolving Loans);</w:t>
      </w:r>
    </w:p>
    <w:p>
      <w:pPr>
        <w:spacing w:after="0" w:line="220" w:lineRule="exact"/>
        <w:rPr>
          <w:rFonts w:ascii="Times New Roman" w:cs="Times New Roman" w:eastAsia="Times New Roman" w:hAnsi="Times New Roman"/>
          <w:sz w:val="18"/>
          <w:szCs w:val="18"/>
          <w:color w:val="auto"/>
        </w:rPr>
      </w:pPr>
    </w:p>
    <w:p>
      <w:pPr>
        <w:jc w:val="both"/>
        <w:ind w:right="20" w:firstLine="628"/>
        <w:spacing w:after="0" w:line="258" w:lineRule="auto"/>
        <w:tabs>
          <w:tab w:leader="none" w:pos="1258"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long-term Indebtedness of the Borrower or the Restricted Subsidiaries (other than the Revolving Loans);</w:t>
      </w:r>
    </w:p>
    <w:p>
      <w:pPr>
        <w:spacing w:after="0" w:line="223" w:lineRule="exact"/>
        <w:rPr>
          <w:rFonts w:ascii="Times New Roman" w:cs="Times New Roman" w:eastAsia="Times New Roman" w:hAnsi="Times New Roman"/>
          <w:sz w:val="18"/>
          <w:szCs w:val="18"/>
          <w:color w:val="auto"/>
        </w:rPr>
      </w:pPr>
    </w:p>
    <w:p>
      <w:pPr>
        <w:jc w:val="both"/>
        <w:ind w:right="40" w:firstLine="636"/>
        <w:spacing w:after="0" w:line="258" w:lineRule="auto"/>
        <w:tabs>
          <w:tab w:leader="none" w:pos="1256"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such fiscal year and on or prior to the 90th day after the end of such fiscal year, except to the extent that such dividends and Restricted Payments were financed with the proceeds of long-term Indebtedness of the Borrower or the Restricted Subsidiaries (other than the Revolving Loans); and</w:t>
      </w:r>
    </w:p>
    <w:p>
      <w:pPr>
        <w:spacing w:after="0" w:line="223" w:lineRule="exact"/>
        <w:rPr>
          <w:rFonts w:ascii="Times New Roman" w:cs="Times New Roman" w:eastAsia="Times New Roman" w:hAnsi="Times New Roman"/>
          <w:sz w:val="18"/>
          <w:szCs w:val="18"/>
          <w:color w:val="auto"/>
        </w:rPr>
      </w:pPr>
    </w:p>
    <w:p>
      <w:pPr>
        <w:jc w:val="both"/>
        <w:ind w:firstLine="686"/>
        <w:spacing w:after="0" w:line="253" w:lineRule="auto"/>
        <w:tabs>
          <w:tab w:leader="none" w:pos="1255"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the Revolving Loans)) is less than the Contract Consideration and Planned Expenditures, the amount of such shortfall shall be added to the calculation of Excess Cash Flow at the end of such subsequent fiscal year.</w:t>
      </w:r>
    </w:p>
    <w:p>
      <w:pPr>
        <w:spacing w:after="0" w:line="228"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foregoing, at the Borrower’s option, any voluntary prepayments, capital expenditures, Investments, acquisitions, dividends and other Restricted Payments under clauses (i) through (iv) above that have not been applied to reduce the payments which may be due 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 such payments which may be due from time to time). The Borrower or any Restricted Subsidiary, as the case may 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 amount so invested to be applied pursuant to and in accordance with clause (b) above with respect to such Disposition.</w:t>
      </w:r>
    </w:p>
    <w:p>
      <w:pPr>
        <w:spacing w:after="0" w:line="302" w:lineRule="exact"/>
        <w:rPr>
          <w:sz w:val="20"/>
          <w:szCs w:val="20"/>
          <w:color w:val="auto"/>
        </w:rPr>
      </w:pPr>
    </w:p>
    <w:p>
      <w:pPr>
        <w:jc w:val="both"/>
        <w:ind w:right="20" w:firstLine="1287"/>
        <w:spacing w:after="0" w:line="258" w:lineRule="auto"/>
        <w:tabs>
          <w:tab w:leader="none" w:pos="1901"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w:t>
      </w:r>
    </w:p>
    <w:p>
      <w:pPr>
        <w:sectPr>
          <w:pgSz w:w="11900" w:h="16838" w:orient="portrait"/>
          <w:cols w:equalWidth="0" w:num="1">
            <w:col w:w="10060"/>
          </w:cols>
          <w:pgMar w:left="1020" w:top="1336" w:right="819" w:bottom="1440" w:gutter="0" w:footer="0" w:header="0"/>
        </w:sectPr>
      </w:pPr>
    </w:p>
    <w:bookmarkStart w:id="585" w:name="page586"/>
    <w:bookmarkEnd w:id="585"/>
    <w:p>
      <w:pPr>
        <w:jc w:val="both"/>
        <w:ind w:left="9"/>
        <w:spacing w:after="0" w:line="251" w:lineRule="auto"/>
        <w:rPr>
          <w:sz w:val="20"/>
          <w:szCs w:val="20"/>
          <w:color w:val="auto"/>
        </w:rPr>
      </w:pPr>
      <w:r>
        <w:rPr>
          <w:rFonts w:ascii="Times New Roman" w:cs="Times New Roman" w:eastAsia="Times New Roman" w:hAnsi="Times New Roman"/>
          <w:sz w:val="18"/>
          <w:szCs w:val="18"/>
          <w:color w:val="auto"/>
        </w:rPr>
        <w:t xml:space="preserve">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w:t>
      </w:r>
      <w:r>
        <w:rPr>
          <w:rFonts w:ascii="Times New Roman" w:cs="Times New Roman" w:eastAsia="Times New Roman" w:hAnsi="Times New Roman"/>
          <w:sz w:val="18"/>
          <w:szCs w:val="18"/>
          <w:color w:val="FF0000"/>
          <w:strike w:val="1"/>
        </w:rPr>
        <w:t>, subject to any requirement to repay Second Lien Notes under the Second Lien Debt Documents,</w:t>
      </w:r>
      <w:r>
        <w:rPr>
          <w:rFonts w:ascii="Times New Roman" w:cs="Times New Roman" w:eastAsia="Times New Roman" w:hAnsi="Times New Roman"/>
          <w:sz w:val="18"/>
          <w:szCs w:val="18"/>
          <w:color w:val="auto"/>
        </w:rPr>
        <w:t xml:space="preserve"> be retained by the Borrower (such amounts, “</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xml:space="preserve">”). An amount equal to any portion of a mandatory prepayment of Term Borrowings that is declined by the Lenders under this Section 2.11(e) may, to the extent not prohibited hereunder or under the documentation governing the </w:t>
      </w:r>
      <w:r>
        <w:rPr>
          <w:rFonts w:ascii="Times New Roman" w:cs="Times New Roman" w:eastAsia="Times New Roman" w:hAnsi="Times New Roman"/>
          <w:sz w:val="18"/>
          <w:szCs w:val="18"/>
          <w:color w:val="FF0000"/>
          <w:strike w:val="1"/>
        </w:rPr>
        <w:t>Permitted Second Priority Refinancing Debt</w:t>
      </w:r>
      <w:r>
        <w:rPr>
          <w:rFonts w:ascii="Times New Roman" w:cs="Times New Roman" w:eastAsia="Times New Roman" w:hAnsi="Times New Roman"/>
          <w:sz w:val="18"/>
          <w:szCs w:val="18"/>
          <w:u w:val="single" w:color="auto"/>
          <w:color w:val="0000FF"/>
        </w:rPr>
        <w:t>Senior Secured Notes</w:t>
      </w:r>
      <w:r>
        <w:rPr>
          <w:rFonts w:ascii="Times New Roman" w:cs="Times New Roman" w:eastAsia="Times New Roman" w:hAnsi="Times New Roman"/>
          <w:sz w:val="18"/>
          <w:szCs w:val="18"/>
          <w:color w:val="auto"/>
        </w:rPr>
        <w:t xml:space="preserve"> or First Lien Pari Passu Intercreditor Agreement (if applicable), be applied by the Borrower to </w:t>
      </w:r>
      <w:r>
        <w:rPr>
          <w:rFonts w:ascii="Times New Roman" w:cs="Times New Roman" w:eastAsia="Times New Roman" w:hAnsi="Times New Roman"/>
          <w:sz w:val="18"/>
          <w:szCs w:val="18"/>
          <w:color w:val="FF0000"/>
          <w:strike w:val="1"/>
        </w:rPr>
        <w:t>prepay the Second Lien Facilities</w:t>
      </w:r>
      <w:r>
        <w:rPr>
          <w:rFonts w:ascii="Times New Roman" w:cs="Times New Roman" w:eastAsia="Times New Roman" w:hAnsi="Times New Roman"/>
          <w:sz w:val="18"/>
          <w:szCs w:val="18"/>
          <w:u w:val="single" w:color="auto"/>
          <w:color w:val="0000FF"/>
        </w:rPr>
        <w:t>redeem the Senior Secured Notes</w:t>
      </w:r>
      <w:r>
        <w:rPr>
          <w:rFonts w:ascii="Times New Roman" w:cs="Times New Roman" w:eastAsia="Times New Roman" w:hAnsi="Times New Roman"/>
          <w:sz w:val="18"/>
          <w:szCs w:val="18"/>
          <w:color w:val="auto"/>
        </w:rPr>
        <w:t xml:space="preserve"> (and Permitted Refinancings thereof) pursuant to the </w:t>
      </w:r>
      <w:r>
        <w:rPr>
          <w:rFonts w:ascii="Times New Roman" w:cs="Times New Roman" w:eastAsia="Times New Roman" w:hAnsi="Times New Roman"/>
          <w:sz w:val="18"/>
          <w:szCs w:val="18"/>
          <w:color w:val="FF0000"/>
          <w:strike w:val="1"/>
        </w:rPr>
        <w:t>Second Lien Debt</w:t>
      </w:r>
      <w:r>
        <w:rPr>
          <w:rFonts w:ascii="Times New Roman" w:cs="Times New Roman" w:eastAsia="Times New Roman" w:hAnsi="Times New Roman"/>
          <w:sz w:val="18"/>
          <w:szCs w:val="18"/>
          <w:u w:val="single" w:color="auto"/>
          <w:color w:val="0000FF"/>
        </w:rPr>
        <w:t>Senior Secured Notes</w:t>
      </w:r>
      <w:r>
        <w:rPr>
          <w:rFonts w:ascii="Times New Roman" w:cs="Times New Roman" w:eastAsia="Times New Roman" w:hAnsi="Times New Roman"/>
          <w:sz w:val="18"/>
          <w:szCs w:val="18"/>
          <w:color w:val="auto"/>
        </w:rPr>
        <w:t xml:space="preserve">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Term Benchmark Loans.</w:t>
      </w:r>
    </w:p>
    <w:p>
      <w:pPr>
        <w:spacing w:after="0" w:line="245" w:lineRule="exact"/>
        <w:rPr>
          <w:sz w:val="20"/>
          <w:szCs w:val="20"/>
          <w:color w:val="auto"/>
        </w:rPr>
      </w:pPr>
    </w:p>
    <w:p>
      <w:pPr>
        <w:jc w:val="both"/>
        <w:ind w:left="9" w:firstLine="1287"/>
        <w:spacing w:after="0" w:line="253" w:lineRule="auto"/>
        <w:tabs>
          <w:tab w:leader="none" w:pos="1917"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Term Benchmark Borrowing or RFR Borrowing denominated in Dollars or Canadian Dollars, not later than 11:00 a.m., New York City time, three (3) Business Days before the date of prepayment (or, in the sole discretion of the First Lien Administrative Agent, one (1) Business Day), (ii) in the case of prepayment of an ABR Borrowing, not later than 11:00 a.m., New York City time, one (1) Business Day before the date of prepayment, (iii) in the case of prepayment of a SONIA Borrowing, not later than 11:00 a.m., London, England time, five (5) Business Days before the date of prepayment (or, in the sole discretion of the First Lien Administrative Agent, one (1) Business Day) or</w:t>
      </w:r>
    </w:p>
    <w:p>
      <w:pPr>
        <w:ind w:left="309" w:hanging="309"/>
        <w:spacing w:after="0"/>
        <w:tabs>
          <w:tab w:leader="none" w:pos="309"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prepayment of Term Benchmark Borrowing denominated in Euro, not later than 12:00 p.m., New York City time, three</w:t>
      </w:r>
    </w:p>
    <w:p>
      <w:pPr>
        <w:spacing w:after="0" w:line="9" w:lineRule="exact"/>
        <w:rPr>
          <w:rFonts w:ascii="Times New Roman" w:cs="Times New Roman" w:eastAsia="Times New Roman" w:hAnsi="Times New Roman"/>
          <w:sz w:val="18"/>
          <w:szCs w:val="18"/>
          <w:color w:val="auto"/>
        </w:rPr>
      </w:pPr>
    </w:p>
    <w:p>
      <w:pPr>
        <w:jc w:val="both"/>
        <w:ind w:left="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w:t>
      </w:r>
    </w:p>
    <w:p>
      <w:pPr>
        <w:sectPr>
          <w:pgSz w:w="11900" w:h="16838" w:orient="portrait"/>
          <w:cols w:equalWidth="0" w:num="1">
            <w:col w:w="10069"/>
          </w:cols>
          <w:pgMar w:left="1011" w:top="1417" w:right="819" w:bottom="1440" w:gutter="0" w:footer="0" w:header="0"/>
        </w:sectPr>
      </w:pPr>
    </w:p>
    <w:bookmarkStart w:id="586" w:name="page587"/>
    <w:bookmarkEnd w:id="586"/>
    <w:p>
      <w:pPr>
        <w:jc w:val="both"/>
        <w:spacing w:after="0" w:line="266" w:lineRule="auto"/>
        <w:rPr>
          <w:sz w:val="20"/>
          <w:szCs w:val="20"/>
          <w:color w:val="auto"/>
        </w:rPr>
      </w:pPr>
      <w:r>
        <w:rPr>
          <w:rFonts w:ascii="Times New Roman" w:cs="Times New Roman" w:eastAsia="Times New Roman" w:hAnsi="Times New Roman"/>
          <w:sz w:val="18"/>
          <w:szCs w:val="18"/>
          <w:color w:val="auto"/>
        </w:rPr>
        <w:t>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w:t>
      </w:r>
    </w:p>
    <w:p>
      <w:pPr>
        <w:spacing w:after="0" w:line="203" w:lineRule="exact"/>
        <w:rPr>
          <w:sz w:val="20"/>
          <w:szCs w:val="20"/>
          <w:color w:val="auto"/>
        </w:rPr>
      </w:pPr>
    </w:p>
    <w:p>
      <w:pPr>
        <w:jc w:val="both"/>
        <w:ind w:right="40" w:firstLine="1287"/>
        <w:spacing w:after="0" w:line="251" w:lineRule="auto"/>
        <w:tabs>
          <w:tab w:leader="none" w:pos="1897"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Times New Roman" w:cs="Times New Roman" w:eastAsia="Times New Roman" w:hAnsi="Times New Roman"/>
          <w:sz w:val="18"/>
          <w:szCs w:val="18"/>
          <w:u w:val="single" w:color="auto"/>
          <w:color w:val="auto"/>
        </w:rPr>
        <w:t>Restricted Prepayment Event</w:t>
      </w:r>
      <w:r>
        <w:rPr>
          <w:rFonts w:ascii="Times New Roman" w:cs="Times New Roman" w:eastAsia="Times New Roman" w:hAnsi="Times New Roman"/>
          <w:sz w:val="18"/>
          <w:szCs w:val="18"/>
          <w:color w:val="auto"/>
        </w:rPr>
        <w:t xml:space="preserve">”)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 (B) to the extent that and for so long as the Borrower has determined in good faith that repatriation of any of or all the Net Proceeds of any Restricted Prepayment Event or Excess Cash Flow would have a material 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 (C)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w:t>
      </w:r>
    </w:p>
    <w:p>
      <w:pPr>
        <w:spacing w:after="0" w:line="25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40" w:firstLine="1288"/>
        <w:spacing w:after="0" w:line="271" w:lineRule="auto"/>
        <w:tabs>
          <w:tab w:leader="none" w:pos="1901" w:val="left"/>
        </w:tabs>
        <w:numPr>
          <w:ilvl w:val="0"/>
          <w:numId w:val="6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294" w:lineRule="exact"/>
        <w:rPr>
          <w:rFonts w:ascii="Times New Roman" w:cs="Times New Roman" w:eastAsia="Times New Roman" w:hAnsi="Times New Roman"/>
          <w:sz w:val="17"/>
          <w:szCs w:val="17"/>
          <w:color w:val="auto"/>
        </w:rPr>
      </w:pPr>
    </w:p>
    <w:p>
      <w:pPr>
        <w:jc w:val="both"/>
        <w:ind w:firstLine="1288"/>
        <w:spacing w:after="0" w:line="258" w:lineRule="auto"/>
        <w:tabs>
          <w:tab w:leader="none" w:pos="1897"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(i) to the First Lien Administrative Agent in Dollars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w:t>
      </w:r>
    </w:p>
    <w:p>
      <w:pPr>
        <w:sectPr>
          <w:pgSz w:w="11900" w:h="16838" w:orient="portrait"/>
          <w:cols w:equalWidth="0" w:num="1">
            <w:col w:w="10060"/>
          </w:cols>
          <w:pgMar w:left="1020" w:top="1349" w:right="819" w:bottom="1440" w:gutter="0" w:footer="0" w:header="0"/>
        </w:sectPr>
      </w:pPr>
    </w:p>
    <w:bookmarkStart w:id="587" w:name="page588"/>
    <w:bookmarkEnd w:id="58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35" w:lineRule="exact"/>
        <w:rPr>
          <w:sz w:val="20"/>
          <w:szCs w:val="20"/>
          <w:color w:val="auto"/>
        </w:rPr>
      </w:pPr>
    </w:p>
    <w:p>
      <w:pPr>
        <w:ind w:right="60" w:firstLine="1288"/>
        <w:spacing w:after="0" w:line="282" w:lineRule="auto"/>
        <w:tabs>
          <w:tab w:leader="none" w:pos="1901"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First Lien Administrative Agent, for its own account, fees payable in the amounts and at the times separately agreed upon between the Borrower and the First Lien Administrative Agent.</w:t>
      </w:r>
    </w:p>
    <w:p>
      <w:pPr>
        <w:spacing w:after="0" w:line="202" w:lineRule="exact"/>
        <w:rPr>
          <w:rFonts w:ascii="Times New Roman" w:cs="Times New Roman" w:eastAsia="Times New Roman" w:hAnsi="Times New Roman"/>
          <w:sz w:val="18"/>
          <w:szCs w:val="18"/>
          <w:color w:val="auto"/>
        </w:rPr>
      </w:pPr>
    </w:p>
    <w:p>
      <w:pPr>
        <w:ind w:right="40" w:firstLine="1288"/>
        <w:spacing w:after="0" w:line="282" w:lineRule="auto"/>
        <w:tabs>
          <w:tab w:leader="none" w:pos="1897"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subject to Section 2.22, the Borrower shall not be obligated to pay any amounts to any Defaulting Lender pursuant to this Section 2.12.</w:t>
      </w:r>
    </w:p>
    <w:p>
      <w:pPr>
        <w:spacing w:after="0" w:line="18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40" w:firstLine="1287"/>
        <w:spacing w:after="0" w:line="261" w:lineRule="auto"/>
        <w:tabs>
          <w:tab w:leader="none" w:pos="1901"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Loans comprising each ABR Borrowing shall bear interest at the rate set forth in clause (b)(i) of the definition of “Applicable Rate”. The Revolving Loans comprising each ABR Borrowing (including each Swingline Loan) denominated in Dollars or Canadian Dollars shall bear interest at the rate set forth in clause (d)(i) and (e)(i) of the definition of “Applicable Rate”, as applicable.</w:t>
      </w:r>
    </w:p>
    <w:p>
      <w:pPr>
        <w:spacing w:after="0" w:line="220" w:lineRule="exact"/>
        <w:rPr>
          <w:rFonts w:ascii="Times New Roman" w:cs="Times New Roman" w:eastAsia="Times New Roman" w:hAnsi="Times New Roman"/>
          <w:sz w:val="18"/>
          <w:szCs w:val="18"/>
          <w:color w:val="auto"/>
        </w:rPr>
      </w:pPr>
    </w:p>
    <w:p>
      <w:pPr>
        <w:ind w:left="1880" w:hanging="593"/>
        <w:spacing w:after="0"/>
        <w:tabs>
          <w:tab w:leader="none" w:pos="18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Term Loans comprising each Term Benchmark Borrowing shall bear interest at the rate set forth in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jc w:val="both"/>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auto"/>
        </w:rPr>
        <w:t xml:space="preserve"> of the definition of Applicable Rate, (ii) the Revolving Loans comprising each Term Benchmark Borrowing denominated in (a) Dollars, shall bear interest at the rate set forth in </w:t>
      </w:r>
      <w:r>
        <w:rPr>
          <w:rFonts w:ascii="Times New Roman" w:cs="Times New Roman" w:eastAsia="Times New Roman" w:hAnsi="Times New Roman"/>
          <w:sz w:val="18"/>
          <w:szCs w:val="18"/>
          <w:u w:val="single" w:color="auto"/>
          <w:color w:val="auto"/>
        </w:rPr>
        <w:t>clause (e)(ii)</w:t>
      </w:r>
      <w:r>
        <w:rPr>
          <w:rFonts w:ascii="Times New Roman" w:cs="Times New Roman" w:eastAsia="Times New Roman" w:hAnsi="Times New Roman"/>
          <w:sz w:val="18"/>
          <w:szCs w:val="18"/>
          <w:color w:val="auto"/>
        </w:rPr>
        <w:t xml:space="preserve"> of the definition of “Applicable Rate”, (b) Euros shall bear interest at the rate set forth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“Applicable Rate” and (c) Canadian Dollars shall bear interest at the rate set forth in </w:t>
      </w:r>
      <w:r>
        <w:rPr>
          <w:rFonts w:ascii="Times New Roman" w:cs="Times New Roman" w:eastAsia="Times New Roman" w:hAnsi="Times New Roman"/>
          <w:sz w:val="18"/>
          <w:szCs w:val="18"/>
          <w:u w:val="single" w:color="auto"/>
          <w:color w:val="auto"/>
        </w:rPr>
        <w:t>clause (d)(ii)</w:t>
      </w:r>
      <w:r>
        <w:rPr>
          <w:rFonts w:ascii="Times New Roman" w:cs="Times New Roman" w:eastAsia="Times New Roman" w:hAnsi="Times New Roman"/>
          <w:sz w:val="18"/>
          <w:szCs w:val="18"/>
          <w:color w:val="auto"/>
        </w:rPr>
        <w:t xml:space="preserve"> of the definition of “Applicable Rate”, (iii) the Revolving Loans comprising each SONIA Borrowing shall bear interest at the rate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“Applicable Rate”, (iv) the Term Loans comprising each RFR Borrowing denominated in Dollars shall bear interest at the rate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color w:val="auto"/>
        </w:rPr>
        <w:t xml:space="preserve"> of the definition of “Applicable Rate” and (v) the Revolving Loans comprising each RFR Borrowing denominated in Dollars shall bear interest at the rate set forth in </w:t>
      </w:r>
      <w:r>
        <w:rPr>
          <w:rFonts w:ascii="Times New Roman" w:cs="Times New Roman" w:eastAsia="Times New Roman" w:hAnsi="Times New Roman"/>
          <w:sz w:val="18"/>
          <w:szCs w:val="18"/>
          <w:u w:val="single" w:color="auto"/>
          <w:color w:val="auto"/>
        </w:rPr>
        <w:t>clause (e)(iii)</w:t>
      </w:r>
      <w:r>
        <w:rPr>
          <w:rFonts w:ascii="Times New Roman" w:cs="Times New Roman" w:eastAsia="Times New Roman" w:hAnsi="Times New Roman"/>
          <w:sz w:val="18"/>
          <w:szCs w:val="18"/>
          <w:color w:val="auto"/>
        </w:rPr>
        <w:t xml:space="preserve"> of the definition of “Applicable Rate”.</w:t>
      </w:r>
    </w:p>
    <w:p>
      <w:pPr>
        <w:spacing w:after="0" w:line="228" w:lineRule="exact"/>
        <w:rPr>
          <w:rFonts w:ascii="Times New Roman" w:cs="Times New Roman" w:eastAsia="Times New Roman" w:hAnsi="Times New Roman"/>
          <w:sz w:val="18"/>
          <w:szCs w:val="18"/>
          <w:color w:val="auto"/>
        </w:rPr>
      </w:pPr>
    </w:p>
    <w:p>
      <w:pPr>
        <w:jc w:val="both"/>
        <w:ind w:right="20" w:firstLine="1288"/>
        <w:spacing w:after="0" w:line="253" w:lineRule="auto"/>
        <w:tabs>
          <w:tab w:leader="none" w:pos="1901"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upon the occurrence and during the continuance of any Event of Default under paragraph (a), (b), (h) 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w:t>
      </w:r>
    </w:p>
    <w:p>
      <w:pPr>
        <w:spacing w:after="0" w:line="5"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Section 2.13(c) to a Defaulting Lender so long as such Lender shall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amounts shall accrue pursuant to this Section</w:t>
      </w:r>
    </w:p>
    <w:p>
      <w:pPr>
        <w:sectPr>
          <w:pgSz w:w="11900" w:h="16838" w:orient="portrait"/>
          <w:cols w:equalWidth="0" w:num="1">
            <w:col w:w="10060"/>
          </w:cols>
          <w:pgMar w:left="1020" w:top="1417" w:right="819" w:bottom="1440" w:gutter="0" w:footer="0" w:header="0"/>
        </w:sectPr>
      </w:pPr>
    </w:p>
    <w:bookmarkStart w:id="588" w:name="page589"/>
    <w:bookmarkEnd w:id="588"/>
    <w:p>
      <w:pPr>
        <w:ind w:left="8" w:right="60"/>
        <w:spacing w:after="0" w:line="282" w:lineRule="auto"/>
        <w:rPr>
          <w:sz w:val="20"/>
          <w:szCs w:val="20"/>
          <w:color w:val="auto"/>
        </w:rPr>
      </w:pPr>
      <w:r>
        <w:rPr>
          <w:rFonts w:ascii="Times New Roman" w:cs="Times New Roman" w:eastAsia="Times New Roman" w:hAnsi="Times New Roman"/>
          <w:sz w:val="18"/>
          <w:szCs w:val="18"/>
          <w:color w:val="auto"/>
        </w:rPr>
        <w:t>2.13(c) on any overdue amount, reimbursement obligation in respect of any LC Disbursement or other amount payable to a Defaulting Lender so long as such Lender shall be a Defaulting Lender.</w:t>
      </w:r>
    </w:p>
    <w:p>
      <w:pPr>
        <w:spacing w:after="0" w:line="202" w:lineRule="exact"/>
        <w:rPr>
          <w:sz w:val="20"/>
          <w:szCs w:val="20"/>
          <w:color w:val="auto"/>
        </w:rPr>
      </w:pPr>
    </w:p>
    <w:p>
      <w:pPr>
        <w:ind w:left="8" w:right="60" w:firstLine="1287"/>
        <w:spacing w:after="0" w:line="261" w:lineRule="auto"/>
        <w:tabs>
          <w:tab w:leader="none" w:pos="1905" w:val="left"/>
        </w:tabs>
        <w:numPr>
          <w:ilvl w:val="1"/>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jc w:val="both"/>
        <w:ind w:left="8" w:right="40" w:hanging="8"/>
        <w:spacing w:after="0" w:line="253" w:lineRule="auto"/>
        <w:tabs>
          <w:tab w:leader="none" w:pos="251"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227" w:lineRule="exact"/>
        <w:rPr>
          <w:rFonts w:ascii="Times New Roman" w:cs="Times New Roman" w:eastAsia="Times New Roman" w:hAnsi="Times New Roman"/>
          <w:sz w:val="18"/>
          <w:szCs w:val="18"/>
          <w:color w:val="auto"/>
        </w:rPr>
      </w:pPr>
    </w:p>
    <w:p>
      <w:pPr>
        <w:jc w:val="both"/>
        <w:ind w:left="8" w:right="40" w:firstLine="1288"/>
        <w:spacing w:after="0" w:line="256" w:lineRule="auto"/>
        <w:tabs>
          <w:tab w:leader="none" w:pos="1909" w:val="left"/>
        </w:tabs>
        <w:numPr>
          <w:ilvl w:val="1"/>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Alternate Base Rate, the Canadian Base Rate, Term CORRA, or Daily Simple SONIA shall be computed on the basis of a year of 365 days (or 366 days in a leap year), and in each case shall be payable for the actual number of days elapsed (including the first day but excluding the last day). The applicable Alternate Base Rate, Canadian Base Rate, Adjusted Term CORRA Rate, Adjusted EURIBOR, Adjusted Daily Simple SONIA, Adjusted Term SOFR Rate or Adjusted Daily Simple SOFR and shall be determined by the First Lien Administrative Agent, and such determination shall be conclusive absent manifest error.</w:t>
      </w:r>
    </w:p>
    <w:p>
      <w:pPr>
        <w:spacing w:after="0" w:line="228" w:lineRule="exact"/>
        <w:rPr>
          <w:sz w:val="20"/>
          <w:szCs w:val="20"/>
          <w:color w:val="auto"/>
        </w:rPr>
      </w:pPr>
    </w:p>
    <w:p>
      <w:pPr>
        <w:ind w:left="1288"/>
        <w:spacing w:after="0"/>
        <w:tabs>
          <w:tab w:leader="none" w:pos="2568"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948" w:hanging="653"/>
        <w:spacing w:after="0"/>
        <w:tabs>
          <w:tab w:leader="none" w:pos="1948"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(f) and (g) of this Section 2.14, if:</w:t>
      </w:r>
    </w:p>
    <w:p>
      <w:pPr>
        <w:spacing w:after="0" w:line="252" w:lineRule="exact"/>
        <w:rPr>
          <w:rFonts w:ascii="Times New Roman" w:cs="Times New Roman" w:eastAsia="Times New Roman" w:hAnsi="Times New Roman"/>
          <w:sz w:val="18"/>
          <w:szCs w:val="18"/>
          <w:color w:val="auto"/>
        </w:rPr>
      </w:pPr>
    </w:p>
    <w:p>
      <w:pPr>
        <w:jc w:val="both"/>
        <w:ind w:left="8" w:right="40" w:firstLine="883"/>
        <w:spacing w:after="0" w:line="258" w:lineRule="auto"/>
        <w:tabs>
          <w:tab w:leader="none" w:pos="1258"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determines (which determination shall be conclusive absent manifest error) (A) at least two (2) Business Days prior to the commencement of any Interest Period for a Term Benchmark Borrowing that adequate and reasonable means do not exist for ascertaining the Adjusted Term SOFR Rate (including because the Term SOFR Reference Rate is not available or published on a current basis), the Adjusted Term CORRA Rate or Adjusted EURIBOR, as applicable, for such Interest Period or (B) at any time, that adequate and reasonable means do not exist for ascertaining the applicable Daily Simple RFR; or</w:t>
      </w:r>
    </w:p>
    <w:p>
      <w:pPr>
        <w:spacing w:after="0" w:line="223" w:lineRule="exact"/>
        <w:rPr>
          <w:rFonts w:ascii="Times New Roman" w:cs="Times New Roman" w:eastAsia="Times New Roman" w:hAnsi="Times New Roman"/>
          <w:sz w:val="18"/>
          <w:szCs w:val="18"/>
          <w:color w:val="auto"/>
        </w:rPr>
      </w:pPr>
    </w:p>
    <w:p>
      <w:pPr>
        <w:jc w:val="both"/>
        <w:ind w:left="8" w:firstLine="883"/>
        <w:spacing w:after="0" w:line="256" w:lineRule="auto"/>
        <w:tabs>
          <w:tab w:leader="none" w:pos="1268"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is advised by the Required Lenders that (A) prior to the commencement of any Interest Period for a Term Benchmark Borrowing, the Adjusted Term SOFR Rate, the Adjusted Term CORRA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 (B) at any time, the applicable Daily Simple RFR will not adequately and fairly reflect the cost to such Lenders (or Lender) of making or maintaining their Loans (or its Loan) included in such Borrowing;</w:t>
      </w:r>
    </w:p>
    <w:p>
      <w:pPr>
        <w:spacing w:after="0" w:line="228" w:lineRule="exact"/>
        <w:rPr>
          <w:sz w:val="20"/>
          <w:szCs w:val="20"/>
          <w:color w:val="auto"/>
        </w:rPr>
      </w:pPr>
    </w:p>
    <w:p>
      <w:pPr>
        <w:jc w:val="both"/>
        <w:ind w:left="8" w:firstLine="1296"/>
        <w:spacing w:after="0" w:line="253" w:lineRule="auto"/>
        <w:rPr>
          <w:sz w:val="20"/>
          <w:szCs w:val="20"/>
          <w:color w:val="auto"/>
        </w:rPr>
      </w:pPr>
      <w:r>
        <w:rPr>
          <w:rFonts w:ascii="Times New Roman" w:cs="Times New Roman" w:eastAsia="Times New Roman" w:hAnsi="Times New Roman"/>
          <w:sz w:val="18"/>
          <w:szCs w:val="18"/>
          <w:color w:val="auto"/>
        </w:rPr>
        <w:t>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Term Benchmark Borrowing shall be ineffective, (y) if any Borrowing Request requests a Term Benchmark Borrowing in Canadian Dollars, then such Borrowing shall be made as an ABR Borrowing and (z) if any Borrowing Request requests a Term Benchmark Borrowing in Dollars, then such Borrowing shall be made as (1) an RFR Borrowing denominated in Dollars so long as the Adjusted Daily Simple SOFR is not also the subject of Section 2.14(a)(i) or (ii) above or (y) an ABR Borrowing if the Adjusted Daily Simple SOFR also is the subject of Section 2.14(a)(i) or (ii) above, (ii) in the event any Loans denominated in Euro are so affected, the relevant interest rate shall be determined in accordance with clause (ii) of the definition of “EURIBOR” and (iii) in the event any Loans denominated in Sterling are so affected, any Borrowing Request that requests a SONIA Borrowing shall be ineffective. Furthermore, if any SONIA Loan is outstanding on the date of the Borrower’s receipt of the notice from the First Lien Administrative Agent referred to in this Section 2.14(a) with respect to a SONIA Loan, then until (x)</w:t>
      </w:r>
    </w:p>
    <w:p>
      <w:pPr>
        <w:sectPr>
          <w:pgSz w:w="11900" w:h="16838" w:orient="portrait"/>
          <w:cols w:equalWidth="0" w:num="1">
            <w:col w:w="10068"/>
          </w:cols>
          <w:pgMar w:left="1012" w:top="1336" w:right="819" w:bottom="1440" w:gutter="0" w:footer="0" w:header="0"/>
        </w:sectPr>
      </w:pPr>
    </w:p>
    <w:bookmarkStart w:id="589" w:name="page590"/>
    <w:bookmarkEnd w:id="589"/>
    <w:p>
      <w:pPr>
        <w:jc w:val="both"/>
        <w:ind w:left="9"/>
        <w:spacing w:after="0" w:line="254" w:lineRule="auto"/>
        <w:rPr>
          <w:sz w:val="20"/>
          <w:szCs w:val="20"/>
          <w:color w:val="auto"/>
        </w:rPr>
      </w:pPr>
      <w:r>
        <w:rPr>
          <w:rFonts w:ascii="Times New Roman" w:cs="Times New Roman" w:eastAsia="Times New Roman" w:hAnsi="Times New Roman"/>
          <w:sz w:val="18"/>
          <w:szCs w:val="18"/>
          <w:color w:val="auto"/>
        </w:rPr>
        <w:t xml:space="preserve">the First Lien Administrative Agent notifies the Borrower and the Lenders that the circumstances giving rise to such notice no longer exist with respect to Adjusted Daily Simple SONIA and (y) the Borrower delivers a new Borrowing Request in accordance with the terms of Section 2.03, any SONIA Loan shall bear interest at the Central Bank Rate for Sterling plus the CBR Spread; provided that, if the First Lien Administrative Agent determines (which determination shall be conclusive and binding absent manifest error) that the Central Bank Rate for the Sterling cannot be determined, any outstanding affected SONIA Loans, at the Borrower’s election, shall either (A) be converted into ABR Loans denominated in Dollars (in an amount equal to the Dollar Equivalent of Sterling) immediately or (B) be prepaid in full immediately;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the Borrower may revoke any Borrowing Request that is pending when such notice is received.</w:t>
      </w:r>
    </w:p>
    <w:p>
      <w:pPr>
        <w:spacing w:after="0" w:line="232" w:lineRule="exact"/>
        <w:rPr>
          <w:sz w:val="20"/>
          <w:szCs w:val="20"/>
          <w:color w:val="auto"/>
        </w:rPr>
      </w:pPr>
    </w:p>
    <w:p>
      <w:pPr>
        <w:jc w:val="both"/>
        <w:ind w:left="9" w:right="40" w:firstLine="1287"/>
        <w:spacing w:after="0" w:line="253" w:lineRule="auto"/>
        <w:tabs>
          <w:tab w:leader="none" w:pos="1906"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First Lien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w:t>
      </w:r>
    </w:p>
    <w:p>
      <w:pPr>
        <w:spacing w:after="0" w:line="5" w:lineRule="exact"/>
        <w:rPr>
          <w:rFonts w:ascii="Times New Roman" w:cs="Times New Roman" w:eastAsia="Times New Roman" w:hAnsi="Times New Roman"/>
          <w:sz w:val="18"/>
          <w:szCs w:val="18"/>
          <w:color w:val="auto"/>
        </w:rPr>
      </w:pPr>
    </w:p>
    <w:p>
      <w:pPr>
        <w:jc w:val="both"/>
        <w:ind w:left="9" w:right="40" w:hanging="9"/>
        <w:spacing w:after="0" w:line="252" w:lineRule="auto"/>
        <w:tabs>
          <w:tab w:leader="none" w:pos="288"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Replacement is determined in accordance with clause (2) of the definition of “Benchmark Replacement” for such Benchmark Replacement Date, such Benchmark Replacement will replace such Benchmark for all purposes hereunder and under any First Lien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w:t>
      </w:r>
    </w:p>
    <w:p>
      <w:pPr>
        <w:spacing w:after="0" w:line="230" w:lineRule="exact"/>
        <w:rPr>
          <w:rFonts w:ascii="Times New Roman" w:cs="Times New Roman" w:eastAsia="Times New Roman" w:hAnsi="Times New Roman"/>
          <w:sz w:val="18"/>
          <w:szCs w:val="18"/>
          <w:color w:val="auto"/>
        </w:rPr>
      </w:pPr>
    </w:p>
    <w:p>
      <w:pPr>
        <w:jc w:val="both"/>
        <w:ind w:left="9" w:right="40" w:firstLine="1287"/>
        <w:spacing w:after="0" w:line="261" w:lineRule="auto"/>
        <w:tabs>
          <w:tab w:leader="none" w:pos="1910"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Replacement, the First Lien Administrative Agent will have the right to make Benchmark Replacement Conforming Changes from time to time 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w:t>
      </w:r>
    </w:p>
    <w:p>
      <w:pPr>
        <w:spacing w:after="0" w:line="220" w:lineRule="exact"/>
        <w:rPr>
          <w:rFonts w:ascii="Times New Roman" w:cs="Times New Roman" w:eastAsia="Times New Roman" w:hAnsi="Times New Roman"/>
          <w:sz w:val="18"/>
          <w:szCs w:val="18"/>
          <w:color w:val="auto"/>
        </w:rPr>
      </w:pPr>
    </w:p>
    <w:p>
      <w:pPr>
        <w:jc w:val="both"/>
        <w:ind w:left="9" w:firstLine="1287"/>
        <w:spacing w:after="0" w:line="254" w:lineRule="auto"/>
        <w:tabs>
          <w:tab w:leader="none" w:pos="1906"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228" w:lineRule="exact"/>
        <w:rPr>
          <w:rFonts w:ascii="Times New Roman" w:cs="Times New Roman" w:eastAsia="Times New Roman" w:hAnsi="Times New Roman"/>
          <w:sz w:val="18"/>
          <w:szCs w:val="18"/>
          <w:color w:val="auto"/>
        </w:rPr>
      </w:pPr>
    </w:p>
    <w:p>
      <w:pPr>
        <w:jc w:val="both"/>
        <w:ind w:left="9" w:right="40" w:firstLine="1287"/>
        <w:spacing w:after="0" w:line="253" w:lineRule="auto"/>
        <w:tabs>
          <w:tab w:leader="none" w:pos="1910"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First Lien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First Lien Administrative Agent in its reasonable discretion or (B) the regulatory supervisor for the administrator of such Benchmark has provided a public statement or publication of information announcing that any tenor for such Benchmark is or will be no longer representative, then the First Lien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w:t>
      </w:r>
    </w:p>
    <w:p>
      <w:pPr>
        <w:sectPr>
          <w:pgSz w:w="11900" w:h="16838" w:orient="portrait"/>
          <w:cols w:equalWidth="0" w:num="1">
            <w:col w:w="10069"/>
          </w:cols>
          <w:pgMar w:left="1011" w:top="1336" w:right="819" w:bottom="1440" w:gutter="0" w:footer="0" w:header="0"/>
        </w:sectPr>
      </w:pPr>
    </w:p>
    <w:bookmarkStart w:id="590" w:name="page591"/>
    <w:bookmarkEnd w:id="590"/>
    <w:p>
      <w:pPr>
        <w:ind w:right="300"/>
        <w:spacing w:after="0" w:line="282" w:lineRule="auto"/>
        <w:rPr>
          <w:sz w:val="20"/>
          <w:szCs w:val="20"/>
          <w:color w:val="auto"/>
        </w:rPr>
      </w:pPr>
      <w:r>
        <w:rPr>
          <w:rFonts w:ascii="Times New Roman" w:cs="Times New Roman" w:eastAsia="Times New Roman" w:hAnsi="Times New Roman"/>
          <w:sz w:val="18"/>
          <w:szCs w:val="18"/>
          <w:color w:val="auto"/>
        </w:rPr>
        <w:t>a Benchmark Replacement), then the First Lien Administrative Agent may modify the definition of “Interest Period” for all Benchmark settings at or after such time to reinstate such previously removed tenor.</w:t>
      </w:r>
    </w:p>
    <w:p>
      <w:pPr>
        <w:spacing w:after="0" w:line="189" w:lineRule="exact"/>
        <w:rPr>
          <w:sz w:val="20"/>
          <w:szCs w:val="20"/>
          <w:color w:val="auto"/>
        </w:rPr>
      </w:pPr>
    </w:p>
    <w:p>
      <w:pPr>
        <w:jc w:val="both"/>
        <w:ind w:firstLine="1288"/>
        <w:spacing w:after="0" w:line="251" w:lineRule="auto"/>
        <w:tabs>
          <w:tab w:leader="none" w:pos="1908"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the Borrower may revoke any request for a Borrowing of, conversion to or continuation of affected Loans to be made, converted or continued during any Benchmark Unavailability Period and, failing that, either (x) (i) the Borrower will be deemed to have converted any request for a Term Benchmark Term Borrowing or Term Benchmark Revolving Borrowing denominated in Canadian Dollars into a request for a Borrowing of or conversion to ABR Loans and (ii) the Borrower will be deemed to have converted any request for a Term Benchmark Revolving Borrowing denominated in Dollars into a request for a Borrowing of or conversion to (1) a RFR Borrowing denominated in Dollars so long as the Adjusted Daily Simple SOFR is not also the subject of Section 2.14(a)(i) or (ii) above or (y) an ABR Borrowing if the Adjusted Daily Simple SOFR also is the subject of Section 2.14(a)(i) or (ii) above or (y) any Borrowing denominated in an Alternative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Loan in Dollars or any Alternative Currency is outstanding on the date of the Borrower’s receipt of notice of the commencement of a Benchmark Unavailability Period with respect to a Relevant Rate applicable to such Loan, then (i) if such Loan is a Term Loan denominated in Dollars or a Revolving Loan denominated in Canadian Dollars, then on the last day of the Interest Period applicable to such Loan (or the next succeeding Business Day if such day is not a Business Day), such Loan shall be converted by the First Lien Administrative Agent to, and shall constitute, an ABR Loan denominated in Dollars or Canadian Dollars, as the case may be, on such day, (ii) if such Loan is a Revolving Loan denominated in Dollars, then on the last day of the Interest Period applicable to such Loan (or the next succeeding Business Day if such day is not a Business Day), such Loan shall be converted by the First Lien Administrative Agent to, and shall constitute (1) a RFR Borrowing denominated in Dollars so long as the Adjusted Daily Simple SOFR is not also the subject of Section 2.14(a)(i) or (ii) above or (y) an ABR Borrowing if the Adjusted Daily Simple SOFR also is the subject of Section 2.14(a)(i) or (ii) above or (iii) if such Loan is denominated in any Agreed Currency (other than Dollars or Canadian Dollars), then such Loan shall, on the last day of the Interest Period applicable to such Loan (or the next succeeding Business Day if such day is not a Business Day) or, in the case of a SONIA Loan, on the next succeeding Business Day, at the Borrower’s election prior to such day: (A) be prepaid by the Borrower on such day or (B) be converted by the First Lien Administrative Agent to, and (subject to the remainder of this subclause (B)) shall constitute, an ABR Loan denominated in Dollars (in an amount equal to the Dollar Equivalent of such Alternative Currency) on such day (it being understood and agreed that if the Borrower does not so prepay such Loan on such day by 12:00 noon, local time, the First Lien Administrative Agent is authorized to effect such conversion of such Loan into an ABR Loan denominated in Dollars), and, in the case of such subclause (B), upon any subsequent implementation of a Benchmark Replacement in respect of such Agreed Currency pursuant to this Section 2.14, such ABR Loan denominated in Dollars shall then be converted by the First Lien Administrative Agent to, and shall constitute, a Loan denominated in such original currency (in an amount equal to the Alternative Currency Equivalent of such Agreed Currency) on the day of such implementation, giving effect to such Benchmark Replacement in respect of such Agreed Currency.</w:t>
      </w:r>
    </w:p>
    <w:p>
      <w:pPr>
        <w:spacing w:after="0" w:line="255"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1940" w:hanging="652"/>
        <w:spacing w:after="0"/>
        <w:tabs>
          <w:tab w:leader="none" w:pos="194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52" w:lineRule="exact"/>
        <w:rPr>
          <w:rFonts w:ascii="Times New Roman" w:cs="Times New Roman" w:eastAsia="Times New Roman" w:hAnsi="Times New Roman"/>
          <w:sz w:val="18"/>
          <w:szCs w:val="18"/>
          <w:color w:val="auto"/>
        </w:rPr>
      </w:pPr>
    </w:p>
    <w:p>
      <w:pPr>
        <w:jc w:val="both"/>
        <w:ind w:right="40" w:firstLine="728"/>
        <w:spacing w:after="0" w:line="266" w:lineRule="auto"/>
        <w:tabs>
          <w:tab w:leader="none" w:pos="1257"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any Term Benchmark Rate, as applicable); or</w:t>
      </w:r>
    </w:p>
    <w:p>
      <w:pPr>
        <w:spacing w:after="0" w:line="297" w:lineRule="exact"/>
        <w:rPr>
          <w:rFonts w:ascii="Times New Roman" w:cs="Times New Roman" w:eastAsia="Times New Roman" w:hAnsi="Times New Roman"/>
          <w:sz w:val="18"/>
          <w:szCs w:val="18"/>
          <w:color w:val="auto"/>
        </w:rPr>
      </w:pPr>
    </w:p>
    <w:p>
      <w:pPr>
        <w:jc w:val="both"/>
        <w:ind w:right="40" w:firstLine="678"/>
        <w:spacing w:after="0" w:line="261" w:lineRule="auto"/>
        <w:tabs>
          <w:tab w:leader="none" w:pos="1257"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any applicable interbank market any other condition, cost or expense (other than Taxes) affecting this Agreement or Term Benchmark Loans made by such Lender or any Letter of Credit or participation therein; and the result of any of the foregoing shall be to increase the cost to such Lender of making or maintaining any Loan (or of maintaining its obligation to make any such Loan) or</w:t>
      </w:r>
    </w:p>
    <w:p>
      <w:pPr>
        <w:sectPr>
          <w:pgSz w:w="11900" w:h="16838" w:orient="portrait"/>
          <w:cols w:equalWidth="0" w:num="1">
            <w:col w:w="10060"/>
          </w:cols>
          <w:pgMar w:left="1020" w:top="1417" w:right="819" w:bottom="1440" w:gutter="0" w:footer="0" w:header="0"/>
        </w:sectPr>
      </w:pPr>
    </w:p>
    <w:bookmarkStart w:id="591" w:name="page592"/>
    <w:bookmarkEnd w:id="591"/>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224" w:lineRule="exact"/>
        <w:rPr>
          <w:sz w:val="20"/>
          <w:szCs w:val="20"/>
          <w:color w:val="auto"/>
        </w:rPr>
      </w:pPr>
    </w:p>
    <w:p>
      <w:pPr>
        <w:jc w:val="both"/>
        <w:ind w:right="20" w:firstLine="1287"/>
        <w:spacing w:after="0" w:line="254" w:lineRule="auto"/>
        <w:tabs>
          <w:tab w:leader="none" w:pos="1897"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215" w:lineRule="exact"/>
        <w:rPr>
          <w:rFonts w:ascii="Times New Roman" w:cs="Times New Roman" w:eastAsia="Times New Roman" w:hAnsi="Times New Roman"/>
          <w:sz w:val="18"/>
          <w:szCs w:val="18"/>
          <w:color w:val="auto"/>
        </w:rPr>
      </w:pPr>
    </w:p>
    <w:p>
      <w:pPr>
        <w:jc w:val="both"/>
        <w:ind w:right="20" w:firstLine="1287"/>
        <w:spacing w:after="0" w:line="261" w:lineRule="auto"/>
        <w:tabs>
          <w:tab w:leader="none" w:pos="1901"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220" w:lineRule="exact"/>
        <w:rPr>
          <w:rFonts w:ascii="Times New Roman" w:cs="Times New Roman" w:eastAsia="Times New Roman" w:hAnsi="Times New Roman"/>
          <w:sz w:val="18"/>
          <w:szCs w:val="18"/>
          <w:color w:val="auto"/>
        </w:rPr>
      </w:pPr>
    </w:p>
    <w:p>
      <w:pPr>
        <w:jc w:val="both"/>
        <w:ind w:firstLine="1287"/>
        <w:spacing w:after="0" w:line="255" w:lineRule="auto"/>
        <w:tabs>
          <w:tab w:leader="none" w:pos="1897"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2.15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229" w:lineRule="exact"/>
        <w:rPr>
          <w:rFonts w:ascii="Times New Roman" w:cs="Times New Roman" w:eastAsia="Times New Roman" w:hAnsi="Times New Roman"/>
          <w:sz w:val="18"/>
          <w:szCs w:val="18"/>
          <w:color w:val="auto"/>
        </w:rPr>
      </w:pPr>
    </w:p>
    <w:p>
      <w:pPr>
        <w:jc w:val="both"/>
        <w:ind w:right="20" w:firstLine="1288"/>
        <w:spacing w:after="0" w:line="258" w:lineRule="auto"/>
        <w:tabs>
          <w:tab w:leader="none" w:pos="1901"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224"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1296"/>
        <w:spacing w:after="0" w:line="253" w:lineRule="auto"/>
        <w:rPr>
          <w:sz w:val="20"/>
          <w:szCs w:val="20"/>
          <w:color w:val="auto"/>
        </w:rPr>
      </w:pPr>
      <w:r>
        <w:rPr>
          <w:rFonts w:ascii="Times New Roman" w:cs="Times New Roman" w:eastAsia="Times New Roman" w:hAnsi="Times New Roman"/>
          <w:sz w:val="18"/>
          <w:szCs w:val="18"/>
          <w:color w:val="auto"/>
        </w:rPr>
        <w:t>In the event of (a) the payment of any principal of any Term Benchmark Loan other than on the last day of an Interest Period applicable thereto or of any SONIA Loan other than on an Interest Payment Date therefor (including as a result of an Event of Default), (b) the conversion of any Term Benchmark Loan other than on the last day of the 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Term Benchmark Loan other than on the last day of the Interest Period applicable thereto, or of any SONIA Loan other than on an Interest Payment Date therefor, in each case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w:t>
      </w:r>
    </w:p>
    <w:p>
      <w:pPr>
        <w:sectPr>
          <w:pgSz w:w="11900" w:h="16838" w:orient="portrait"/>
          <w:cols w:equalWidth="0" w:num="1">
            <w:col w:w="10040"/>
          </w:cols>
          <w:pgMar w:left="1020" w:top="1417" w:right="839" w:bottom="1440" w:gutter="0" w:footer="0" w:header="0"/>
        </w:sectPr>
      </w:pPr>
    </w:p>
    <w:bookmarkStart w:id="592" w:name="page593"/>
    <w:bookmarkEnd w:id="592"/>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it as a result of such event. For purposes of calculating amounts payable by the Borrower to the Lenders under this Section 2.16 with respect to any Term Benchmark Loan, each Lender shall be deemed to have funded each Term Benchmark Loan made by it at the Term Benchmark Rate for such Loan by a matching deposit or other borrowing in the applicable interbank eurodollar market or Canadian money market, as applicable, for a comparable amount and for a comparable period, whether or not such Term Benchmark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w:t>
      </w:r>
    </w:p>
    <w:p>
      <w:pPr>
        <w:spacing w:after="0" w:line="23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40" w:firstLine="1288"/>
        <w:spacing w:after="0" w:line="253" w:lineRule="auto"/>
        <w:tabs>
          <w:tab w:leader="none" w:pos="1901"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deductions been made.</w:t>
      </w:r>
    </w:p>
    <w:p>
      <w:pPr>
        <w:spacing w:after="0" w:line="234" w:lineRule="exact"/>
        <w:rPr>
          <w:rFonts w:ascii="Times New Roman" w:cs="Times New Roman" w:eastAsia="Times New Roman" w:hAnsi="Times New Roman"/>
          <w:sz w:val="18"/>
          <w:szCs w:val="18"/>
          <w:color w:val="auto"/>
        </w:rPr>
      </w:pPr>
    </w:p>
    <w:p>
      <w:pPr>
        <w:jc w:val="both"/>
        <w:ind w:right="40" w:firstLine="1288"/>
        <w:spacing w:after="0" w:line="266" w:lineRule="auto"/>
        <w:tabs>
          <w:tab w:leader="none" w:pos="1897"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spacing w:after="0" w:line="216" w:lineRule="exact"/>
        <w:rPr>
          <w:rFonts w:ascii="Times New Roman" w:cs="Times New Roman" w:eastAsia="Times New Roman" w:hAnsi="Times New Roman"/>
          <w:sz w:val="18"/>
          <w:szCs w:val="18"/>
          <w:color w:val="auto"/>
        </w:rPr>
      </w:pPr>
    </w:p>
    <w:p>
      <w:pPr>
        <w:jc w:val="both"/>
        <w:ind w:firstLine="1288"/>
        <w:spacing w:after="0" w:line="254" w:lineRule="auto"/>
        <w:tabs>
          <w:tab w:leader="none" w:pos="1901"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First Lien Administrative Agent on its own behalf or on behalf of a Lender, shall be conclusive absent manifest error.</w:t>
      </w:r>
    </w:p>
    <w:p>
      <w:pPr>
        <w:spacing w:after="0" w:line="282" w:lineRule="exact"/>
        <w:rPr>
          <w:rFonts w:ascii="Times New Roman" w:cs="Times New Roman" w:eastAsia="Times New Roman" w:hAnsi="Times New Roman"/>
          <w:sz w:val="18"/>
          <w:szCs w:val="18"/>
          <w:color w:val="auto"/>
        </w:rPr>
      </w:pPr>
    </w:p>
    <w:p>
      <w:pPr>
        <w:jc w:val="both"/>
        <w:ind w:firstLine="1287"/>
        <w:spacing w:after="0" w:line="255" w:lineRule="auto"/>
        <w:tabs>
          <w:tab w:leader="none" w:pos="1897"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w:t>
      </w:r>
    </w:p>
    <w:p>
      <w:pPr>
        <w:sectPr>
          <w:pgSz w:w="11900" w:h="16838" w:orient="portrait"/>
          <w:cols w:equalWidth="0" w:num="1">
            <w:col w:w="10060"/>
          </w:cols>
          <w:pgMar w:left="1020" w:top="1336" w:right="819" w:bottom="1440" w:gutter="0" w:footer="0" w:header="0"/>
        </w:sectPr>
      </w:pPr>
    </w:p>
    <w:bookmarkStart w:id="593" w:name="page594"/>
    <w:bookmarkEnd w:id="593"/>
    <w:p>
      <w:pPr>
        <w:jc w:val="both"/>
        <w:spacing w:after="0" w:line="253" w:lineRule="auto"/>
        <w:rPr>
          <w:sz w:val="20"/>
          <w:szCs w:val="20"/>
          <w:color w:val="auto"/>
        </w:rPr>
      </w:pPr>
      <w:r>
        <w:rPr>
          <w:rFonts w:ascii="Times New Roman" w:cs="Times New Roman" w:eastAsia="Times New Roman" w:hAnsi="Times New Roman"/>
          <w:sz w:val="18"/>
          <w:szCs w:val="18"/>
          <w:color w:val="auto"/>
        </w:rPr>
        <w:t>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spacing w:after="0" w:line="232" w:lineRule="exact"/>
        <w:rPr>
          <w:sz w:val="20"/>
          <w:szCs w:val="20"/>
          <w:color w:val="auto"/>
        </w:rPr>
      </w:pPr>
    </w:p>
    <w:p>
      <w:pPr>
        <w:jc w:val="both"/>
        <w:ind w:right="40" w:firstLine="1287"/>
        <w:spacing w:after="0" w:line="261" w:lineRule="auto"/>
        <w:tabs>
          <w:tab w:leader="none" w:pos="1901"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any Taxes by a Loan Party to a Governmental Authority,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w:t>
      </w:r>
    </w:p>
    <w:p>
      <w:pPr>
        <w:spacing w:after="0" w:line="206" w:lineRule="exact"/>
        <w:rPr>
          <w:rFonts w:ascii="Times New Roman" w:cs="Times New Roman" w:eastAsia="Times New Roman" w:hAnsi="Times New Roman"/>
          <w:sz w:val="18"/>
          <w:szCs w:val="18"/>
          <w:color w:val="auto"/>
        </w:rPr>
      </w:pPr>
    </w:p>
    <w:p>
      <w:pPr>
        <w:jc w:val="both"/>
        <w:ind w:right="20" w:firstLine="1287"/>
        <w:spacing w:after="0" w:line="252" w:lineRule="auto"/>
        <w:tabs>
          <w:tab w:leader="none" w:pos="1908"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w:t>
      </w:r>
    </w:p>
    <w:p>
      <w:pPr>
        <w:spacing w:after="0" w:line="249" w:lineRule="exact"/>
        <w:rPr>
          <w:sz w:val="20"/>
          <w:szCs w:val="20"/>
          <w:color w:val="auto"/>
        </w:rPr>
      </w:pPr>
    </w:p>
    <w:p>
      <w:pPr>
        <w:ind w:left="1540" w:hanging="253"/>
        <w:spacing w:after="0"/>
        <w:tabs>
          <w:tab w:leader="none" w:pos="1540" w:val="left"/>
        </w:tabs>
        <w:numPr>
          <w:ilvl w:val="1"/>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52" w:lineRule="exact"/>
        <w:rPr>
          <w:rFonts w:ascii="Times New Roman" w:cs="Times New Roman" w:eastAsia="Times New Roman" w:hAnsi="Times New Roman"/>
          <w:sz w:val="18"/>
          <w:szCs w:val="18"/>
          <w:color w:val="auto"/>
        </w:rPr>
      </w:pPr>
    </w:p>
    <w:p>
      <w:pPr>
        <w:jc w:val="both"/>
        <w:ind w:right="40" w:firstLine="728"/>
        <w:spacing w:after="0" w:line="258" w:lineRule="auto"/>
        <w:tabs>
          <w:tab w:leader="none" w:pos="1257"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spacing w:after="0" w:line="372" w:lineRule="exact"/>
        <w:rPr>
          <w:rFonts w:ascii="Times New Roman" w:cs="Times New Roman" w:eastAsia="Times New Roman" w:hAnsi="Times New Roman"/>
          <w:sz w:val="18"/>
          <w:szCs w:val="18"/>
          <w:color w:val="auto"/>
        </w:rPr>
      </w:pPr>
    </w:p>
    <w:p>
      <w:pPr>
        <w:jc w:val="both"/>
        <w:ind w:left="1280" w:right="40" w:firstLine="656"/>
        <w:spacing w:after="0" w:line="259" w:lineRule="auto"/>
        <w:tabs>
          <w:tab w:leader="none" w:pos="2534" w:val="left"/>
        </w:tabs>
        <w:numPr>
          <w:ilvl w:val="2"/>
          <w:numId w:val="6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sectPr>
          <w:pgSz w:w="11900" w:h="16838" w:orient="portrait"/>
          <w:cols w:equalWidth="0" w:num="1">
            <w:col w:w="10060"/>
          </w:cols>
          <w:pgMar w:left="1020" w:top="1417" w:right="819" w:bottom="1440" w:gutter="0" w:footer="0" w:header="0"/>
        </w:sectPr>
      </w:pPr>
    </w:p>
    <w:bookmarkStart w:id="594" w:name="page595"/>
    <w:bookmarkEnd w:id="594"/>
    <w:p>
      <w:pPr>
        <w:jc w:val="both"/>
        <w:ind w:left="860" w:right="40" w:firstLine="656"/>
        <w:spacing w:after="0" w:line="266" w:lineRule="auto"/>
        <w:tabs>
          <w:tab w:leader="none" w:pos="2109"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Internal Revenue Service Form W-8BEN-E (or any successor forms) claiming eligibility for benefits of an income Tax treaty to which the United States of America is a party,</w:t>
      </w:r>
    </w:p>
    <w:p>
      <w:pPr>
        <w:spacing w:after="0" w:line="202" w:lineRule="exact"/>
        <w:rPr>
          <w:rFonts w:ascii="Times New Roman" w:cs="Times New Roman" w:eastAsia="Times New Roman" w:hAnsi="Times New Roman"/>
          <w:sz w:val="18"/>
          <w:szCs w:val="18"/>
          <w:color w:val="auto"/>
        </w:rPr>
      </w:pPr>
    </w:p>
    <w:p>
      <w:pPr>
        <w:ind w:left="860" w:right="40" w:firstLine="656"/>
        <w:spacing w:after="0" w:line="282" w:lineRule="auto"/>
        <w:tabs>
          <w:tab w:leader="none" w:pos="2112"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Internal Revenue Service Form W-8ECI (or any successor forms),</w:t>
      </w:r>
    </w:p>
    <w:p>
      <w:pPr>
        <w:spacing w:after="0" w:line="202" w:lineRule="exact"/>
        <w:rPr>
          <w:rFonts w:ascii="Times New Roman" w:cs="Times New Roman" w:eastAsia="Times New Roman" w:hAnsi="Times New Roman"/>
          <w:sz w:val="18"/>
          <w:szCs w:val="18"/>
          <w:color w:val="auto"/>
        </w:rPr>
      </w:pPr>
    </w:p>
    <w:p>
      <w:pPr>
        <w:jc w:val="both"/>
        <w:ind w:left="860" w:right="40" w:firstLine="655"/>
        <w:spacing w:after="0" w:line="261" w:lineRule="auto"/>
        <w:tabs>
          <w:tab w:leader="none" w:pos="2112"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871(h) or Section 881(c) of the Code, (x) two properly completed and duly signed certificates, substantially in the form of Exhibit N (any such certificate a “</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and (y) two properly completed and duly signed copies of Internal Revenue Service Form W-8BEN-E (or any successor forms),</w:t>
      </w:r>
    </w:p>
    <w:p>
      <w:pPr>
        <w:spacing w:after="0" w:line="220" w:lineRule="exact"/>
        <w:rPr>
          <w:rFonts w:ascii="Times New Roman" w:cs="Times New Roman" w:eastAsia="Times New Roman" w:hAnsi="Times New Roman"/>
          <w:sz w:val="18"/>
          <w:szCs w:val="18"/>
          <w:color w:val="auto"/>
        </w:rPr>
      </w:pPr>
    </w:p>
    <w:p>
      <w:pPr>
        <w:jc w:val="both"/>
        <w:ind w:left="860" w:right="20" w:firstLine="655"/>
        <w:spacing w:after="0" w:line="254" w:lineRule="auto"/>
        <w:tabs>
          <w:tab w:leader="none" w:pos="2109"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each beneficial owner that would be required under this Section 2.17 if such beneficial owner were a Lender,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232" w:lineRule="exact"/>
        <w:rPr>
          <w:rFonts w:ascii="Times New Roman" w:cs="Times New Roman" w:eastAsia="Times New Roman" w:hAnsi="Times New Roman"/>
          <w:sz w:val="18"/>
          <w:szCs w:val="18"/>
          <w:color w:val="auto"/>
        </w:rPr>
      </w:pPr>
    </w:p>
    <w:p>
      <w:pPr>
        <w:jc w:val="both"/>
        <w:ind w:left="860" w:right="40" w:firstLine="655"/>
        <w:spacing w:after="0" w:line="258" w:lineRule="auto"/>
        <w:tabs>
          <w:tab w:leader="none" w:pos="2116"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spacing w:after="0" w:line="223" w:lineRule="exact"/>
        <w:rPr>
          <w:rFonts w:ascii="Times New Roman" w:cs="Times New Roman" w:eastAsia="Times New Roman" w:hAnsi="Times New Roman"/>
          <w:sz w:val="18"/>
          <w:szCs w:val="18"/>
          <w:color w:val="auto"/>
        </w:rPr>
      </w:pPr>
    </w:p>
    <w:p>
      <w:pPr>
        <w:jc w:val="both"/>
        <w:ind w:left="220" w:right="20" w:firstLine="647"/>
        <w:spacing w:after="0" w:line="253" w:lineRule="auto"/>
        <w:tabs>
          <w:tab w:leader="none" w:pos="1475"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w:t>
      </w:r>
    </w:p>
    <w:p>
      <w:pPr>
        <w:spacing w:after="0" w:line="235" w:lineRule="exact"/>
        <w:rPr>
          <w:sz w:val="20"/>
          <w:szCs w:val="20"/>
          <w:color w:val="auto"/>
        </w:rPr>
      </w:pPr>
    </w:p>
    <w:p>
      <w:pPr>
        <w:ind w:left="220" w:right="60" w:firstLine="647"/>
        <w:spacing w:after="0" w:line="282" w:lineRule="auto"/>
        <w:tabs>
          <w:tab w:leader="none" w:pos="1469"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clause (f), a Lender shall not be required to deliver any form or certification that such Lender is not legally eligible to deliver.</w:t>
      </w:r>
    </w:p>
    <w:p>
      <w:pPr>
        <w:spacing w:after="0" w:line="188" w:lineRule="exact"/>
        <w:rPr>
          <w:rFonts w:ascii="Times New Roman" w:cs="Times New Roman" w:eastAsia="Times New Roman" w:hAnsi="Times New Roman"/>
          <w:sz w:val="18"/>
          <w:szCs w:val="18"/>
          <w:color w:val="auto"/>
        </w:rPr>
      </w:pPr>
    </w:p>
    <w:p>
      <w:pPr>
        <w:jc w:val="both"/>
        <w:ind w:left="220" w:right="40" w:firstLine="647"/>
        <w:spacing w:after="0" w:line="266" w:lineRule="auto"/>
        <w:tabs>
          <w:tab w:leader="none" w:pos="1469"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First Lien Administrative Agent to deliver to the Loan Parties and to any successor First Lien Administrative Agent any documentation provided by such Lender to the First Lien Administrative Agent pursuant to this Section 2.17(f).</w:t>
      </w:r>
    </w:p>
    <w:p>
      <w:pPr>
        <w:spacing w:after="0" w:line="284" w:lineRule="exact"/>
        <w:rPr>
          <w:sz w:val="20"/>
          <w:szCs w:val="20"/>
          <w:color w:val="auto"/>
        </w:rPr>
      </w:pPr>
    </w:p>
    <w:p>
      <w:pPr>
        <w:jc w:val="both"/>
        <w:ind w:left="-420" w:firstLine="1287"/>
        <w:spacing w:after="0" w:line="261" w:lineRule="auto"/>
        <w:tabs>
          <w:tab w:leader="none" w:pos="1477"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First Lien Administrative Agent or</w:t>
      </w:r>
    </w:p>
    <w:p>
      <w:pPr>
        <w:sectPr>
          <w:pgSz w:w="11900" w:h="16838" w:orient="portrait"/>
          <w:cols w:equalWidth="0" w:num="1">
            <w:col w:w="9640"/>
          </w:cols>
          <w:pgMar w:left="1440" w:top="1417" w:right="819" w:bottom="1440" w:gutter="0" w:footer="0" w:header="0"/>
        </w:sectPr>
      </w:pPr>
    </w:p>
    <w:bookmarkStart w:id="595" w:name="page596"/>
    <w:bookmarkEnd w:id="595"/>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 (c) 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upon the 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w:t>
      </w:r>
    </w:p>
    <w:p>
      <w:pPr>
        <w:spacing w:after="0" w:line="200" w:lineRule="exact"/>
        <w:rPr>
          <w:sz w:val="20"/>
          <w:szCs w:val="20"/>
          <w:color w:val="auto"/>
        </w:rPr>
      </w:pPr>
    </w:p>
    <w:p>
      <w:pPr>
        <w:spacing w:after="0" w:line="234" w:lineRule="exact"/>
        <w:rPr>
          <w:sz w:val="20"/>
          <w:szCs w:val="20"/>
          <w:color w:val="auto"/>
        </w:rPr>
      </w:pPr>
    </w:p>
    <w:p>
      <w:pPr>
        <w:jc w:val="both"/>
        <w:ind w:right="40" w:firstLine="1288"/>
        <w:spacing w:after="0" w:line="266" w:lineRule="auto"/>
        <w:tabs>
          <w:tab w:leader="none" w:pos="1897"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spacing w:after="0" w:line="216" w:lineRule="exact"/>
        <w:rPr>
          <w:rFonts w:ascii="Times New Roman" w:cs="Times New Roman" w:eastAsia="Times New Roman" w:hAnsi="Times New Roman"/>
          <w:sz w:val="18"/>
          <w:szCs w:val="18"/>
          <w:color w:val="auto"/>
        </w:rPr>
      </w:pPr>
    </w:p>
    <w:p>
      <w:pPr>
        <w:ind w:right="60" w:firstLine="1288"/>
        <w:spacing w:after="0" w:line="282" w:lineRule="auto"/>
        <w:tabs>
          <w:tab w:leader="none" w:pos="189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2.17, the term “Lender” shall include any Issuing Bank and the Swingline Lender and the term “applicable Requirements of Law” includes FATCA.</w:t>
      </w:r>
    </w:p>
    <w:p>
      <w:pPr>
        <w:spacing w:after="0" w:line="189" w:lineRule="exact"/>
        <w:rPr>
          <w:sz w:val="20"/>
          <w:szCs w:val="20"/>
          <w:color w:val="auto"/>
        </w:rPr>
      </w:pPr>
    </w:p>
    <w:p>
      <w:pPr>
        <w:jc w:val="center"/>
        <w:ind w:right="200"/>
        <w:spacing w:after="0"/>
        <w:tabs>
          <w:tab w:leader="none" w:pos="16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both"/>
        <w:ind w:right="40" w:firstLine="1287"/>
        <w:spacing w:after="0" w:line="252" w:lineRule="auto"/>
        <w:tabs>
          <w:tab w:leader="none" w:pos="1901"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12:00 p.m., New York City time), on the date when due, in immediately available funds, without condition or deduction for any counterclaim, recoupment or setoff. Any amounts received after such time on any date may, in the 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 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 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 2.16, 2.17 and 9.03 shall be made directly to the Persons entitled thereto and payments pursuant to other First Lien Loan Documents shall be made to the Persons</w:t>
      </w:r>
    </w:p>
    <w:p>
      <w:pPr>
        <w:sectPr>
          <w:pgSz w:w="11900" w:h="16838" w:orient="portrait"/>
          <w:cols w:equalWidth="0" w:num="1">
            <w:col w:w="10060"/>
          </w:cols>
          <w:pgMar w:left="1020" w:top="1417" w:right="819" w:bottom="1440" w:gutter="0" w:footer="0" w:header="0"/>
        </w:sectPr>
      </w:pPr>
    </w:p>
    <w:bookmarkStart w:id="596" w:name="page597"/>
    <w:bookmarkEnd w:id="596"/>
    <w:p>
      <w:pPr>
        <w:jc w:val="both"/>
        <w:ind w:left="9" w:right="40"/>
        <w:spacing w:after="0" w:line="254" w:lineRule="auto"/>
        <w:rPr>
          <w:sz w:val="20"/>
          <w:szCs w:val="20"/>
          <w:color w:val="auto"/>
        </w:rPr>
      </w:pPr>
      <w:r>
        <w:rPr>
          <w:rFonts w:ascii="Times New Roman" w:cs="Times New Roman" w:eastAsia="Times New Roman" w:hAnsi="Times New Roman"/>
          <w:sz w:val="18"/>
          <w:szCs w:val="18"/>
          <w:color w:val="auto"/>
        </w:rPr>
        <w:t>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232" w:lineRule="exact"/>
        <w:rPr>
          <w:sz w:val="20"/>
          <w:szCs w:val="20"/>
          <w:color w:val="auto"/>
        </w:rPr>
      </w:pPr>
    </w:p>
    <w:p>
      <w:pPr>
        <w:jc w:val="both"/>
        <w:ind w:left="9" w:right="20" w:firstLine="1287"/>
        <w:spacing w:after="0" w:line="255" w:lineRule="auto"/>
        <w:tabs>
          <w:tab w:leader="none" w:pos="1906"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insufficient funds are received by and available to the First Lien Administrative Agent to pay fully all amounts of principal, unreimbursed LC Disbursements,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towards payment of interest and fees then due hereunder, ratably among the parties entitled thereto in accordance with the amounts of interest and fees then due to such parties, and</w:t>
      </w:r>
    </w:p>
    <w:p>
      <w:pPr>
        <w:spacing w:after="0" w:line="2" w:lineRule="exact"/>
        <w:rPr>
          <w:rFonts w:ascii="Times New Roman" w:cs="Times New Roman" w:eastAsia="Times New Roman" w:hAnsi="Times New Roman"/>
          <w:sz w:val="18"/>
          <w:szCs w:val="18"/>
          <w:color w:val="auto"/>
        </w:rPr>
      </w:pPr>
    </w:p>
    <w:p>
      <w:pPr>
        <w:ind w:left="9" w:right="60" w:hanging="9"/>
        <w:spacing w:after="0" w:line="260" w:lineRule="auto"/>
        <w:tabs>
          <w:tab w:leader="none" w:pos="287"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208" w:lineRule="exact"/>
        <w:rPr>
          <w:rFonts w:ascii="Times New Roman" w:cs="Times New Roman" w:eastAsia="Times New Roman" w:hAnsi="Times New Roman"/>
          <w:sz w:val="18"/>
          <w:szCs w:val="18"/>
          <w:color w:val="auto"/>
        </w:rPr>
      </w:pPr>
    </w:p>
    <w:p>
      <w:pPr>
        <w:jc w:val="both"/>
        <w:ind w:left="9" w:firstLine="1287"/>
        <w:spacing w:after="0" w:line="252" w:lineRule="auto"/>
        <w:tabs>
          <w:tab w:leader="none" w:pos="1910" w:val="left"/>
        </w:tabs>
        <w:numPr>
          <w:ilvl w:val="1"/>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spacing w:after="0" w:line="244" w:lineRule="exact"/>
        <w:rPr>
          <w:rFonts w:ascii="Times New Roman" w:cs="Times New Roman" w:eastAsia="Times New Roman" w:hAnsi="Times New Roman"/>
          <w:sz w:val="18"/>
          <w:szCs w:val="18"/>
          <w:color w:val="auto"/>
        </w:rPr>
      </w:pPr>
    </w:p>
    <w:p>
      <w:pPr>
        <w:jc w:val="both"/>
        <w:ind w:left="9" w:firstLine="1288"/>
        <w:spacing w:after="0" w:line="253" w:lineRule="auto"/>
        <w:tabs>
          <w:tab w:leader="none" w:pos="1906" w:val="left"/>
        </w:tabs>
        <w:numPr>
          <w:ilvl w:val="1"/>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Term CORRA (if denominated in Canadian Dollars) and a rate determined by the First Lien Administrative Agent in accordance with banking industry rules on interbank compensation.</w:t>
      </w:r>
    </w:p>
    <w:p>
      <w:pPr>
        <w:sectPr>
          <w:pgSz w:w="11900" w:h="16838" w:orient="portrait"/>
          <w:cols w:equalWidth="0" w:num="1">
            <w:col w:w="10069"/>
          </w:cols>
          <w:pgMar w:left="1011" w:top="1417" w:right="819" w:bottom="1440" w:gutter="0" w:footer="0" w:header="0"/>
        </w:sectPr>
      </w:pPr>
    </w:p>
    <w:bookmarkStart w:id="597" w:name="page598"/>
    <w:bookmarkEnd w:id="597"/>
    <w:p>
      <w:pPr>
        <w:jc w:val="both"/>
        <w:ind w:left="9" w:firstLine="1287"/>
        <w:spacing w:after="0" w:line="257" w:lineRule="auto"/>
        <w:tabs>
          <w:tab w:leader="none" w:pos="1910"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w:t>
      </w:r>
    </w:p>
    <w:p>
      <w:pPr>
        <w:spacing w:after="0" w:line="1" w:lineRule="exact"/>
        <w:rPr>
          <w:rFonts w:ascii="Times New Roman" w:cs="Times New Roman" w:eastAsia="Times New Roman" w:hAnsi="Times New Roman"/>
          <w:sz w:val="18"/>
          <w:szCs w:val="18"/>
          <w:color w:val="auto"/>
        </w:rPr>
      </w:pPr>
    </w:p>
    <w:p>
      <w:pPr>
        <w:jc w:val="both"/>
        <w:ind w:left="9" w:hanging="9"/>
        <w:spacing w:after="0" w:line="255" w:lineRule="auto"/>
        <w:tabs>
          <w:tab w:leader="none" w:pos="235"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226"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9" w:right="20" w:firstLine="1287"/>
        <w:spacing w:after="0" w:line="253" w:lineRule="auto"/>
        <w:tabs>
          <w:tab w:leader="none" w:pos="191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w:t>
      </w:r>
    </w:p>
    <w:p>
      <w:pPr>
        <w:spacing w:after="0" w:line="5" w:lineRule="exact"/>
        <w:rPr>
          <w:rFonts w:ascii="Times New Roman" w:cs="Times New Roman" w:eastAsia="Times New Roman" w:hAnsi="Times New Roman"/>
          <w:sz w:val="18"/>
          <w:szCs w:val="18"/>
          <w:color w:val="auto"/>
        </w:rPr>
      </w:pPr>
    </w:p>
    <w:p>
      <w:pPr>
        <w:jc w:val="both"/>
        <w:ind w:left="9" w:right="20" w:hanging="9"/>
        <w:spacing w:after="0" w:line="253" w:lineRule="auto"/>
        <w:tabs>
          <w:tab w:leader="none" w:pos="237"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229" w:lineRule="exact"/>
        <w:rPr>
          <w:rFonts w:ascii="Times New Roman" w:cs="Times New Roman" w:eastAsia="Times New Roman" w:hAnsi="Times New Roman"/>
          <w:sz w:val="18"/>
          <w:szCs w:val="18"/>
          <w:color w:val="auto"/>
        </w:rPr>
      </w:pPr>
    </w:p>
    <w:p>
      <w:pPr>
        <w:jc w:val="both"/>
        <w:ind w:left="9" w:firstLine="1287"/>
        <w:spacing w:after="0" w:line="252" w:lineRule="auto"/>
        <w:tabs>
          <w:tab w:leader="none" w:pos="1906"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spacing w:after="0" w:line="242"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2.20</w:t>
      </w:r>
      <w:r>
        <w:rPr>
          <w:sz w:val="20"/>
          <w:szCs w:val="20"/>
          <w:color w:val="auto"/>
        </w:rPr>
        <w:tab/>
      </w:r>
      <w:r>
        <w:rPr>
          <w:rFonts w:ascii="Times New Roman" w:cs="Times New Roman" w:eastAsia="Times New Roman" w:hAnsi="Times New Roman"/>
          <w:sz w:val="18"/>
          <w:szCs w:val="18"/>
          <w:u w:val="single" w:color="auto"/>
          <w:color w:val="auto"/>
        </w:rPr>
        <w:t>Incremental Credit Extensions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both"/>
        <w:ind w:left="9" w:firstLine="1287"/>
        <w:spacing w:after="0" w:line="261" w:lineRule="auto"/>
        <w:tabs>
          <w:tab w:leader="none" w:pos="191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or from time to time on one or more occasions after the Effective Date, by written notice delivered to the First Lien Administrative Agent, request (i) one or more additional Classes of term loans (each a “</w:t>
      </w:r>
      <w:r>
        <w:rPr>
          <w:rFonts w:ascii="Times New Roman" w:cs="Times New Roman" w:eastAsia="Times New Roman" w:hAnsi="Times New Roman"/>
          <w:sz w:val="18"/>
          <w:szCs w:val="18"/>
          <w:u w:val="single" w:color="auto"/>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(ii) one or more additional term loans of the same Class of any existing Class of term loans (each an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Lien Incremental Term Increase</w:t>
      </w:r>
      <w:r>
        <w:rPr>
          <w:rFonts w:ascii="Times New Roman" w:cs="Times New Roman" w:eastAsia="Times New Roman" w:hAnsi="Times New Roman"/>
          <w:sz w:val="18"/>
          <w:szCs w:val="18"/>
          <w:color w:val="auto"/>
        </w:rPr>
        <w:t>”), (iii) one or more</w:t>
      </w:r>
    </w:p>
    <w:p>
      <w:pPr>
        <w:sectPr>
          <w:pgSz w:w="11900" w:h="16838" w:orient="portrait"/>
          <w:cols w:equalWidth="0" w:num="1">
            <w:col w:w="10049"/>
          </w:cols>
          <w:pgMar w:left="1011" w:top="1417" w:right="839" w:bottom="1440" w:gutter="0" w:footer="0" w:header="0"/>
        </w:sectPr>
      </w:pPr>
    </w:p>
    <w:bookmarkStart w:id="598" w:name="page599"/>
    <w:bookmarkEnd w:id="598"/>
    <w:p>
      <w:pPr>
        <w:jc w:val="both"/>
        <w:spacing w:after="0" w:line="252" w:lineRule="auto"/>
        <w:rPr>
          <w:sz w:val="20"/>
          <w:szCs w:val="20"/>
          <w:color w:val="auto"/>
        </w:rPr>
      </w:pPr>
      <w:r>
        <w:rPr>
          <w:rFonts w:ascii="Times New Roman" w:cs="Times New Roman" w:eastAsia="Times New Roman" w:hAnsi="Times New Roman"/>
          <w:sz w:val="18"/>
          <w:szCs w:val="18"/>
          <w:color w:val="auto"/>
        </w:rPr>
        <w:t>increases in the amount of the Revolving Commitments of any Class (each such increase, an “</w:t>
      </w:r>
      <w:r>
        <w:rPr>
          <w:rFonts w:ascii="Times New Roman" w:cs="Times New Roman" w:eastAsia="Times New Roman" w:hAnsi="Times New Roman"/>
          <w:sz w:val="18"/>
          <w:szCs w:val="18"/>
          <w:u w:val="single" w:color="auto"/>
          <w:color w:val="auto"/>
        </w:rPr>
        <w:t>Incremental Revolving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Increase</w:t>
      </w:r>
      <w:r>
        <w:rPr>
          <w:rFonts w:ascii="Times New Roman" w:cs="Times New Roman" w:eastAsia="Times New Roman" w:hAnsi="Times New Roman"/>
          <w:sz w:val="18"/>
          <w:szCs w:val="18"/>
          <w:color w:val="auto"/>
        </w:rPr>
        <w:t>”) and/or (iv) one or more additional Classes of Revolving Commitments (the “</w:t>
      </w:r>
      <w:r>
        <w:rPr>
          <w:rFonts w:ascii="Times New Roman" w:cs="Times New Roman" w:eastAsia="Times New Roman" w:hAnsi="Times New Roman"/>
          <w:sz w:val="18"/>
          <w:szCs w:val="18"/>
          <w:u w:val="single" w:color="auto"/>
          <w:color w:val="auto"/>
        </w:rPr>
        <w:t>Additional/Replacement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and, together with any First Lien Incremental Term Facility, First Lien Incremental Term Increase and the Incremental Revolving Commitment Increases, the “</w:t>
      </w:r>
      <w:r>
        <w:rPr>
          <w:rFonts w:ascii="Times New Roman" w:cs="Times New Roman" w:eastAsia="Times New Roman" w:hAnsi="Times New Roman"/>
          <w:sz w:val="18"/>
          <w:szCs w:val="18"/>
          <w:u w:val="single" w:color="auto"/>
          <w:color w:val="auto"/>
        </w:rPr>
        <w:t>First Lien Incremental Facilities</w:t>
      </w:r>
      <w:r>
        <w:rPr>
          <w:rFonts w:ascii="Times New Roman" w:cs="Times New Roman" w:eastAsia="Times New Roman" w:hAnsi="Times New Roman"/>
          <w:sz w:val="18"/>
          <w:szCs w:val="18"/>
          <w:color w:val="auto"/>
        </w:rPr>
        <w:t>” and any Loans thereunder, the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$1,000,000 in excess thereof if such Incremental Facilities are denominated in Dollars (unless the Borrower and the First Lien Administrative Agent otherwise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$5,000,000 and to the extent such amount represents all the remaining availability under the aggregate principal amount of First Lien Incremental Facilities set forth above.</w:t>
      </w:r>
    </w:p>
    <w:p>
      <w:pPr>
        <w:spacing w:after="0" w:line="294" w:lineRule="exact"/>
        <w:rPr>
          <w:sz w:val="20"/>
          <w:szCs w:val="20"/>
          <w:color w:val="auto"/>
        </w:rPr>
      </w:pPr>
    </w:p>
    <w:p>
      <w:pPr>
        <w:jc w:val="both"/>
        <w:ind w:right="20" w:firstLine="1288"/>
        <w:spacing w:after="0" w:line="266" w:lineRule="auto"/>
        <w:tabs>
          <w:tab w:leader="none" w:pos="1897" w:val="left"/>
        </w:tabs>
        <w:numPr>
          <w:ilvl w:val="0"/>
          <w:numId w:val="6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Term Loans, (d) shall have a maturity date (subject to clause (b)), an amortization schedule (subject to clause (c)), interest rates (including through fixed interest rates), “most favored nation” provisions (if any), interest margins, rate floors, upfront fees, </w:t>
      </w:r>
      <w:r>
        <w:rPr>
          <w:rFonts w:ascii="Times New Roman" w:cs="Times New Roman" w:eastAsia="Times New Roman" w:hAnsi="Times New Roman"/>
          <w:sz w:val="17"/>
          <w:szCs w:val="17"/>
          <w:u w:val="single" w:color="auto"/>
          <w:color w:val="0000FF"/>
        </w:rPr>
        <w:t>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payments,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funding discounts, original issue discounts, financial covenants (if any), prepayment terms and premiums and other terms 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conditions as determined by the Borrower and the Additional Term Lenders thereunder;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for any First Lien Incremental Term Facility incurred that (</w:t>
      </w:r>
      <w:r>
        <w:rPr>
          <w:rFonts w:ascii="Times New Roman" w:cs="Times New Roman" w:eastAsia="Times New Roman" w:hAnsi="Times New Roman"/>
          <w:sz w:val="17"/>
          <w:szCs w:val="17"/>
          <w:color w:val="FF0000"/>
          <w:strike w:val="1"/>
        </w:rPr>
        <w:t>x</w:t>
      </w:r>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FF"/>
        </w:rPr>
        <w:t>consists of any floating rate term loan “B” First Lien Incremental Term Loans that</w:t>
      </w:r>
      <w:r>
        <w:rPr>
          <w:rFonts w:ascii="Times New Roman" w:cs="Times New Roman" w:eastAsia="Times New Roman" w:hAnsi="Times New Roman"/>
          <w:sz w:val="17"/>
          <w:szCs w:val="17"/>
          <w:color w:val="000000"/>
        </w:rPr>
        <w:t xml:space="preserve"> rank</w:t>
      </w:r>
      <w:r>
        <w:rPr>
          <w:rFonts w:ascii="Times New Roman" w:cs="Times New Roman" w:eastAsia="Times New Roman" w:hAnsi="Times New Roman"/>
          <w:sz w:val="17"/>
          <w:szCs w:val="17"/>
          <w:color w:val="FF0000"/>
        </w:rPr>
        <w:t>s</w:t>
      </w:r>
      <w:r>
        <w:rPr>
          <w:rFonts w:ascii="Times New Roman" w:cs="Times New Roman" w:eastAsia="Times New Roman" w:hAnsi="Times New Roman"/>
          <w:sz w:val="17"/>
          <w:szCs w:val="17"/>
          <w:color w:val="000000"/>
        </w:rPr>
        <w:t xml:space="preserve"> equal in right of payment with the </w:t>
      </w:r>
      <w:r>
        <w:rPr>
          <w:rFonts w:ascii="Times New Roman" w:cs="Times New Roman" w:eastAsia="Times New Roman" w:hAnsi="Times New Roman"/>
          <w:sz w:val="17"/>
          <w:szCs w:val="17"/>
          <w:u w:val="single" w:color="auto"/>
          <w:color w:val="0000FF"/>
        </w:rPr>
        <w:t>2024</w:t>
      </w:r>
      <w:r>
        <w:rPr>
          <w:rFonts w:ascii="Times New Roman" w:cs="Times New Roman" w:eastAsia="Times New Roman" w:hAnsi="Times New Roman"/>
          <w:sz w:val="17"/>
          <w:szCs w:val="17"/>
          <w:color w:val="000000"/>
        </w:rPr>
        <w:t xml:space="preserve"> Refinancing </w:t>
      </w:r>
      <w:r>
        <w:rPr>
          <w:rFonts w:ascii="Times New Roman" w:cs="Times New Roman" w:eastAsia="Times New Roman" w:hAnsi="Times New Roman"/>
          <w:sz w:val="17"/>
          <w:szCs w:val="17"/>
          <w:color w:val="FF0000"/>
          <w:strike w:val="1"/>
        </w:rPr>
        <w:t>Amendment No. 1</w:t>
      </w:r>
      <w:r>
        <w:rPr>
          <w:rFonts w:ascii="Times New Roman" w:cs="Times New Roman" w:eastAsia="Times New Roman" w:hAnsi="Times New Roman"/>
          <w:sz w:val="17"/>
          <w:szCs w:val="17"/>
          <w:color w:val="000000"/>
        </w:rPr>
        <w:t xml:space="preserve"> Term Loans and is secured by the Collateral on a </w:t>
      </w:r>
      <w:r>
        <w:rPr>
          <w:rFonts w:ascii="Times New Roman" w:cs="Times New Roman" w:eastAsia="Times New Roman" w:hAnsi="Times New Roman"/>
          <w:sz w:val="17"/>
          <w:szCs w:val="17"/>
          <w:u w:val="single" w:color="auto"/>
          <w:color w:val="000000"/>
        </w:rPr>
        <w:t>pari passu</w:t>
      </w:r>
      <w:r>
        <w:rPr>
          <w:rFonts w:ascii="Times New Roman" w:cs="Times New Roman" w:eastAsia="Times New Roman" w:hAnsi="Times New Roman"/>
          <w:sz w:val="17"/>
          <w:szCs w:val="17"/>
          <w:color w:val="000000"/>
        </w:rPr>
        <w:t xml:space="preserve"> basis with the Secured Obligations</w:t>
      </w:r>
      <w:r>
        <w:rPr>
          <w:rFonts w:ascii="Times New Roman" w:cs="Times New Roman" w:eastAsia="Times New Roman" w:hAnsi="Times New Roman"/>
          <w:sz w:val="17"/>
          <w:szCs w:val="17"/>
          <w:u w:val="single" w:color="auto"/>
          <w:color w:val="0000FF"/>
        </w:rPr>
        <w:t>, (B) is broadly syndicated to banks and other institutional investors, (C) is incurred after the Amendment No. 4 Effective Date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FF"/>
        </w:rPr>
        <w:t>and prior to the date that is six (6) months after the Amendment No. 4 Effective Date, (D) is scheduled to mature prior to the date that is twelve (12) months after the maturity date of the 2024 Refinancing Term Loans, (E) is not incurred in connection with a Permitted Acquisition or other Investment not prohibited by the terms of this Agreement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w:t>
      </w:r>
      <w:r>
        <w:rPr>
          <w:rFonts w:ascii="Times New Roman" w:cs="Times New Roman" w:eastAsia="Times New Roman" w:hAnsi="Times New Roman"/>
          <w:sz w:val="17"/>
          <w:szCs w:val="17"/>
          <w:color w:val="FF0000"/>
          <w:strike w:val="1"/>
        </w:rPr>
        <w:t>y</w:t>
      </w:r>
      <w:r>
        <w:rPr>
          <w:rFonts w:ascii="Times New Roman" w:cs="Times New Roman" w:eastAsia="Times New Roman" w:hAnsi="Times New Roman"/>
          <w:sz w:val="17"/>
          <w:szCs w:val="17"/>
          <w:u w:val="single" w:color="auto"/>
          <w:color w:val="0000FF"/>
        </w:rPr>
        <w:t>F</w:t>
      </w:r>
      <w:r>
        <w:rPr>
          <w:rFonts w:ascii="Times New Roman" w:cs="Times New Roman" w:eastAsia="Times New Roman" w:hAnsi="Times New Roman"/>
          <w:sz w:val="17"/>
          <w:szCs w:val="17"/>
          <w:color w:val="000000"/>
        </w:rPr>
        <w:t>) is denominated in U.S. Dollars, in the event that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the Effective Yield for any such First Lien Incremental Term Facility is greater than the Effective Yield for the </w:t>
      </w:r>
      <w:r>
        <w:rPr>
          <w:rFonts w:ascii="Times New Roman" w:cs="Times New Roman" w:eastAsia="Times New Roman" w:hAnsi="Times New Roman"/>
          <w:sz w:val="17"/>
          <w:szCs w:val="17"/>
          <w:u w:val="single" w:color="auto"/>
          <w:color w:val="0000FF"/>
        </w:rPr>
        <w:t>2024</w:t>
      </w:r>
      <w:r>
        <w:rPr>
          <w:rFonts w:ascii="Times New Roman" w:cs="Times New Roman" w:eastAsia="Times New Roman" w:hAnsi="Times New Roman"/>
          <w:sz w:val="17"/>
          <w:szCs w:val="17"/>
          <w:color w:val="000000"/>
        </w:rPr>
        <w:t xml:space="preserve"> Refinancing </w:t>
      </w:r>
      <w:r>
        <w:rPr>
          <w:rFonts w:ascii="Times New Roman" w:cs="Times New Roman" w:eastAsia="Times New Roman" w:hAnsi="Times New Roman"/>
          <w:sz w:val="17"/>
          <w:szCs w:val="17"/>
          <w:color w:val="FF0000"/>
          <w:strike w:val="1"/>
        </w:rPr>
        <w:t>Amendment No. 1</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 Loans by more than 0.50% per annum, then the Effective Yield for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FF"/>
        </w:rPr>
        <w:t>2024</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Refinancing</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Amendment No. 1</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Loans shall be increased to the extent necessary so that the Effective Yield for the </w:t>
      </w:r>
      <w:r>
        <w:rPr>
          <w:rFonts w:ascii="Times New Roman" w:cs="Times New Roman" w:eastAsia="Times New Roman" w:hAnsi="Times New Roman"/>
          <w:sz w:val="17"/>
          <w:szCs w:val="17"/>
          <w:color w:val="FF0000"/>
          <w:strike w:val="1"/>
        </w:rPr>
        <w:t>Refinancing</w:t>
      </w:r>
      <w:r>
        <w:rPr>
          <w:rFonts w:ascii="Times New Roman" w:cs="Times New Roman" w:eastAsia="Times New Roman" w:hAnsi="Times New Roman"/>
          <w:sz w:val="17"/>
          <w:szCs w:val="17"/>
          <w:color w:val="000000"/>
        </w:rPr>
        <w:t xml:space="preserve"> Amendment No.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4 Refinancing</w:t>
      </w:r>
      <w:r>
        <w:rPr>
          <w:rFonts w:ascii="Times New Roman" w:cs="Times New Roman" w:eastAsia="Times New Roman" w:hAnsi="Times New Roman"/>
          <w:sz w:val="17"/>
          <w:szCs w:val="17"/>
          <w:color w:val="000000"/>
        </w:rPr>
        <w:t xml:space="preserve"> Term Loans is equal to the Effective Yield for such First Lien Incremental Term Facility minus 0.50% per annum (provided that the “floor” applicable to the outstanding </w:t>
      </w:r>
      <w:r>
        <w:rPr>
          <w:rFonts w:ascii="Times New Roman" w:cs="Times New Roman" w:eastAsia="Times New Roman" w:hAnsi="Times New Roman"/>
          <w:sz w:val="17"/>
          <w:szCs w:val="17"/>
          <w:u w:val="single" w:color="auto"/>
          <w:color w:val="0000FF"/>
        </w:rPr>
        <w:t>2024</w:t>
      </w:r>
      <w:r>
        <w:rPr>
          <w:rFonts w:ascii="Times New Roman" w:cs="Times New Roman" w:eastAsia="Times New Roman" w:hAnsi="Times New Roman"/>
          <w:sz w:val="17"/>
          <w:szCs w:val="17"/>
          <w:color w:val="000000"/>
        </w:rPr>
        <w:t xml:space="preserve"> Refinancing </w:t>
      </w:r>
      <w:r>
        <w:rPr>
          <w:rFonts w:ascii="Times New Roman" w:cs="Times New Roman" w:eastAsia="Times New Roman" w:hAnsi="Times New Roman"/>
          <w:sz w:val="17"/>
          <w:szCs w:val="17"/>
          <w:color w:val="FF0000"/>
          <w:strike w:val="1"/>
        </w:rPr>
        <w:t>Amendment No. 1</w:t>
      </w:r>
      <w:r>
        <w:rPr>
          <w:rFonts w:ascii="Times New Roman" w:cs="Times New Roman" w:eastAsia="Times New Roman" w:hAnsi="Times New Roman"/>
          <w:sz w:val="17"/>
          <w:szCs w:val="17"/>
          <w:color w:val="000000"/>
        </w:rPr>
        <w:t xml:space="preserve"> Term Loans shall be increased to an amount not to exceed the “floor” applicable to such First Lien Incremental Term Facility prior to any increase in the Applicable Rate applicable to such </w:t>
      </w:r>
      <w:r>
        <w:rPr>
          <w:rFonts w:ascii="Times New Roman" w:cs="Times New Roman" w:eastAsia="Times New Roman" w:hAnsi="Times New Roman"/>
          <w:sz w:val="17"/>
          <w:szCs w:val="17"/>
          <w:u w:val="single" w:color="auto"/>
          <w:color w:val="0000FF"/>
        </w:rPr>
        <w:t>2024</w:t>
      </w:r>
      <w:r>
        <w:rPr>
          <w:rFonts w:ascii="Times New Roman" w:cs="Times New Roman" w:eastAsia="Times New Roman" w:hAnsi="Times New Roman"/>
          <w:sz w:val="17"/>
          <w:szCs w:val="17"/>
          <w:color w:val="000000"/>
        </w:rPr>
        <w:t xml:space="preserve"> Refinancing </w:t>
      </w:r>
      <w:r>
        <w:rPr>
          <w:rFonts w:ascii="Times New Roman" w:cs="Times New Roman" w:eastAsia="Times New Roman" w:hAnsi="Times New Roman"/>
          <w:sz w:val="17"/>
          <w:szCs w:val="17"/>
          <w:color w:val="FF0000"/>
          <w:strike w:val="1"/>
        </w:rPr>
        <w:t>Amendment No. 1</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 Loans then outstanding); and (e) may otherwise have terms and conditions different from those of the Term Loans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(including currency denomination);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w:t>
      </w:r>
      <w:r>
        <w:rPr>
          <w:rFonts w:ascii="Times New Roman" w:cs="Times New Roman" w:eastAsia="Times New Roman" w:hAnsi="Times New Roman"/>
          <w:sz w:val="17"/>
          <w:szCs w:val="17"/>
          <w:color w:val="FF0000"/>
          <w:strike w:val="1"/>
        </w:rPr>
        <w:t>(x) to the extent the terms and documentation with respect to such First Lien Incremental</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FF0000"/>
          <w:strike w:val="1"/>
        </w:rPr>
        <w:t>Term Loans are not consistent with the existing Term Loans (except with respect to matters contemplated by clauses (b), (c) and (d) above), the covenants, events of default and guarantees of any such First Lien Incremental Term Loans shall not be materially more restrictive to the Borrower, when taken as a whole, than the terms of the Term Loans unless (1) Lenders under the Term Loans also receive the benefit of such more restrictive terms (it being understood that, to the extent that any covenant, event of default or guarantee is added or modified for the benefit of any Incremental Term Facility, no consent shall be required from the First Lien Administrative Agent or any of the Term Lenders to the extent that such covenant, event of default or guarantee is also added or modified for the benefit of the existing Term Loans), (2) any such provisions apply after the Term Maturity Date or (3) such terms are reasonably satisfactory to the First Lien</w:t>
      </w:r>
    </w:p>
    <w:p>
      <w:pPr>
        <w:sectPr>
          <w:pgSz w:w="11900" w:h="16838" w:orient="portrait"/>
          <w:cols w:equalWidth="0" w:num="1">
            <w:col w:w="10040"/>
          </w:cols>
          <w:pgMar w:left="1020" w:top="1417" w:right="839" w:bottom="1440" w:gutter="0" w:footer="0" w:header="0"/>
        </w:sectPr>
      </w:pPr>
    </w:p>
    <w:bookmarkStart w:id="599" w:name="page600"/>
    <w:bookmarkEnd w:id="599"/>
    <w:p>
      <w:pPr>
        <w:jc w:val="both"/>
        <w:ind w:right="40"/>
        <w:spacing w:after="0" w:line="255" w:lineRule="auto"/>
        <w:rPr>
          <w:sz w:val="20"/>
          <w:szCs w:val="20"/>
          <w:color w:val="auto"/>
        </w:rPr>
      </w:pPr>
      <w:r>
        <w:rPr>
          <w:rFonts w:ascii="Times New Roman" w:cs="Times New Roman" w:eastAsia="Times New Roman" w:hAnsi="Times New Roman"/>
          <w:sz w:val="18"/>
          <w:szCs w:val="18"/>
          <w:color w:val="FF0000"/>
          <w:strike w:val="1"/>
        </w:rPr>
        <w:t>Administrative Agent and the Borrower and (y)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no event shall it be a condition to the effectiveness of, or borrowing under, any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First Lien Incremental Term Loans that any representation or warranty of any Loan Party set forth herein be true and correct, except and solely to the extent required by the Additional Term Lenders providing such First Lien Incremental Term Loans. Any </w:t>
      </w:r>
      <w:r>
        <w:rPr>
          <w:rFonts w:ascii="Times New Roman" w:cs="Times New Roman" w:eastAsia="Times New Roman" w:hAnsi="Times New Roman"/>
          <w:sz w:val="18"/>
          <w:szCs w:val="18"/>
          <w:color w:val="FF0000"/>
          <w:strike w:val="1"/>
        </w:rPr>
        <w:t>First Lien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Incremental Term Increase shall be on the same terms and pursuant to the same documentation applicable to the Term Loans (except with respect to matters contemplated by clauses (b), (c) and (d) above). Any </w:t>
      </w:r>
      <w:r>
        <w:rPr>
          <w:rFonts w:ascii="Times New Roman" w:cs="Times New Roman" w:eastAsia="Times New Roman" w:hAnsi="Times New Roman"/>
          <w:sz w:val="18"/>
          <w:szCs w:val="18"/>
          <w:color w:val="000000"/>
          <w:strike w:val="1"/>
        </w:rPr>
        <w:t>Incremental Term Facility shall be on terms and pursuant 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documentation as determined by the Borrower and the Additional Term Lenders providing such Incremental Term Facility, subject to the restrictions and exceptions set forth above.</w:t>
      </w:r>
    </w:p>
    <w:p>
      <w:pPr>
        <w:spacing w:after="0" w:line="216" w:lineRule="exact"/>
        <w:rPr>
          <w:sz w:val="20"/>
          <w:szCs w:val="20"/>
          <w:color w:val="auto"/>
        </w:rPr>
      </w:pPr>
    </w:p>
    <w:p>
      <w:pPr>
        <w:jc w:val="both"/>
        <w:ind w:right="40" w:firstLine="1287"/>
        <w:spacing w:after="0" w:line="254" w:lineRule="auto"/>
        <w:tabs>
          <w:tab w:leader="none" w:pos="1907"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Incremental Term Increases shall be treated the same as the Class of Term Loans being increased (including with respect to maturity date thereof) and shall be considered to be part of the Class of Term Loans being increased (excluding upfront fees</w:t>
      </w:r>
      <w:r>
        <w:rPr>
          <w:rFonts w:ascii="Times New Roman" w:cs="Times New Roman" w:eastAsia="Times New Roman" w:hAnsi="Times New Roman"/>
          <w:sz w:val="18"/>
          <w:szCs w:val="18"/>
          <w:u w:val="single" w:color="auto"/>
          <w:color w:val="0000FF"/>
        </w:rPr>
        <w:t>, closing payments</w:t>
      </w:r>
      <w:r>
        <w:rPr>
          <w:rFonts w:ascii="Times New Roman" w:cs="Times New Roman" w:eastAsia="Times New Roman" w:hAnsi="Times New Roman"/>
          <w:sz w:val="18"/>
          <w:szCs w:val="18"/>
          <w:color w:val="auto"/>
        </w:rPr>
        <w:t xml:space="preserve"> and customary arranger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w:t>
      </w:r>
    </w:p>
    <w:p>
      <w:pPr>
        <w:spacing w:after="0" w:line="232" w:lineRule="exact"/>
        <w:rPr>
          <w:rFonts w:ascii="Times New Roman" w:cs="Times New Roman" w:eastAsia="Times New Roman" w:hAnsi="Times New Roman"/>
          <w:sz w:val="18"/>
          <w:szCs w:val="18"/>
          <w:color w:val="auto"/>
        </w:rPr>
      </w:pPr>
    </w:p>
    <w:p>
      <w:pPr>
        <w:jc w:val="both"/>
        <w:ind w:right="20" w:firstLine="1287"/>
        <w:spacing w:after="0" w:line="257" w:lineRule="auto"/>
        <w:tabs>
          <w:tab w:leader="none" w:pos="1903"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w:t>
      </w:r>
      <w:r>
        <w:rPr>
          <w:rFonts w:ascii="Times New Roman" w:cs="Times New Roman" w:eastAsia="Times New Roman" w:hAnsi="Times New Roman"/>
          <w:sz w:val="18"/>
          <w:szCs w:val="18"/>
          <w:u w:val="single" w:color="auto"/>
          <w:color w:val="0000FF"/>
        </w:rPr>
        <w:t>, closing payments</w:t>
      </w:r>
      <w:r>
        <w:rPr>
          <w:rFonts w:ascii="Times New Roman" w:cs="Times New Roman" w:eastAsia="Times New Roman" w:hAnsi="Times New Roman"/>
          <w:sz w:val="18"/>
          <w:szCs w:val="18"/>
          <w:color w:val="auto"/>
        </w:rPr>
        <w:t xml:space="preserve"> and</w:t>
      </w:r>
    </w:p>
    <w:p>
      <w:pPr>
        <w:spacing w:after="0" w:line="1"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color w:val="auto"/>
        </w:rPr>
        <w:t xml:space="preserve">customary arranger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pricing, interest rate</w:t>
      </w:r>
      <w:r>
        <w:rPr>
          <w:sz w:val="20"/>
          <w:szCs w:val="20"/>
          <w:color w:val="auto"/>
        </w:rPr>
        <w:tab/>
      </w:r>
      <w:r>
        <w:rPr>
          <w:rFonts w:ascii="Times New Roman" w:cs="Times New Roman" w:eastAsia="Times New Roman" w:hAnsi="Times New Roman"/>
          <w:sz w:val="17"/>
          <w:szCs w:val="17"/>
          <w:color w:val="auto"/>
        </w:rPr>
        <w:t>margins,</w:t>
      </w:r>
    </w:p>
    <w:p>
      <w:pPr>
        <w:spacing w:after="0" w:line="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287" w:lineRule="exact"/>
        <w:rPr>
          <w:sz w:val="20"/>
          <w:szCs w:val="20"/>
          <w:color w:val="auto"/>
        </w:rPr>
      </w:pPr>
    </w:p>
    <w:p>
      <w:pPr>
        <w:jc w:val="both"/>
        <w:ind w:right="40" w:firstLine="1287"/>
        <w:spacing w:after="0" w:line="252" w:lineRule="auto"/>
        <w:tabs>
          <w:tab w:leader="none" w:pos="1907"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Additional/Replacement Revolving Commitments (a) shall (i) rank equal or junior in right of payment with the Revolving Loans, (ii) if secured, be secured only by the Collateral securing the Secured 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to the extent the terms and documentation with respect to such Additional/Replacement Revolving Commitments are not consistent with the existing Revolving Commitments (except with respect to matters contemplated by clauses (b), (c), (d) and (e) 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First Lien</w:t>
      </w:r>
    </w:p>
    <w:p>
      <w:pPr>
        <w:sectPr>
          <w:pgSz w:w="11900" w:h="16838" w:orient="portrait"/>
          <w:cols w:equalWidth="0" w:num="1">
            <w:col w:w="10060"/>
          </w:cols>
          <w:pgMar w:left="1020" w:top="1417" w:right="819" w:bottom="1440" w:gutter="0" w:footer="0" w:header="0"/>
        </w:sectPr>
      </w:pPr>
    </w:p>
    <w:bookmarkStart w:id="600" w:name="page601"/>
    <w:bookmarkEnd w:id="600"/>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First Lien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 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 Revolving Commitments, subject to the restrictions set forth above.</w:t>
      </w:r>
    </w:p>
    <w:p>
      <w:pPr>
        <w:spacing w:after="0" w:line="232" w:lineRule="exact"/>
        <w:rPr>
          <w:sz w:val="20"/>
          <w:szCs w:val="20"/>
          <w:color w:val="auto"/>
        </w:rPr>
      </w:pPr>
    </w:p>
    <w:p>
      <w:pPr>
        <w:jc w:val="both"/>
        <w:ind w:right="40" w:firstLine="1287"/>
        <w:spacing w:after="0" w:line="251" w:lineRule="auto"/>
        <w:tabs>
          <w:tab w:leader="none" w:pos="1901"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Lien Incremental Facilities shall become Commitments and Loans, as applicable, under this Agreement pursuant to an amendment (an “</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be required to act as “issuing bank” and no 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 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w:t>
      </w:r>
    </w:p>
    <w:p>
      <w:pPr>
        <w:spacing w:after="0" w:line="243" w:lineRule="exact"/>
        <w:rPr>
          <w:rFonts w:ascii="Times New Roman" w:cs="Times New Roman" w:eastAsia="Times New Roman" w:hAnsi="Times New Roman"/>
          <w:sz w:val="18"/>
          <w:szCs w:val="18"/>
          <w:color w:val="auto"/>
        </w:rPr>
      </w:pPr>
    </w:p>
    <w:p>
      <w:pPr>
        <w:ind w:right="40" w:firstLine="1287"/>
        <w:spacing w:after="0" w:line="282" w:lineRule="auto"/>
        <w:tabs>
          <w:tab w:leader="none" w:pos="1897"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this Section 2.20 shall supersede any provisions in Section 2.18 or Section 9.02 to the contrary.</w:t>
      </w:r>
    </w:p>
    <w:p>
      <w:pPr>
        <w:spacing w:after="0" w:line="20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2.21</w:t>
      </w:r>
      <w:r>
        <w:rPr>
          <w:sz w:val="20"/>
          <w:szCs w:val="20"/>
          <w:color w:val="auto"/>
        </w:rPr>
        <w:tab/>
      </w: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both"/>
        <w:ind w:firstLine="1287"/>
        <w:spacing w:after="0" w:line="258" w:lineRule="auto"/>
        <w:tabs>
          <w:tab w:leader="none" w:pos="1901"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(ii) all or any portion of the Revolving Loans (or unused Revolving Commitments) under this Agreement (which for purposes of this clause (ii) will be deemed to include any then</w:t>
      </w:r>
    </w:p>
    <w:p>
      <w:pPr>
        <w:sectPr>
          <w:pgSz w:w="11900" w:h="16838" w:orient="portrait"/>
          <w:cols w:equalWidth="0" w:num="1">
            <w:col w:w="10060"/>
          </w:cols>
          <w:pgMar w:left="1020" w:top="1417" w:right="819" w:bottom="1440" w:gutter="0" w:footer="0" w:header="0"/>
        </w:sectPr>
      </w:pPr>
    </w:p>
    <w:bookmarkStart w:id="601" w:name="page602"/>
    <w:bookmarkEnd w:id="601"/>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outstanding Other Revolving Loans and Other Revolving Commitments) and (iii) all or any portion of First Lien Incremental Equivalent Debt, in the form of (x) Other First Lien Term Loans or Other First Lien Term Commitments or (y) Other Revolving Loans or Other Revolving Commitments, as the case may be, in each case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Agreement Refinancing Indebtedness (i) will be unsecured or will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Secured Obligations (and if secured, subject to the terms of the First/Second Lien Intercreditor Agreement and/or a Customary Intercreditor Agreement, as applicable),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outstanding Term Loans or reduction of Revolving Commitments being so refinanced or the prepayment, satisfaction and discharge or redemption of outstanding First Lien Incremental Equivalent Debt, as the case may be. The effectiveness of any Refinancing Amendment shall be subject to the satisfaction on the date thereof of the conditions as agreed between the lenders providing such Credit Agreement Refinancing Indebtedness and the Borrower and, to the extent reasonably requested by the First Lien Administrative Agent, receipt by the First Lien Administrative Agent of legal opinions, board resolutions, officers’ certificates and/or reaffirmation agreements consistent with those delivered on the Effective Date under Section 4.01 (other than changes to such legal opinions resulting from a change in law, change in fact or change to counsel’s form of opinion reasonably satisfactory to the First Lien Administrative Agent). Each Class of Credit Agreement Refinancing Indebtedness incurred under this Section 2.21 shall be in an aggregate principal amount that is (x) not less than $10,000,000 in the case of Other Term Loans or $10,000,000 in the case of Other Revolving Loans and (y) an integral multiple of $1,000,000 in excess thereof (in each case unless the Borrower and the First Lien Administrative Agent otherwise agree).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or Swingline Lender shall be required to act as “issuing bank” or “swingline lender” under any such Refinancing Amendment without its written consent. The First Lien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First Lien Term Loans, Other Revolving Loans, Other Revolving Commitments and/or Other First Lien Term Commitments). Any Refinancing Amendment may, without the consent of any other Lenders, effect such amendments to this Agreement and the other First Lien Loan Documents as may be necessary or appropriate, in the reasonable opinion of the First Lien Administrative Agent and the Borrower, to effect the provisions of this Section 2.21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240" w:lineRule="exact"/>
        <w:rPr>
          <w:sz w:val="20"/>
          <w:szCs w:val="20"/>
          <w:color w:val="auto"/>
        </w:rPr>
      </w:pPr>
    </w:p>
    <w:p>
      <w:pPr>
        <w:ind w:left="1920" w:hanging="632"/>
        <w:spacing w:after="0"/>
        <w:tabs>
          <w:tab w:leader="none" w:pos="192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2.21 shall supersede any provisions in Section 2.18 or Section 9.02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w:t>
      </w:r>
    </w:p>
    <w:p>
      <w:pPr>
        <w:spacing w:after="0" w:line="247"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7"/>
          <w:szCs w:val="17"/>
          <w:u w:val="single" w:color="auto"/>
          <w:color w:val="auto"/>
        </w:rPr>
        <w:t>Defaulting Lenders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40" w:firstLine="1288"/>
        <w:spacing w:after="0" w:line="282" w:lineRule="auto"/>
        <w:tabs>
          <w:tab w:leader="none" w:pos="1901"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202" w:lineRule="exact"/>
        <w:rPr>
          <w:rFonts w:ascii="Times New Roman" w:cs="Times New Roman" w:eastAsia="Times New Roman" w:hAnsi="Times New Roman"/>
          <w:sz w:val="18"/>
          <w:szCs w:val="18"/>
          <w:color w:val="auto"/>
        </w:rPr>
      </w:pPr>
    </w:p>
    <w:p>
      <w:pPr>
        <w:ind w:right="180" w:firstLine="728"/>
        <w:spacing w:after="0" w:line="282" w:lineRule="auto"/>
        <w:tabs>
          <w:tab w:leader="none" w:pos="1257"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Section 9.02.</w:t>
      </w:r>
    </w:p>
    <w:p>
      <w:pPr>
        <w:sectPr>
          <w:pgSz w:w="11900" w:h="16838" w:orient="portrait"/>
          <w:cols w:equalWidth="0" w:num="1">
            <w:col w:w="10060"/>
          </w:cols>
          <w:pgMar w:left="1020" w:top="1417" w:right="819" w:bottom="1440" w:gutter="0" w:footer="0" w:header="0"/>
        </w:sectPr>
      </w:pPr>
    </w:p>
    <w:bookmarkStart w:id="602" w:name="page603"/>
    <w:bookmarkEnd w:id="602"/>
    <w:p>
      <w:pPr>
        <w:spacing w:after="0" w:line="220" w:lineRule="exact"/>
        <w:rPr>
          <w:sz w:val="20"/>
          <w:szCs w:val="20"/>
          <w:color w:val="auto"/>
        </w:rPr>
      </w:pPr>
    </w:p>
    <w:p>
      <w:pPr>
        <w:jc w:val="both"/>
        <w:ind w:firstLine="678"/>
        <w:spacing w:after="0" w:line="251" w:lineRule="auto"/>
        <w:tabs>
          <w:tab w:leader="none" w:pos="1257"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First Lien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in the case of a Revolving Lender, to the payment on a pro rata basis of any amounts owing by that Defaulting Lender to each Issuing Bank and the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spacing w:after="0" w:line="246" w:lineRule="exact"/>
        <w:rPr>
          <w:rFonts w:ascii="Times New Roman" w:cs="Times New Roman" w:eastAsia="Times New Roman" w:hAnsi="Times New Roman"/>
          <w:sz w:val="18"/>
          <w:szCs w:val="18"/>
          <w:color w:val="auto"/>
        </w:rPr>
      </w:pPr>
    </w:p>
    <w:p>
      <w:pPr>
        <w:jc w:val="both"/>
        <w:ind w:firstLine="628"/>
        <w:spacing w:after="0" w:line="261" w:lineRule="auto"/>
        <w:tabs>
          <w:tab w:leader="none" w:pos="1258"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w:t>
      </w:r>
    </w:p>
    <w:p>
      <w:pPr>
        <w:spacing w:after="0" w:line="220" w:lineRule="exact"/>
        <w:rPr>
          <w:rFonts w:ascii="Times New Roman" w:cs="Times New Roman" w:eastAsia="Times New Roman" w:hAnsi="Times New Roman"/>
          <w:sz w:val="18"/>
          <w:szCs w:val="18"/>
          <w:color w:val="auto"/>
        </w:rPr>
      </w:pPr>
    </w:p>
    <w:p>
      <w:pPr>
        <w:jc w:val="both"/>
        <w:ind w:right="40" w:firstLine="637"/>
        <w:spacing w:after="0" w:line="257" w:lineRule="auto"/>
        <w:tabs>
          <w:tab w:leader="none" w:pos="1256"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During any period in which there is a Defaulting Lender, for purposes of computing the amount of the obligation of each non-Defaulting Lender to acquire, refinance or fund participations in Swingline Loans and Letters of Credit pursuant to Sections</w:t>
      </w:r>
    </w:p>
    <w:p>
      <w:pPr>
        <w:spacing w:after="0" w:line="1" w:lineRule="exact"/>
        <w:rPr>
          <w:rFonts w:ascii="Times New Roman" w:cs="Times New Roman" w:eastAsia="Times New Roman" w:hAnsi="Times New Roman"/>
          <w:sz w:val="18"/>
          <w:szCs w:val="18"/>
          <w:color w:val="auto"/>
        </w:rPr>
      </w:pPr>
    </w:p>
    <w:p>
      <w:pPr>
        <w:jc w:val="both"/>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2.04 and 2.05 and the payments of participation fees pursuant to Section 2.12(b), the “Applicable Percentage” of each non-Defaulting Lender shall be computed without giving effect to the Revolving Commitment of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aggregate principal amount of the Revolving Loans of that non-Defaulting Lender.</w:t>
      </w:r>
    </w:p>
    <w:p>
      <w:pPr>
        <w:spacing w:after="0" w:line="227" w:lineRule="exact"/>
        <w:rPr>
          <w:rFonts w:ascii="Times New Roman" w:cs="Times New Roman" w:eastAsia="Times New Roman" w:hAnsi="Times New Roman"/>
          <w:sz w:val="18"/>
          <w:szCs w:val="18"/>
          <w:color w:val="auto"/>
        </w:rPr>
      </w:pPr>
    </w:p>
    <w:p>
      <w:pPr>
        <w:jc w:val="both"/>
        <w:ind w:right="40" w:firstLine="686"/>
        <w:spacing w:after="0" w:line="261" w:lineRule="auto"/>
        <w:tabs>
          <w:tab w:leader="none" w:pos="1255"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Swingline Loans</w:t>
      </w:r>
      <w:r>
        <w:rPr>
          <w:rFonts w:ascii="Times New Roman" w:cs="Times New Roman" w:eastAsia="Times New Roman" w:hAnsi="Times New Roman"/>
          <w:sz w:val="18"/>
          <w:szCs w:val="18"/>
          <w:color w:val="auto"/>
        </w:rPr>
        <w:t>.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w:t>
      </w:r>
    </w:p>
    <w:p>
      <w:pPr>
        <w:spacing w:after="0" w:line="287" w:lineRule="exact"/>
        <w:rPr>
          <w:rFonts w:ascii="Times New Roman" w:cs="Times New Roman" w:eastAsia="Times New Roman" w:hAnsi="Times New Roman"/>
          <w:sz w:val="18"/>
          <w:szCs w:val="18"/>
          <w:color w:val="auto"/>
        </w:rPr>
      </w:pPr>
    </w:p>
    <w:p>
      <w:pPr>
        <w:jc w:val="both"/>
        <w:ind w:right="40" w:firstLine="1287"/>
        <w:spacing w:after="0" w:line="258" w:lineRule="auto"/>
        <w:tabs>
          <w:tab w:leader="none" w:pos="1897"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If the Borrower, the First Lien Administrative Agent, Swingline Lender and each Issuing Bank agree in writing in their sole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w:t>
      </w:r>
    </w:p>
    <w:p>
      <w:pPr>
        <w:sectPr>
          <w:pgSz w:w="11900" w:h="16838" w:orient="portrait"/>
          <w:cols w:equalWidth="0" w:num="1">
            <w:col w:w="10060"/>
          </w:cols>
          <w:pgMar w:left="1020" w:top="1440" w:right="819" w:bottom="1440" w:gutter="0" w:footer="0" w:header="0"/>
        </w:sectPr>
      </w:pPr>
    </w:p>
    <w:bookmarkStart w:id="603" w:name="page604"/>
    <w:bookmarkEnd w:id="60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3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2.23</w:t>
      </w:r>
      <w:r>
        <w:rPr>
          <w:sz w:val="20"/>
          <w:szCs w:val="20"/>
          <w:color w:val="auto"/>
        </w:rPr>
        <w:tab/>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If any Lender determines that any law has made it unlawful, or that any Governmental Authority has asserted that it is unlawful, for any Lender to make, maintain or fund Loans whose interest is determined by reference to the Term Benchmark Rate or RFR Rate (whether denominated in Dollars or an Alternative Currency), or to determine or charge interest rates based upon the Term Benchmark Rate or RFR Rate, then, on notice thereof by such Lender to Borrower through the First Lien Administrative Agent, (i) any obligation of such Lender to make or continue Term Benchmark Loans or RFR Loans in the affected currency or currencies or to convert ABR Loans to Term Benchmark Loans or RFR Loans in the affected currency or currencies shall be suspended, and (ii) if such notice asserts the illegality of such Lender making or maintaining ABR Loans the interest rate on which is determined by reference to the Adjusted Term SOFR Rate component of the Alternate Base Rate or the Adjusted Term CORRA Rate component of the Canadian Base Rate, the interest rate on such ABR Loans of such Lender shall, if necessary to avoid such illegality, be determined by the First Lien Administrative Agent without reference to the Adjusted Term SOFR Rate component of the Alternate Base Rate or the Adjusted Term CORRA Rate component of the Canadian Base 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Term Benchmark Loans denominated in Dollars or Canadian Dollars of such Lender to ABR Loans (the interest rate on which ABR Loans of such Lender shall, if necessary to avoid such illegality, be determined by the First Lien Administrative Agent without reference to the Adjusted Term SOFR Rate component of the Alternate Base Rate or the Adjusted Term CORRA Rate component of the Canadian Base Rate, as applicable), either on the last day of the Interest Period therefor, if such Lender may lawfully continue to maintain such Term Benchmark Loans and/or RFR Loans to such day, or immediately, if such Lender may not lawfully continue to maintain such Term Benchmark Loans and/or RFR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Term Benchmark Loans and/or RFR Loans to such day, or immediately, if such Lender may not lawfully continue to maintain such Term Benchmark Loans and/or RFR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and the applicable Lender cannot agree within a reasonable time on an alternative rate for such Loans denominated in an Alternative Currency (other than Canadian Dollars), the Borrower may, at its discretion, either (i) prepay such Loans or (ii) maintain such Loans outstanding, in which case, the interest rate payable to the applicable Lender on such Loans will be the rate determined by such Lender as its cost of 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Term SOFR Rate or the Adjusted Term CORRA Rate, the First Lien Administrative Agent shall during the period of such suspension compute the Alternate Base Rate or the Canadian Base Rate, as applicable, applicable to such Lender without reference to the Adjusted Term SOFR Rate component, or the Adjusted Term CORRA Rate component, as applicable, thereof until the First Lien Administrative Agent is advised in writing by such Lender that it is no longer illegal for such Lender to determine or charge interest rates based upon the Adjusted Term SOFR Rate or the Adjusted Term CORRA Rate, as applicable. Each Lender agrees</w:t>
      </w:r>
    </w:p>
    <w:p>
      <w:pPr>
        <w:sectPr>
          <w:pgSz w:w="11900" w:h="16838" w:orient="portrait"/>
          <w:cols w:equalWidth="0" w:num="1">
            <w:col w:w="10020"/>
          </w:cols>
          <w:pgMar w:left="1020" w:top="1417" w:right="859" w:bottom="1440" w:gutter="0" w:footer="0" w:header="0"/>
        </w:sectPr>
      </w:pPr>
    </w:p>
    <w:bookmarkStart w:id="604" w:name="page605"/>
    <w:bookmarkEnd w:id="604"/>
    <w:p>
      <w:pPr>
        <w:ind w:right="180"/>
        <w:spacing w:after="0" w:line="266" w:lineRule="auto"/>
        <w:rPr>
          <w:sz w:val="20"/>
          <w:szCs w:val="20"/>
          <w:color w:val="auto"/>
        </w:rPr>
      </w:pPr>
      <w:r>
        <w:rPr>
          <w:rFonts w:ascii="Times New Roman" w:cs="Times New Roman" w:eastAsia="Times New Roman" w:hAnsi="Times New Roman"/>
          <w:sz w:val="18"/>
          <w:szCs w:val="18"/>
          <w:color w:val="auto"/>
        </w:rPr>
        <w:t>to notify the First Lien Administrative Agent and the Borrower in writing promptly upon becoming aware that it is no longer illegal for such Lender to determine or charge interest rates based upon the applicable Term Benchmark Rate or RFR Rate, as applicable. Upon any such prepayment or conversion, the Borrower shall also pay accrued interest on the amount so prepaid or converted.</w:t>
      </w:r>
    </w:p>
    <w:p>
      <w:pPr>
        <w:spacing w:after="0" w:line="216"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2.24</w:t>
      </w:r>
      <w:r>
        <w:rPr>
          <w:sz w:val="20"/>
          <w:szCs w:val="20"/>
          <w:color w:val="auto"/>
        </w:rPr>
        <w:tab/>
      </w:r>
      <w:r>
        <w:rPr>
          <w:rFonts w:ascii="Times New Roman" w:cs="Times New Roman" w:eastAsia="Times New Roman" w:hAnsi="Times New Roman"/>
          <w:sz w:val="17"/>
          <w:szCs w:val="17"/>
          <w:u w:val="single" w:color="auto"/>
          <w:color w:val="auto"/>
        </w:rPr>
        <w:t>Loan Modification Offers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20" w:firstLine="1287"/>
        <w:spacing w:after="0" w:line="254" w:lineRule="auto"/>
        <w:tabs>
          <w:tab w:leader="none" w:pos="1901"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Effective Date, the Borrower may on one or more occasions, by written notice to the First Lien Administrative Agent, make one or more offers (each, a “</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to all the Lenders of one or more Classes (each Class subject to such a Loan Modification Offer, an “</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and, in the case of any Accepting Lender, only with respect to such Lender’s Loans and Commitments of such Affected Class as to which such Lender’s acceptance has been made.</w:t>
      </w:r>
    </w:p>
    <w:p>
      <w:pPr>
        <w:spacing w:after="0" w:line="228" w:lineRule="exact"/>
        <w:rPr>
          <w:rFonts w:ascii="Times New Roman" w:cs="Times New Roman" w:eastAsia="Times New Roman" w:hAnsi="Times New Roman"/>
          <w:sz w:val="18"/>
          <w:szCs w:val="18"/>
          <w:color w:val="auto"/>
        </w:rPr>
      </w:pPr>
    </w:p>
    <w:p>
      <w:pPr>
        <w:jc w:val="both"/>
        <w:ind w:right="20" w:firstLine="1288"/>
        <w:spacing w:after="0" w:line="253" w:lineRule="auto"/>
        <w:tabs>
          <w:tab w:leader="none" w:pos="1897"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Permitted Amendment shall be effected pursuant to a Loan Modification Agreement executed and delivered by Holdings, the Borrower, each applicable Accepting Lender and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w:t>
      </w:r>
    </w:p>
    <w:p>
      <w:pPr>
        <w:spacing w:after="0" w:line="234" w:lineRule="exact"/>
        <w:rPr>
          <w:rFonts w:ascii="Times New Roman" w:cs="Times New Roman" w:eastAsia="Times New Roman" w:hAnsi="Times New Roman"/>
          <w:sz w:val="18"/>
          <w:szCs w:val="18"/>
          <w:color w:val="auto"/>
        </w:rPr>
      </w:pPr>
    </w:p>
    <w:p>
      <w:pPr>
        <w:jc w:val="both"/>
        <w:ind w:firstLine="1288"/>
        <w:spacing w:after="0" w:line="252" w:lineRule="auto"/>
        <w:tabs>
          <w:tab w:leader="none" w:pos="1901"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Loan Modification Offer, any Lender declines to consent to such Loan Modification Offer on the terms and by the deadline set forth in such Loan Modification Offer (each such Lender, a “</w:t>
      </w:r>
      <w:r>
        <w:rPr>
          <w:rFonts w:ascii="Times New Roman" w:cs="Times New Roman" w:eastAsia="Times New Roman" w:hAnsi="Times New Roman"/>
          <w:sz w:val="18"/>
          <w:szCs w:val="18"/>
          <w:u w:val="single" w:color="auto"/>
          <w:color w:val="auto"/>
        </w:rPr>
        <w:t>Non-Accepting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provided,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 (i))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w:t>
      </w:r>
    </w:p>
    <w:p>
      <w:pPr>
        <w:spacing w:after="0" w:line="237" w:lineRule="exact"/>
        <w:rPr>
          <w:rFonts w:ascii="Times New Roman" w:cs="Times New Roman" w:eastAsia="Times New Roman" w:hAnsi="Times New Roman"/>
          <w:sz w:val="18"/>
          <w:szCs w:val="18"/>
          <w:color w:val="auto"/>
        </w:rPr>
      </w:pPr>
    </w:p>
    <w:p>
      <w:pPr>
        <w:ind w:right="20" w:firstLine="1288"/>
        <w:spacing w:after="0" w:line="282" w:lineRule="auto"/>
        <w:tabs>
          <w:tab w:leader="none" w:pos="1897"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this Section 2.24 shall supersede any provisions in Section 2.18 or Section 9.02 to the contrary.</w:t>
      </w:r>
    </w:p>
    <w:p>
      <w:pPr>
        <w:sectPr>
          <w:pgSz w:w="11900" w:h="16838" w:orient="portrait"/>
          <w:cols w:equalWidth="0" w:num="1">
            <w:col w:w="10040"/>
          </w:cols>
          <w:pgMar w:left="1020" w:top="1336" w:right="839" w:bottom="1440" w:gutter="0" w:footer="0" w:header="0"/>
        </w:sectPr>
      </w:pPr>
    </w:p>
    <w:bookmarkStart w:id="605" w:name="page606"/>
    <w:bookmarkEnd w:id="605"/>
    <w:p>
      <w:pPr>
        <w:spacing w:after="0" w:line="72" w:lineRule="exact"/>
        <w:rPr>
          <w:sz w:val="20"/>
          <w:szCs w:val="20"/>
          <w:color w:val="auto"/>
        </w:rPr>
      </w:pPr>
    </w:p>
    <w:p>
      <w:pPr>
        <w:ind w:left="3709"/>
        <w:spacing w:after="0"/>
        <w:rPr>
          <w:sz w:val="20"/>
          <w:szCs w:val="20"/>
          <w:color w:val="auto"/>
        </w:rPr>
      </w:pPr>
      <w:r>
        <w:rPr>
          <w:rFonts w:ascii="Times New Roman" w:cs="Times New Roman" w:eastAsia="Times New Roman" w:hAnsi="Times New Roman"/>
          <w:sz w:val="18"/>
          <w:szCs w:val="18"/>
          <w:color w:val="auto"/>
        </w:rPr>
        <w:t xml:space="preserve">ARTICLE III </w:t>
      </w:r>
      <w:r>
        <w:rPr>
          <w:rFonts w:ascii="Times New Roman" w:cs="Times New Roman" w:eastAsia="Times New Roman" w:hAnsi="Times New Roman"/>
          <w:sz w:val="18"/>
          <w:szCs w:val="18"/>
          <w:u w:val="single" w:color="auto"/>
          <w:color w:val="auto"/>
        </w:rPr>
        <w:t>REPRESENTATIONS AND</w:t>
      </w:r>
    </w:p>
    <w:p>
      <w:pPr>
        <w:spacing w:after="0" w:line="212" w:lineRule="exact"/>
        <w:rPr>
          <w:sz w:val="20"/>
          <w:szCs w:val="20"/>
          <w:color w:val="auto"/>
        </w:rPr>
      </w:pPr>
    </w:p>
    <w:p>
      <w:pPr>
        <w:ind w:left="2549"/>
        <w:spacing w:after="0"/>
        <w:rPr>
          <w:sz w:val="20"/>
          <w:szCs w:val="20"/>
          <w:color w:val="auto"/>
        </w:rPr>
      </w:pPr>
      <w:r>
        <w:rPr>
          <w:rFonts w:ascii="Times New Roman" w:cs="Times New Roman" w:eastAsia="Times New Roman" w:hAnsi="Times New Roman"/>
          <w:sz w:val="18"/>
          <w:szCs w:val="18"/>
          <w:u w:val="single" w:color="auto"/>
          <w:color w:val="auto"/>
        </w:rPr>
        <w:t>WARRANTIES</w:t>
      </w:r>
    </w:p>
    <w:p>
      <w:pPr>
        <w:spacing w:after="0" w:line="23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Each of Holdings and the Borrower represents and warrants to the Lenders that: SECTION</w:t>
      </w:r>
    </w:p>
    <w:p>
      <w:pPr>
        <w:spacing w:after="0" w:line="225" w:lineRule="exact"/>
        <w:rPr>
          <w:sz w:val="20"/>
          <w:szCs w:val="20"/>
          <w:color w:val="auto"/>
        </w:rPr>
      </w:pPr>
    </w:p>
    <w:p>
      <w:pPr>
        <w:ind w:left="1289"/>
        <w:spacing w:after="0"/>
        <w:tabs>
          <w:tab w:leader="none" w:pos="1769"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u w:val="single" w:color="auto"/>
          <w:color w:val="auto"/>
        </w:rPr>
        <w:t>Organization; Powers</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both"/>
        <w:ind w:left="9" w:firstLine="1296"/>
        <w:spacing w:after="0" w:line="255" w:lineRule="auto"/>
        <w:rPr>
          <w:sz w:val="20"/>
          <w:szCs w:val="20"/>
          <w:color w:val="auto"/>
        </w:rPr>
      </w:pPr>
      <w:r>
        <w:rPr>
          <w:rFonts w:ascii="Times New Roman" w:cs="Times New Roman" w:eastAsia="Times New Roman" w:hAnsi="Times New Roman"/>
          <w:sz w:val="18"/>
          <w:szCs w:val="18"/>
          <w:color w:val="auto"/>
        </w:rPr>
        <w:t>Each of Holdings, any Intermediate Parent,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229"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9" w:right="40" w:firstLine="1296"/>
        <w:spacing w:after="0" w:line="258" w:lineRule="auto"/>
        <w:rPr>
          <w:sz w:val="20"/>
          <w:szCs w:val="20"/>
          <w:color w:val="auto"/>
        </w:rPr>
      </w:pPr>
      <w:r>
        <w:rPr>
          <w:rFonts w:ascii="Times New Roman" w:cs="Times New Roman" w:eastAsia="Times New Roman" w:hAnsi="Times New Roman"/>
          <w:sz w:val="18"/>
          <w:szCs w:val="18"/>
          <w:color w:val="auto"/>
        </w:rPr>
        <w:t>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10"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9" w:right="40" w:firstLine="1296"/>
        <w:spacing w:after="0" w:line="254" w:lineRule="auto"/>
        <w:rPr>
          <w:sz w:val="20"/>
          <w:szCs w:val="20"/>
          <w:color w:val="auto"/>
        </w:rPr>
      </w:pPr>
      <w:r>
        <w:rPr>
          <w:rFonts w:ascii="Times New Roman" w:cs="Times New Roman" w:eastAsia="Times New Roman" w:hAnsi="Times New Roman"/>
          <w:sz w:val="18"/>
          <w:szCs w:val="18"/>
          <w:color w:val="auto"/>
        </w:rPr>
        <w:t>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w:t>
      </w:r>
    </w:p>
    <w:p>
      <w:pPr>
        <w:spacing w:after="0" w:line="3" w:lineRule="exact"/>
        <w:rPr>
          <w:sz w:val="20"/>
          <w:szCs w:val="20"/>
          <w:color w:val="auto"/>
        </w:rPr>
      </w:pPr>
    </w:p>
    <w:p>
      <w:pPr>
        <w:jc w:val="both"/>
        <w:ind w:left="9" w:right="40" w:hanging="9"/>
        <w:spacing w:after="0" w:line="251" w:lineRule="auto"/>
        <w:tabs>
          <w:tab w:leader="none" w:pos="614"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Subsidiary(other than Liens created 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w:t>
      </w:r>
    </w:p>
    <w:p>
      <w:pPr>
        <w:spacing w:after="0" w:line="234"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u w:val="single" w:color="auto"/>
          <w:color w:val="auto"/>
        </w:rPr>
        <w:t>Financial Condition; No Material Adverse Effect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9" w:right="40" w:firstLine="1287"/>
        <w:spacing w:after="0" w:line="258" w:lineRule="auto"/>
        <w:tabs>
          <w:tab w:leader="none" w:pos="191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w:t>
      </w:r>
    </w:p>
    <w:p>
      <w:pPr>
        <w:spacing w:after="0" w:line="277" w:lineRule="exact"/>
        <w:rPr>
          <w:rFonts w:ascii="Times New Roman" w:cs="Times New Roman" w:eastAsia="Times New Roman" w:hAnsi="Times New Roman"/>
          <w:sz w:val="18"/>
          <w:szCs w:val="18"/>
          <w:color w:val="auto"/>
        </w:rPr>
      </w:pPr>
    </w:p>
    <w:p>
      <w:pPr>
        <w:ind w:left="1929" w:hanging="632"/>
        <w:spacing w:after="0"/>
        <w:tabs>
          <w:tab w:leader="none" w:pos="1929"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Effective Date, there has been no Material Adverse Effect.</w:t>
      </w:r>
    </w:p>
    <w:p>
      <w:pPr>
        <w:sectPr>
          <w:pgSz w:w="11900" w:h="16838" w:orient="portrait"/>
          <w:cols w:equalWidth="0" w:num="1">
            <w:col w:w="10069"/>
          </w:cols>
          <w:pgMar w:left="1011" w:top="1440" w:right="819" w:bottom="1440" w:gutter="0" w:footer="0" w:header="0"/>
        </w:sectPr>
      </w:pPr>
    </w:p>
    <w:bookmarkStart w:id="606" w:name="page607"/>
    <w:bookmarkEnd w:id="606"/>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9" w:right="200" w:firstLine="1296"/>
        <w:spacing w:after="0" w:line="256" w:lineRule="auto"/>
        <w:rPr>
          <w:sz w:val="20"/>
          <w:szCs w:val="20"/>
          <w:color w:val="auto"/>
        </w:rPr>
      </w:pPr>
      <w:r>
        <w:rPr>
          <w:rFonts w:ascii="Times New Roman" w:cs="Times New Roman" w:eastAsia="Times New Roman" w:hAnsi="Times New Roman"/>
          <w:sz w:val="18"/>
          <w:szCs w:val="18"/>
          <w:color w:val="auto"/>
        </w:rPr>
        <w:t>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228"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9" w:right="200" w:firstLine="1288"/>
        <w:spacing w:after="0" w:line="261" w:lineRule="auto"/>
        <w:tabs>
          <w:tab w:leader="none" w:pos="191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w:t>
      </w:r>
    </w:p>
    <w:p>
      <w:pPr>
        <w:spacing w:after="0" w:line="220" w:lineRule="exact"/>
        <w:rPr>
          <w:rFonts w:ascii="Times New Roman" w:cs="Times New Roman" w:eastAsia="Times New Roman" w:hAnsi="Times New Roman"/>
          <w:sz w:val="18"/>
          <w:szCs w:val="18"/>
          <w:color w:val="auto"/>
        </w:rPr>
      </w:pPr>
    </w:p>
    <w:p>
      <w:pPr>
        <w:jc w:val="both"/>
        <w:ind w:left="9" w:right="180" w:firstLine="1288"/>
        <w:spacing w:after="0" w:line="258" w:lineRule="auto"/>
        <w:tabs>
          <w:tab w:leader="none" w:pos="1906"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3.06, and except with respect to any other matters that, individually or in the aggregate, would not reasonably be expected to result in a Material Adverse Effect, none of Holdings, any Intermediate Parent, the Borrower or any Restricted Subsidiary (i) 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spacing w:after="0" w:line="224"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9" w:right="480" w:firstLine="1296"/>
        <w:spacing w:after="0" w:line="261" w:lineRule="auto"/>
        <w:rPr>
          <w:sz w:val="20"/>
          <w:szCs w:val="20"/>
          <w:color w:val="auto"/>
        </w:rPr>
      </w:pPr>
      <w:r>
        <w:rPr>
          <w:rFonts w:ascii="Times New Roman" w:cs="Times New Roman" w:eastAsia="Times New Roman" w:hAnsi="Times New Roman"/>
          <w:sz w:val="18"/>
          <w:szCs w:val="18"/>
          <w:color w:val="auto"/>
        </w:rPr>
        <w:t>Each of Holdings, each Intermediate Parent, the Borrower and its Restricted Subsidiaries is in compliance with (a) its Organizational Documents, (b) all Requirements of Law applicable to it or its property and</w:t>
      </w:r>
    </w:p>
    <w:p>
      <w:pPr>
        <w:ind w:left="9"/>
        <w:spacing w:after="0"/>
        <w:rPr>
          <w:sz w:val="20"/>
          <w:szCs w:val="20"/>
          <w:color w:val="auto"/>
        </w:rPr>
      </w:pPr>
      <w:r>
        <w:rPr>
          <w:rFonts w:ascii="Times New Roman" w:cs="Times New Roman" w:eastAsia="Times New Roman" w:hAnsi="Times New Roman"/>
          <w:sz w:val="18"/>
          <w:szCs w:val="18"/>
          <w:color w:val="auto"/>
        </w:rPr>
        <w:t>(c) all indentures and other agreements and instruments binding upon it or its property, except, in the case of clauses</w:t>
      </w:r>
    </w:p>
    <w:p>
      <w:pPr>
        <w:spacing w:after="0" w:line="9" w:lineRule="exact"/>
        <w:rPr>
          <w:sz w:val="20"/>
          <w:szCs w:val="20"/>
          <w:color w:val="auto"/>
        </w:rPr>
      </w:pPr>
    </w:p>
    <w:p>
      <w:pPr>
        <w:ind w:left="9" w:right="280" w:hanging="9"/>
        <w:spacing w:after="0" w:line="260" w:lineRule="auto"/>
        <w:tabs>
          <w:tab w:leader="none" w:pos="264"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of this Section 3.07, where the failure to do so, individually or in the aggregate, would not reasonably be expected to result in a Material Adverse Effect.</w:t>
      </w:r>
    </w:p>
    <w:p>
      <w:pPr>
        <w:spacing w:after="0" w:line="222"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9" w:firstLine="1296"/>
        <w:spacing w:after="0" w:line="282" w:lineRule="auto"/>
        <w:rPr>
          <w:sz w:val="20"/>
          <w:szCs w:val="20"/>
          <w:color w:val="auto"/>
        </w:rPr>
      </w:pPr>
      <w:r>
        <w:rPr>
          <w:rFonts w:ascii="Times New Roman" w:cs="Times New Roman" w:eastAsia="Times New Roman" w:hAnsi="Times New Roman"/>
          <w:sz w:val="18"/>
          <w:szCs w:val="18"/>
          <w:color w:val="auto"/>
        </w:rPr>
        <w:t>None of the Loan Parties is required to register as an “investment company” under the Investment Company Act of 1940, as amended from time to time.</w:t>
      </w:r>
    </w:p>
    <w:p>
      <w:pPr>
        <w:spacing w:after="0" w:line="202"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9" w:right="2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Except as would not, individually or in the aggregate, reasonably be expected to have a Material Adverse Effect, Holdings, each 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 Restricted Subsidiary that would reasonably be expected to, individually or in the aggregate, have a Material Adverse Effect.</w:t>
      </w:r>
    </w:p>
    <w:p>
      <w:pPr>
        <w:spacing w:after="0" w:line="354"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ectPr>
          <w:pgSz w:w="11900" w:h="16838" w:orient="portrait"/>
          <w:cols w:equalWidth="0" w:num="1">
            <w:col w:w="10229"/>
          </w:cols>
          <w:pgMar w:left="1011" w:top="1336" w:right="659" w:bottom="1440" w:gutter="0" w:footer="0" w:header="0"/>
        </w:sectPr>
      </w:pPr>
    </w:p>
    <w:bookmarkStart w:id="607" w:name="page608"/>
    <w:bookmarkEnd w:id="607"/>
    <w:p>
      <w:pPr>
        <w:jc w:val="both"/>
        <w:ind w:left="9" w:right="40" w:firstLine="1287"/>
        <w:spacing w:after="0" w:line="266" w:lineRule="auto"/>
        <w:tabs>
          <w:tab w:leader="none" w:pos="1910"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Material Adverse Effect, each Plan sponsored by a Loan Party is in compliance with the applicable provisions of ERISA, the Code and other federal or state laws.</w:t>
      </w:r>
    </w:p>
    <w:p>
      <w:pPr>
        <w:spacing w:after="0" w:line="216" w:lineRule="exact"/>
        <w:rPr>
          <w:rFonts w:ascii="Times New Roman" w:cs="Times New Roman" w:eastAsia="Times New Roman" w:hAnsi="Times New Roman"/>
          <w:sz w:val="18"/>
          <w:szCs w:val="18"/>
          <w:color w:val="auto"/>
        </w:rPr>
      </w:pPr>
    </w:p>
    <w:p>
      <w:pPr>
        <w:jc w:val="both"/>
        <w:ind w:left="9" w:right="40" w:firstLine="1287"/>
        <w:spacing w:after="0" w:line="261" w:lineRule="auto"/>
        <w:tabs>
          <w:tab w:leader="none" w:pos="1906"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w:t>
      </w:r>
    </w:p>
    <w:p>
      <w:pPr>
        <w:spacing w:after="0" w:line="220" w:lineRule="exact"/>
        <w:rPr>
          <w:rFonts w:ascii="Times New Roman" w:cs="Times New Roman" w:eastAsia="Times New Roman" w:hAnsi="Times New Roman"/>
          <w:sz w:val="18"/>
          <w:szCs w:val="18"/>
          <w:color w:val="auto"/>
        </w:rPr>
      </w:pPr>
    </w:p>
    <w:p>
      <w:pPr>
        <w:jc w:val="both"/>
        <w:ind w:left="9" w:right="40" w:firstLine="1287"/>
        <w:spacing w:after="0" w:line="252" w:lineRule="auto"/>
        <w:tabs>
          <w:tab w:leader="none" w:pos="1910"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w:t>
      </w:r>
    </w:p>
    <w:p>
      <w:pPr>
        <w:spacing w:after="0" w:line="6" w:lineRule="exact"/>
        <w:rPr>
          <w:rFonts w:ascii="Times New Roman" w:cs="Times New Roman" w:eastAsia="Times New Roman" w:hAnsi="Times New Roman"/>
          <w:sz w:val="18"/>
          <w:szCs w:val="18"/>
          <w:color w:val="auto"/>
        </w:rPr>
      </w:pPr>
    </w:p>
    <w:p>
      <w:pPr>
        <w:ind w:left="9" w:right="40" w:hanging="9"/>
        <w:spacing w:after="0" w:line="260" w:lineRule="auto"/>
        <w:tabs>
          <w:tab w:leader="none" w:pos="331"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Holdings and the Borrower, threatened (in writing) claims, actions or lawsuits, or action by any Governmental Authority, with respect to any such plan.</w:t>
      </w:r>
    </w:p>
    <w:p>
      <w:pPr>
        <w:spacing w:after="0" w:line="200" w:lineRule="exact"/>
        <w:rPr>
          <w:sz w:val="20"/>
          <w:szCs w:val="20"/>
          <w:color w:val="auto"/>
        </w:rPr>
      </w:pPr>
    </w:p>
    <w:p>
      <w:pPr>
        <w:spacing w:after="0" w:line="265"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244"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9" w:right="40" w:firstLine="1296"/>
        <w:spacing w:after="0" w:line="282" w:lineRule="auto"/>
        <w:rPr>
          <w:sz w:val="20"/>
          <w:szCs w:val="20"/>
          <w:color w:val="auto"/>
        </w:rPr>
      </w:pPr>
      <w:r>
        <w:rPr>
          <w:rFonts w:ascii="Times New Roman" w:cs="Times New Roman" w:eastAsia="Times New Roman" w:hAnsi="Times New Roman"/>
          <w:sz w:val="18"/>
          <w:szCs w:val="18"/>
          <w:color w:val="auto"/>
        </w:rPr>
        <w:t>As of the Effective Date, Schedule 3.12 sets forth the name of, and the ownership interest of Holdings and each of its Subsidiaries in, each Subsidiary of Holdings.</w:t>
      </w:r>
    </w:p>
    <w:p>
      <w:pPr>
        <w:spacing w:after="0" w:line="202"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3.13</w:t>
      </w:r>
      <w:r>
        <w:rPr>
          <w:sz w:val="20"/>
          <w:szCs w:val="20"/>
          <w:color w:val="auto"/>
        </w:rPr>
        <w:tab/>
      </w:r>
      <w:r>
        <w:rPr>
          <w:rFonts w:ascii="Times New Roman" w:cs="Times New Roman" w:eastAsia="Times New Roman" w:hAnsi="Times New Roman"/>
          <w:sz w:val="18"/>
          <w:szCs w:val="18"/>
          <w:u w:val="single" w:color="auto"/>
          <w:color w:val="auto"/>
        </w:rPr>
        <w:t>Intellectual Property; Licenses, Etc.</w:t>
      </w:r>
    </w:p>
    <w:p>
      <w:pPr>
        <w:spacing w:after="0" w:line="266" w:lineRule="exact"/>
        <w:rPr>
          <w:sz w:val="20"/>
          <w:szCs w:val="20"/>
          <w:color w:val="auto"/>
        </w:rPr>
      </w:pPr>
    </w:p>
    <w:p>
      <w:pPr>
        <w:jc w:val="both"/>
        <w:ind w:left="9" w:right="40" w:firstLine="1296"/>
        <w:spacing w:after="0" w:line="258" w:lineRule="auto"/>
        <w:rPr>
          <w:sz w:val="20"/>
          <w:szCs w:val="20"/>
          <w:color w:val="auto"/>
        </w:rPr>
      </w:pPr>
      <w:r>
        <w:rPr>
          <w:rFonts w:ascii="Times New Roman" w:cs="Times New Roman" w:eastAsia="Times New Roman" w:hAnsi="Times New Roman"/>
          <w:sz w:val="18"/>
          <w:szCs w:val="18"/>
          <w:color w:val="auto"/>
        </w:rPr>
        <w:t>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any Intermediate Parent, the Borrower or any Restricted Subsidiary in the operation of its business as currently conducted infringes upon the Intellectual Property of any Person except for such infringements that would not</w:t>
      </w:r>
    </w:p>
    <w:p>
      <w:pPr>
        <w:sectPr>
          <w:pgSz w:w="11900" w:h="16838" w:orient="portrait"/>
          <w:cols w:equalWidth="0" w:num="1">
            <w:col w:w="10069"/>
          </w:cols>
          <w:pgMar w:left="1011" w:top="1336" w:right="819" w:bottom="1440" w:gutter="0" w:footer="0" w:header="0"/>
        </w:sectPr>
      </w:pPr>
    </w:p>
    <w:bookmarkStart w:id="608" w:name="page609"/>
    <w:bookmarkEnd w:id="60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reasonably be expected to have, individually or in the aggregate, a Material Adverse Effect. No claim or litigation regarding any of the Intellectual Property is pending or, to the knowledge of Holdings and the Borrower, threatened in writing against Holdings, any Intermediate Parent, the Borrower or any Restricted Subsidiary, which, individually or in the aggregate, would reasonably be expected to have a Material Adverse Effect.</w:t>
      </w:r>
    </w:p>
    <w:p>
      <w:pPr>
        <w:spacing w:after="0" w:line="22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1296"/>
        <w:spacing w:after="0" w:line="253" w:lineRule="auto"/>
        <w:rPr>
          <w:sz w:val="20"/>
          <w:szCs w:val="20"/>
          <w:color w:val="auto"/>
        </w:rPr>
      </w:pPr>
      <w:r>
        <w:rPr>
          <w:rFonts w:ascii="Times New Roman" w:cs="Times New Roman" w:eastAsia="Times New Roman" w:hAnsi="Times New Roman"/>
          <w:sz w:val="18"/>
          <w:szCs w:val="18"/>
          <w:color w:val="auto"/>
        </w:rPr>
        <w:t>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 contemplated on the Effective Date, (c) 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spacing w:after="0" w:line="23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None of Holdings, any Intermediate Parent,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228"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Borrower will use the proceeds of the (a) Term Loans made on the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Effective Date to directly or indirectly finance the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Transactions and otherwise for general corporate purposes, including capital expenditures, to fund Permitted Acquisitions, Permitted Investments, Restricted payments and other transactions not prohibited by this Agreement and (b) the Revolving Loans and Swingline Loans made, and Letters of Credit issued, after the Effective Date for general corporate purposes, including capital expenditures, to fund Permitted Acquisitions, Permitted Investments, Restricted payments and other transactions not prohibited by this Agreement; provided that up to $25,000,000 of Revolving Loans made on the Effective Date may be used to finance the Transactions and pay Transaction Costs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(c) First Lien Incremental Term Facilities, directly or indirectly, on or after the Effective Date, for general corporate purposes including capital expenditures, to fund Permitted Acquisitions, Permitted Investments, Restricted payments and other transactions not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-356870</wp:posOffset>
            </wp:positionV>
            <wp:extent cx="1936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20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7"/>
          <w:szCs w:val="17"/>
          <w:u w:val="single" w:color="auto"/>
          <w:color w:val="auto"/>
        </w:rPr>
        <w:t>Patriot Act; OFAC and FCPA</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both"/>
        <w:ind w:right="20" w:firstLine="1288"/>
        <w:spacing w:after="0" w:line="258" w:lineRule="auto"/>
        <w:tabs>
          <w:tab w:leader="none" w:pos="1901"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w:t>
      </w:r>
    </w:p>
    <w:p>
      <w:pPr>
        <w:sectPr>
          <w:pgSz w:w="11900" w:h="16838" w:orient="portrait"/>
          <w:cols w:equalWidth="0" w:num="1">
            <w:col w:w="10040"/>
          </w:cols>
          <w:pgMar w:left="1020" w:top="1337" w:right="839" w:bottom="1440" w:gutter="0" w:footer="0" w:header="0"/>
        </w:sectPr>
      </w:pPr>
    </w:p>
    <w:bookmarkStart w:id="609" w:name="page610"/>
    <w:bookmarkEnd w:id="609"/>
    <w:p>
      <w:pPr>
        <w:ind w:left="9"/>
        <w:spacing w:after="0" w:line="282" w:lineRule="auto"/>
        <w:rPr>
          <w:sz w:val="20"/>
          <w:szCs w:val="20"/>
          <w:color w:val="auto"/>
        </w:rPr>
      </w:pPr>
      <w:r>
        <w:rPr>
          <w:rFonts w:ascii="Times New Roman" w:cs="Times New Roman" w:eastAsia="Times New Roman" w:hAnsi="Times New Roman"/>
          <w:sz w:val="18"/>
          <w:szCs w:val="18"/>
          <w:color w:val="auto"/>
        </w:rPr>
        <w:t>on behalf of a government, in order to obtain, retain or direct business or obtain any improper advantage, in each case in violation of the United States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9" w:firstLine="1288"/>
        <w:spacing w:after="0" w:line="266" w:lineRule="auto"/>
        <w:tabs>
          <w:tab w:leader="none" w:pos="1906"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Holdings, each of Holdings, the Borrower and the Restricted Subsidiaries is in compliance in all material respects with (i) applicable regulations of the United States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(ii) Title III of the USA Patriot Act and (iii) the FCPA.</w:t>
      </w:r>
    </w:p>
    <w:p>
      <w:pPr>
        <w:spacing w:after="0" w:line="216" w:lineRule="exact"/>
        <w:rPr>
          <w:rFonts w:ascii="Times New Roman" w:cs="Times New Roman" w:eastAsia="Times New Roman" w:hAnsi="Times New Roman"/>
          <w:sz w:val="18"/>
          <w:szCs w:val="18"/>
          <w:color w:val="auto"/>
        </w:rPr>
      </w:pPr>
    </w:p>
    <w:p>
      <w:pPr>
        <w:jc w:val="both"/>
        <w:ind w:left="9" w:firstLine="1287"/>
        <w:spacing w:after="0" w:line="261" w:lineRule="auto"/>
        <w:tabs>
          <w:tab w:leader="none" w:pos="191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w:t>
      </w:r>
    </w:p>
    <w:p>
      <w:pPr>
        <w:spacing w:after="0" w:line="315"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 xml:space="preserve">ARTICLE IV </w:t>
      </w:r>
      <w:r>
        <w:rPr>
          <w:rFonts w:ascii="Times New Roman" w:cs="Times New Roman" w:eastAsia="Times New Roman" w:hAnsi="Times New Roman"/>
          <w:sz w:val="18"/>
          <w:szCs w:val="18"/>
          <w:u w:val="single" w:color="auto"/>
          <w:color w:val="auto"/>
        </w:rPr>
        <w:t>CONDITIONS</w:t>
      </w:r>
    </w:p>
    <w:p>
      <w:pPr>
        <w:spacing w:after="0" w:line="131"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9" w:firstLine="1296"/>
        <w:spacing w:after="0" w:line="266" w:lineRule="auto"/>
        <w:rPr>
          <w:sz w:val="20"/>
          <w:szCs w:val="20"/>
          <w:color w:val="auto"/>
        </w:rPr>
      </w:pPr>
      <w:r>
        <w:rPr>
          <w:rFonts w:ascii="Times New Roman" w:cs="Times New Roman" w:eastAsia="Times New Roman" w:hAnsi="Times New Roman"/>
          <w:sz w:val="18"/>
          <w:szCs w:val="18"/>
          <w:color w:val="auto"/>
        </w:rPr>
        <w:t>The obligation of each Lender to make Loans and the obligations of each Issuing Bank to issue Letters of Credit hereunder on the Effective Date shall be subject to satisfaction of the following conditions (or waiver thereof in accordance with Section 9.02):</w:t>
      </w:r>
    </w:p>
    <w:p>
      <w:pPr>
        <w:spacing w:after="0" w:line="216" w:lineRule="exact"/>
        <w:rPr>
          <w:sz w:val="20"/>
          <w:szCs w:val="20"/>
          <w:color w:val="auto"/>
        </w:rPr>
      </w:pPr>
    </w:p>
    <w:p>
      <w:pPr>
        <w:jc w:val="both"/>
        <w:ind w:left="9" w:firstLine="1288"/>
        <w:spacing w:after="0" w:line="261" w:lineRule="auto"/>
        <w:tabs>
          <w:tab w:leader="none" w:pos="191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w:t>
      </w:r>
    </w:p>
    <w:p>
      <w:pPr>
        <w:spacing w:after="0" w:line="220" w:lineRule="exact"/>
        <w:rPr>
          <w:rFonts w:ascii="Times New Roman" w:cs="Times New Roman" w:eastAsia="Times New Roman" w:hAnsi="Times New Roman"/>
          <w:sz w:val="18"/>
          <w:szCs w:val="18"/>
          <w:color w:val="auto"/>
        </w:rPr>
      </w:pPr>
    </w:p>
    <w:p>
      <w:pPr>
        <w:jc w:val="both"/>
        <w:ind w:left="9" w:firstLine="1287"/>
        <w:spacing w:after="0" w:line="258" w:lineRule="auto"/>
        <w:tabs>
          <w:tab w:leader="none" w:pos="1906"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written opinion (addressed to the First Lien Administrative Agent, the Lenders and the Issuing Banks and dated the Effective Date) of (i) Cleary Gottlieb Steen &amp; Hamilton LLP, New York counsel for the Loan Parties and (ii) Richards, Layton &amp; Finger, P.A., Delaware counsel for the Loan Parties, in each case in form and substance reasonably satisfactory to the First Lien Administrative Agent. Each of Holdings and the Borrower hereby requests such counsel to deliver such opinions.</w:t>
      </w:r>
    </w:p>
    <w:p>
      <w:pPr>
        <w:spacing w:after="0" w:line="223" w:lineRule="exact"/>
        <w:rPr>
          <w:rFonts w:ascii="Times New Roman" w:cs="Times New Roman" w:eastAsia="Times New Roman" w:hAnsi="Times New Roman"/>
          <w:sz w:val="18"/>
          <w:szCs w:val="18"/>
          <w:color w:val="auto"/>
        </w:rPr>
      </w:pPr>
    </w:p>
    <w:p>
      <w:pPr>
        <w:jc w:val="both"/>
        <w:ind w:left="9" w:firstLine="1287"/>
        <w:spacing w:after="0" w:line="266" w:lineRule="auto"/>
        <w:tabs>
          <w:tab w:leader="none" w:pos="191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spacing w:after="0" w:line="202" w:lineRule="exact"/>
        <w:rPr>
          <w:rFonts w:ascii="Times New Roman" w:cs="Times New Roman" w:eastAsia="Times New Roman" w:hAnsi="Times New Roman"/>
          <w:sz w:val="18"/>
          <w:szCs w:val="18"/>
          <w:color w:val="auto"/>
        </w:rPr>
      </w:pPr>
    </w:p>
    <w:p>
      <w:pPr>
        <w:jc w:val="both"/>
        <w:ind w:left="9" w:firstLine="1287"/>
        <w:spacing w:after="0" w:line="253" w:lineRule="auto"/>
        <w:tabs>
          <w:tab w:leader="none" w:pos="1906"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w:t>
      </w:r>
    </w:p>
    <w:p>
      <w:pPr>
        <w:spacing w:after="0" w:line="5" w:lineRule="exact"/>
        <w:rPr>
          <w:rFonts w:ascii="Times New Roman" w:cs="Times New Roman" w:eastAsia="Times New Roman" w:hAnsi="Times New Roman"/>
          <w:sz w:val="18"/>
          <w:szCs w:val="18"/>
          <w:color w:val="auto"/>
        </w:rPr>
      </w:pPr>
    </w:p>
    <w:p>
      <w:pPr>
        <w:ind w:left="9" w:right="20" w:hanging="9"/>
        <w:spacing w:after="0" w:line="260" w:lineRule="auto"/>
        <w:tabs>
          <w:tab w:leader="none" w:pos="341"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(to the extent such concept exists) from the applicable Governmental Authority of each Loan Party’s jurisdiction of incorporation, organization or formation.</w:t>
      </w:r>
    </w:p>
    <w:p>
      <w:pPr>
        <w:spacing w:after="0" w:line="302" w:lineRule="exact"/>
        <w:rPr>
          <w:rFonts w:ascii="Times New Roman" w:cs="Times New Roman" w:eastAsia="Times New Roman" w:hAnsi="Times New Roman"/>
          <w:sz w:val="18"/>
          <w:szCs w:val="18"/>
          <w:color w:val="auto"/>
        </w:rPr>
      </w:pPr>
    </w:p>
    <w:p>
      <w:pPr>
        <w:jc w:val="both"/>
        <w:ind w:left="9" w:firstLine="1288"/>
        <w:spacing w:after="0" w:line="261" w:lineRule="auto"/>
        <w:tabs>
          <w:tab w:leader="none" w:pos="191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w:t>
      </w:r>
    </w:p>
    <w:p>
      <w:pPr>
        <w:sectPr>
          <w:pgSz w:w="11900" w:h="16838" w:orient="portrait"/>
          <w:cols w:equalWidth="0" w:num="1">
            <w:col w:w="10029"/>
          </w:cols>
          <w:pgMar w:left="1011" w:top="1418" w:right="859" w:bottom="1440" w:gutter="0" w:footer="0" w:header="0"/>
        </w:sectPr>
      </w:pPr>
    </w:p>
    <w:bookmarkStart w:id="610" w:name="page611"/>
    <w:bookmarkEnd w:id="610"/>
    <w:p>
      <w:pPr>
        <w:ind w:right="40"/>
        <w:spacing w:after="0" w:line="282" w:lineRule="auto"/>
        <w:rPr>
          <w:sz w:val="20"/>
          <w:szCs w:val="20"/>
          <w:color w:val="auto"/>
        </w:rPr>
      </w:pPr>
      <w:r>
        <w:rPr>
          <w:rFonts w:ascii="Times New Roman" w:cs="Times New Roman" w:eastAsia="Times New Roman" w:hAnsi="Times New Roman"/>
          <w:sz w:val="18"/>
          <w:szCs w:val="18"/>
          <w:color w:val="auto"/>
        </w:rPr>
        <w:t>payment of all reasonable and documented out-of-pocket expenses (including reasonable fees, charges and disbursements of counsel) required to be reimbursed or paid by any Loan Party under any First Lien Loan Document.</w:t>
      </w:r>
    </w:p>
    <w:p>
      <w:pPr>
        <w:spacing w:after="0" w:line="189" w:lineRule="exact"/>
        <w:rPr>
          <w:sz w:val="20"/>
          <w:szCs w:val="20"/>
          <w:color w:val="auto"/>
        </w:rPr>
      </w:pPr>
    </w:p>
    <w:p>
      <w:pPr>
        <w:jc w:val="both"/>
        <w:ind w:right="40" w:firstLine="1287"/>
        <w:spacing w:after="0" w:line="266" w:lineRule="auto"/>
        <w:tabs>
          <w:tab w:leader="none" w:pos="190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spacing w:after="0" w:line="216" w:lineRule="exact"/>
        <w:rPr>
          <w:rFonts w:ascii="Times New Roman" w:cs="Times New Roman" w:eastAsia="Times New Roman" w:hAnsi="Times New Roman"/>
          <w:sz w:val="18"/>
          <w:szCs w:val="18"/>
          <w:color w:val="auto"/>
        </w:rPr>
      </w:pPr>
    </w:p>
    <w:p>
      <w:pPr>
        <w:ind w:left="1880" w:hanging="593"/>
        <w:spacing w:after="0"/>
        <w:tabs>
          <w:tab w:leader="none" w:pos="188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III shall be true and correct in all material respects on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w:t>
      </w:r>
    </w:p>
    <w:p>
      <w:pPr>
        <w:spacing w:after="0" w:line="247" w:lineRule="exact"/>
        <w:rPr>
          <w:rFonts w:ascii="Times New Roman" w:cs="Times New Roman" w:eastAsia="Times New Roman" w:hAnsi="Times New Roman"/>
          <w:sz w:val="18"/>
          <w:szCs w:val="18"/>
          <w:color w:val="auto"/>
        </w:rPr>
      </w:pPr>
    </w:p>
    <w:p>
      <w:pPr>
        <w:ind w:right="60" w:firstLine="1287"/>
        <w:spacing w:after="0" w:line="282" w:lineRule="auto"/>
        <w:tabs>
          <w:tab w:leader="none" w:pos="1897"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shall have been consummated, or substantially concurrently with the initial funding of Loans on the Effective Date, shall be consummated.</w:t>
      </w:r>
    </w:p>
    <w:p>
      <w:pPr>
        <w:spacing w:after="0" w:line="202" w:lineRule="exact"/>
        <w:rPr>
          <w:rFonts w:ascii="Times New Roman" w:cs="Times New Roman" w:eastAsia="Times New Roman" w:hAnsi="Times New Roman"/>
          <w:sz w:val="18"/>
          <w:szCs w:val="18"/>
          <w:color w:val="auto"/>
        </w:rPr>
      </w:pPr>
    </w:p>
    <w:p>
      <w:pPr>
        <w:ind w:right="40" w:firstLine="1287"/>
        <w:spacing w:after="0" w:line="282" w:lineRule="auto"/>
        <w:tabs>
          <w:tab w:leader="none" w:pos="189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request for Borrowing that complies with the requirements set forth in Section 2.03.</w:t>
      </w:r>
    </w:p>
    <w:p>
      <w:pPr>
        <w:spacing w:after="0" w:line="188" w:lineRule="exact"/>
        <w:rPr>
          <w:rFonts w:ascii="Times New Roman" w:cs="Times New Roman" w:eastAsia="Times New Roman" w:hAnsi="Times New Roman"/>
          <w:sz w:val="18"/>
          <w:szCs w:val="18"/>
          <w:color w:val="auto"/>
        </w:rPr>
      </w:pPr>
    </w:p>
    <w:p>
      <w:pPr>
        <w:jc w:val="both"/>
        <w:ind w:firstLine="1287"/>
        <w:spacing w:after="0" w:line="266" w:lineRule="auto"/>
        <w:tabs>
          <w:tab w:leader="none" w:pos="189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evidence reasonably satisfactory to the First Lien Administrative Agent that the Second Lien Debt Documents shall have been executed and delivered by all of the loan parties stated to be party thereto.</w:t>
      </w:r>
    </w:p>
    <w:p>
      <w:pPr>
        <w:spacing w:after="0" w:line="216" w:lineRule="exact"/>
        <w:rPr>
          <w:rFonts w:ascii="Times New Roman" w:cs="Times New Roman" w:eastAsia="Times New Roman" w:hAnsi="Times New Roman"/>
          <w:sz w:val="18"/>
          <w:szCs w:val="18"/>
          <w:color w:val="auto"/>
        </w:rPr>
      </w:pPr>
    </w:p>
    <w:p>
      <w:pPr>
        <w:jc w:val="both"/>
        <w:ind w:right="20" w:firstLine="1287"/>
        <w:spacing w:after="0" w:line="266" w:lineRule="auto"/>
        <w:tabs>
          <w:tab w:leader="none" w:pos="1897"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w:t>
      </w:r>
    </w:p>
    <w:p>
      <w:pPr>
        <w:spacing w:after="0" w:line="216" w:lineRule="exact"/>
        <w:rPr>
          <w:rFonts w:ascii="Times New Roman" w:cs="Times New Roman" w:eastAsia="Times New Roman" w:hAnsi="Times New Roman"/>
          <w:sz w:val="18"/>
          <w:szCs w:val="18"/>
          <w:color w:val="auto"/>
        </w:rPr>
      </w:pPr>
    </w:p>
    <w:p>
      <w:pPr>
        <w:jc w:val="both"/>
        <w:ind w:firstLine="1287"/>
        <w:spacing w:after="0" w:line="255" w:lineRule="auto"/>
        <w:tabs>
          <w:tab w:leader="none" w:pos="189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and the Joint Lead Arrangers shall have received, at least three (3) Business Days prior to the Effective Date, (A) all documentation and other information about the Loan Parties as shall have been reasonably requested in writing at least ten (10) 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 (10) Business Days prior to the Effective Date, a beneficial ownership certificate in the form of Exhibit X.</w:t>
      </w:r>
    </w:p>
    <w:p>
      <w:pPr>
        <w:spacing w:after="0" w:line="229"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w:t>
      </w:r>
    </w:p>
    <w:p>
      <w:pPr>
        <w:spacing w:after="0" w:line="207"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w:t>
      </w:r>
    </w:p>
    <w:p>
      <w:pPr>
        <w:spacing w:after="0" w:line="22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After the Effective Date, 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w:t>
      </w:r>
    </w:p>
    <w:p>
      <w:pPr>
        <w:sectPr>
          <w:pgSz w:w="11900" w:h="16838" w:orient="portrait"/>
          <w:cols w:equalWidth="0" w:num="1">
            <w:col w:w="10060"/>
          </w:cols>
          <w:pgMar w:left="1020" w:top="1418" w:right="819" w:bottom="1440" w:gutter="0" w:footer="0" w:header="0"/>
        </w:sectPr>
      </w:pPr>
    </w:p>
    <w:bookmarkStart w:id="611" w:name="page612"/>
    <w:bookmarkEnd w:id="611"/>
    <w:p>
      <w:pPr>
        <w:ind w:right="480"/>
        <w:spacing w:after="0" w:line="282" w:lineRule="auto"/>
        <w:rPr>
          <w:sz w:val="20"/>
          <w:szCs w:val="20"/>
          <w:color w:val="auto"/>
        </w:rPr>
      </w:pPr>
      <w:r>
        <w:rPr>
          <w:rFonts w:ascii="Times New Roman" w:cs="Times New Roman" w:eastAsia="Times New Roman" w:hAnsi="Times New Roman"/>
          <w:sz w:val="18"/>
          <w:szCs w:val="18"/>
          <w:color w:val="auto"/>
        </w:rPr>
        <w:t>which are used to finance a Limited Condition Transaction as to which an LCT Election has been made, which shall be subject to such conditions as of the LCT Test Date as provided in Section 1.06):</w:t>
      </w:r>
    </w:p>
    <w:p>
      <w:pPr>
        <w:spacing w:after="0" w:line="270" w:lineRule="exact"/>
        <w:rPr>
          <w:sz w:val="20"/>
          <w:szCs w:val="20"/>
          <w:color w:val="auto"/>
        </w:rPr>
      </w:pPr>
    </w:p>
    <w:p>
      <w:pPr>
        <w:jc w:val="both"/>
        <w:ind w:left="640" w:right="500" w:firstLine="647"/>
        <w:spacing w:after="0" w:line="254" w:lineRule="auto"/>
        <w:tabs>
          <w:tab w:leader="none" w:pos="1893"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 and</w:t>
      </w:r>
    </w:p>
    <w:p>
      <w:pPr>
        <w:spacing w:after="0" w:line="232" w:lineRule="exact"/>
        <w:rPr>
          <w:rFonts w:ascii="Times New Roman" w:cs="Times New Roman" w:eastAsia="Times New Roman" w:hAnsi="Times New Roman"/>
          <w:sz w:val="18"/>
          <w:szCs w:val="18"/>
          <w:color w:val="auto"/>
        </w:rPr>
      </w:pPr>
    </w:p>
    <w:p>
      <w:pPr>
        <w:ind w:left="1880" w:hanging="593"/>
        <w:spacing w:after="0"/>
        <w:tabs>
          <w:tab w:leader="none" w:pos="18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renewal</w:t>
      </w:r>
    </w:p>
    <w:p>
      <w:pPr>
        <w:spacing w:after="0" w:line="27" w:lineRule="exact"/>
        <w:rPr>
          <w:sz w:val="20"/>
          <w:szCs w:val="20"/>
          <w:color w:val="auto"/>
        </w:rPr>
      </w:pPr>
    </w:p>
    <w:p>
      <w:pPr>
        <w:jc w:val="both"/>
        <w:ind w:left="640" w:right="740"/>
        <w:spacing w:after="0" w:line="255" w:lineRule="auto"/>
        <w:rPr>
          <w:sz w:val="20"/>
          <w:szCs w:val="20"/>
          <w:color w:val="auto"/>
        </w:rPr>
      </w:pPr>
      <w:r>
        <w:rPr>
          <w:rFonts w:ascii="Times New Roman" w:cs="Times New Roman" w:eastAsia="Times New Roman" w:hAnsi="Times New Roman"/>
          <w:sz w:val="18"/>
          <w:szCs w:val="18"/>
          <w:color w:val="auto"/>
        </w:rPr>
        <w:t>or extension of such Letter of Credit, as the case may be, no Default or Event of Default shall have occurred and be continuing (or, in the case of any Borrowing under any Incremental Facility incurred in connection with a Permitted Acquisition or an Investment not prohibited by Section 6.04, no Specified Event of Default shall have occurred and be continuing).</w:t>
      </w:r>
    </w:p>
    <w:p>
      <w:pPr>
        <w:spacing w:after="0" w:line="213" w:lineRule="exact"/>
        <w:rPr>
          <w:sz w:val="20"/>
          <w:szCs w:val="20"/>
          <w:color w:val="auto"/>
        </w:rPr>
      </w:pPr>
    </w:p>
    <w:p>
      <w:pPr>
        <w:jc w:val="both"/>
        <w:ind w:right="500"/>
        <w:spacing w:after="0" w:line="254" w:lineRule="auto"/>
        <w:rPr>
          <w:sz w:val="20"/>
          <w:szCs w:val="20"/>
          <w:color w:val="auto"/>
        </w:rPr>
      </w:pPr>
      <w:r>
        <w:rPr>
          <w:rFonts w:ascii="Times New Roman" w:cs="Times New Roman" w:eastAsia="Times New Roman" w:hAnsi="Times New Roman"/>
          <w:sz w:val="18"/>
          <w:szCs w:val="18"/>
          <w:color w:val="auto"/>
        </w:rPr>
        <w:t>Each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w:t>
      </w:r>
    </w:p>
    <w:p>
      <w:pPr>
        <w:spacing w:after="0" w:line="3"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8"/>
          <w:szCs w:val="18"/>
          <w:color w:val="auto"/>
        </w:rPr>
        <w:t>4.02 (which deemed representation, in the case of any Borrowing the proceeds of which are used to finance a Limited Condition Transaction as to which an LCT Election has been made, shall be as of the LCT Test Date).</w:t>
      </w:r>
    </w:p>
    <w:p>
      <w:pPr>
        <w:spacing w:after="0" w:line="28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xml:space="preserve">ARTICLE V </w:t>
      </w:r>
      <w:r>
        <w:rPr>
          <w:rFonts w:ascii="Times New Roman" w:cs="Times New Roman" w:eastAsia="Times New Roman" w:hAnsi="Times New Roman"/>
          <w:sz w:val="18"/>
          <w:szCs w:val="18"/>
          <w:u w:val="single" w:color="auto"/>
          <w:color w:val="auto"/>
        </w:rPr>
        <w:t>AFFIRMATIVE COVENANTS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From and after the Effective Date and until the Termination Date, each of Holdings and the Borrower covenants and agrees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that:</w:t>
      </w:r>
    </w:p>
    <w:p>
      <w:pPr>
        <w:spacing w:after="0" w:line="247"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Borrower will furnish to the First Lien Administrative Agent, on behalf of each Lender:</w:t>
      </w:r>
    </w:p>
    <w:p>
      <w:pPr>
        <w:spacing w:after="0" w:line="266" w:lineRule="exact"/>
        <w:rPr>
          <w:sz w:val="20"/>
          <w:szCs w:val="20"/>
          <w:color w:val="auto"/>
        </w:rPr>
      </w:pPr>
    </w:p>
    <w:p>
      <w:pPr>
        <w:jc w:val="both"/>
        <w:ind w:left="640" w:right="480" w:firstLine="648"/>
        <w:spacing w:after="0" w:line="253" w:lineRule="auto"/>
        <w:tabs>
          <w:tab w:leader="none" w:pos="1893"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year ended December 31, 2019,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w:t>
      </w:r>
    </w:p>
    <w:p>
      <w:pPr>
        <w:ind w:left="940" w:hanging="300"/>
        <w:spacing w:after="0"/>
        <w:tabs>
          <w:tab w:leader="none" w:pos="940"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Maturity Date or the Revolving Maturity Date occurring within one year from the time such opinion is delivered or</w:t>
      </w:r>
    </w:p>
    <w:p>
      <w:pPr>
        <w:spacing w:after="0" w:line="9" w:lineRule="exact"/>
        <w:rPr>
          <w:rFonts w:ascii="Times New Roman" w:cs="Times New Roman" w:eastAsia="Times New Roman" w:hAnsi="Times New Roman"/>
          <w:sz w:val="18"/>
          <w:szCs w:val="18"/>
          <w:color w:val="auto"/>
        </w:rPr>
      </w:pPr>
    </w:p>
    <w:p>
      <w:pPr>
        <w:jc w:val="both"/>
        <w:ind w:left="640" w:right="520"/>
        <w:spacing w:after="0" w:line="253" w:lineRule="auto"/>
        <w:tabs>
          <w:tab w:leader="none" w:pos="942"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ectPr>
          <w:pgSz w:w="11900" w:h="16838" w:orient="portrait"/>
          <w:cols w:equalWidth="0" w:num="1">
            <w:col w:w="10520"/>
          </w:cols>
          <w:pgMar w:left="1020" w:top="1337" w:right="359" w:bottom="1440" w:gutter="0" w:footer="0" w:header="0"/>
        </w:sectPr>
      </w:pPr>
    </w:p>
    <w:bookmarkStart w:id="612" w:name="page613"/>
    <w:bookmarkEnd w:id="612"/>
    <w:p>
      <w:pPr>
        <w:spacing w:after="0" w:line="222" w:lineRule="exact"/>
        <w:rPr>
          <w:sz w:val="20"/>
          <w:szCs w:val="20"/>
          <w:color w:val="auto"/>
        </w:rPr>
      </w:pPr>
    </w:p>
    <w:p>
      <w:pPr>
        <w:jc w:val="both"/>
        <w:ind w:left="220" w:firstLine="647"/>
        <w:spacing w:after="0" w:line="253" w:lineRule="auto"/>
        <w:tabs>
          <w:tab w:leader="none" w:pos="1469"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quarter ended March 31, 2020,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w:t>
      </w:r>
    </w:p>
    <w:p>
      <w:pPr>
        <w:spacing w:after="0" w:line="234" w:lineRule="exact"/>
        <w:rPr>
          <w:rFonts w:ascii="Times New Roman" w:cs="Times New Roman" w:eastAsia="Times New Roman" w:hAnsi="Times New Roman"/>
          <w:sz w:val="18"/>
          <w:szCs w:val="18"/>
          <w:color w:val="auto"/>
        </w:rPr>
      </w:pPr>
    </w:p>
    <w:p>
      <w:pPr>
        <w:ind w:left="1480" w:hanging="613"/>
        <w:spacing w:after="0"/>
        <w:tabs>
          <w:tab w:leader="none" w:pos="1480"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delivery of each set of consolidated financial statements referred to in clauses (a) and</w:t>
      </w:r>
    </w:p>
    <w:p>
      <w:pPr>
        <w:spacing w:after="0" w:line="27" w:lineRule="exact"/>
        <w:rPr>
          <w:rFonts w:ascii="Times New Roman" w:cs="Times New Roman" w:eastAsia="Times New Roman" w:hAnsi="Times New Roman"/>
          <w:sz w:val="18"/>
          <w:szCs w:val="18"/>
          <w:color w:val="auto"/>
        </w:rPr>
      </w:pPr>
    </w:p>
    <w:p>
      <w:pPr>
        <w:ind w:left="220" w:right="20" w:hanging="1"/>
        <w:spacing w:after="0" w:line="260" w:lineRule="auto"/>
        <w:tabs>
          <w:tab w:leader="none" w:pos="481"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related unaudited consolidating financial information reflecting adjustments necessary to eliminate the accounts of Unrestricted Subsidiaries (if any) from such consolidated financial statements;</w:t>
      </w:r>
    </w:p>
    <w:p>
      <w:pPr>
        <w:spacing w:after="0" w:line="221" w:lineRule="exact"/>
        <w:rPr>
          <w:rFonts w:ascii="Times New Roman" w:cs="Times New Roman" w:eastAsia="Times New Roman" w:hAnsi="Times New Roman"/>
          <w:sz w:val="18"/>
          <w:szCs w:val="18"/>
          <w:color w:val="auto"/>
        </w:rPr>
      </w:pPr>
    </w:p>
    <w:p>
      <w:pPr>
        <w:ind w:left="1500" w:hanging="633"/>
        <w:spacing w:after="0"/>
        <w:tabs>
          <w:tab w:leader="none" w:pos="1500"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days after any delivery of financial statements under paragraph (a) or</w:t>
      </w:r>
    </w:p>
    <w:p>
      <w:pPr>
        <w:spacing w:after="0" w:line="27" w:lineRule="exact"/>
        <w:rPr>
          <w:sz w:val="20"/>
          <w:szCs w:val="20"/>
          <w:color w:val="auto"/>
        </w:rPr>
      </w:pPr>
    </w:p>
    <w:p>
      <w:pPr>
        <w:jc w:val="both"/>
        <w:ind w:left="220" w:right="20" w:hanging="1"/>
        <w:spacing w:after="0" w:line="251" w:lineRule="auto"/>
        <w:tabs>
          <w:tab w:leader="none" w:pos="488"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 certificate of a Financial Officer (i) 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2020, of Excess Cash Flow for such fiscal year and (iii) in the case of financial statements delivered under paragraph (a)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w:t>
      </w:r>
    </w:p>
    <w:p>
      <w:pPr>
        <w:spacing w:after="0" w:line="233" w:lineRule="exact"/>
        <w:rPr>
          <w:rFonts w:ascii="Times New Roman" w:cs="Times New Roman" w:eastAsia="Times New Roman" w:hAnsi="Times New Roman"/>
          <w:sz w:val="18"/>
          <w:szCs w:val="18"/>
          <w:color w:val="auto"/>
        </w:rPr>
      </w:pPr>
    </w:p>
    <w:p>
      <w:pPr>
        <w:jc w:val="both"/>
        <w:ind w:left="220" w:right="20" w:firstLine="647"/>
        <w:spacing w:after="0" w:line="255" w:lineRule="auto"/>
        <w:tabs>
          <w:tab w:leader="none" w:pos="1473"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one-hundred and twenty-five (125) days after the commencement of each fiscal year of the Borrower after December 31, 2015 (or, in the case of the fiscal year commencing on January 1, 2016, on or before the date that is one-hundred and fifty (150) days after the commencement of such fiscal year), a detailed consolidated budget for the Borrower and its Subsidiaries for such fiscal year (including a projected consolidated balance sheet and consolidated statements of projected operations, comprehensive income and cash flows as of the end of and for such fiscal year and setting forth the material assumptions used for purposes of preparing such budget);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this paragraph shall be suspended upon and following the filing for an IPO;</w:t>
      </w:r>
    </w:p>
    <w:p>
      <w:pPr>
        <w:spacing w:after="0" w:line="229" w:lineRule="exact"/>
        <w:rPr>
          <w:rFonts w:ascii="Times New Roman" w:cs="Times New Roman" w:eastAsia="Times New Roman" w:hAnsi="Times New Roman"/>
          <w:sz w:val="18"/>
          <w:szCs w:val="18"/>
          <w:color w:val="auto"/>
        </w:rPr>
      </w:pPr>
    </w:p>
    <w:p>
      <w:pPr>
        <w:jc w:val="both"/>
        <w:ind w:left="220" w:right="20" w:firstLine="648"/>
        <w:spacing w:after="0" w:line="258" w:lineRule="auto"/>
        <w:tabs>
          <w:tab w:leader="none" w:pos="1480"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w:t>
      </w:r>
    </w:p>
    <w:p>
      <w:pPr>
        <w:spacing w:after="0" w:line="223" w:lineRule="exact"/>
        <w:rPr>
          <w:rFonts w:ascii="Times New Roman" w:cs="Times New Roman" w:eastAsia="Times New Roman" w:hAnsi="Times New Roman"/>
          <w:sz w:val="18"/>
          <w:szCs w:val="18"/>
          <w:color w:val="auto"/>
        </w:rPr>
      </w:pPr>
    </w:p>
    <w:p>
      <w:pPr>
        <w:jc w:val="both"/>
        <w:ind w:left="220" w:right="20" w:firstLine="648"/>
        <w:spacing w:after="0" w:line="261" w:lineRule="auto"/>
        <w:tabs>
          <w:tab w:leader="none" w:pos="1469"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Holdings, any Intermediate Parent, the Borrower or any Restricted Subsidiary, or compliance with the terms of any First Lien Loan Document, as the First Lien Administrative Agent on its own behalf or on behalf of any Lender may reasonably request in writing; and</w:t>
      </w:r>
    </w:p>
    <w:p>
      <w:pPr>
        <w:sectPr>
          <w:pgSz w:w="11900" w:h="16838" w:orient="portrait"/>
          <w:cols w:equalWidth="0" w:num="1">
            <w:col w:w="9620"/>
          </w:cols>
          <w:pgMar w:left="1440" w:top="1440" w:right="839" w:bottom="1440" w:gutter="0" w:footer="0" w:header="0"/>
        </w:sectPr>
      </w:pPr>
    </w:p>
    <w:bookmarkStart w:id="613" w:name="page614"/>
    <w:bookmarkEnd w:id="613"/>
    <w:p>
      <w:pPr>
        <w:ind w:left="648" w:right="500" w:firstLine="648"/>
        <w:spacing w:after="0" w:line="261" w:lineRule="auto"/>
        <w:tabs>
          <w:tab w:leader="none" w:pos="1897"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First Lien Administrative Agent (which shall be no more than quarterly), and following the delivery of each set of consolidated financial statements referred to in clauses</w:t>
      </w:r>
    </w:p>
    <w:p>
      <w:pPr>
        <w:ind w:left="648"/>
        <w:spacing w:after="0" w:line="260" w:lineRule="auto"/>
        <w:tabs>
          <w:tab w:leader="none" w:pos="899"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the Borrower shall use commercially reasonable efforts to hold a conference call for the Lenders at a time reasonably acceptable to the Borrower, which conference call shall be accompanied by related presentation materials prepared by the Borrower.</w:t>
      </w:r>
    </w:p>
    <w:p>
      <w:pPr>
        <w:spacing w:after="0" w:line="222" w:lineRule="exact"/>
        <w:rPr>
          <w:sz w:val="20"/>
          <w:szCs w:val="20"/>
          <w:color w:val="auto"/>
        </w:rPr>
      </w:pPr>
    </w:p>
    <w:p>
      <w:pPr>
        <w:jc w:val="both"/>
        <w:ind w:left="8" w:right="46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(a)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u w:val="single" w:color="auto"/>
          <w:color w:val="0000FF"/>
        </w:rPr>
        <w:t>) and (f</w:t>
      </w:r>
      <w:r>
        <w:rPr>
          <w:rFonts w:ascii="Times New Roman" w:cs="Times New Roman" w:eastAsia="Times New Roman" w:hAnsi="Times New Roman"/>
          <w:sz w:val="18"/>
          <w:szCs w:val="18"/>
          <w:color w:val="auto"/>
        </w:rPr>
        <w:t xml:space="preserve">) of this Section 5.01 may be satisfied with respect to financial information of the Borrower and its Subsidiaries by furnishing (A) the Form 10-K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10-Q</w:t>
      </w:r>
      <w:r>
        <w:rPr>
          <w:rFonts w:ascii="Times New Roman" w:cs="Times New Roman" w:eastAsia="Times New Roman" w:hAnsi="Times New Roman"/>
          <w:sz w:val="18"/>
          <w:szCs w:val="18"/>
          <w:u w:val="single" w:color="auto"/>
          <w:color w:val="0000FF"/>
        </w:rPr>
        <w:t>, 8-K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equivalent</w:t>
      </w:r>
      <w:r>
        <w:rPr>
          <w:rFonts w:ascii="Times New Roman" w:cs="Times New Roman" w:eastAsia="Times New Roman" w:hAnsi="Times New Roman"/>
          <w:sz w:val="18"/>
          <w:szCs w:val="18"/>
          <w:u w:val="single" w:color="auto"/>
          <w:color w:val="0000FF"/>
        </w:rPr>
        <w:t>other filing</w:t>
      </w:r>
      <w:r>
        <w:rPr>
          <w:rFonts w:ascii="Times New Roman" w:cs="Times New Roman" w:eastAsia="Times New Roman" w:hAnsi="Times New Roman"/>
          <w:sz w:val="18"/>
          <w:szCs w:val="18"/>
          <w:color w:val="000000"/>
        </w:rPr>
        <w:t>), as applicable, of the Borrower (or a parent company thereof) filed with the SEC within the applicable time periods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required by applicable law and regulations (including any extended deadlines available thereunder in connection with an IPO) </w:t>
      </w:r>
      <w:r>
        <w:rPr>
          <w:rFonts w:ascii="Times New Roman" w:cs="Times New Roman" w:eastAsia="Times New Roman" w:hAnsi="Times New Roman"/>
          <w:sz w:val="18"/>
          <w:szCs w:val="18"/>
          <w:u w:val="single" w:color="auto"/>
          <w:color w:val="0000FF"/>
        </w:rPr>
        <w:t>and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public filing of such report with the SEC shall constitute delivery under Section 5.01(a), 5.01(b) and 5.01(f)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(B) the applicable financial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statements of Holdings (or any Intermediate Parent or any direct or indirect parent of Holdings);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to the extent such information relates to a parent of the Borrower, </w:t>
      </w:r>
      <w:r>
        <w:rPr>
          <w:rFonts w:ascii="Times New Roman" w:cs="Times New Roman" w:eastAsia="Times New Roman" w:hAnsi="Times New Roman"/>
          <w:sz w:val="18"/>
          <w:szCs w:val="18"/>
          <w:u w:val="single" w:color="auto"/>
          <w:color w:val="0000FF"/>
        </w:rPr>
        <w:t>if and so long as such parent will have Independent Assets or Operations,</w:t>
      </w:r>
      <w:r>
        <w:rPr>
          <w:rFonts w:ascii="Times New Roman" w:cs="Times New Roman" w:eastAsia="Times New Roman" w:hAnsi="Times New Roman"/>
          <w:sz w:val="18"/>
          <w:szCs w:val="18"/>
          <w:color w:val="000000"/>
        </w:rPr>
        <w:t xml:space="preserve"> such information is accompanied by consolidating information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which may be unaudited, that explains in reasonable detail the differences between the information relating to such parent </w:t>
      </w:r>
      <w:r>
        <w:rPr>
          <w:rFonts w:ascii="Times New Roman" w:cs="Times New Roman" w:eastAsia="Times New Roman" w:hAnsi="Times New Roman"/>
          <w:sz w:val="18"/>
          <w:szCs w:val="18"/>
          <w:color w:val="0000FF"/>
        </w:rPr>
        <w:t>and its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Independent Assets or Operations</w:t>
      </w:r>
      <w:r>
        <w:rPr>
          <w:rFonts w:ascii="Times New Roman" w:cs="Times New Roman" w:eastAsia="Times New Roman" w:hAnsi="Times New Roman"/>
          <w:sz w:val="18"/>
          <w:szCs w:val="18"/>
          <w:color w:val="000000"/>
        </w:rPr>
        <w:t xml:space="preserve">, on the one hand, and the information relating to the Borrower and its Subsidiaries on a standalone basis, on the other hand,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000000"/>
        </w:rPr>
        <w:t xml:space="preserve">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or potential inability to satisfy the Financial Performance Covenant on a future date or in a future period)</w:t>
      </w:r>
      <w:r>
        <w:rPr>
          <w:rFonts w:ascii="Times New Roman" w:cs="Times New Roman" w:eastAsia="Times New Roman" w:hAnsi="Times New Roman"/>
          <w:sz w:val="18"/>
          <w:szCs w:val="18"/>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-2273935</wp:posOffset>
            </wp:positionV>
            <wp:extent cx="2019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93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-2136775</wp:posOffset>
            </wp:positionV>
            <wp:extent cx="1492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49225" cy="8255"/>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-1125220</wp:posOffset>
            </wp:positionV>
            <wp:extent cx="330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214" w:lineRule="exact"/>
        <w:rPr>
          <w:sz w:val="20"/>
          <w:szCs w:val="20"/>
          <w:color w:val="auto"/>
        </w:rPr>
      </w:pPr>
    </w:p>
    <w:p>
      <w:pPr>
        <w:ind w:left="1348"/>
        <w:spacing w:after="0"/>
        <w:rPr>
          <w:sz w:val="20"/>
          <w:szCs w:val="20"/>
          <w:color w:val="auto"/>
        </w:rPr>
      </w:pPr>
      <w:r>
        <w:rPr>
          <w:rFonts w:ascii="Times New Roman" w:cs="Times New Roman" w:eastAsia="Times New Roman" w:hAnsi="Times New Roman"/>
          <w:sz w:val="18"/>
          <w:szCs w:val="18"/>
          <w:u w:val="single" w:color="auto"/>
          <w:color w:val="0000FF"/>
        </w:rPr>
        <w:t>and (iii) such documents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Documents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required to be delivered pursuant to Section 5.01(a), (b) or</w:t>
      </w:r>
    </w:p>
    <w:p>
      <w:pPr>
        <w:spacing w:after="0" w:line="27" w:lineRule="exact"/>
        <w:rPr>
          <w:sz w:val="20"/>
          <w:szCs w:val="20"/>
          <w:color w:val="auto"/>
        </w:rPr>
      </w:pPr>
    </w:p>
    <w:p>
      <w:pPr>
        <w:jc w:val="both"/>
        <w:ind w:left="8" w:right="500" w:hanging="8"/>
        <w:spacing w:after="0" w:line="250" w:lineRule="auto"/>
        <w:tabs>
          <w:tab w:leader="none" w:pos="62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(to the extent any such documents are included in materials otherwise filed with the SEC)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may be delivered electronically and if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so delivered, shall be deemed to have been delivered on the date (</w:t>
      </w:r>
      <w:r>
        <w:rPr>
          <w:rFonts w:ascii="Times New Roman" w:cs="Times New Roman" w:eastAsia="Times New Roman" w:hAnsi="Times New Roman"/>
          <w:sz w:val="18"/>
          <w:szCs w:val="18"/>
          <w:color w:val="FF0000"/>
        </w:rPr>
        <w:t>i</w:t>
      </w:r>
      <w:r>
        <w:rPr>
          <w:rFonts w:ascii="Times New Roman" w:cs="Times New Roman" w:eastAsia="Times New Roman" w:hAnsi="Times New Roman"/>
          <w:sz w:val="18"/>
          <w:szCs w:val="18"/>
          <w:u w:val="single" w:color="auto"/>
          <w:color w:val="0000FF"/>
        </w:rPr>
        <w:t>unless such documents are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included in materials otherwise filed with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SEC, in which case such SEC public filing shall constitute delivery)</w:t>
      </w:r>
    </w:p>
    <w:p>
      <w:pPr>
        <w:spacing w:after="0" w:line="1" w:lineRule="exact"/>
        <w:rPr>
          <w:rFonts w:ascii="Times New Roman" w:cs="Times New Roman" w:eastAsia="Times New Roman" w:hAnsi="Times New Roman"/>
          <w:sz w:val="18"/>
          <w:szCs w:val="18"/>
          <w:color w:val="auto"/>
        </w:rPr>
      </w:pPr>
    </w:p>
    <w:p>
      <w:pPr>
        <w:jc w:val="both"/>
        <w:ind w:left="8" w:right="500" w:hanging="8"/>
        <w:spacing w:after="0" w:line="251" w:lineRule="auto"/>
        <w:tabs>
          <w:tab w:leader="none" w:pos="286" w:val="left"/>
        </w:tabs>
        <w:numPr>
          <w:ilvl w:val="0"/>
          <w:numId w:val="70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on which the Borrower posts such documents, or provides a link thereto on the Borrower’s website on the Internet at the website address listed on Schedule 9.01 (or otherwise notified pursuant to Section 9.01(d))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y</w:t>
      </w:r>
      <w:r>
        <w:rPr>
          <w:rFonts w:ascii="Times New Roman" w:cs="Times New Roman" w:eastAsia="Times New Roman" w:hAnsi="Times New Roman"/>
          <w:sz w:val="18"/>
          <w:szCs w:val="18"/>
          <w:color w:val="auto"/>
        </w:rPr>
        <w:t>) on which such documents are posted on the Borrower’s behalf on an Internet or intranet website, if any, to which each Lender and the First Lien Administrative Agent have access (whether a commercial, third-party website or whether sponsored by the First Lien Administrative Agent)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(i) the 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shall deliver paper copies of such documents to the First Lien Administrative Agent upon its reasonable request until a written notice to cease delivering paper copies is given by the First Lien Administrative Agent and (ii) the Borrower shall notify the First Lien Administrative Agent (by fax or electronic mail) of the posting of any such documents and upon its reasonable request, provide to the First Lien Administrative Agent by electronic mail electronic versions (i.e., soft copies) of such documents. The First Lien Administrative Agent shall have no obligation to request the delivery of or maintain paper copies of the documents referred to above, and each Lender shall be solely responsible for timely accessing posted documents and maintaining its copies of such documents.</w:t>
      </w:r>
      <w:r>
        <w:rPr>
          <w:rFonts w:ascii="Times New Roman" w:cs="Times New Roman" w:eastAsia="Times New Roman" w:hAnsi="Times New Roman"/>
          <w:sz w:val="18"/>
          <w:szCs w:val="18"/>
          <w:color w:val="0000FF"/>
          <w:strike w:val="1"/>
        </w:rPr>
        <w:t>.</w:t>
      </w:r>
    </w:p>
    <w:p>
      <w:pPr>
        <w:spacing w:after="0" w:line="200" w:lineRule="exact"/>
        <w:rPr>
          <w:sz w:val="20"/>
          <w:szCs w:val="20"/>
          <w:color w:val="auto"/>
        </w:rPr>
      </w:pPr>
    </w:p>
    <w:p>
      <w:pPr>
        <w:spacing w:after="0" w:line="222" w:lineRule="exact"/>
        <w:rPr>
          <w:sz w:val="20"/>
          <w:szCs w:val="20"/>
          <w:color w:val="auto"/>
        </w:rPr>
      </w:pPr>
    </w:p>
    <w:p>
      <w:pPr>
        <w:jc w:val="both"/>
        <w:ind w:left="8" w:right="480" w:firstLine="1296"/>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w:t>
      </w:r>
    </w:p>
    <w:p>
      <w:pPr>
        <w:sectPr>
          <w:pgSz w:w="11900" w:h="16838" w:orient="portrait"/>
          <w:cols w:equalWidth="0" w:num="1">
            <w:col w:w="10528"/>
          </w:cols>
          <w:pgMar w:left="1012" w:top="1337" w:right="359" w:bottom="1440" w:gutter="0" w:footer="0" w:header="0"/>
        </w:sectPr>
      </w:pPr>
    </w:p>
    <w:bookmarkStart w:id="614" w:name="page615"/>
    <w:bookmarkEnd w:id="614"/>
    <w:p>
      <w:pPr>
        <w:spacing w:after="0" w:line="100" w:lineRule="exact"/>
        <w:rPr>
          <w:sz w:val="20"/>
          <w:szCs w:val="20"/>
          <w:color w:val="auto"/>
        </w:rPr>
      </w:pPr>
    </w:p>
    <w:p>
      <w:pPr>
        <w:jc w:val="both"/>
        <w:ind w:left="9"/>
        <w:spacing w:after="0" w:line="251" w:lineRule="auto"/>
        <w:rPr>
          <w:sz w:val="20"/>
          <w:szCs w:val="20"/>
          <w:color w:val="auto"/>
        </w:rPr>
      </w:pPr>
      <w:r>
        <w:rPr>
          <w:rFonts w:ascii="Times New Roman" w:cs="Times New Roman" w:eastAsia="Times New Roman" w:hAnsi="Times New Roman"/>
          <w:sz w:val="18"/>
          <w:szCs w:val="18"/>
          <w:color w:val="auto"/>
        </w:rPr>
        <w:t>in nature. The Borrower hereby acknowledges that (a) the First Lien Administrative Agent and/or the Joint Lead Arrangers will make available to the Lenders and the Issuing Bank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the Issuing Bank and the Lenders to treat such Borrower Materials as not containing any Material Non-Public Information (although it may be sensitive and proprietary)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 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 hereby acknowledges and agrees that, unless the Borrower notifies the First Lien Administrative Agent in advance, all financial statements and certificates furnished pursuant to Sections 5.01(a), (b),</w:t>
      </w:r>
    </w:p>
    <w:p>
      <w:pPr>
        <w:spacing w:after="0" w:line="10" w:lineRule="exact"/>
        <w:rPr>
          <w:sz w:val="20"/>
          <w:szCs w:val="20"/>
          <w:color w:val="auto"/>
        </w:rPr>
      </w:pPr>
    </w:p>
    <w:p>
      <w:pPr>
        <w:ind w:left="9" w:right="20" w:hanging="9"/>
        <w:spacing w:after="0" w:line="260" w:lineRule="auto"/>
        <w:tabs>
          <w:tab w:leader="none" w:pos="255"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above are hereby deemed to be suitable for distribution, and to be made available, to all Lenders and may be treated by the First Lien Administrative Agent and the Lenders as not containing any Material Non-Public Information.</w:t>
      </w:r>
    </w:p>
    <w:p>
      <w:pPr>
        <w:spacing w:after="0" w:line="222"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Notices of Material Events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left="9" w:right="20" w:firstLine="1296"/>
        <w:spacing w:after="0" w:line="266" w:lineRule="auto"/>
        <w:rPr>
          <w:sz w:val="20"/>
          <w:szCs w:val="20"/>
          <w:color w:val="auto"/>
        </w:rPr>
      </w:pPr>
      <w:r>
        <w:rPr>
          <w:rFonts w:ascii="Times New Roman" w:cs="Times New Roman" w:eastAsia="Times New Roman" w:hAnsi="Times New Roman"/>
          <w:sz w:val="18"/>
          <w:szCs w:val="18"/>
          <w:color w:val="auto"/>
        </w:rPr>
        <w:t>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w:t>
      </w:r>
    </w:p>
    <w:p>
      <w:pPr>
        <w:spacing w:after="0" w:line="216" w:lineRule="exact"/>
        <w:rPr>
          <w:sz w:val="20"/>
          <w:szCs w:val="20"/>
          <w:color w:val="auto"/>
        </w:rPr>
      </w:pPr>
    </w:p>
    <w:p>
      <w:pPr>
        <w:ind w:left="1949" w:hanging="653"/>
        <w:spacing w:after="0"/>
        <w:tabs>
          <w:tab w:leader="none" w:pos="1949"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252" w:lineRule="exact"/>
        <w:rPr>
          <w:rFonts w:ascii="Times New Roman" w:cs="Times New Roman" w:eastAsia="Times New Roman" w:hAnsi="Times New Roman"/>
          <w:sz w:val="18"/>
          <w:szCs w:val="18"/>
          <w:color w:val="auto"/>
        </w:rPr>
      </w:pPr>
    </w:p>
    <w:p>
      <w:pPr>
        <w:jc w:val="both"/>
        <w:ind w:left="649" w:right="20" w:firstLine="647"/>
        <w:spacing w:after="0" w:line="258" w:lineRule="auto"/>
        <w:tabs>
          <w:tab w:leader="none" w:pos="1898"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w:t>
      </w:r>
    </w:p>
    <w:p>
      <w:pPr>
        <w:spacing w:after="0" w:line="223" w:lineRule="exact"/>
        <w:rPr>
          <w:rFonts w:ascii="Times New Roman" w:cs="Times New Roman" w:eastAsia="Times New Roman" w:hAnsi="Times New Roman"/>
          <w:sz w:val="18"/>
          <w:szCs w:val="18"/>
          <w:color w:val="auto"/>
        </w:rPr>
      </w:pPr>
    </w:p>
    <w:p>
      <w:pPr>
        <w:ind w:left="649" w:right="20" w:firstLine="647"/>
        <w:spacing w:after="0" w:line="282" w:lineRule="auto"/>
        <w:tabs>
          <w:tab w:leader="none" w:pos="1902"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would reasonably be expected, individually or in the aggregate, to result in a Material Adverse Effect.</w:t>
      </w:r>
    </w:p>
    <w:p>
      <w:pPr>
        <w:spacing w:after="0" w:line="202" w:lineRule="exact"/>
        <w:rPr>
          <w:sz w:val="20"/>
          <w:szCs w:val="20"/>
          <w:color w:val="auto"/>
        </w:rPr>
      </w:pPr>
    </w:p>
    <w:p>
      <w:pPr>
        <w:jc w:val="both"/>
        <w:ind w:left="9" w:right="20"/>
        <w:spacing w:after="0" w:line="266" w:lineRule="auto"/>
        <w:rPr>
          <w:sz w:val="20"/>
          <w:szCs w:val="20"/>
          <w:color w:val="auto"/>
        </w:rPr>
      </w:pPr>
      <w:r>
        <w:rPr>
          <w:rFonts w:ascii="Times New Roman" w:cs="Times New Roman" w:eastAsia="Times New Roman" w:hAnsi="Times New Roman"/>
          <w:sz w:val="18"/>
          <w:szCs w:val="18"/>
          <w:color w:val="auto"/>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spacing w:after="0" w:line="216"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both"/>
        <w:ind w:left="9" w:right="20" w:firstLine="1288"/>
        <w:spacing w:after="0" w:line="258" w:lineRule="auto"/>
        <w:tabs>
          <w:tab w:leader="none" w:pos="191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w:t>
      </w:r>
    </w:p>
    <w:p>
      <w:pPr>
        <w:sectPr>
          <w:pgSz w:w="11900" w:h="16838" w:orient="portrait"/>
          <w:cols w:equalWidth="0" w:num="1">
            <w:col w:w="10049"/>
          </w:cols>
          <w:pgMar w:left="1011" w:top="1440" w:right="839" w:bottom="1440" w:gutter="0" w:footer="0" w:header="0"/>
        </w:sectPr>
      </w:pPr>
    </w:p>
    <w:bookmarkStart w:id="615" w:name="page616"/>
    <w:bookmarkEnd w:id="615"/>
    <w:p>
      <w:pPr>
        <w:ind w:right="60"/>
        <w:spacing w:after="0" w:line="282" w:lineRule="auto"/>
        <w:rPr>
          <w:sz w:val="20"/>
          <w:szCs w:val="20"/>
          <w:color w:val="auto"/>
        </w:rPr>
      </w:pPr>
      <w:r>
        <w:rPr>
          <w:rFonts w:ascii="Times New Roman" w:cs="Times New Roman" w:eastAsia="Times New Roman" w:hAnsi="Times New Roman"/>
          <w:sz w:val="18"/>
          <w:szCs w:val="18"/>
          <w:color w:val="auto"/>
        </w:rPr>
        <w:t>Loan Party is organized or owns Mortgaged Property in a jurisdiction where an organizational identification number is required to be included in a UCC financing statement for such jurisdiction.</w:t>
      </w:r>
    </w:p>
    <w:p>
      <w:pPr>
        <w:spacing w:after="0" w:line="189" w:lineRule="exact"/>
        <w:rPr>
          <w:sz w:val="20"/>
          <w:szCs w:val="20"/>
          <w:color w:val="auto"/>
        </w:rPr>
      </w:pPr>
    </w:p>
    <w:p>
      <w:pPr>
        <w:jc w:val="both"/>
        <w:ind w:right="20" w:firstLine="1287"/>
        <w:spacing w:after="0" w:line="254" w:lineRule="auto"/>
        <w:tabs>
          <w:tab w:leader="none" w:pos="1897"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spacing w:after="0" w:line="23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Each of Holdings and the Borrower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permitted under Section 6.03 or any Disposition permitted by Section 6.05.</w:t>
      </w:r>
    </w:p>
    <w:p>
      <w:pPr>
        <w:spacing w:after="0" w:line="228"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7"/>
          <w:szCs w:val="17"/>
          <w:u w:val="single" w:color="auto"/>
          <w:color w:val="auto"/>
        </w:rPr>
        <w:t>Payment of Taxes, etc.</w:t>
      </w:r>
    </w:p>
    <w:p>
      <w:pPr>
        <w:spacing w:after="0" w:line="266"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spacing w:after="0" w:line="21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5.06</w:t>
      </w:r>
      <w:r>
        <w:rPr>
          <w:sz w:val="20"/>
          <w:szCs w:val="20"/>
          <w:color w:val="auto"/>
        </w:rPr>
        <w:tab/>
      </w:r>
      <w:r>
        <w:rPr>
          <w:rFonts w:ascii="Times New Roman" w:cs="Times New Roman" w:eastAsia="Times New Roman" w:hAnsi="Times New Roman"/>
          <w:sz w:val="17"/>
          <w:szCs w:val="17"/>
          <w:u w:val="single" w:color="auto"/>
          <w:color w:val="auto"/>
        </w:rPr>
        <w:t>Maintenance of Properties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22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5.07</w:t>
      </w:r>
      <w:r>
        <w:rPr>
          <w:sz w:val="20"/>
          <w:szCs w:val="20"/>
          <w:color w:val="auto"/>
        </w:rPr>
        <w:tab/>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both"/>
        <w:ind w:right="40" w:firstLine="1288"/>
        <w:spacing w:after="0" w:line="253" w:lineRule="auto"/>
        <w:tabs>
          <w:tab w:leader="none" w:pos="1901"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w:t>
      </w:r>
    </w:p>
    <w:p>
      <w:pPr>
        <w:sectPr>
          <w:pgSz w:w="11900" w:h="16838" w:orient="portrait"/>
          <w:cols w:equalWidth="0" w:num="1">
            <w:col w:w="10060"/>
          </w:cols>
          <w:pgMar w:left="1020" w:top="1418" w:right="819" w:bottom="1440" w:gutter="0" w:footer="0" w:header="0"/>
        </w:sectPr>
      </w:pPr>
    </w:p>
    <w:bookmarkStart w:id="616" w:name="page617"/>
    <w:bookmarkEnd w:id="616"/>
    <w:p>
      <w:pPr>
        <w:jc w:val="both"/>
        <w:spacing w:after="0" w:line="258" w:lineRule="auto"/>
        <w:rPr>
          <w:sz w:val="20"/>
          <w:szCs w:val="20"/>
          <w:color w:val="auto"/>
        </w:rPr>
      </w:pPr>
      <w:r>
        <w:rPr>
          <w:rFonts w:ascii="Times New Roman" w:cs="Times New Roman" w:eastAsia="Times New Roman" w:hAnsi="Times New Roman"/>
          <w:sz w:val="18"/>
          <w:szCs w:val="18"/>
          <w:color w:val="auto"/>
        </w:rPr>
        <w:t>general liability policy of insurance and each casualty insurance policy belonging to or insuring such Restricted Subsidiary (other than directors and officers policies, workers compensation policies and business interruption insurance) and (ii) in the case of each property insurance policy belonging to or insuring a Restricted Subsidiary organized or existing under the laws of a Covered Jurisdiction, include a loss payable clause or mortgagee endorsement, as applicable that names the First Lien Collateral Agent, on behalf of the Secured Parties, as the loss payee or mortgagee, as applicable, thereunder.</w:t>
      </w:r>
    </w:p>
    <w:p>
      <w:pPr>
        <w:spacing w:after="0" w:line="210" w:lineRule="exact"/>
        <w:rPr>
          <w:sz w:val="20"/>
          <w:szCs w:val="20"/>
          <w:color w:val="auto"/>
        </w:rPr>
      </w:pPr>
    </w:p>
    <w:p>
      <w:pPr>
        <w:jc w:val="both"/>
        <w:ind w:firstLine="1288"/>
        <w:spacing w:after="0" w:line="254" w:lineRule="auto"/>
        <w:tabs>
          <w:tab w:leader="none" w:pos="1897"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w:t>
      </w:r>
    </w:p>
    <w:p>
      <w:pPr>
        <w:spacing w:after="0" w:line="23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8"/>
          <w:szCs w:val="18"/>
          <w:u w:val="single" w:color="auto"/>
          <w:color w:val="auto"/>
        </w:rPr>
        <w:t>Books and Records; Inspection and Audit Rights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spacing w:after="0" w:line="234"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spacing w:after="0" w:line="22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5.10</w:t>
      </w:r>
      <w:r>
        <w:rPr>
          <w:sz w:val="20"/>
          <w:szCs w:val="20"/>
          <w:color w:val="auto"/>
        </w:rPr>
        <w:tab/>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Borrower will use the proceeds of the Term Loans, the Revolving Loans, the Swingline Loans and the Letters of Credit solely in accordance with Section 3.16.</w:t>
      </w:r>
    </w:p>
    <w:p>
      <w:pPr>
        <w:sectPr>
          <w:pgSz w:w="11900" w:h="16838" w:orient="portrait"/>
          <w:cols w:equalWidth="0" w:num="1">
            <w:col w:w="10020"/>
          </w:cols>
          <w:pgMar w:left="1020" w:top="1418" w:right="859" w:bottom="1440" w:gutter="0" w:footer="0" w:header="0"/>
        </w:sectPr>
      </w:pPr>
    </w:p>
    <w:bookmarkStart w:id="617" w:name="page618"/>
    <w:bookmarkEnd w:id="617"/>
    <w:p>
      <w:pPr>
        <w:ind w:left="1288"/>
        <w:spacing w:after="0"/>
        <w:tabs>
          <w:tab w:leader="none" w:pos="2568"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7"/>
          <w:szCs w:val="17"/>
          <w:u w:val="single" w:color="auto"/>
          <w:color w:val="auto"/>
        </w:rPr>
        <w:t>Additional Subsidiaries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8" w:right="40" w:firstLine="1288"/>
        <w:spacing w:after="0" w:line="268" w:lineRule="auto"/>
        <w:tabs>
          <w:tab w:leader="none" w:pos="1909" w:val="left"/>
        </w:tabs>
        <w:numPr>
          <w:ilvl w:val="1"/>
          <w:numId w:val="7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any additional Restricted Subsidiary that is not an Excluded Subsidiary, or any Intermediate Parent, in each case, organized in a Covered Jurisdiction, is formed or acquired after the Effective Date, (ii) any Restricted Subsidiary ceases to be an Excluded Subsidiary (other than any Immaterial Subsidiary that 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w:t>
      </w:r>
    </w:p>
    <w:p>
      <w:pPr>
        <w:jc w:val="both"/>
        <w:ind w:left="8" w:right="40" w:hanging="8"/>
        <w:spacing w:after="0" w:line="251" w:lineRule="auto"/>
        <w:tabs>
          <w:tab w:leader="none" w:pos="287"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 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spacing w:after="0" w:line="246" w:lineRule="exact"/>
        <w:rPr>
          <w:rFonts w:ascii="Times New Roman" w:cs="Times New Roman" w:eastAsia="Times New Roman" w:hAnsi="Times New Roman"/>
          <w:sz w:val="18"/>
          <w:szCs w:val="18"/>
          <w:color w:val="auto"/>
        </w:rPr>
      </w:pPr>
    </w:p>
    <w:p>
      <w:pPr>
        <w:jc w:val="both"/>
        <w:ind w:left="8" w:right="40" w:firstLine="1288"/>
        <w:spacing w:after="0" w:line="261" w:lineRule="auto"/>
        <w:tabs>
          <w:tab w:leader="none" w:pos="1905"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spacing w:after="0" w:line="206" w:lineRule="exact"/>
        <w:rPr>
          <w:rFonts w:ascii="Times New Roman" w:cs="Times New Roman" w:eastAsia="Times New Roman" w:hAnsi="Times New Roman"/>
          <w:sz w:val="18"/>
          <w:szCs w:val="18"/>
          <w:color w:val="auto"/>
        </w:rPr>
      </w:pPr>
    </w:p>
    <w:p>
      <w:pPr>
        <w:jc w:val="both"/>
        <w:ind w:left="8" w:right="40" w:firstLine="1288"/>
        <w:spacing w:after="0" w:line="258" w:lineRule="auto"/>
        <w:tabs>
          <w:tab w:leader="none" w:pos="1909"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any Material Real Property would be required to be mortgaged pursuant to this 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w:t>
      </w:r>
    </w:p>
    <w:p>
      <w:pPr>
        <w:spacing w:after="0" w:line="224" w:lineRule="exact"/>
        <w:rPr>
          <w:sz w:val="20"/>
          <w:szCs w:val="20"/>
          <w:color w:val="auto"/>
        </w:rPr>
      </w:pPr>
    </w:p>
    <w:p>
      <w:pPr>
        <w:ind w:left="1288"/>
        <w:spacing w:after="0"/>
        <w:tabs>
          <w:tab w:leader="none" w:pos="2568"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left="8" w:right="40" w:firstLine="1288"/>
        <w:spacing w:after="0" w:line="256" w:lineRule="auto"/>
        <w:tabs>
          <w:tab w:leader="none" w:pos="1909"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spacing w:after="0" w:line="295" w:lineRule="exact"/>
        <w:rPr>
          <w:rFonts w:ascii="Times New Roman" w:cs="Times New Roman" w:eastAsia="Times New Roman" w:hAnsi="Times New Roman"/>
          <w:sz w:val="18"/>
          <w:szCs w:val="18"/>
          <w:color w:val="auto"/>
        </w:rPr>
      </w:pPr>
    </w:p>
    <w:p>
      <w:pPr>
        <w:jc w:val="both"/>
        <w:ind w:left="8" w:firstLine="1288"/>
        <w:spacing w:after="0" w:line="255" w:lineRule="auto"/>
        <w:tabs>
          <w:tab w:leader="none" w:pos="1905"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w:t>
      </w:r>
    </w:p>
    <w:p>
      <w:pPr>
        <w:sectPr>
          <w:pgSz w:w="11900" w:h="16838" w:orient="portrait"/>
          <w:cols w:equalWidth="0" w:num="1">
            <w:col w:w="10068"/>
          </w:cols>
          <w:pgMar w:left="1012" w:top="1418" w:right="819" w:bottom="1440" w:gutter="0" w:footer="0" w:header="0"/>
        </w:sectPr>
      </w:pPr>
    </w:p>
    <w:bookmarkStart w:id="618" w:name="page619"/>
    <w:bookmarkEnd w:id="618"/>
    <w:p>
      <w:pPr>
        <w:jc w:val="both"/>
        <w:spacing w:after="0" w:line="256" w:lineRule="auto"/>
        <w:rPr>
          <w:sz w:val="20"/>
          <w:szCs w:val="20"/>
          <w:color w:val="auto"/>
        </w:rPr>
      </w:pPr>
      <w:r>
        <w:rPr>
          <w:rFonts w:ascii="Times New Roman" w:cs="Times New Roman" w:eastAsia="Times New Roman" w:hAnsi="Times New Roman"/>
          <w:sz w:val="18"/>
          <w:szCs w:val="18"/>
          <w:color w:val="auto"/>
        </w:rPr>
        <w:t>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 acquisition of such Material Real Property or such longer time period as agreed by the First Lien Administrative Agent in its reasonable discretion.</w:t>
      </w:r>
    </w:p>
    <w:p>
      <w:pPr>
        <w:spacing w:after="0" w:line="214"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The Borrower may at any time after the Effective Date designate any Restricted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w:t>
      </w:r>
      <w:r>
        <w:rPr>
          <w:rFonts w:ascii="Times New Roman" w:cs="Times New Roman" w:eastAsia="Times New Roman" w:hAnsi="Times New Roman"/>
          <w:sz w:val="18"/>
          <w:szCs w:val="18"/>
          <w:color w:val="FF0000"/>
          <w:strike w:val="1"/>
        </w:rPr>
        <w:t>the Second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Notes or any other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Material Indebtedness of Holdings or the Borrower. The designation of any Subsidiary as an Unrestricted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Subsidiary after the Effective Date shall constitute an Investment by the Borrower therein at the date of designation 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w:t>
      </w:r>
    </w:p>
    <w:p>
      <w:pPr>
        <w:spacing w:after="0" w:line="23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5.14</w:t>
      </w:r>
      <w:r>
        <w:rPr>
          <w:sz w:val="20"/>
          <w:szCs w:val="20"/>
          <w:color w:val="auto"/>
        </w:rPr>
        <w:tab/>
      </w:r>
      <w:r>
        <w:rPr>
          <w:rFonts w:ascii="Times New Roman" w:cs="Times New Roman" w:eastAsia="Times New Roman" w:hAnsi="Times New Roman"/>
          <w:sz w:val="18"/>
          <w:szCs w:val="18"/>
          <w:u w:val="single" w:color="auto"/>
          <w:color w:val="auto"/>
        </w:rPr>
        <w:t>Certain Post-Closing Obligations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1296"/>
        <w:spacing w:after="0" w:line="256" w:lineRule="auto"/>
        <w:rPr>
          <w:sz w:val="20"/>
          <w:szCs w:val="20"/>
          <w:color w:val="auto"/>
        </w:rPr>
      </w:pPr>
      <w:r>
        <w:rPr>
          <w:rFonts w:ascii="Times New Roman" w:cs="Times New Roman" w:eastAsia="Times New Roman" w:hAnsi="Times New Roman"/>
          <w:sz w:val="18"/>
          <w:szCs w:val="18"/>
          <w:color w:val="auto"/>
        </w:rPr>
        <w:t>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Administrative Agent pursuant to its authority as set forth in the definition of the term “Collateral and Guarantee Requirement.”</w:t>
      </w:r>
    </w:p>
    <w:p>
      <w:pPr>
        <w:spacing w:after="0" w:line="228"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8"/>
          <w:szCs w:val="18"/>
          <w:u w:val="single" w:color="auto"/>
          <w:color w:val="auto"/>
        </w:rPr>
        <w:t>Maintenance of Rating of Borrower and the Facilities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The Loan Parties shall use commercially reasonable efforts to maintain (i) a public corporate credit rating (but not any particular rating) from S&amp;P and a public corporate family rating (but not any particular rating) from Moody’s, in each case in respect of the Borrower and (ii) a public rating (but not any particular rating) in respect of the Loans from each of S&amp;P and Moody’s.</w:t>
      </w:r>
    </w:p>
    <w:p>
      <w:pPr>
        <w:spacing w:after="0" w:line="216"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5.16</w:t>
      </w:r>
      <w:r>
        <w:rPr>
          <w:sz w:val="20"/>
          <w:szCs w:val="20"/>
          <w:color w:val="auto"/>
        </w:rPr>
        <w:tab/>
      </w:r>
      <w:r>
        <w:rPr>
          <w:rFonts w:ascii="Times New Roman" w:cs="Times New Roman" w:eastAsia="Times New Roman" w:hAnsi="Times New Roman"/>
          <w:sz w:val="18"/>
          <w:szCs w:val="18"/>
          <w:u w:val="single" w:color="auto"/>
          <w:color w:val="auto"/>
        </w:rPr>
        <w:t>Lines of Business.</w:t>
      </w:r>
    </w:p>
    <w:p>
      <w:pPr>
        <w:spacing w:after="0" w:line="266"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The Borrower and its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spacing w:after="0" w:line="31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xml:space="preserve">ARTICLE VI </w:t>
      </w:r>
      <w:r>
        <w:rPr>
          <w:rFonts w:ascii="Times New Roman" w:cs="Times New Roman" w:eastAsia="Times New Roman" w:hAnsi="Times New Roman"/>
          <w:sz w:val="18"/>
          <w:szCs w:val="18"/>
          <w:u w:val="single" w:color="auto"/>
          <w:color w:val="auto"/>
        </w:rPr>
        <w:t>NEGATIVE COVENANTS</w:t>
      </w:r>
    </w:p>
    <w:p>
      <w:pPr>
        <w:sectPr>
          <w:pgSz w:w="11900" w:h="16838" w:orient="portrait"/>
          <w:cols w:equalWidth="0" w:num="1">
            <w:col w:w="10060"/>
          </w:cols>
          <w:pgMar w:left="1020" w:top="1418" w:right="819" w:bottom="1440" w:gutter="0" w:footer="0" w:header="0"/>
        </w:sectPr>
      </w:pPr>
    </w:p>
    <w:bookmarkStart w:id="619" w:name="page620"/>
    <w:bookmarkEnd w:id="619"/>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From and after the Effective Date and until the Termination Date, each of Holdings (with respect to Section 6.03(b) and (c) only) and the Borrower covenants and agrees with the Lenders that:</w:t>
      </w:r>
    </w:p>
    <w:p>
      <w:pPr>
        <w:spacing w:after="0" w:line="337"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Indebtedness; Certain Equity Securities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900" w:hanging="612"/>
        <w:spacing w:after="0"/>
        <w:tabs>
          <w:tab w:leader="none" w:pos="1900" w:val="left"/>
        </w:tabs>
        <w:numPr>
          <w:ilvl w:val="1"/>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create, incur, assume or permit to exist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except:</w:t>
      </w:r>
    </w:p>
    <w:p>
      <w:pPr>
        <w:spacing w:after="0" w:line="247" w:lineRule="exact"/>
        <w:rPr>
          <w:rFonts w:ascii="Times New Roman" w:cs="Times New Roman" w:eastAsia="Times New Roman" w:hAnsi="Times New Roman"/>
          <w:sz w:val="18"/>
          <w:szCs w:val="18"/>
          <w:color w:val="auto"/>
        </w:rPr>
      </w:pPr>
    </w:p>
    <w:p>
      <w:pPr>
        <w:ind w:right="60" w:firstLine="728"/>
        <w:spacing w:after="0" w:line="282" w:lineRule="auto"/>
        <w:tabs>
          <w:tab w:leader="none" w:pos="1257"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 any of the Restricted Subsidiaries under the First Lien Loan Documents </w:t>
      </w:r>
      <w:r>
        <w:rPr>
          <w:rFonts w:ascii="Times New Roman" w:cs="Times New Roman" w:eastAsia="Times New Roman" w:hAnsi="Times New Roman"/>
          <w:sz w:val="18"/>
          <w:szCs w:val="18"/>
          <w:color w:val="FF0000"/>
          <w:strike w:val="1"/>
        </w:rPr>
        <w:t>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Second Lien Debt Documents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(including any Indebtedness incurred pursuant to Section 2.20 or 2.21);</w:t>
      </w:r>
    </w:p>
    <w:p>
      <w:pPr>
        <w:spacing w:after="0" w:line="202" w:lineRule="exact"/>
        <w:rPr>
          <w:rFonts w:ascii="Times New Roman" w:cs="Times New Roman" w:eastAsia="Times New Roman" w:hAnsi="Times New Roman"/>
          <w:sz w:val="18"/>
          <w:szCs w:val="18"/>
          <w:color w:val="auto"/>
        </w:rPr>
      </w:pPr>
    </w:p>
    <w:p>
      <w:pPr>
        <w:ind w:right="40" w:firstLine="678"/>
        <w:spacing w:after="0" w:line="282" w:lineRule="auto"/>
        <w:tabs>
          <w:tab w:leader="none" w:pos="1257"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including intercompany Indebtedness, outstanding on the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Effective Date and listed on Schedule 6.01, and any Permitted Refinancing thereof;</w:t>
      </w:r>
    </w:p>
    <w:p>
      <w:pPr>
        <w:spacing w:after="0" w:line="202" w:lineRule="exact"/>
        <w:rPr>
          <w:rFonts w:ascii="Times New Roman" w:cs="Times New Roman" w:eastAsia="Times New Roman" w:hAnsi="Times New Roman"/>
          <w:sz w:val="18"/>
          <w:szCs w:val="18"/>
          <w:color w:val="auto"/>
        </w:rPr>
      </w:pPr>
    </w:p>
    <w:p>
      <w:pPr>
        <w:jc w:val="both"/>
        <w:ind w:right="40" w:firstLine="628"/>
        <w:spacing w:after="0" w:line="255" w:lineRule="auto"/>
        <w:tabs>
          <w:tab w:leader="none" w:pos="1258"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and any of the Restricted Subsidiaries in respect of Indebtedness of the Borrower or any Restricted Subsidiary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Guarantee is otherwise permitted by Section 6.04, (B) no Guarantee by any Restricted Subsidiary of any Junior Financing </w:t>
      </w:r>
      <w:r>
        <w:rPr>
          <w:rFonts w:ascii="Times New Roman" w:cs="Times New Roman" w:eastAsia="Times New Roman" w:hAnsi="Times New Roman"/>
          <w:sz w:val="18"/>
          <w:szCs w:val="18"/>
          <w:color w:val="FF0000"/>
          <w:strike w:val="1"/>
        </w:rPr>
        <w:t>or the Second Lien Facilities</w:t>
      </w:r>
      <w:r>
        <w:rPr>
          <w:rFonts w:ascii="Times New Roman" w:cs="Times New Roman" w:eastAsia="Times New Roman" w:hAnsi="Times New Roman"/>
          <w:sz w:val="18"/>
          <w:szCs w:val="18"/>
          <w:color w:val="auto"/>
        </w:rPr>
        <w:t xml:space="preserve">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215" w:lineRule="exact"/>
        <w:rPr>
          <w:rFonts w:ascii="Times New Roman" w:cs="Times New Roman" w:eastAsia="Times New Roman" w:hAnsi="Times New Roman"/>
          <w:sz w:val="18"/>
          <w:szCs w:val="18"/>
          <w:color w:val="auto"/>
        </w:rPr>
      </w:pPr>
    </w:p>
    <w:p>
      <w:pPr>
        <w:jc w:val="both"/>
        <w:ind w:firstLine="636"/>
        <w:spacing w:after="0" w:line="255" w:lineRule="auto"/>
        <w:tabs>
          <w:tab w:leader="none" w:pos="1256"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owing to any Restricted Subsidiary or of any Restricted Subsidiary owing to any other Restricted Subsidiary or the Borrower, to the extent permitted by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229" w:lineRule="exact"/>
        <w:rPr>
          <w:rFonts w:ascii="Times New Roman" w:cs="Times New Roman" w:eastAsia="Times New Roman" w:hAnsi="Times New Roman"/>
          <w:sz w:val="18"/>
          <w:szCs w:val="18"/>
          <w:color w:val="auto"/>
        </w:rPr>
      </w:pPr>
    </w:p>
    <w:p>
      <w:pPr>
        <w:jc w:val="both"/>
        <w:ind w:right="40" w:firstLine="686"/>
        <w:spacing w:after="0" w:line="254" w:lineRule="auto"/>
        <w:tabs>
          <w:tab w:leader="none" w:pos="1255"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w:t>
      </w:r>
      <w:r>
        <w:rPr>
          <w:rFonts w:ascii="Times New Roman" w:cs="Times New Roman" w:eastAsia="Times New Roman" w:hAnsi="Times New Roman"/>
          <w:sz w:val="18"/>
          <w:szCs w:val="18"/>
          <w:color w:val="FF0000"/>
          <w:strike w:val="1"/>
        </w:rPr>
        <w:t>80,000,000</w:t>
      </w:r>
      <w:r>
        <w:rPr>
          <w:rFonts w:ascii="Times New Roman" w:cs="Times New Roman" w:eastAsia="Times New Roman" w:hAnsi="Times New Roman"/>
          <w:sz w:val="18"/>
          <w:szCs w:val="18"/>
          <w:u w:val="single" w:color="auto"/>
          <w:color w:val="0000FF"/>
        </w:rPr>
        <w:t>190,000,000</w:t>
      </w:r>
      <w:r>
        <w:rPr>
          <w:rFonts w:ascii="Times New Roman" w:cs="Times New Roman" w:eastAsia="Times New Roman" w:hAnsi="Times New Roman"/>
          <w:sz w:val="18"/>
          <w:szCs w:val="18"/>
          <w:color w:val="auto"/>
        </w:rPr>
        <w:t xml:space="preserve"> and (B) </w:t>
      </w:r>
      <w:r>
        <w:rPr>
          <w:rFonts w:ascii="Times New Roman" w:cs="Times New Roman" w:eastAsia="Times New Roman" w:hAnsi="Times New Roman"/>
          <w:sz w:val="18"/>
          <w:szCs w:val="18"/>
          <w:color w:val="FF0000"/>
          <w:strike w:val="1"/>
        </w:rPr>
        <w:t>20</w:t>
      </w:r>
      <w:r>
        <w:rPr>
          <w:rFonts w:ascii="Times New Roman" w:cs="Times New Roman" w:eastAsia="Times New Roman" w:hAnsi="Times New Roman"/>
          <w:sz w:val="18"/>
          <w:szCs w:val="18"/>
          <w:u w:val="single" w:color="auto"/>
          <w:color w:val="0000FF"/>
        </w:rPr>
        <w:t>35</w:t>
      </w:r>
      <w:r>
        <w:rPr>
          <w:rFonts w:ascii="Times New Roman" w:cs="Times New Roman" w:eastAsia="Times New Roman" w:hAnsi="Times New Roman"/>
          <w:sz w:val="18"/>
          <w:szCs w:val="18"/>
          <w:color w:val="auto"/>
        </w:rPr>
        <w:t>% of Consolidated EBITDA for the most recently ended Test Period as of such time;</w:t>
      </w:r>
    </w:p>
    <w:p>
      <w:pPr>
        <w:spacing w:after="0" w:line="232" w:lineRule="exact"/>
        <w:rPr>
          <w:rFonts w:ascii="Times New Roman" w:cs="Times New Roman" w:eastAsia="Times New Roman" w:hAnsi="Times New Roman"/>
          <w:sz w:val="18"/>
          <w:szCs w:val="18"/>
          <w:color w:val="auto"/>
        </w:rPr>
      </w:pPr>
    </w:p>
    <w:p>
      <w:pPr>
        <w:ind w:left="1240" w:hanging="603"/>
        <w:spacing w:after="0"/>
        <w:tabs>
          <w:tab w:leader="none" w:pos="1240"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Agreements incurred in the ordinary course of business and not for speculative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47" w:lineRule="exact"/>
        <w:rPr>
          <w:rFonts w:ascii="Times New Roman" w:cs="Times New Roman" w:eastAsia="Times New Roman" w:hAnsi="Times New Roman"/>
          <w:sz w:val="18"/>
          <w:szCs w:val="18"/>
          <w:color w:val="auto"/>
        </w:rPr>
      </w:pPr>
    </w:p>
    <w:p>
      <w:pPr>
        <w:jc w:val="both"/>
        <w:ind w:right="40" w:firstLine="588"/>
        <w:spacing w:after="0" w:line="256" w:lineRule="auto"/>
        <w:tabs>
          <w:tab w:leader="none" w:pos="1256"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w:t>
      </w:r>
    </w:p>
    <w:p>
      <w:pPr>
        <w:sectPr>
          <w:pgSz w:w="11900" w:h="16838" w:orient="portrait"/>
          <w:cols w:equalWidth="0" w:num="1">
            <w:col w:w="10060"/>
          </w:cols>
          <w:pgMar w:left="1020" w:top="1350" w:right="819" w:bottom="1440" w:gutter="0" w:footer="0" w:header="0"/>
        </w:sectPr>
      </w:pPr>
    </w:p>
    <w:bookmarkStart w:id="620" w:name="page621"/>
    <w:bookmarkEnd w:id="620"/>
    <w:p>
      <w:pPr>
        <w:jc w:val="both"/>
        <w:ind w:left="8" w:right="40" w:hanging="8"/>
        <w:spacing w:after="0" w:line="251" w:lineRule="auto"/>
        <w:tabs>
          <w:tab w:leader="none" w:pos="245"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w:t>
      </w:r>
      <w:r>
        <w:rPr>
          <w:rFonts w:ascii="Times New Roman" w:cs="Times New Roman" w:eastAsia="Times New Roman" w:hAnsi="Times New Roman"/>
          <w:sz w:val="18"/>
          <w:szCs w:val="18"/>
          <w:color w:val="FF0000"/>
          <w:strike w:val="1"/>
        </w:rPr>
        <w:t>the covenants, events of default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(1)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also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w:t>
      </w:r>
    </w:p>
    <w:p>
      <w:pPr>
        <w:spacing w:after="0" w:line="7" w:lineRule="exact"/>
        <w:rPr>
          <w:rFonts w:ascii="Times New Roman" w:cs="Times New Roman" w:eastAsia="Times New Roman" w:hAnsi="Times New Roman"/>
          <w:sz w:val="18"/>
          <w:szCs w:val="18"/>
          <w:color w:val="auto"/>
        </w:rPr>
      </w:pPr>
    </w:p>
    <w:p>
      <w:pPr>
        <w:jc w:val="both"/>
        <w:ind w:left="8"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 xml:space="preserve">(y) only applicable to, or for the benefit of, a revolving credit facility, also added for the benefit of each revolving credit facility hereunder (and not for the benefit of any term loan facility hereunder)), (2) such provisions are applicable only to periods after the Latest Maturity Date at such time, or (3) such terms are otherwise reasonably satisfactory to the First Lien Administrative Agent and the Borrower); </w:t>
      </w:r>
      <w:r>
        <w:rPr>
          <w:rFonts w:ascii="Times New Roman" w:cs="Times New Roman" w:eastAsia="Times New Roman" w:hAnsi="Times New Roman"/>
          <w:sz w:val="18"/>
          <w:szCs w:val="18"/>
          <w:u w:val="single" w:color="auto"/>
          <w:color w:val="FF0000"/>
          <w:strike w:val="1"/>
        </w:rPr>
        <w:t xml:space="preserve">provided </w:t>
      </w:r>
      <w:r>
        <w:rPr>
          <w:rFonts w:ascii="Times New Roman" w:cs="Times New Roman" w:eastAsia="Times New Roman" w:hAnsi="Times New Roman"/>
          <w:sz w:val="18"/>
          <w:szCs w:val="18"/>
          <w:color w:val="FF0000"/>
          <w:strike w:val="1"/>
        </w:rPr>
        <w:t>that a certificate of a Responsible Officer of Holdings delivered to the First Lien Administrative Agent promptly after the</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w:t>
      </w:r>
      <w:r>
        <w:rPr>
          <w:rFonts w:ascii="Times New Roman" w:cs="Times New Roman" w:eastAsia="Times New Roman" w:hAnsi="Times New Roman"/>
          <w:sz w:val="18"/>
          <w:szCs w:val="18"/>
          <w:color w:val="0000FF"/>
          <w:strike w:val="1"/>
        </w:rPr>
        <w:t>[</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and (B) any Permitted Refinancing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Indebtedness incurred pursuant to the foregoing subclause (A); provided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w:t>
      </w:r>
      <w:r>
        <w:rPr>
          <w:rFonts w:ascii="Times New Roman" w:cs="Times New Roman" w:eastAsia="Times New Roman" w:hAnsi="Times New Roman"/>
          <w:sz w:val="18"/>
          <w:szCs w:val="18"/>
          <w:color w:val="FF0000"/>
          <w:strike w:val="1"/>
        </w:rPr>
        <w:t>80,000,000</w:t>
      </w:r>
      <w:r>
        <w:rPr>
          <w:rFonts w:ascii="Times New Roman" w:cs="Times New Roman" w:eastAsia="Times New Roman" w:hAnsi="Times New Roman"/>
          <w:sz w:val="18"/>
          <w:szCs w:val="18"/>
          <w:u w:val="single" w:color="auto"/>
          <w:color w:val="0000FF"/>
          <w:strike w:val="1"/>
        </w:rPr>
        <w:t>108,400,000</w:t>
      </w:r>
      <w:r>
        <w:rPr>
          <w:rFonts w:ascii="Times New Roman" w:cs="Times New Roman" w:eastAsia="Times New Roman" w:hAnsi="Times New Roman"/>
          <w:sz w:val="18"/>
          <w:szCs w:val="18"/>
          <w:color w:val="000000"/>
          <w:strike w:val="1"/>
        </w:rPr>
        <w:t xml:space="preserve"> and 20% of Consolidated EBITDA for the most recently ended Test Period as of such time;</w:t>
      </w:r>
    </w:p>
    <w:p>
      <w:pPr>
        <w:spacing w:after="0" w:line="311" w:lineRule="exact"/>
        <w:rPr>
          <w:rFonts w:ascii="Times New Roman" w:cs="Times New Roman" w:eastAsia="Times New Roman" w:hAnsi="Times New Roman"/>
          <w:sz w:val="18"/>
          <w:szCs w:val="18"/>
          <w:color w:val="auto"/>
        </w:rPr>
      </w:pPr>
    </w:p>
    <w:p>
      <w:pPr>
        <w:jc w:val="both"/>
        <w:ind w:left="8" w:firstLine="537"/>
        <w:spacing w:after="0" w:line="258" w:lineRule="auto"/>
        <w:tabs>
          <w:tab w:leader="none" w:pos="1265"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w:t>
      </w:r>
    </w:p>
    <w:p>
      <w:pPr>
        <w:sectPr>
          <w:pgSz w:w="11900" w:h="16838" w:orient="portrait"/>
          <w:cols w:equalWidth="0" w:num="1">
            <w:col w:w="10068"/>
          </w:cols>
          <w:pgMar w:left="1012" w:top="1337" w:right="819" w:bottom="1440" w:gutter="0" w:footer="0" w:header="0"/>
        </w:sectPr>
      </w:pPr>
    </w:p>
    <w:bookmarkStart w:id="621" w:name="page622"/>
    <w:bookmarkEnd w:id="621"/>
    <w:p>
      <w:pPr>
        <w:jc w:val="both"/>
        <w:ind w:left="9" w:hanging="9"/>
        <w:spacing w:after="0" w:line="267" w:lineRule="auto"/>
        <w:tabs>
          <w:tab w:leader="none" w:pos="274" w:val="left"/>
        </w:tabs>
        <w:numPr>
          <w:ilvl w:val="0"/>
          <w:numId w:val="7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each such incurrence and/or issuance of such Indebtedness on a Pro Forma Basis, the Senior Secured Net Leverage Ratio as of such time is less than or equal to, at the Borrower’s option, either (x) 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remaining Term Loans), (3) the other terms and conditions of such Indebtedness shall be as determined by the Borrower and the lenders providing such Indebtedness (subject to the restrictions and exceptions set forth above) and (4) with respect to clause (b) 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 (A) $</w:t>
      </w:r>
      <w:r>
        <w:rPr>
          <w:rFonts w:ascii="Times New Roman" w:cs="Times New Roman" w:eastAsia="Times New Roman" w:hAnsi="Times New Roman"/>
          <w:sz w:val="17"/>
          <w:szCs w:val="17"/>
          <w:color w:val="FF0000"/>
          <w:strike w:val="1"/>
        </w:rPr>
        <w:t>80,000,000</w:t>
      </w:r>
      <w:r>
        <w:rPr>
          <w:rFonts w:ascii="Times New Roman" w:cs="Times New Roman" w:eastAsia="Times New Roman" w:hAnsi="Times New Roman"/>
          <w:sz w:val="17"/>
          <w:szCs w:val="17"/>
          <w:u w:val="single" w:color="auto"/>
          <w:color w:val="0000FF"/>
        </w:rPr>
        <w:t>108,400,000</w:t>
      </w:r>
      <w:r>
        <w:rPr>
          <w:rFonts w:ascii="Times New Roman" w:cs="Times New Roman" w:eastAsia="Times New Roman" w:hAnsi="Times New Roman"/>
          <w:sz w:val="17"/>
          <w:szCs w:val="17"/>
          <w:color w:val="auto"/>
        </w:rPr>
        <w:t xml:space="preserve"> and (B) 20% of Consolidated EBITDA for the most recently ended Test Period as of such time ;</w:t>
      </w:r>
    </w:p>
    <w:p>
      <w:pPr>
        <w:spacing w:after="0" w:line="294" w:lineRule="exact"/>
        <w:rPr>
          <w:rFonts w:ascii="Times New Roman" w:cs="Times New Roman" w:eastAsia="Times New Roman" w:hAnsi="Times New Roman"/>
          <w:sz w:val="17"/>
          <w:szCs w:val="17"/>
          <w:color w:val="auto"/>
        </w:rPr>
      </w:pPr>
    </w:p>
    <w:p>
      <w:pPr>
        <w:jc w:val="both"/>
        <w:ind w:left="9" w:firstLine="636"/>
        <w:spacing w:after="0" w:line="253" w:lineRule="auto"/>
        <w:tabs>
          <w:tab w:leader="none" w:pos="1265" w:val="left"/>
        </w:tabs>
        <w:numPr>
          <w:ilvl w:val="1"/>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 (X) on a Pro Forma Basis, at the Borrower’s option, either (1) the Total Net Leverage Ratio as of such time is less than or equal to either (x) 7.50 to 1.00 for the most recently ended Test Period or (y) the Total Net Leverage Ratio immediately prior to such Permitted Acquisition or Investment (and related incurrence and/or issuance of Indebtedness) or</w:t>
      </w:r>
    </w:p>
    <w:p>
      <w:pPr>
        <w:spacing w:after="0" w:line="2" w:lineRule="exact"/>
        <w:rPr>
          <w:rFonts w:ascii="Times New Roman" w:cs="Times New Roman" w:eastAsia="Times New Roman" w:hAnsi="Times New Roman"/>
          <w:sz w:val="18"/>
          <w:szCs w:val="18"/>
          <w:color w:val="auto"/>
        </w:rPr>
      </w:pPr>
    </w:p>
    <w:p>
      <w:pPr>
        <w:jc w:val="both"/>
        <w:ind w:left="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the Interest Coverage Ratio as of such time is not less than either (x) 2.00 to 1.00 for the most recently ended Test Period or (y) the Interest Coverage Ratio immediately prior to such Permitted Acquisition or Investment (and related incurrence and/or issuance of Indebtedness), (Y) the Borrower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and (2) </w:t>
      </w:r>
      <w:r>
        <w:rPr>
          <w:rFonts w:ascii="Times New Roman" w:cs="Times New Roman" w:eastAsia="Times New Roman" w:hAnsi="Times New Roman"/>
          <w:sz w:val="18"/>
          <w:szCs w:val="18"/>
          <w:color w:val="FF0000"/>
          <w:strike w:val="1"/>
        </w:rPr>
        <w:t>the covenants, events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w:t>
      </w:r>
    </w:p>
    <w:p>
      <w:pPr>
        <w:sectPr>
          <w:pgSz w:w="11900" w:h="16838" w:orient="portrait"/>
          <w:cols w:equalWidth="0" w:num="1">
            <w:col w:w="10069"/>
          </w:cols>
          <w:pgMar w:left="1011" w:top="1418" w:right="819" w:bottom="1440" w:gutter="0" w:footer="0" w:header="0"/>
        </w:sectPr>
      </w:pPr>
    </w:p>
    <w:bookmarkStart w:id="622" w:name="page623"/>
    <w:bookmarkEnd w:id="622"/>
    <w:p>
      <w:pPr>
        <w:jc w:val="both"/>
        <w:ind w:left="8"/>
        <w:spacing w:after="0" w:line="252" w:lineRule="auto"/>
        <w:rPr>
          <w:sz w:val="20"/>
          <w:szCs w:val="20"/>
          <w:color w:val="auto"/>
        </w:rPr>
      </w:pPr>
      <w:r>
        <w:rPr>
          <w:rFonts w:ascii="Times New Roman" w:cs="Times New Roman" w:eastAsia="Times New Roman" w:hAnsi="Times New Roman"/>
          <w:sz w:val="18"/>
          <w:szCs w:val="18"/>
          <w:color w:val="FF0000"/>
          <w:strike w:val="1"/>
        </w:rPr>
        <w:t xml:space="preserve">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Times New Roman" w:cs="Times New Roman" w:eastAsia="Times New Roman" w:hAnsi="Times New Roman"/>
          <w:sz w:val="18"/>
          <w:szCs w:val="18"/>
          <w:u w:val="single" w:color="auto"/>
          <w:color w:val="FF0000"/>
          <w:strike w:val="1"/>
        </w:rPr>
        <w:t xml:space="preserve">provided </w:t>
      </w:r>
      <w:r>
        <w:rPr>
          <w:rFonts w:ascii="Times New Roman" w:cs="Times New Roman" w:eastAsia="Times New Roman" w:hAnsi="Times New Roman"/>
          <w:sz w:val="18"/>
          <w:szCs w:val="18"/>
          <w:color w:val="FF0000"/>
          <w:strike w:val="1"/>
        </w:rPr>
        <w:t>that a certificate of a Responsible Officer of the Borrower delivered to the First Lien Administrative Agent promptly after the</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w:t>
      </w:r>
      <w:r>
        <w:rPr>
          <w:rFonts w:ascii="Times New Roman" w:cs="Times New Roman" w:eastAsia="Times New Roman" w:hAnsi="Times New Roman"/>
          <w:sz w:val="18"/>
          <w:szCs w:val="18"/>
          <w:color w:val="0000FF"/>
          <w:strike w:val="1"/>
        </w:rPr>
        <w:t>[</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and (B) any Permitted Refinancing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and 6.01(a)(viii)) shall not exceed, at the time of incurrence thereof and after giving Pro Forma Effect thereto, the greater of $</w:t>
      </w:r>
      <w:r>
        <w:rPr>
          <w:rFonts w:ascii="Times New Roman" w:cs="Times New Roman" w:eastAsia="Times New Roman" w:hAnsi="Times New Roman"/>
          <w:sz w:val="18"/>
          <w:szCs w:val="18"/>
          <w:color w:val="FF0000"/>
          <w:strike w:val="1"/>
        </w:rPr>
        <w:t>80,000,000</w:t>
      </w:r>
      <w:r>
        <w:rPr>
          <w:rFonts w:ascii="Times New Roman" w:cs="Times New Roman" w:eastAsia="Times New Roman" w:hAnsi="Times New Roman"/>
          <w:sz w:val="18"/>
          <w:szCs w:val="18"/>
          <w:u w:val="single" w:color="auto"/>
          <w:color w:val="0000FF"/>
          <w:strike w:val="1"/>
        </w:rPr>
        <w:t>108,400,000</w:t>
      </w:r>
      <w:r>
        <w:rPr>
          <w:rFonts w:ascii="Times New Roman" w:cs="Times New Roman" w:eastAsia="Times New Roman" w:hAnsi="Times New Roman"/>
          <w:sz w:val="18"/>
          <w:szCs w:val="18"/>
          <w:color w:val="000000"/>
          <w:strike w:val="1"/>
        </w:rPr>
        <w:t xml:space="preserve"> and 20% of Consolidated EBITDA for the most recently ended Test Period as of such time;</w:t>
      </w:r>
    </w:p>
    <w:p>
      <w:pPr>
        <w:spacing w:after="0" w:line="232" w:lineRule="exact"/>
        <w:rPr>
          <w:sz w:val="20"/>
          <w:szCs w:val="20"/>
          <w:color w:val="auto"/>
        </w:rPr>
      </w:pPr>
    </w:p>
    <w:p>
      <w:pPr>
        <w:jc w:val="both"/>
        <w:ind w:left="8" w:right="20" w:firstLine="686"/>
        <w:spacing w:after="0" w:line="266" w:lineRule="auto"/>
        <w:tabs>
          <w:tab w:leader="none" w:pos="1264"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216" w:lineRule="exact"/>
        <w:rPr>
          <w:rFonts w:ascii="Times New Roman" w:cs="Times New Roman" w:eastAsia="Times New Roman" w:hAnsi="Times New Roman"/>
          <w:sz w:val="18"/>
          <w:szCs w:val="18"/>
          <w:color w:val="auto"/>
        </w:rPr>
      </w:pPr>
    </w:p>
    <w:p>
      <w:pPr>
        <w:ind w:left="1668" w:hanging="1023"/>
        <w:spacing w:after="0"/>
        <w:tabs>
          <w:tab w:leader="none" w:pos="1668"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252" w:lineRule="exact"/>
        <w:rPr>
          <w:rFonts w:ascii="Times New Roman" w:cs="Times New Roman" w:eastAsia="Times New Roman" w:hAnsi="Times New Roman"/>
          <w:sz w:val="18"/>
          <w:szCs w:val="18"/>
          <w:color w:val="auto"/>
        </w:rPr>
      </w:pPr>
    </w:p>
    <w:p>
      <w:pPr>
        <w:jc w:val="both"/>
        <w:ind w:left="8" w:right="20" w:firstLine="588"/>
        <w:spacing w:after="0" w:line="261" w:lineRule="auto"/>
        <w:tabs>
          <w:tab w:leader="none" w:pos="1265"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220" w:lineRule="exact"/>
        <w:rPr>
          <w:rFonts w:ascii="Times New Roman" w:cs="Times New Roman" w:eastAsia="Times New Roman" w:hAnsi="Times New Roman"/>
          <w:sz w:val="18"/>
          <w:szCs w:val="18"/>
          <w:color w:val="auto"/>
        </w:rPr>
      </w:pPr>
    </w:p>
    <w:p>
      <w:pPr>
        <w:jc w:val="both"/>
        <w:ind w:left="8" w:firstLine="538"/>
        <w:spacing w:after="0" w:line="261" w:lineRule="auto"/>
        <w:tabs>
          <w:tab w:leader="none" w:pos="1265"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220" w:lineRule="exact"/>
        <w:rPr>
          <w:rFonts w:ascii="Times New Roman" w:cs="Times New Roman" w:eastAsia="Times New Roman" w:hAnsi="Times New Roman"/>
          <w:sz w:val="18"/>
          <w:szCs w:val="18"/>
          <w:color w:val="auto"/>
        </w:rPr>
      </w:pPr>
    </w:p>
    <w:p>
      <w:pPr>
        <w:jc w:val="both"/>
        <w:ind w:left="8" w:right="20" w:firstLine="546"/>
        <w:spacing w:after="0" w:line="253" w:lineRule="auto"/>
        <w:tabs>
          <w:tab w:leader="none" w:pos="1263"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 either (A) unsecured or (B) (x) if the issuer or any guarantor of such Indebtedness is a Loan Party and such Indebtedness is secured, then such Indebtedness is 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thereof and after giving Pro Forma Effect thereto, the aggregate principal amount of Indebtedness outstanding in reliance on this clause</w:t>
      </w:r>
    </w:p>
    <w:p>
      <w:pPr>
        <w:spacing w:after="0" w:line="2"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exceed the greater of (A)</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191,500,000</w:t>
      </w:r>
      <w:r>
        <w:rPr>
          <w:rFonts w:ascii="Times New Roman" w:cs="Times New Roman" w:eastAsia="Times New Roman" w:hAnsi="Times New Roman"/>
          <w:sz w:val="18"/>
          <w:szCs w:val="18"/>
          <w:u w:val="single" w:color="auto"/>
          <w:color w:val="0000FF"/>
        </w:rPr>
        <w:t>271,000,000</w:t>
      </w:r>
      <w:r>
        <w:rPr>
          <w:rFonts w:ascii="Times New Roman" w:cs="Times New Roman" w:eastAsia="Times New Roman" w:hAnsi="Times New Roman"/>
          <w:sz w:val="18"/>
          <w:szCs w:val="18"/>
          <w:color w:val="auto"/>
        </w:rPr>
        <w:t xml:space="preserve"> and (B) 50% of Consolidated EBITDA for the most recently ended Test Period as of such time;</w:t>
      </w:r>
    </w:p>
    <w:p>
      <w:pPr>
        <w:spacing w:after="0" w:line="247" w:lineRule="exact"/>
        <w:rPr>
          <w:sz w:val="20"/>
          <w:szCs w:val="20"/>
          <w:color w:val="auto"/>
        </w:rPr>
      </w:pPr>
    </w:p>
    <w:p>
      <w:pPr>
        <w:jc w:val="both"/>
        <w:ind w:left="8" w:firstLine="597"/>
        <w:spacing w:after="0" w:line="266" w:lineRule="auto"/>
        <w:tabs>
          <w:tab w:leader="none" w:pos="126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w:t>
      </w:r>
    </w:p>
    <w:p>
      <w:pPr>
        <w:sectPr>
          <w:pgSz w:w="11900" w:h="16838" w:orient="portrait"/>
          <w:cols w:equalWidth="0" w:num="1">
            <w:col w:w="10048"/>
          </w:cols>
          <w:pgMar w:left="1012" w:top="1418" w:right="839" w:bottom="1440" w:gutter="0" w:footer="0" w:header="0"/>
        </w:sectPr>
      </w:pPr>
    </w:p>
    <w:bookmarkStart w:id="623" w:name="page624"/>
    <w:bookmarkEnd w:id="623"/>
    <w:p>
      <w:pPr>
        <w:jc w:val="both"/>
        <w:ind w:left="9" w:right="40" w:hanging="9"/>
        <w:spacing w:after="0" w:line="277" w:lineRule="auto"/>
        <w:tabs>
          <w:tab w:leader="none" w:pos="264" w:val="left"/>
        </w:tabs>
        <w:numPr>
          <w:ilvl w:val="0"/>
          <w:numId w:val="7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Indebtedness is secured by the Collateral on a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basis with the Secured Obligations, after giving effect to the incurrence of such Indebtedness on a Pro Forma Basis, the Senior Secured First Lien Net Leverage Ratio as of such time is less than or equal to, at the Borrower’s option, either (I)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w:t>
      </w:r>
    </w:p>
    <w:p>
      <w:pPr>
        <w:spacing w:after="0" w:line="33" w:lineRule="exact"/>
        <w:rPr>
          <w:sz w:val="20"/>
          <w:szCs w:val="20"/>
          <w:color w:val="auto"/>
        </w:rPr>
      </w:pPr>
    </w:p>
    <w:p>
      <w:pPr>
        <w:ind w:left="9" w:right="20"/>
        <w:spacing w:after="0" w:line="261" w:lineRule="auto"/>
        <w:rPr>
          <w:sz w:val="20"/>
          <w:szCs w:val="20"/>
          <w:color w:val="auto"/>
        </w:rPr>
      </w:pPr>
      <w:r>
        <w:rPr>
          <w:rFonts w:ascii="Times New Roman" w:cs="Times New Roman" w:eastAsia="Times New Roman" w:hAnsi="Times New Roman"/>
          <w:sz w:val="18"/>
          <w:szCs w:val="18"/>
          <w:color w:val="auto"/>
        </w:rPr>
        <w:t>after giving effect to such incurrence, issuance and/or assumption of such Indebtedness on a Pro Forma Basis, at the Borrower’s option, the Senior Secured Net Leverage Ratio as of such time is less than or equal to either (I) 7.50 to 1.00 for the most recently ended Test Period or</w:t>
      </w:r>
    </w:p>
    <w:p>
      <w:pPr>
        <w:jc w:val="both"/>
        <w:ind w:left="9" w:right="20" w:hanging="8"/>
        <w:spacing w:after="0" w:line="250" w:lineRule="auto"/>
        <w:tabs>
          <w:tab w:leader="none" w:pos="301" w:val="left"/>
        </w:tabs>
        <w:numPr>
          <w:ilvl w:val="1"/>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Senior Secured Net Leverage Ratio immediately prior to such Permitted Acquisition or Investment and (z) if such Indebtedness is unsecured, after giving effect to the incurrence of such Indebtedness on a Pro Forma Basis, at the Borrower’s option, either (x) the Total Net Leverage Ratio as of such time is less than or equal to (I) 7.50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 (2)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w:t>
      </w:r>
      <w:r>
        <w:rPr>
          <w:rFonts w:ascii="Times New Roman" w:cs="Times New Roman" w:eastAsia="Times New Roman" w:hAnsi="Times New Roman"/>
          <w:sz w:val="18"/>
          <w:szCs w:val="18"/>
          <w:color w:val="FF0000"/>
          <w:strike w:val="1"/>
        </w:rPr>
        <w:t>the covenants</w:t>
      </w:r>
      <w:r>
        <w:rPr>
          <w:rFonts w:ascii="Times New Roman" w:cs="Times New Roman" w:eastAsia="Times New Roman" w:hAnsi="Times New Roman"/>
          <w:sz w:val="18"/>
          <w:szCs w:val="18"/>
          <w:color w:val="FF0000"/>
        </w:rPr>
        <w:t>, events of default and/or guarantees of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w:t>
      </w:r>
    </w:p>
    <w:p>
      <w:pPr>
        <w:spacing w:after="0" w:line="7"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276" w:val="left"/>
        </w:tabs>
        <w:numPr>
          <w:ilvl w:val="0"/>
          <w:numId w:val="71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a certificate of a Responsible Officer of the Borrower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and (B) any Permitted Refinancing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of Indebtedness incurred pursuant to the foregoing subclause (A); </w:t>
      </w:r>
      <w:r>
        <w:rPr>
          <w:rFonts w:ascii="Times New Roman" w:cs="Times New Roman" w:eastAsia="Times New Roman" w:hAnsi="Times New Roman"/>
          <w:sz w:val="18"/>
          <w:szCs w:val="18"/>
          <w:u w:val="single" w:color="auto"/>
          <w:color w:val="000000"/>
          <w:strike w:val="1"/>
        </w:rPr>
        <w:t>provided further</w:t>
      </w:r>
      <w:r>
        <w:rPr>
          <w:rFonts w:ascii="Times New Roman" w:cs="Times New Roman" w:eastAsia="Times New Roman" w:hAnsi="Times New Roman"/>
          <w:sz w:val="18"/>
          <w:szCs w:val="18"/>
          <w:color w:val="000000"/>
          <w:strike w:val="1"/>
        </w:rPr>
        <w:t xml:space="preserve"> that the aggregate principal amount of Indebtedness of which the primary obligor or a guarantor is a Restricted Subsidiary that is not a Loan Party outstanding in reliance on this clause (xv) (together with the aggregate principal amount of Indebtedness incurred in reliance on Section 6.01(a)(xvi) and outstanding of which the primary obligor or a guarantor is a Restricted Subsidiary that is not a Loan Party) shall not exceed, at the time of incurrence thereof and after giving Pro Forma Effect thereto, the greater of (A) $</w:t>
      </w:r>
      <w:r>
        <w:rPr>
          <w:rFonts w:ascii="Times New Roman" w:cs="Times New Roman" w:eastAsia="Times New Roman" w:hAnsi="Times New Roman"/>
          <w:sz w:val="18"/>
          <w:szCs w:val="18"/>
          <w:color w:val="FF0000"/>
          <w:strike w:val="1"/>
        </w:rPr>
        <w:t>80,000,000</w:t>
      </w:r>
      <w:r>
        <w:rPr>
          <w:rFonts w:ascii="Times New Roman" w:cs="Times New Roman" w:eastAsia="Times New Roman" w:hAnsi="Times New Roman"/>
          <w:sz w:val="18"/>
          <w:szCs w:val="18"/>
          <w:u w:val="single" w:color="auto"/>
          <w:color w:val="0000FF"/>
          <w:strike w:val="1"/>
        </w:rPr>
        <w:t>108,400,000</w:t>
      </w:r>
      <w:r>
        <w:rPr>
          <w:rFonts w:ascii="Times New Roman" w:cs="Times New Roman" w:eastAsia="Times New Roman" w:hAnsi="Times New Roman"/>
          <w:sz w:val="18"/>
          <w:szCs w:val="18"/>
          <w:color w:val="000000"/>
          <w:strike w:val="1"/>
        </w:rPr>
        <w:t xml:space="preserve"> and (B) 20% of Consolidated EBITDA for the most recently ended Test Period;</w:t>
      </w:r>
    </w:p>
    <w:p>
      <w:pPr>
        <w:spacing w:after="0" w:line="244" w:lineRule="exact"/>
        <w:rPr>
          <w:rFonts w:ascii="Times New Roman" w:cs="Times New Roman" w:eastAsia="Times New Roman" w:hAnsi="Times New Roman"/>
          <w:sz w:val="18"/>
          <w:szCs w:val="18"/>
          <w:color w:val="FF0000"/>
          <w:strike w:val="1"/>
        </w:rPr>
      </w:pPr>
    </w:p>
    <w:p>
      <w:pPr>
        <w:jc w:val="both"/>
        <w:ind w:left="9" w:right="40" w:firstLine="545"/>
        <w:spacing w:after="0" w:line="261" w:lineRule="auto"/>
        <w:tabs>
          <w:tab w:leader="none" w:pos="1264" w:val="left"/>
        </w:tabs>
        <w:numPr>
          <w:ilvl w:val="2"/>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w:t>
      </w:r>
    </w:p>
    <w:p>
      <w:pPr>
        <w:sectPr>
          <w:pgSz w:w="11900" w:h="16838" w:orient="portrait"/>
          <w:cols w:equalWidth="0" w:num="1">
            <w:col w:w="10069"/>
          </w:cols>
          <w:pgMar w:left="1011" w:top="1337" w:right="819" w:bottom="1440" w:gutter="0" w:footer="0" w:header="0"/>
        </w:sectPr>
      </w:pPr>
    </w:p>
    <w:bookmarkStart w:id="624" w:name="page625"/>
    <w:bookmarkEnd w:id="624"/>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Loan Party outstanding in reliance on this clause (xvi) (together with the aggregate principal amount of Indebtedness incurred in reliance on Section 6.01(a)(xv) and outstanding of which the primary obligor or a guarantor is a Restricted Subsidiary that is not a Loan Party) shall not exceed, at the time of incurrence thereof and after giving Pro Forma Effect thereto, the greater of (A) $</w:t>
      </w:r>
      <w:r>
        <w:rPr>
          <w:rFonts w:ascii="Times New Roman" w:cs="Times New Roman" w:eastAsia="Times New Roman" w:hAnsi="Times New Roman"/>
          <w:sz w:val="18"/>
          <w:szCs w:val="18"/>
          <w:color w:val="FF0000"/>
          <w:strike w:val="1"/>
        </w:rPr>
        <w:t>80,000,000</w:t>
      </w:r>
      <w:r>
        <w:rPr>
          <w:rFonts w:ascii="Times New Roman" w:cs="Times New Roman" w:eastAsia="Times New Roman" w:hAnsi="Times New Roman"/>
          <w:sz w:val="18"/>
          <w:szCs w:val="18"/>
          <w:u w:val="single" w:color="auto"/>
          <w:color w:val="0000FF"/>
        </w:rPr>
        <w:t>108,400,000</w:t>
      </w:r>
      <w:r>
        <w:rPr>
          <w:rFonts w:ascii="Times New Roman" w:cs="Times New Roman" w:eastAsia="Times New Roman" w:hAnsi="Times New Roman"/>
          <w:sz w:val="18"/>
          <w:szCs w:val="18"/>
          <w:color w:val="auto"/>
        </w:rPr>
        <w:t xml:space="preserve"> and (B) 20% of Consolidated EBITDA for the most recently ended Test Period;</w:t>
      </w:r>
    </w:p>
    <w:p>
      <w:pPr>
        <w:spacing w:after="0" w:line="288" w:lineRule="exact"/>
        <w:rPr>
          <w:sz w:val="20"/>
          <w:szCs w:val="20"/>
          <w:color w:val="auto"/>
        </w:rPr>
      </w:pPr>
    </w:p>
    <w:p>
      <w:pPr>
        <w:ind w:right="20" w:firstLine="496"/>
        <w:spacing w:after="0" w:line="282" w:lineRule="auto"/>
        <w:tabs>
          <w:tab w:leader="none" w:pos="1256"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financing of insurance premiums or (B) take-or-pay obligations contained in supply arrangements, in each case, in the ordinary course of business;</w:t>
      </w:r>
    </w:p>
    <w:p>
      <w:pPr>
        <w:spacing w:after="0" w:line="188" w:lineRule="exact"/>
        <w:rPr>
          <w:rFonts w:ascii="Times New Roman" w:cs="Times New Roman" w:eastAsia="Times New Roman" w:hAnsi="Times New Roman"/>
          <w:sz w:val="18"/>
          <w:szCs w:val="18"/>
          <w:color w:val="auto"/>
        </w:rPr>
      </w:pPr>
    </w:p>
    <w:p>
      <w:pPr>
        <w:ind w:left="1240" w:hanging="794"/>
        <w:spacing w:after="0"/>
        <w:tabs>
          <w:tab w:leader="none" w:pos="12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to exceed the face amount of such Letter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t>
      </w:r>
    </w:p>
    <w:p>
      <w:pPr>
        <w:spacing w:after="0" w:line="247" w:lineRule="exact"/>
        <w:rPr>
          <w:rFonts w:ascii="Times New Roman" w:cs="Times New Roman" w:eastAsia="Times New Roman" w:hAnsi="Times New Roman"/>
          <w:sz w:val="18"/>
          <w:szCs w:val="18"/>
          <w:color w:val="auto"/>
        </w:rPr>
      </w:pPr>
    </w:p>
    <w:p>
      <w:pPr>
        <w:ind w:left="1240" w:hanging="644"/>
        <w:spacing w:after="0"/>
        <w:tabs>
          <w:tab w:leader="none" w:pos="1240" w:val="left"/>
        </w:tabs>
        <w:numPr>
          <w:ilvl w:val="2"/>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and any Permitted Refinancing thereof;</w:t>
      </w:r>
    </w:p>
    <w:p>
      <w:pPr>
        <w:spacing w:after="0" w:line="265" w:lineRule="exact"/>
        <w:rPr>
          <w:rFonts w:ascii="Times New Roman" w:cs="Times New Roman" w:eastAsia="Times New Roman" w:hAnsi="Times New Roman"/>
          <w:sz w:val="18"/>
          <w:szCs w:val="18"/>
          <w:color w:val="auto"/>
        </w:rPr>
      </w:pPr>
    </w:p>
    <w:p>
      <w:pPr>
        <w:ind w:right="40" w:firstLine="596"/>
        <w:spacing w:after="0" w:line="282" w:lineRule="auto"/>
        <w:tabs>
          <w:tab w:leader="none" w:pos="1256" w:val="left"/>
        </w:tabs>
        <w:numPr>
          <w:ilvl w:val="2"/>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First Priority Refinancing Debt and Permitted Second Priority Refinancing Debt, and any Permitted Refinancing of any of the foregoing;</w:t>
      </w:r>
    </w:p>
    <w:p>
      <w:pPr>
        <w:spacing w:after="0" w:line="188" w:lineRule="exact"/>
        <w:rPr>
          <w:rFonts w:ascii="Times New Roman" w:cs="Times New Roman" w:eastAsia="Times New Roman" w:hAnsi="Times New Roman"/>
          <w:sz w:val="18"/>
          <w:szCs w:val="18"/>
          <w:color w:val="auto"/>
        </w:rPr>
      </w:pPr>
    </w:p>
    <w:p>
      <w:pPr>
        <w:jc w:val="both"/>
        <w:ind w:firstLine="545"/>
        <w:spacing w:after="0" w:line="253" w:lineRule="auto"/>
        <w:tabs>
          <w:tab w:leader="none" w:pos="1255"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(e) of the definition of “Required Additional Debt Terms” shall not apply to such First Lien Incremental Equivalent Debt) and (z) such Indebtedness shall not have a shorter Weighted Average Life to Maturity than the remaining Term Loans and (B) any Permitted Refinancing of Indebtedness incurred pursuant to the foregoing subclause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condition in clause (z) of the definition of “Required Additional Debt Terms” shall not apply to any First Lien Incremental Equivalent Debt in the form of an ABL Facility;</w:t>
      </w:r>
    </w:p>
    <w:p>
      <w:pPr>
        <w:spacing w:after="0" w:line="241" w:lineRule="exact"/>
        <w:rPr>
          <w:rFonts w:ascii="Times New Roman" w:cs="Times New Roman" w:eastAsia="Times New Roman" w:hAnsi="Times New Roman"/>
          <w:sz w:val="18"/>
          <w:szCs w:val="18"/>
          <w:color w:val="auto"/>
        </w:rPr>
      </w:pPr>
    </w:p>
    <w:p>
      <w:pPr>
        <w:jc w:val="both"/>
        <w:ind w:right="20" w:firstLine="497"/>
        <w:spacing w:after="0" w:line="261" w:lineRule="auto"/>
        <w:tabs>
          <w:tab w:leader="none" w:pos="1256"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Restricted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Loan Party outstanding in reliance of this clause (xxiv) shall not exceed, at the time of incurrence thereof and after giving Pro Forma Effect thereto, the greater of (A) $</w:t>
      </w:r>
      <w:r>
        <w:rPr>
          <w:rFonts w:ascii="Times New Roman" w:cs="Times New Roman" w:eastAsia="Times New Roman" w:hAnsi="Times New Roman"/>
          <w:sz w:val="18"/>
          <w:szCs w:val="18"/>
          <w:color w:val="FF0000"/>
          <w:strike w:val="1"/>
        </w:rPr>
        <w:t>40,000,000</w:t>
      </w:r>
      <w:r>
        <w:rPr>
          <w:rFonts w:ascii="Times New Roman" w:cs="Times New Roman" w:eastAsia="Times New Roman" w:hAnsi="Times New Roman"/>
          <w:sz w:val="18"/>
          <w:szCs w:val="18"/>
          <w:u w:val="single" w:color="auto"/>
          <w:color w:val="0000FF"/>
        </w:rPr>
        <w:t>54,200,000</w:t>
      </w:r>
      <w:r>
        <w:rPr>
          <w:rFonts w:ascii="Times New Roman" w:cs="Times New Roman" w:eastAsia="Times New Roman" w:hAnsi="Times New Roman"/>
          <w:sz w:val="18"/>
          <w:szCs w:val="18"/>
          <w:color w:val="auto"/>
        </w:rPr>
        <w:t xml:space="preserve"> and (B) 10% of Consolidated EBITDA for the most recently ended Test Period as of such time;</w:t>
      </w:r>
    </w:p>
    <w:p>
      <w:pPr>
        <w:spacing w:after="0" w:line="301" w:lineRule="exact"/>
        <w:rPr>
          <w:rFonts w:ascii="Times New Roman" w:cs="Times New Roman" w:eastAsia="Times New Roman" w:hAnsi="Times New Roman"/>
          <w:sz w:val="18"/>
          <w:szCs w:val="18"/>
          <w:color w:val="auto"/>
        </w:rPr>
      </w:pPr>
    </w:p>
    <w:p>
      <w:pPr>
        <w:jc w:val="both"/>
        <w:ind w:right="20" w:firstLine="447"/>
        <w:spacing w:after="0" w:line="261" w:lineRule="auto"/>
        <w:tabs>
          <w:tab w:leader="none" w:pos="1256"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220" w:lineRule="exact"/>
        <w:rPr>
          <w:rFonts w:ascii="Times New Roman" w:cs="Times New Roman" w:eastAsia="Times New Roman" w:hAnsi="Times New Roman"/>
          <w:sz w:val="18"/>
          <w:szCs w:val="18"/>
          <w:color w:val="auto"/>
        </w:rPr>
      </w:pPr>
    </w:p>
    <w:p>
      <w:pPr>
        <w:jc w:val="both"/>
        <w:ind w:right="20" w:firstLine="455"/>
        <w:spacing w:after="0" w:line="261" w:lineRule="auto"/>
        <w:tabs>
          <w:tab w:leader="none" w:pos="1254"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ectPr>
          <w:pgSz w:w="11900" w:h="16838" w:orient="portrait"/>
          <w:cols w:equalWidth="0" w:num="1">
            <w:col w:w="10040"/>
          </w:cols>
          <w:pgMar w:left="1020" w:top="1337" w:right="839" w:bottom="1440" w:gutter="0" w:footer="0" w:header="0"/>
        </w:sectPr>
      </w:pPr>
    </w:p>
    <w:bookmarkStart w:id="625" w:name="page626"/>
    <w:bookmarkEnd w:id="625"/>
    <w:p>
      <w:pPr>
        <w:jc w:val="both"/>
        <w:ind w:left="8" w:firstLine="506"/>
        <w:spacing w:after="0" w:line="266" w:lineRule="auto"/>
        <w:tabs>
          <w:tab w:leader="none" w:pos="1263"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w:t>
      </w:r>
    </w:p>
    <w:p>
      <w:pPr>
        <w:spacing w:after="0" w:line="297" w:lineRule="exact"/>
        <w:rPr>
          <w:sz w:val="20"/>
          <w:szCs w:val="20"/>
          <w:color w:val="auto"/>
        </w:rPr>
      </w:pPr>
    </w:p>
    <w:p>
      <w:pPr>
        <w:jc w:val="both"/>
        <w:ind w:left="8" w:firstLine="455"/>
        <w:spacing w:after="0" w:line="256" w:lineRule="auto"/>
        <w:tabs>
          <w:tab w:leader="none" w:pos="1266" w:val="left"/>
        </w:tabs>
        <w:numPr>
          <w:ilvl w:val="2"/>
          <w:numId w:val="7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w:t>
      </w:r>
    </w:p>
    <w:p>
      <w:pPr>
        <w:spacing w:after="0" w:line="226" w:lineRule="exact"/>
        <w:rPr>
          <w:rFonts w:ascii="Times New Roman" w:cs="Times New Roman" w:eastAsia="Times New Roman" w:hAnsi="Times New Roman"/>
          <w:sz w:val="20"/>
          <w:szCs w:val="20"/>
          <w:color w:val="auto"/>
        </w:rPr>
      </w:pPr>
    </w:p>
    <w:p>
      <w:pPr>
        <w:ind w:left="1248" w:hanging="786"/>
        <w:spacing w:after="0"/>
        <w:tabs>
          <w:tab w:leader="none" w:pos="1248" w:val="left"/>
        </w:tabs>
        <w:numPr>
          <w:ilvl w:val="2"/>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Qualified Securitization Facility;</w:t>
      </w:r>
    </w:p>
    <w:p>
      <w:pPr>
        <w:spacing w:after="0" w:line="252" w:lineRule="exact"/>
        <w:rPr>
          <w:rFonts w:ascii="Times New Roman" w:cs="Times New Roman" w:eastAsia="Times New Roman" w:hAnsi="Times New Roman"/>
          <w:sz w:val="18"/>
          <w:szCs w:val="18"/>
          <w:color w:val="auto"/>
        </w:rPr>
      </w:pPr>
    </w:p>
    <w:p>
      <w:pPr>
        <w:ind w:left="8" w:firstLine="356"/>
        <w:spacing w:after="0" w:line="282" w:lineRule="auto"/>
        <w:tabs>
          <w:tab w:leader="none" w:pos="1263" w:val="left"/>
        </w:tabs>
        <w:numPr>
          <w:ilvl w:val="1"/>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w:t>
      </w:r>
      <w:r>
        <w:rPr>
          <w:rFonts w:ascii="Times New Roman" w:cs="Times New Roman" w:eastAsia="Times New Roman" w:hAnsi="Times New Roman"/>
          <w:sz w:val="18"/>
          <w:szCs w:val="18"/>
          <w:color w:val="FF0000"/>
          <w:strike w:val="1"/>
        </w:rPr>
        <w:t>consisting of Permitted Second Priority Debt</w:t>
      </w:r>
      <w:r>
        <w:rPr>
          <w:rFonts w:ascii="Times New Roman" w:cs="Times New Roman" w:eastAsia="Times New Roman" w:hAnsi="Times New Roman"/>
          <w:sz w:val="18"/>
          <w:szCs w:val="18"/>
          <w:u w:val="single" w:color="auto"/>
          <w:color w:val="0000FF"/>
        </w:rPr>
        <w:t>under the Senior Secured Notes and</w:t>
      </w:r>
      <w:r>
        <w:rPr>
          <w:rFonts w:ascii="Times New Roman" w:cs="Times New Roman" w:eastAsia="Times New Roman" w:hAnsi="Times New Roman"/>
          <w:sz w:val="18"/>
          <w:szCs w:val="18"/>
          <w:color w:val="auto"/>
        </w:rPr>
        <w:t xml:space="preserve"> any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subject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First</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color w:val="auto"/>
        </w:rPr>
        <w:t xml:space="preserve"> Lien </w:t>
      </w:r>
      <w:r>
        <w:rPr>
          <w:rFonts w:ascii="Times New Roman" w:cs="Times New Roman" w:eastAsia="Times New Roman" w:hAnsi="Times New Roman"/>
          <w:sz w:val="18"/>
          <w:szCs w:val="18"/>
          <w:u w:val="single" w:color="auto"/>
          <w:color w:val="0000FF"/>
        </w:rPr>
        <w:t>Pari Passu</w:t>
      </w:r>
      <w:r>
        <w:rPr>
          <w:rFonts w:ascii="Times New Roman" w:cs="Times New Roman" w:eastAsia="Times New Roman" w:hAnsi="Times New Roman"/>
          <w:sz w:val="18"/>
          <w:szCs w:val="18"/>
          <w:color w:val="auto"/>
        </w:rPr>
        <w:t xml:space="preserve"> Intercreditor Agreement; </w:t>
      </w:r>
      <w:r>
        <w:rPr>
          <w:rFonts w:ascii="Times New Roman" w:cs="Times New Roman" w:eastAsia="Times New Roman" w:hAnsi="Times New Roman"/>
          <w:sz w:val="18"/>
          <w:szCs w:val="18"/>
          <w:color w:val="FF0000"/>
          <w:strike w:val="1"/>
        </w:rPr>
        <w:t>and</w:t>
      </w:r>
    </w:p>
    <w:p>
      <w:pPr>
        <w:spacing w:after="0" w:line="202" w:lineRule="exact"/>
        <w:rPr>
          <w:rFonts w:ascii="Times New Roman" w:cs="Times New Roman" w:eastAsia="Times New Roman" w:hAnsi="Times New Roman"/>
          <w:sz w:val="18"/>
          <w:szCs w:val="18"/>
          <w:color w:val="auto"/>
        </w:rPr>
      </w:pPr>
    </w:p>
    <w:p>
      <w:pPr>
        <w:ind w:left="8" w:right="440" w:firstLine="455"/>
        <w:spacing w:after="0" w:line="282" w:lineRule="auto"/>
        <w:tabs>
          <w:tab w:leader="none" w:pos="1263" w:val="left"/>
        </w:tabs>
        <w:numPr>
          <w:ilvl w:val="1"/>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(i) through (xxix) above</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 and</w:t>
      </w:r>
    </w:p>
    <w:p>
      <w:pPr>
        <w:spacing w:after="0" w:line="202" w:lineRule="exact"/>
        <w:rPr>
          <w:rFonts w:ascii="Times New Roman" w:cs="Times New Roman" w:eastAsia="Times New Roman" w:hAnsi="Times New Roman"/>
          <w:sz w:val="18"/>
          <w:szCs w:val="18"/>
          <w:color w:val="auto"/>
        </w:rPr>
      </w:pPr>
    </w:p>
    <w:p>
      <w:pPr>
        <w:ind w:left="8" w:right="560" w:firstLine="506"/>
        <w:spacing w:after="0" w:line="282" w:lineRule="auto"/>
        <w:tabs>
          <w:tab w:leader="none" w:pos="1263" w:val="left"/>
        </w:tabs>
        <w:numPr>
          <w:ilvl w:val="1"/>
          <w:numId w:val="72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Indebtedness of the Borrower or any of its Restricted Subsidiaries arising pursuant to any Permitted Intercompany Activities and Permitted Tax Restructurings.</w:t>
      </w:r>
    </w:p>
    <w:p>
      <w:pPr>
        <w:spacing w:after="0" w:line="202" w:lineRule="exact"/>
        <w:rPr>
          <w:rFonts w:ascii="Times New Roman" w:cs="Times New Roman" w:eastAsia="Times New Roman" w:hAnsi="Times New Roman"/>
          <w:sz w:val="18"/>
          <w:szCs w:val="18"/>
          <w:color w:val="0000FF"/>
        </w:rPr>
      </w:pPr>
    </w:p>
    <w:p>
      <w:pPr>
        <w:jc w:val="both"/>
        <w:ind w:left="8" w:firstLine="1288"/>
        <w:spacing w:after="0" w:line="261" w:lineRule="auto"/>
        <w:tabs>
          <w:tab w:leader="none" w:pos="1905" w:val="left"/>
        </w:tabs>
        <w:numPr>
          <w:ilvl w:val="3"/>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issue any preferred Equity Interests or any Disqualified Equity Interests, except (A) in the case of the Borrower, preferred Equity Interests that are Qualified Equity Interests and</w:t>
      </w:r>
    </w:p>
    <w:p>
      <w:pPr>
        <w:jc w:val="both"/>
        <w:ind w:left="8" w:hanging="8"/>
        <w:spacing w:after="0" w:line="255" w:lineRule="auto"/>
        <w:tabs>
          <w:tab w:leader="none" w:pos="30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preferred Equity Interests issued to and held by the Borrower or any Restricted Subsidiary and (y) other preferred Equity Interests issued to and held by joint venture partners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clause (y) any such issuance of preferred Equity Interests shall be deemed to be incurred Indebtedness and subject to the provisions set forth in Section 6.01(a) and (b).</w:t>
      </w:r>
    </w:p>
    <w:p>
      <w:pPr>
        <w:spacing w:after="0" w:line="213" w:lineRule="exact"/>
        <w:rPr>
          <w:sz w:val="20"/>
          <w:szCs w:val="20"/>
          <w:color w:val="auto"/>
        </w:rPr>
      </w:pPr>
    </w:p>
    <w:p>
      <w:pPr>
        <w:jc w:val="both"/>
        <w:ind w:left="8"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the First Lien Loan Documents will be deemed to have been incurred in reliance only on the exception in clause (a)(i).</w:t>
      </w:r>
    </w:p>
    <w:p>
      <w:pPr>
        <w:spacing w:after="0" w:line="228" w:lineRule="exact"/>
        <w:rPr>
          <w:sz w:val="20"/>
          <w:szCs w:val="20"/>
          <w:color w:val="auto"/>
        </w:rPr>
      </w:pPr>
    </w:p>
    <w:p>
      <w:pPr>
        <w:jc w:val="both"/>
        <w:ind w:left="8" w:firstLine="1377"/>
        <w:spacing w:after="0" w:line="258" w:lineRule="auto"/>
        <w:rPr>
          <w:sz w:val="20"/>
          <w:szCs w:val="20"/>
          <w:color w:val="auto"/>
        </w:rPr>
      </w:pPr>
      <w:r>
        <w:rPr>
          <w:rFonts w:ascii="Times New Roman" w:cs="Times New Roman" w:eastAsia="Times New Roman" w:hAnsi="Times New Roman"/>
          <w:sz w:val="18"/>
          <w:szCs w:val="18"/>
          <w:color w:val="FF0000"/>
          <w:strike w:val="1"/>
        </w:rPr>
        <w:t>Notwithstanding any other provision herein, the Borrower shall not be permitted to incur Indebtedness if (x) the Liens on Collateral securing such Indebtedness are junior to the Liens on Collateral securing the First Lien Loan Document Obligations but senior to the Liens on such Collateral securing the Second Lien Debt Document Obligations or (y) the priority of payments on such Indebtedness is junior and subordinate to the First Lien Loan Document Obligations but senior in priority of payment to the Second Lien Debt Document Obligations.</w:t>
      </w:r>
    </w:p>
    <w:p>
      <w:pPr>
        <w:spacing w:after="0" w:line="224" w:lineRule="exact"/>
        <w:rPr>
          <w:sz w:val="20"/>
          <w:szCs w:val="20"/>
          <w:color w:val="auto"/>
        </w:rPr>
      </w:pPr>
    </w:p>
    <w:p>
      <w:pPr>
        <w:ind w:left="1288"/>
        <w:spacing w:after="0"/>
        <w:tabs>
          <w:tab w:leader="none" w:pos="2568"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8" w:right="20" w:firstLine="1296"/>
        <w:spacing w:after="0" w:line="282"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create, incur, assume or permit to exist any Lien on any property or asset now owned (but not leased) or hereafter acquired (but not leased) by it, except:</w:t>
      </w:r>
    </w:p>
    <w:p>
      <w:pPr>
        <w:spacing w:after="0" w:line="189" w:lineRule="exact"/>
        <w:rPr>
          <w:sz w:val="20"/>
          <w:szCs w:val="20"/>
          <w:color w:val="auto"/>
        </w:rPr>
      </w:pPr>
    </w:p>
    <w:p>
      <w:pPr>
        <w:ind w:left="1668" w:hanging="932"/>
        <w:spacing w:after="0"/>
        <w:tabs>
          <w:tab w:leader="none" w:pos="1668"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created under the First Lien Loan Documents </w:t>
      </w:r>
      <w:r>
        <w:rPr>
          <w:rFonts w:ascii="Times New Roman" w:cs="Times New Roman" w:eastAsia="Times New Roman" w:hAnsi="Times New Roman"/>
          <w:sz w:val="18"/>
          <w:szCs w:val="18"/>
          <w:color w:val="FF0000"/>
        </w:rPr>
        <w:t>and the Second Lien Debt Documents</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left="1668" w:hanging="981"/>
        <w:spacing w:after="0"/>
        <w:tabs>
          <w:tab w:leader="none" w:pos="1668"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-359410</wp:posOffset>
            </wp:positionV>
            <wp:extent cx="17640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764030" cy="8890"/>
                    </a:xfrm>
                    <a:prstGeom prst="rect">
                      <a:avLst/>
                    </a:prstGeom>
                    <a:noFill/>
                  </pic:spPr>
                </pic:pic>
              </a:graphicData>
            </a:graphic>
          </wp:anchor>
        </w:drawing>
      </w:r>
    </w:p>
    <w:p>
      <w:pPr>
        <w:sectPr>
          <w:pgSz w:w="11900" w:h="16838" w:orient="portrait"/>
          <w:cols w:equalWidth="0" w:num="1">
            <w:col w:w="10028"/>
          </w:cols>
          <w:pgMar w:left="1012" w:top="1337" w:right="859" w:bottom="1440" w:gutter="0" w:footer="0" w:header="0"/>
        </w:sectPr>
      </w:pPr>
    </w:p>
    <w:bookmarkStart w:id="626" w:name="page627"/>
    <w:bookmarkEnd w:id="626"/>
    <w:p>
      <w:pPr>
        <w:spacing w:after="0" w:line="154" w:lineRule="exact"/>
        <w:rPr>
          <w:sz w:val="20"/>
          <w:szCs w:val="20"/>
          <w:color w:val="auto"/>
        </w:rPr>
      </w:pPr>
    </w:p>
    <w:p>
      <w:pPr>
        <w:jc w:val="both"/>
        <w:ind w:left="9" w:right="20" w:firstLine="628"/>
        <w:spacing w:after="0" w:line="254" w:lineRule="auto"/>
        <w:tabs>
          <w:tab w:leader="none" w:pos="1267" w:val="left"/>
        </w:tabs>
        <w:numPr>
          <w:ilvl w:val="2"/>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securing Indebtedness or other obligations in excess of $</w:t>
      </w:r>
      <w:r>
        <w:rPr>
          <w:rFonts w:ascii="Times New Roman" w:cs="Times New Roman" w:eastAsia="Times New Roman" w:hAnsi="Times New Roman"/>
          <w:sz w:val="18"/>
          <w:szCs w:val="18"/>
          <w:color w:val="FF0000"/>
          <w:strike w:val="1"/>
        </w:rPr>
        <w:t>1,000,000</w:t>
      </w:r>
      <w:r>
        <w:rPr>
          <w:rFonts w:ascii="Times New Roman" w:cs="Times New Roman" w:eastAsia="Times New Roman" w:hAnsi="Times New Roman"/>
          <w:sz w:val="18"/>
          <w:szCs w:val="18"/>
          <w:u w:val="single" w:color="auto"/>
          <w:color w:val="0000FF"/>
        </w:rPr>
        <w:t>2,000,000</w:t>
      </w:r>
      <w:r>
        <w:rPr>
          <w:rFonts w:ascii="Times New Roman" w:cs="Times New Roman" w:eastAsia="Times New Roman" w:hAnsi="Times New Roman"/>
          <w:sz w:val="18"/>
          <w:szCs w:val="18"/>
          <w:color w:val="auto"/>
        </w:rPr>
        <w:t xml:space="preserve"> individually shall only be permitted if set forth on Schedule 6.02 (unless such Lien is permitted by another clause in this Section 6.02) and any modifications, replacements, renewals or extensions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w:t>
      </w:r>
    </w:p>
    <w:p>
      <w:pPr>
        <w:spacing w:after="0" w:line="3" w:lineRule="exact"/>
        <w:rPr>
          <w:rFonts w:ascii="Times New Roman" w:cs="Times New Roman" w:eastAsia="Times New Roman" w:hAnsi="Times New Roman"/>
          <w:sz w:val="18"/>
          <w:szCs w:val="18"/>
          <w:color w:val="auto"/>
        </w:rPr>
      </w:pPr>
    </w:p>
    <w:p>
      <w:pPr>
        <w:ind w:left="249" w:hanging="249"/>
        <w:spacing w:after="0"/>
        <w:tabs>
          <w:tab w:leader="none" w:pos="249"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and products thereof;</w:t>
      </w:r>
    </w:p>
    <w:p>
      <w:pPr>
        <w:spacing w:after="0" w:line="314" w:lineRule="exact"/>
        <w:rPr>
          <w:rFonts w:ascii="Times New Roman" w:cs="Times New Roman" w:eastAsia="Times New Roman" w:hAnsi="Times New Roman"/>
          <w:sz w:val="18"/>
          <w:szCs w:val="18"/>
          <w:color w:val="auto"/>
        </w:rPr>
      </w:pPr>
    </w:p>
    <w:p>
      <w:pPr>
        <w:jc w:val="both"/>
        <w:ind w:left="9" w:firstLine="636"/>
        <w:spacing w:after="0" w:line="254" w:lineRule="auto"/>
        <w:tabs>
          <w:tab w:leader="none" w:pos="1265" w:val="left"/>
        </w:tabs>
        <w:numPr>
          <w:ilvl w:val="2"/>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6.01(a)(v);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w:t>
      </w:r>
    </w:p>
    <w:p>
      <w:pPr>
        <w:spacing w:after="0" w:line="228" w:lineRule="exact"/>
        <w:rPr>
          <w:rFonts w:ascii="Times New Roman" w:cs="Times New Roman" w:eastAsia="Times New Roman" w:hAnsi="Times New Roman"/>
          <w:sz w:val="18"/>
          <w:szCs w:val="18"/>
          <w:color w:val="auto"/>
        </w:rPr>
      </w:pPr>
    </w:p>
    <w:p>
      <w:pPr>
        <w:jc w:val="both"/>
        <w:ind w:left="9" w:right="20" w:firstLine="686"/>
        <w:spacing w:after="0" w:line="258" w:lineRule="auto"/>
        <w:tabs>
          <w:tab w:leader="none" w:pos="1264" w:val="left"/>
        </w:tabs>
        <w:numPr>
          <w:ilvl w:val="2"/>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easements, leases, licenses, subleases or sublicenses granted to others (including licenses and sublicenses of Intellectual Property) that do not (A) interfere in any material respect with the business of the Borrower and the Restricted Subsidiaries, taken as a whole, or (B) secure any Indebtedness and (ii) any interest or title of a lessor, sublessor or licensee under any lease, sublease (including financing statements regarding property subject to lease) or license entered into by the Borrower or any Restricted Subsidiary not in violation of this Agreement;</w:t>
      </w:r>
    </w:p>
    <w:p>
      <w:pPr>
        <w:spacing w:after="0" w:line="210" w:lineRule="exact"/>
        <w:rPr>
          <w:rFonts w:ascii="Times New Roman" w:cs="Times New Roman" w:eastAsia="Times New Roman" w:hAnsi="Times New Roman"/>
          <w:sz w:val="18"/>
          <w:szCs w:val="18"/>
          <w:color w:val="auto"/>
        </w:rPr>
      </w:pPr>
    </w:p>
    <w:p>
      <w:pPr>
        <w:ind w:left="9" w:right="20" w:firstLine="637"/>
        <w:spacing w:after="0" w:line="282" w:lineRule="auto"/>
        <w:tabs>
          <w:tab w:leader="none" w:pos="1265" w:val="left"/>
        </w:tabs>
        <w:numPr>
          <w:ilvl w:val="2"/>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202" w:lineRule="exact"/>
        <w:rPr>
          <w:rFonts w:ascii="Times New Roman" w:cs="Times New Roman" w:eastAsia="Times New Roman" w:hAnsi="Times New Roman"/>
          <w:sz w:val="18"/>
          <w:szCs w:val="18"/>
          <w:color w:val="auto"/>
        </w:rPr>
      </w:pPr>
    </w:p>
    <w:p>
      <w:pPr>
        <w:jc w:val="both"/>
        <w:ind w:left="9" w:right="20" w:firstLine="588"/>
        <w:spacing w:after="0" w:line="257" w:lineRule="auto"/>
        <w:tabs>
          <w:tab w:leader="none" w:pos="1265" w:val="left"/>
        </w:tabs>
        <w:numPr>
          <w:ilvl w:val="2"/>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w:t>
      </w:r>
    </w:p>
    <w:p>
      <w:pPr>
        <w:spacing w:after="0" w:line="1" w:lineRule="exact"/>
        <w:rPr>
          <w:rFonts w:ascii="Times New Roman" w:cs="Times New Roman" w:eastAsia="Times New Roman" w:hAnsi="Times New Roman"/>
          <w:sz w:val="18"/>
          <w:szCs w:val="18"/>
          <w:color w:val="auto"/>
        </w:rPr>
      </w:pPr>
    </w:p>
    <w:p>
      <w:pPr>
        <w:jc w:val="both"/>
        <w:ind w:left="9" w:right="20" w:hanging="8"/>
        <w:spacing w:after="0" w:line="255" w:lineRule="auto"/>
        <w:tabs>
          <w:tab w:leader="none" w:pos="329" w:val="left"/>
        </w:tabs>
        <w:numPr>
          <w:ilvl w:val="1"/>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226" w:lineRule="exact"/>
        <w:rPr>
          <w:rFonts w:ascii="Times New Roman" w:cs="Times New Roman" w:eastAsia="Times New Roman" w:hAnsi="Times New Roman"/>
          <w:sz w:val="18"/>
          <w:szCs w:val="18"/>
          <w:color w:val="auto"/>
        </w:rPr>
      </w:pPr>
    </w:p>
    <w:p>
      <w:pPr>
        <w:jc w:val="both"/>
        <w:ind w:left="9" w:right="20" w:firstLine="537"/>
        <w:spacing w:after="0" w:line="256" w:lineRule="auto"/>
        <w:tabs>
          <w:tab w:leader="none" w:pos="1266" w:val="left"/>
        </w:tabs>
        <w:numPr>
          <w:ilvl w:val="2"/>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227" w:lineRule="exact"/>
        <w:rPr>
          <w:rFonts w:ascii="Times New Roman" w:cs="Times New Roman" w:eastAsia="Times New Roman" w:hAnsi="Times New Roman"/>
          <w:sz w:val="18"/>
          <w:szCs w:val="18"/>
          <w:color w:val="auto"/>
        </w:rPr>
      </w:pPr>
    </w:p>
    <w:p>
      <w:pPr>
        <w:ind w:left="9" w:firstLine="636"/>
        <w:spacing w:after="0" w:line="282" w:lineRule="auto"/>
        <w:tabs>
          <w:tab w:leader="none" w:pos="1265" w:val="left"/>
        </w:tabs>
        <w:numPr>
          <w:ilvl w:val="2"/>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other assets of any Restricted Subsidiary that is not a Loan Party, which Liens secure Indebtedness of such Restricted Subsidiary or another Restricted Subsidiary that is not a Loan Party, in each case permitted under Section 6.01(a);</w:t>
      </w:r>
    </w:p>
    <w:p>
      <w:pPr>
        <w:spacing w:after="0" w:line="202" w:lineRule="exact"/>
        <w:rPr>
          <w:rFonts w:ascii="Times New Roman" w:cs="Times New Roman" w:eastAsia="Times New Roman" w:hAnsi="Times New Roman"/>
          <w:sz w:val="18"/>
          <w:szCs w:val="18"/>
          <w:color w:val="auto"/>
        </w:rPr>
      </w:pPr>
    </w:p>
    <w:p>
      <w:pPr>
        <w:ind w:left="9" w:right="20" w:firstLine="686"/>
        <w:spacing w:after="0" w:line="282" w:lineRule="auto"/>
        <w:tabs>
          <w:tab w:leader="none" w:pos="1264" w:val="left"/>
        </w:tabs>
        <w:numPr>
          <w:ilvl w:val="2"/>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Restricted Subsidiary that is not a Loan Party in favor of any Restricted Subsidiary and Liens granted by a Loan Party in favor of any other Loan Party;</w:t>
      </w:r>
    </w:p>
    <w:p>
      <w:pPr>
        <w:spacing w:after="0" w:line="188" w:lineRule="exact"/>
        <w:rPr>
          <w:rFonts w:ascii="Times New Roman" w:cs="Times New Roman" w:eastAsia="Times New Roman" w:hAnsi="Times New Roman"/>
          <w:sz w:val="18"/>
          <w:szCs w:val="18"/>
          <w:color w:val="auto"/>
        </w:rPr>
      </w:pPr>
    </w:p>
    <w:p>
      <w:pPr>
        <w:ind w:left="9" w:firstLine="636"/>
        <w:spacing w:after="0" w:line="282" w:lineRule="auto"/>
        <w:tabs>
          <w:tab w:leader="none" w:pos="1265" w:val="left"/>
        </w:tabs>
        <w:numPr>
          <w:ilvl w:val="2"/>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property or other assets at the time of its acquisition or existing on the property or other assets of any Person at the time such Person becomes a Restricted Subsidiary, in each case after the</w:t>
      </w:r>
    </w:p>
    <w:p>
      <w:pPr>
        <w:sectPr>
          <w:pgSz w:w="11900" w:h="16838" w:orient="portrait"/>
          <w:cols w:equalWidth="0" w:num="1">
            <w:col w:w="10049"/>
          </w:cols>
          <w:pgMar w:left="1011" w:top="1440" w:right="839" w:bottom="1440" w:gutter="0" w:footer="0" w:header="0"/>
        </w:sectPr>
      </w:pPr>
    </w:p>
    <w:bookmarkStart w:id="627" w:name="page628"/>
    <w:bookmarkEnd w:id="627"/>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 xml:space="preserve">Effective Date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364" w:lineRule="exact"/>
        <w:rPr>
          <w:sz w:val="20"/>
          <w:szCs w:val="20"/>
          <w:color w:val="auto"/>
        </w:rPr>
      </w:pPr>
    </w:p>
    <w:p>
      <w:pPr>
        <w:jc w:val="both"/>
        <w:ind w:left="8" w:right="40" w:firstLine="588"/>
        <w:spacing w:after="0" w:line="266" w:lineRule="auto"/>
        <w:tabs>
          <w:tab w:leader="none" w:pos="1265"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216" w:lineRule="exact"/>
        <w:rPr>
          <w:rFonts w:ascii="Times New Roman" w:cs="Times New Roman" w:eastAsia="Times New Roman" w:hAnsi="Times New Roman"/>
          <w:sz w:val="18"/>
          <w:szCs w:val="18"/>
          <w:color w:val="auto"/>
        </w:rPr>
      </w:pPr>
    </w:p>
    <w:p>
      <w:pPr>
        <w:ind w:left="8" w:right="40" w:firstLine="538"/>
        <w:spacing w:after="0" w:line="282" w:lineRule="auto"/>
        <w:tabs>
          <w:tab w:leader="none" w:pos="1265"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or purchase of goods by any of the Borrower or any Restricted Subsidiary in the ordinary course of business;</w:t>
      </w:r>
    </w:p>
    <w:p>
      <w:pPr>
        <w:spacing w:after="0" w:line="202" w:lineRule="exact"/>
        <w:rPr>
          <w:rFonts w:ascii="Times New Roman" w:cs="Times New Roman" w:eastAsia="Times New Roman" w:hAnsi="Times New Roman"/>
          <w:sz w:val="18"/>
          <w:szCs w:val="18"/>
          <w:color w:val="auto"/>
        </w:rPr>
      </w:pPr>
    </w:p>
    <w:p>
      <w:pPr>
        <w:ind w:left="8" w:right="40" w:firstLine="546"/>
        <w:spacing w:after="0" w:line="282" w:lineRule="auto"/>
        <w:tabs>
          <w:tab w:leader="none" w:pos="1263"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under clause (e) of the definition of the term “Permitted Investments”;</w:t>
      </w:r>
    </w:p>
    <w:p>
      <w:pPr>
        <w:spacing w:after="0" w:line="188" w:lineRule="exact"/>
        <w:rPr>
          <w:rFonts w:ascii="Times New Roman" w:cs="Times New Roman" w:eastAsia="Times New Roman" w:hAnsi="Times New Roman"/>
          <w:sz w:val="18"/>
          <w:szCs w:val="18"/>
          <w:color w:val="auto"/>
        </w:rPr>
      </w:pPr>
    </w:p>
    <w:p>
      <w:pPr>
        <w:ind w:left="8" w:right="40" w:firstLine="597"/>
        <w:spacing w:after="0" w:line="282" w:lineRule="auto"/>
        <w:tabs>
          <w:tab w:leader="none" w:pos="1264"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202" w:lineRule="exact"/>
        <w:rPr>
          <w:rFonts w:ascii="Times New Roman" w:cs="Times New Roman" w:eastAsia="Times New Roman" w:hAnsi="Times New Roman"/>
          <w:sz w:val="18"/>
          <w:szCs w:val="18"/>
          <w:color w:val="auto"/>
        </w:rPr>
      </w:pPr>
    </w:p>
    <w:p>
      <w:pPr>
        <w:jc w:val="both"/>
        <w:ind w:left="8" w:right="40" w:firstLine="545"/>
        <w:spacing w:after="0" w:line="261" w:lineRule="auto"/>
        <w:tabs>
          <w:tab w:leader="none" w:pos="1263"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220" w:lineRule="exact"/>
        <w:rPr>
          <w:rFonts w:ascii="Times New Roman" w:cs="Times New Roman" w:eastAsia="Times New Roman" w:hAnsi="Times New Roman"/>
          <w:sz w:val="18"/>
          <w:szCs w:val="18"/>
          <w:color w:val="auto"/>
        </w:rPr>
      </w:pPr>
    </w:p>
    <w:p>
      <w:pPr>
        <w:ind w:left="8" w:firstLine="496"/>
        <w:spacing w:after="0" w:line="282" w:lineRule="auto"/>
        <w:tabs>
          <w:tab w:leader="none" w:pos="1264"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Borrower or any of the Restricted Subsidiaries are located;</w:t>
      </w:r>
    </w:p>
    <w:p>
      <w:pPr>
        <w:spacing w:after="0" w:line="202" w:lineRule="exact"/>
        <w:rPr>
          <w:rFonts w:ascii="Times New Roman" w:cs="Times New Roman" w:eastAsia="Times New Roman" w:hAnsi="Times New Roman"/>
          <w:sz w:val="18"/>
          <w:szCs w:val="18"/>
          <w:color w:val="auto"/>
        </w:rPr>
      </w:pPr>
    </w:p>
    <w:p>
      <w:pPr>
        <w:ind w:left="1248" w:hanging="794"/>
        <w:spacing w:after="0"/>
        <w:tabs>
          <w:tab w:leader="none" w:pos="1248"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52" w:lineRule="exact"/>
        <w:rPr>
          <w:rFonts w:ascii="Times New Roman" w:cs="Times New Roman" w:eastAsia="Times New Roman" w:hAnsi="Times New Roman"/>
          <w:sz w:val="18"/>
          <w:szCs w:val="18"/>
          <w:color w:val="auto"/>
        </w:rPr>
      </w:pPr>
    </w:p>
    <w:p>
      <w:pPr>
        <w:ind w:left="1268" w:hanging="805"/>
        <w:spacing w:after="0"/>
        <w:tabs>
          <w:tab w:leader="none" w:pos="1268"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6.01(a)(xxii) or 6.01(a)(xxiii);</w:t>
      </w:r>
    </w:p>
    <w:p>
      <w:pPr>
        <w:spacing w:after="0" w:line="265" w:lineRule="exact"/>
        <w:rPr>
          <w:rFonts w:ascii="Times New Roman" w:cs="Times New Roman" w:eastAsia="Times New Roman" w:hAnsi="Times New Roman"/>
          <w:sz w:val="18"/>
          <w:szCs w:val="18"/>
          <w:color w:val="auto"/>
        </w:rPr>
      </w:pPr>
    </w:p>
    <w:p>
      <w:pPr>
        <w:ind w:left="1248" w:hanging="644"/>
        <w:spacing w:after="0"/>
        <w:tabs>
          <w:tab w:leader="none" w:pos="1248"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real property other than Material Real Property (except as required by this Agreement);</w:t>
      </w:r>
    </w:p>
    <w:p>
      <w:pPr>
        <w:spacing w:after="0" w:line="266" w:lineRule="exact"/>
        <w:rPr>
          <w:sz w:val="20"/>
          <w:szCs w:val="20"/>
          <w:color w:val="auto"/>
        </w:rPr>
      </w:pPr>
    </w:p>
    <w:p>
      <w:pPr>
        <w:ind w:left="1268" w:hanging="805"/>
        <w:spacing w:after="0"/>
        <w:tabs>
          <w:tab w:leader="none" w:pos="1268"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252" w:lineRule="exact"/>
        <w:rPr>
          <w:rFonts w:ascii="Times New Roman" w:cs="Times New Roman" w:eastAsia="Times New Roman" w:hAnsi="Times New Roman"/>
          <w:sz w:val="18"/>
          <w:szCs w:val="18"/>
          <w:color w:val="auto"/>
        </w:rPr>
      </w:pPr>
    </w:p>
    <w:p>
      <w:pPr>
        <w:ind w:left="1248" w:hanging="785"/>
        <w:spacing w:after="0"/>
        <w:tabs>
          <w:tab w:leader="none" w:pos="1248"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6.01(a)(vii), (viii), (xv)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(xviii) </w:t>
      </w:r>
      <w:r>
        <w:rPr>
          <w:rFonts w:ascii="Times New Roman" w:cs="Times New Roman" w:eastAsia="Times New Roman" w:hAnsi="Times New Roman"/>
          <w:sz w:val="18"/>
          <w:szCs w:val="18"/>
          <w:u w:val="single" w:color="auto"/>
          <w:color w:val="0000FF"/>
        </w:rPr>
        <w:t>or</w:t>
      </w:r>
    </w:p>
    <w:p>
      <w:pPr>
        <w:spacing w:after="0" w:line="27" w:lineRule="exact"/>
        <w:rPr>
          <w:rFonts w:ascii="Times New Roman" w:cs="Times New Roman" w:eastAsia="Times New Roman" w:hAnsi="Times New Roman"/>
          <w:sz w:val="18"/>
          <w:szCs w:val="18"/>
          <w:color w:val="auto"/>
        </w:rPr>
      </w:pPr>
    </w:p>
    <w:p>
      <w:pPr>
        <w:ind w:left="8" w:right="880" w:hanging="8"/>
        <w:spacing w:after="0" w:line="260" w:lineRule="auto"/>
        <w:tabs>
          <w:tab w:leader="none" w:pos="593" w:val="left"/>
        </w:tabs>
        <w:numPr>
          <w:ilvl w:val="0"/>
          <w:numId w:val="73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(provided any such Liens on Collateral shall be subject to First/Second Lien Intercreditor Agreement and/or Customary Intercreditor Agreement);</w:t>
      </w:r>
    </w:p>
    <w:p>
      <w:pPr>
        <w:spacing w:after="0" w:line="221" w:lineRule="exact"/>
        <w:rPr>
          <w:rFonts w:ascii="Times New Roman" w:cs="Times New Roman" w:eastAsia="Times New Roman" w:hAnsi="Times New Roman"/>
          <w:sz w:val="18"/>
          <w:szCs w:val="18"/>
          <w:u w:val="single" w:color="auto"/>
          <w:color w:val="0000FF"/>
        </w:rPr>
      </w:pPr>
    </w:p>
    <w:p>
      <w:pPr>
        <w:ind w:left="1248" w:hanging="785"/>
        <w:spacing w:after="0"/>
        <w:tabs>
          <w:tab w:leader="none" w:pos="1248" w:val="left"/>
        </w:tabs>
        <w:numPr>
          <w:ilvl w:val="1"/>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65" w:lineRule="exact"/>
        <w:rPr>
          <w:rFonts w:ascii="Times New Roman" w:cs="Times New Roman" w:eastAsia="Times New Roman" w:hAnsi="Times New Roman"/>
          <w:sz w:val="18"/>
          <w:szCs w:val="18"/>
          <w:color w:val="auto"/>
        </w:rPr>
      </w:pPr>
    </w:p>
    <w:p>
      <w:pPr>
        <w:ind w:left="8" w:right="40" w:firstLine="455"/>
        <w:spacing w:after="0" w:line="282" w:lineRule="auto"/>
        <w:tabs>
          <w:tab w:leader="none" w:pos="1262" w:val="left"/>
        </w:tabs>
        <w:numPr>
          <w:ilvl w:val="1"/>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Permitted Investments used to satisfy or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satisfaction or discharge is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-1111250</wp:posOffset>
            </wp:positionV>
            <wp:extent cx="1238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ectPr>
          <w:pgSz w:w="11900" w:h="16838" w:orient="portrait"/>
          <w:cols w:equalWidth="0" w:num="1">
            <w:col w:w="10068"/>
          </w:cols>
          <w:pgMar w:left="1012" w:top="1337" w:right="819" w:bottom="1440" w:gutter="0" w:footer="0" w:header="0"/>
        </w:sectPr>
      </w:pPr>
    </w:p>
    <w:bookmarkStart w:id="628" w:name="page629"/>
    <w:bookmarkEnd w:id="628"/>
    <w:p>
      <w:pPr>
        <w:ind w:right="20" w:firstLine="506"/>
        <w:spacing w:after="0" w:line="282" w:lineRule="auto"/>
        <w:tabs>
          <w:tab w:leader="none" w:pos="1255"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202" w:lineRule="exact"/>
        <w:rPr>
          <w:rFonts w:ascii="Times New Roman" w:cs="Times New Roman" w:eastAsia="Times New Roman" w:hAnsi="Times New Roman"/>
          <w:sz w:val="18"/>
          <w:szCs w:val="18"/>
          <w:color w:val="auto"/>
        </w:rPr>
      </w:pPr>
    </w:p>
    <w:p>
      <w:pPr>
        <w:ind w:right="20" w:firstLine="455"/>
        <w:spacing w:after="0" w:line="282" w:lineRule="auto"/>
        <w:tabs>
          <w:tab w:leader="none" w:pos="1254"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202" w:lineRule="exact"/>
        <w:rPr>
          <w:rFonts w:ascii="Times New Roman" w:cs="Times New Roman" w:eastAsia="Times New Roman" w:hAnsi="Times New Roman"/>
          <w:sz w:val="18"/>
          <w:szCs w:val="18"/>
          <w:color w:val="auto"/>
        </w:rPr>
      </w:pPr>
    </w:p>
    <w:p>
      <w:pPr>
        <w:jc w:val="both"/>
        <w:ind w:right="20" w:firstLine="406"/>
        <w:spacing w:after="0" w:line="257" w:lineRule="auto"/>
        <w:tabs>
          <w:tab w:leader="none" w:pos="1255"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Permitted Investments securing Swap Agreements in the ordinary course of business submitted for clearing in accordance with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obligations secured by Liens existing in reliance on this clause (xxvii) shall not exceed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30,000,000</w:t>
      </w:r>
      <w:r>
        <w:rPr>
          <w:rFonts w:ascii="Times New Roman" w:cs="Times New Roman" w:eastAsia="Times New Roman" w:hAnsi="Times New Roman"/>
          <w:sz w:val="18"/>
          <w:szCs w:val="18"/>
          <w:u w:val="single" w:color="auto"/>
          <w:color w:val="0000FF"/>
        </w:rPr>
        <w:t>56,458,000</w:t>
      </w:r>
      <w:r>
        <w:rPr>
          <w:rFonts w:ascii="Times New Roman" w:cs="Times New Roman" w:eastAsia="Times New Roman" w:hAnsi="Times New Roman"/>
          <w:sz w:val="18"/>
          <w:szCs w:val="18"/>
          <w:color w:val="auto"/>
        </w:rPr>
        <w:t>;</w:t>
      </w:r>
    </w:p>
    <w:p>
      <w:pPr>
        <w:spacing w:after="0" w:line="301" w:lineRule="exact"/>
        <w:rPr>
          <w:rFonts w:ascii="Times New Roman" w:cs="Times New Roman" w:eastAsia="Times New Roman" w:hAnsi="Times New Roman"/>
          <w:sz w:val="18"/>
          <w:szCs w:val="18"/>
          <w:color w:val="auto"/>
        </w:rPr>
      </w:pPr>
    </w:p>
    <w:p>
      <w:pPr>
        <w:jc w:val="both"/>
        <w:ind w:right="20" w:firstLine="356"/>
        <w:spacing w:after="0" w:line="256" w:lineRule="auto"/>
        <w:tabs>
          <w:tab w:leader="none" w:pos="1255"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granting thereof and after giving Pro Forma Effect thereto, the aggregate amount of obligations secured by all Liens incurred in reliance on this clause (xxviii) shall not exceed the greater of (A) $</w:t>
      </w:r>
      <w:r>
        <w:rPr>
          <w:rFonts w:ascii="Times New Roman" w:cs="Times New Roman" w:eastAsia="Times New Roman" w:hAnsi="Times New Roman"/>
          <w:sz w:val="18"/>
          <w:szCs w:val="18"/>
          <w:color w:val="FF0000"/>
          <w:strike w:val="1"/>
        </w:rPr>
        <w:t>80,000,000</w:t>
      </w:r>
      <w:r>
        <w:rPr>
          <w:rFonts w:ascii="Times New Roman" w:cs="Times New Roman" w:eastAsia="Times New Roman" w:hAnsi="Times New Roman"/>
          <w:sz w:val="18"/>
          <w:szCs w:val="18"/>
          <w:u w:val="single" w:color="auto"/>
          <w:color w:val="0000FF"/>
        </w:rPr>
        <w:t>108,400,000</w:t>
      </w:r>
      <w:r>
        <w:rPr>
          <w:rFonts w:ascii="Times New Roman" w:cs="Times New Roman" w:eastAsia="Times New Roman" w:hAnsi="Times New Roman"/>
          <w:sz w:val="18"/>
          <w:szCs w:val="18"/>
          <w:color w:val="auto"/>
        </w:rPr>
        <w:t xml:space="preserve"> and (B) 20%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Liens under this clause (xxviii) shall encumber any Material Real Property (except as required by this Agreement);</w:t>
      </w:r>
      <w:r>
        <w:rPr>
          <w:rFonts w:ascii="Times New Roman" w:cs="Times New Roman" w:eastAsia="Times New Roman" w:hAnsi="Times New Roman"/>
          <w:sz w:val="18"/>
          <w:szCs w:val="18"/>
          <w:color w:val="FF0000"/>
          <w:strike w:val="1"/>
        </w:rPr>
        <w:t>and</w:t>
      </w:r>
    </w:p>
    <w:p>
      <w:pPr>
        <w:spacing w:after="0" w:line="227" w:lineRule="exact"/>
        <w:rPr>
          <w:rFonts w:ascii="Times New Roman" w:cs="Times New Roman" w:eastAsia="Times New Roman" w:hAnsi="Times New Roman"/>
          <w:sz w:val="18"/>
          <w:szCs w:val="18"/>
          <w:color w:val="auto"/>
        </w:rPr>
      </w:pPr>
    </w:p>
    <w:p>
      <w:pPr>
        <w:ind w:right="920" w:firstLine="455"/>
        <w:spacing w:after="0" w:line="282" w:lineRule="auto"/>
        <w:tabs>
          <w:tab w:leader="none" w:pos="1255"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Securitization Assets and related assets incurred in connection with a Qualified Securitization Facility</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 and</w:t>
      </w:r>
    </w:p>
    <w:p>
      <w:pPr>
        <w:spacing w:after="0" w:line="202" w:lineRule="exact"/>
        <w:rPr>
          <w:rFonts w:ascii="Times New Roman" w:cs="Times New Roman" w:eastAsia="Times New Roman" w:hAnsi="Times New Roman"/>
          <w:sz w:val="18"/>
          <w:szCs w:val="18"/>
          <w:color w:val="auto"/>
        </w:rPr>
      </w:pPr>
    </w:p>
    <w:p>
      <w:pPr>
        <w:ind w:left="1240" w:hanging="734"/>
        <w:spacing w:after="0"/>
        <w:tabs>
          <w:tab w:leader="none" w:pos="1240" w:val="left"/>
        </w:tabs>
        <w:numPr>
          <w:ilvl w:val="0"/>
          <w:numId w:val="73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Liens arising in connection with any Permitted Intercompany Activities and Permitted Tax Restructurings.</w:t>
      </w:r>
    </w:p>
    <w:p>
      <w:pPr>
        <w:spacing w:after="0" w:line="25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u w:val="single" w:color="auto"/>
          <w:color w:val="auto"/>
        </w:rPr>
        <w:t>Fundamental Changes; Holdings Covenant</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firstLine="1288"/>
        <w:spacing w:after="0" w:line="261" w:lineRule="auto"/>
        <w:tabs>
          <w:tab w:leader="none" w:pos="1901"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w:t>
      </w:r>
    </w:p>
    <w:p>
      <w:pPr>
        <w:spacing w:after="0" w:line="220" w:lineRule="exact"/>
        <w:rPr>
          <w:rFonts w:ascii="Times New Roman" w:cs="Times New Roman" w:eastAsia="Times New Roman" w:hAnsi="Times New Roman"/>
          <w:sz w:val="18"/>
          <w:szCs w:val="18"/>
          <w:color w:val="auto"/>
        </w:rPr>
      </w:pPr>
    </w:p>
    <w:p>
      <w:pPr>
        <w:jc w:val="both"/>
        <w:ind w:right="20" w:firstLine="727"/>
        <w:spacing w:after="0" w:line="258" w:lineRule="auto"/>
        <w:tabs>
          <w:tab w:leader="none" w:pos="1257"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amalgamate or consolidate with (A)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or (B) any one or more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w:t>
      </w:r>
    </w:p>
    <w:p>
      <w:pPr>
        <w:spacing w:after="0" w:line="223" w:lineRule="exact"/>
        <w:rPr>
          <w:rFonts w:ascii="Times New Roman" w:cs="Times New Roman" w:eastAsia="Times New Roman" w:hAnsi="Times New Roman"/>
          <w:sz w:val="18"/>
          <w:szCs w:val="18"/>
          <w:color w:val="auto"/>
        </w:rPr>
      </w:pPr>
    </w:p>
    <w:p>
      <w:pPr>
        <w:jc w:val="both"/>
        <w:ind w:right="20" w:firstLine="678"/>
        <w:spacing w:after="0" w:line="261" w:lineRule="auto"/>
        <w:tabs>
          <w:tab w:leader="none" w:pos="1257"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w:t>
      </w:r>
    </w:p>
    <w:p>
      <w:pPr>
        <w:spacing w:after="0" w:line="220" w:lineRule="exact"/>
        <w:rPr>
          <w:rFonts w:ascii="Times New Roman" w:cs="Times New Roman" w:eastAsia="Times New Roman" w:hAnsi="Times New Roman"/>
          <w:sz w:val="18"/>
          <w:szCs w:val="18"/>
          <w:color w:val="auto"/>
        </w:rPr>
      </w:pPr>
    </w:p>
    <w:p>
      <w:pPr>
        <w:jc w:val="both"/>
        <w:ind w:right="20" w:firstLine="628"/>
        <w:spacing w:after="0" w:line="255" w:lineRule="auto"/>
        <w:tabs>
          <w:tab w:leader="none" w:pos="1258"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make a Disposition of all or substantially all of its assets (upon voluntary liquidation or otherwise) to the Borrower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ectPr>
          <w:pgSz w:w="11900" w:h="16838" w:orient="portrait"/>
          <w:cols w:equalWidth="0" w:num="1">
            <w:col w:w="10040"/>
          </w:cols>
          <w:pgMar w:left="1020" w:top="1337" w:right="839" w:bottom="1440" w:gutter="0" w:footer="0" w:header="0"/>
        </w:sectPr>
      </w:pPr>
    </w:p>
    <w:bookmarkStart w:id="629" w:name="page630"/>
    <w:bookmarkEnd w:id="629"/>
    <w:p>
      <w:pPr>
        <w:ind w:left="9" w:right="40" w:firstLine="636"/>
        <w:spacing w:after="0" w:line="261" w:lineRule="auto"/>
        <w:tabs>
          <w:tab w:leader="none" w:pos="1265"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merge, amalgamate or consolidate with (or Dispose of all or substantially all of its assets to)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be the continuing or surviving Person or</w:t>
      </w:r>
    </w:p>
    <w:p>
      <w:pPr>
        <w:jc w:val="both"/>
        <w:ind w:left="9" w:right="40" w:hanging="9"/>
        <w:spacing w:after="0" w:line="250" w:lineRule="auto"/>
        <w:tabs>
          <w:tab w:leader="none" w:pos="296"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(1) the Successor Borrower shall be an entity organized or existing under the laws of a Covered Jurisdiction,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(y) if such Person is not a Loan Party, no Event of Default (or, to the extent related to a Limited 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 reasonably determined is required by regulatory authorities under applicable “know your customer” and anti-money laundering rules and regulations, including Title III of the USA PATRIOT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Borrower’s failure to deliver information requested after the first Business Day following delivery of the certificate in clause (4) above shall not constitute a Default or an Event of Default under this Agreement or the First Lien Loan Documents);</w:t>
      </w:r>
    </w:p>
    <w:p>
      <w:pPr>
        <w:spacing w:after="0" w:line="246" w:lineRule="exact"/>
        <w:rPr>
          <w:rFonts w:ascii="Times New Roman" w:cs="Times New Roman" w:eastAsia="Times New Roman" w:hAnsi="Times New Roman"/>
          <w:sz w:val="18"/>
          <w:szCs w:val="18"/>
          <w:color w:val="auto"/>
        </w:rPr>
      </w:pPr>
    </w:p>
    <w:p>
      <w:pPr>
        <w:jc w:val="both"/>
        <w:ind w:left="9" w:right="40" w:firstLine="686"/>
        <w:spacing w:after="0" w:line="266" w:lineRule="auto"/>
        <w:tabs>
          <w:tab w:leader="none" w:pos="1264" w:val="left"/>
        </w:tabs>
        <w:numPr>
          <w:ilvl w:val="1"/>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consolidate or amalgamate with any other Person in order to effect an Investment permitted pursuant to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the Borrower or a Restricted Subsidiary, which together with each of the Restricted Subsidiaries, shall have complied with the requirements of Sections 5.11 and 5.12;</w:t>
      </w:r>
    </w:p>
    <w:p>
      <w:pPr>
        <w:spacing w:after="0" w:line="216" w:lineRule="exact"/>
        <w:rPr>
          <w:rFonts w:ascii="Times New Roman" w:cs="Times New Roman" w:eastAsia="Times New Roman" w:hAnsi="Times New Roman"/>
          <w:sz w:val="18"/>
          <w:szCs w:val="18"/>
          <w:color w:val="auto"/>
        </w:rPr>
      </w:pPr>
    </w:p>
    <w:p>
      <w:pPr>
        <w:ind w:left="1249" w:hanging="603"/>
        <w:spacing w:after="0"/>
        <w:tabs>
          <w:tab w:leader="none" w:pos="1249" w:val="left"/>
        </w:tabs>
        <w:numPr>
          <w:ilvl w:val="1"/>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[reserved]; and</w:t>
      </w:r>
      <w:r>
        <w:rPr>
          <w:rFonts w:ascii="Times New Roman" w:cs="Times New Roman" w:eastAsia="Times New Roman" w:hAnsi="Times New Roman"/>
          <w:sz w:val="18"/>
          <w:szCs w:val="18"/>
          <w:u w:val="single" w:color="auto"/>
          <w:color w:val="0000FF"/>
          <w:strike w:val="1"/>
        </w:rPr>
        <w:t>the Borrower and any Restricted Subsidiaries may consummate any Permitted Tax Restructuring;</w:t>
      </w:r>
    </w:p>
    <w:p>
      <w:pPr>
        <w:spacing w:after="0" w:line="265" w:lineRule="exact"/>
        <w:rPr>
          <w:rFonts w:ascii="Times New Roman" w:cs="Times New Roman" w:eastAsia="Times New Roman" w:hAnsi="Times New Roman"/>
          <w:sz w:val="18"/>
          <w:szCs w:val="18"/>
          <w:color w:val="auto"/>
        </w:rPr>
      </w:pPr>
    </w:p>
    <w:p>
      <w:pPr>
        <w:ind w:left="9" w:right="180" w:firstLine="587"/>
        <w:spacing w:after="0" w:line="282" w:lineRule="auto"/>
        <w:tabs>
          <w:tab w:leader="none" w:pos="1265" w:val="left"/>
        </w:tabs>
        <w:numPr>
          <w:ilvl w:val="1"/>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effect a merger, amalgamation, dissolution, liquidation consolidation or amalgamation to effect a Disposition permitted pursuant to Section 6.05.</w:t>
      </w:r>
    </w:p>
    <w:p>
      <w:pPr>
        <w:spacing w:after="0" w:line="202" w:lineRule="exact"/>
        <w:rPr>
          <w:rFonts w:ascii="Times New Roman" w:cs="Times New Roman" w:eastAsia="Times New Roman" w:hAnsi="Times New Roman"/>
          <w:sz w:val="18"/>
          <w:szCs w:val="18"/>
          <w:color w:val="auto"/>
        </w:rPr>
      </w:pPr>
    </w:p>
    <w:p>
      <w:pPr>
        <w:jc w:val="both"/>
        <w:ind w:left="9" w:firstLine="1287"/>
        <w:spacing w:after="0" w:line="252" w:lineRule="auto"/>
        <w:tabs>
          <w:tab w:leader="none" w:pos="1906" w:val="left"/>
        </w:tabs>
        <w:numPr>
          <w:ilvl w:val="2"/>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First Lien Loan Documents, the </w:t>
      </w:r>
      <w:r>
        <w:rPr>
          <w:rFonts w:ascii="Times New Roman" w:cs="Times New Roman" w:eastAsia="Times New Roman" w:hAnsi="Times New Roman"/>
          <w:sz w:val="18"/>
          <w:szCs w:val="18"/>
          <w:color w:val="FF0000"/>
          <w:strike w:val="1"/>
        </w:rPr>
        <w:t>Second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Debt</w:t>
      </w:r>
      <w:r>
        <w:rPr>
          <w:rFonts w:ascii="Times New Roman" w:cs="Times New Roman" w:eastAsia="Times New Roman" w:hAnsi="Times New Roman"/>
          <w:sz w:val="18"/>
          <w:szCs w:val="18"/>
          <w:u w:val="single" w:color="auto"/>
          <w:color w:val="0000FF"/>
        </w:rPr>
        <w:t>Senior Secured Notes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Documents, any documentation governing any Indebtedness or Guarantee and the other agreements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w:t>
      </w:r>
    </w:p>
    <w:p>
      <w:pPr>
        <w:sectPr>
          <w:pgSz w:w="11900" w:h="16838" w:orient="portrait"/>
          <w:cols w:equalWidth="0" w:num="1">
            <w:col w:w="10069"/>
          </w:cols>
          <w:pgMar w:left="1011" w:top="1337" w:right="819" w:bottom="1440" w:gutter="0" w:footer="0" w:header="0"/>
        </w:sectPr>
      </w:pPr>
    </w:p>
    <w:bookmarkStart w:id="630" w:name="page631"/>
    <w:bookmarkEnd w:id="630"/>
    <w:p>
      <w:pPr>
        <w:spacing w:after="0" w:line="154" w:lineRule="exact"/>
        <w:rPr>
          <w:sz w:val="20"/>
          <w:szCs w:val="20"/>
          <w:color w:val="auto"/>
        </w:rPr>
      </w:pPr>
    </w:p>
    <w:p>
      <w:pPr>
        <w:jc w:val="both"/>
        <w:ind w:left="-420" w:right="20" w:firstLine="1288"/>
        <w:spacing w:after="0" w:line="258" w:lineRule="auto"/>
        <w:tabs>
          <w:tab w:leader="none" w:pos="1481"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liabilities (other than liabilities as referred to in paragraph (b)(vii) above, liabilities imposed by law, including tax liabilities, and other liabilities incidental to its existence and business and activities permitted by this Agreement).</w:t>
      </w:r>
    </w:p>
    <w:p>
      <w:pPr>
        <w:spacing w:after="0" w:line="224" w:lineRule="exact"/>
        <w:rPr>
          <w:sz w:val="20"/>
          <w:szCs w:val="20"/>
          <w:color w:val="auto"/>
        </w:rPr>
      </w:pPr>
    </w:p>
    <w:p>
      <w:pPr>
        <w:jc w:val="center"/>
        <w:ind w:right="600"/>
        <w:spacing w:after="0"/>
        <w:tabs>
          <w:tab w:leader="none" w:pos="16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u w:val="single" w:color="auto"/>
          <w:color w:val="auto"/>
        </w:rPr>
        <w:t>Investments, Loans, Advances, Guarantees and Acquisitions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Borrower will not, and will not permit any Restricted Subsidiary to, make or hold any Investment, except:</w:t>
      </w:r>
    </w:p>
    <w:p>
      <w:pPr>
        <w:spacing w:after="0" w:line="320" w:lineRule="exact"/>
        <w:rPr>
          <w:sz w:val="20"/>
          <w:szCs w:val="20"/>
          <w:color w:val="auto"/>
        </w:rPr>
      </w:pPr>
    </w:p>
    <w:p>
      <w:pPr>
        <w:ind w:left="220" w:right="40" w:firstLine="648"/>
        <w:spacing w:after="0" w:line="282" w:lineRule="auto"/>
        <w:tabs>
          <w:tab w:leader="none" w:pos="1473" w:val="left"/>
        </w:tabs>
        <w:numPr>
          <w:ilvl w:val="1"/>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at the time such Permitted Investment is made and purchases of assets in the ordinary course of business consistent with past practice;</w:t>
      </w:r>
    </w:p>
    <w:p>
      <w:pPr>
        <w:spacing w:after="0" w:line="202" w:lineRule="exact"/>
        <w:rPr>
          <w:rFonts w:ascii="Times New Roman" w:cs="Times New Roman" w:eastAsia="Times New Roman" w:hAnsi="Times New Roman"/>
          <w:sz w:val="18"/>
          <w:szCs w:val="18"/>
          <w:color w:val="auto"/>
        </w:rPr>
      </w:pPr>
    </w:p>
    <w:p>
      <w:pPr>
        <w:jc w:val="both"/>
        <w:ind w:left="220" w:firstLine="647"/>
        <w:spacing w:after="0" w:line="254" w:lineRule="auto"/>
        <w:tabs>
          <w:tab w:leader="none" w:pos="1469" w:val="left"/>
        </w:tabs>
        <w:numPr>
          <w:ilvl w:val="1"/>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officers, members of the Board of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loans and advances made in cash to such Person shall be contributed to the Borrower in cash as common equity or Qualified Equity Interests) and (iii) for purposes not described in the foregoing clauses</w:t>
      </w:r>
    </w:p>
    <w:p>
      <w:pPr>
        <w:spacing w:after="0" w:line="3" w:lineRule="exact"/>
        <w:rPr>
          <w:rFonts w:ascii="Times New Roman" w:cs="Times New Roman" w:eastAsia="Times New Roman" w:hAnsi="Times New Roman"/>
          <w:sz w:val="18"/>
          <w:szCs w:val="18"/>
          <w:color w:val="auto"/>
        </w:rPr>
      </w:pPr>
    </w:p>
    <w:p>
      <w:pPr>
        <w:ind w:left="440" w:hanging="221"/>
        <w:spacing w:after="0"/>
        <w:tabs>
          <w:tab w:leader="none" w:pos="44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in an aggregate principal amount outstanding under this clause (iii) at any time not to exceed $</w:t>
      </w:r>
      <w:r>
        <w:rPr>
          <w:rFonts w:ascii="Times New Roman" w:cs="Times New Roman" w:eastAsia="Times New Roman" w:hAnsi="Times New Roman"/>
          <w:sz w:val="18"/>
          <w:szCs w:val="18"/>
          <w:color w:val="FF0000"/>
          <w:strike w:val="1"/>
        </w:rPr>
        <w:t>30,000,000</w:t>
      </w:r>
      <w:r>
        <w:rPr>
          <w:rFonts w:ascii="Times New Roman" w:cs="Times New Roman" w:eastAsia="Times New Roman" w:hAnsi="Times New Roman"/>
          <w:sz w:val="18"/>
          <w:szCs w:val="18"/>
          <w:u w:val="single" w:color="auto"/>
          <w:color w:val="0000FF"/>
        </w:rPr>
        <w:t>56,458,000</w:t>
      </w:r>
      <w:r>
        <w:rPr>
          <w:rFonts w:ascii="Times New Roman" w:cs="Times New Roman" w:eastAsia="Times New Roman" w:hAnsi="Times New Roman"/>
          <w:sz w:val="18"/>
          <w:szCs w:val="18"/>
          <w:color w:val="auto"/>
        </w:rPr>
        <w:t>;</w:t>
      </w:r>
    </w:p>
    <w:p>
      <w:pPr>
        <w:spacing w:after="0" w:line="247" w:lineRule="exact"/>
        <w:rPr>
          <w:rFonts w:ascii="Times New Roman" w:cs="Times New Roman" w:eastAsia="Times New Roman" w:hAnsi="Times New Roman"/>
          <w:sz w:val="18"/>
          <w:szCs w:val="18"/>
          <w:color w:val="auto"/>
        </w:rPr>
      </w:pPr>
    </w:p>
    <w:p>
      <w:pPr>
        <w:jc w:val="both"/>
        <w:ind w:left="220" w:right="20" w:firstLine="648"/>
        <w:spacing w:after="0" w:line="266" w:lineRule="auto"/>
        <w:tabs>
          <w:tab w:leader="none" w:pos="1473" w:val="left"/>
        </w:tabs>
        <w:numPr>
          <w:ilvl w:val="1"/>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in any Restricted Subsidiary and Investments by any Restricted Subsidiary in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Investment by a Loan Party in a Restricted Subsidiary that is not a Loan Party, no Event of Default shall have occurred and be continuing or would result therefrom;</w:t>
      </w:r>
    </w:p>
    <w:p>
      <w:pPr>
        <w:spacing w:after="0" w:line="216" w:lineRule="exact"/>
        <w:rPr>
          <w:rFonts w:ascii="Times New Roman" w:cs="Times New Roman" w:eastAsia="Times New Roman" w:hAnsi="Times New Roman"/>
          <w:sz w:val="18"/>
          <w:szCs w:val="18"/>
          <w:color w:val="auto"/>
        </w:rPr>
      </w:pPr>
    </w:p>
    <w:p>
      <w:pPr>
        <w:ind w:left="1460" w:hanging="593"/>
        <w:spacing w:after="0"/>
        <w:tabs>
          <w:tab w:leader="none" w:pos="1460" w:val="left"/>
        </w:tabs>
        <w:numPr>
          <w:ilvl w:val="1"/>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trade credit and accommodation guarantees in the ordinary course of</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33" w:lineRule="exact"/>
        <w:rPr>
          <w:rFonts w:ascii="Times New Roman" w:cs="Times New Roman" w:eastAsia="Times New Roman" w:hAnsi="Times New Roman"/>
          <w:sz w:val="18"/>
          <w:szCs w:val="18"/>
          <w:color w:val="auto"/>
        </w:rPr>
      </w:pPr>
    </w:p>
    <w:p>
      <w:pPr>
        <w:ind w:left="220" w:right="20" w:firstLine="647"/>
        <w:spacing w:after="0" w:line="261" w:lineRule="auto"/>
        <w:tabs>
          <w:tab w:leader="none" w:pos="1472" w:val="left"/>
        </w:tabs>
        <w:numPr>
          <w:ilvl w:val="1"/>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existing or contemplated on the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Effective Date and set forth on Schedule 6.04 and any modification, replacement, renewal, reinvestment or extension thereof and</w:t>
      </w:r>
    </w:p>
    <w:p>
      <w:pPr>
        <w:jc w:val="both"/>
        <w:ind w:left="220" w:right="20" w:hanging="1"/>
        <w:spacing w:after="0" w:line="253" w:lineRule="auto"/>
        <w:tabs>
          <w:tab w:leader="none" w:pos="50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Effective Date by the Borrower or any Restricted Subsidiary in the Borrower or any Restricted Subsidiary and any modification,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to the extent as set forth on Schedule 6.04 or as otherwise permitted by this Section 6.04;</w:t>
      </w:r>
    </w:p>
    <w:p>
      <w:pPr>
        <w:spacing w:after="0" w:line="229" w:lineRule="exact"/>
        <w:rPr>
          <w:rFonts w:ascii="Times New Roman" w:cs="Times New Roman" w:eastAsia="Times New Roman" w:hAnsi="Times New Roman"/>
          <w:sz w:val="18"/>
          <w:szCs w:val="18"/>
          <w:color w:val="auto"/>
        </w:rPr>
      </w:pPr>
    </w:p>
    <w:p>
      <w:pPr>
        <w:ind w:left="1480" w:hanging="612"/>
        <w:spacing w:after="0"/>
        <w:tabs>
          <w:tab w:leader="none" w:pos="148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incurred in the ordinary course of business and not for speculative purposes;</w:t>
      </w:r>
    </w:p>
    <w:p>
      <w:pPr>
        <w:spacing w:after="0" w:line="265" w:lineRule="exact"/>
        <w:rPr>
          <w:rFonts w:ascii="Times New Roman" w:cs="Times New Roman" w:eastAsia="Times New Roman" w:hAnsi="Times New Roman"/>
          <w:sz w:val="18"/>
          <w:szCs w:val="18"/>
          <w:color w:val="auto"/>
        </w:rPr>
      </w:pPr>
    </w:p>
    <w:p>
      <w:pPr>
        <w:ind w:left="1460" w:hanging="592"/>
        <w:spacing w:after="0"/>
        <w:tabs>
          <w:tab w:leader="none" w:pos="146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non-cash consideration received in connection with Dispositions permitted by</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6.05;</w:t>
      </w:r>
    </w:p>
    <w:p>
      <w:pPr>
        <w:spacing w:after="0" w:line="247" w:lineRule="exact"/>
        <w:rPr>
          <w:rFonts w:ascii="Times New Roman" w:cs="Times New Roman" w:eastAsia="Times New Roman" w:hAnsi="Times New Roman"/>
          <w:sz w:val="18"/>
          <w:szCs w:val="18"/>
          <w:color w:val="auto"/>
        </w:rPr>
      </w:pPr>
    </w:p>
    <w:p>
      <w:pPr>
        <w:ind w:left="1500" w:hanging="632"/>
        <w:spacing w:after="0"/>
        <w:tabs>
          <w:tab w:leader="none" w:pos="150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52" w:lineRule="exact"/>
        <w:rPr>
          <w:rFonts w:ascii="Times New Roman" w:cs="Times New Roman" w:eastAsia="Times New Roman" w:hAnsi="Times New Roman"/>
          <w:sz w:val="18"/>
          <w:szCs w:val="18"/>
          <w:color w:val="auto"/>
        </w:rPr>
      </w:pPr>
    </w:p>
    <w:p>
      <w:pPr>
        <w:ind w:left="1520" w:hanging="652"/>
        <w:spacing w:after="0"/>
        <w:tabs>
          <w:tab w:leader="none" w:pos="152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w:t>
      </w:r>
    </w:p>
    <w:p>
      <w:pPr>
        <w:spacing w:after="0" w:line="265" w:lineRule="exact"/>
        <w:rPr>
          <w:rFonts w:ascii="Times New Roman" w:cs="Times New Roman" w:eastAsia="Times New Roman" w:hAnsi="Times New Roman"/>
          <w:sz w:val="18"/>
          <w:szCs w:val="18"/>
          <w:color w:val="auto"/>
        </w:rPr>
      </w:pPr>
    </w:p>
    <w:p>
      <w:pPr>
        <w:jc w:val="both"/>
        <w:ind w:left="220" w:right="20" w:firstLine="648"/>
        <w:spacing w:after="0" w:line="266" w:lineRule="auto"/>
        <w:tabs>
          <w:tab w:leader="none" w:pos="147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ectPr>
          <w:pgSz w:w="11900" w:h="16838" w:orient="portrait"/>
          <w:cols w:equalWidth="0" w:num="1">
            <w:col w:w="9620"/>
          </w:cols>
          <w:pgMar w:left="1440" w:top="1440" w:right="839" w:bottom="1440" w:gutter="0" w:footer="0" w:header="0"/>
        </w:sectPr>
      </w:pPr>
    </w:p>
    <w:bookmarkStart w:id="631" w:name="page632"/>
    <w:bookmarkEnd w:id="631"/>
    <w:p>
      <w:pPr>
        <w:jc w:val="both"/>
        <w:ind w:left="220" w:firstLine="648"/>
        <w:spacing w:after="0" w:line="261" w:lineRule="auto"/>
        <w:tabs>
          <w:tab w:leader="none" w:pos="1469"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220" w:lineRule="exact"/>
        <w:rPr>
          <w:rFonts w:ascii="Times New Roman" w:cs="Times New Roman" w:eastAsia="Times New Roman" w:hAnsi="Times New Roman"/>
          <w:sz w:val="18"/>
          <w:szCs w:val="18"/>
          <w:color w:val="auto"/>
        </w:rPr>
      </w:pPr>
    </w:p>
    <w:p>
      <w:pPr>
        <w:jc w:val="both"/>
        <w:ind w:left="220" w:right="20" w:firstLine="648"/>
        <w:spacing w:after="0" w:line="261" w:lineRule="auto"/>
        <w:tabs>
          <w:tab w:leader="none" w:pos="147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w:t>
      </w:r>
    </w:p>
    <w:p>
      <w:pPr>
        <w:spacing w:after="0" w:line="287" w:lineRule="exact"/>
        <w:rPr>
          <w:rFonts w:ascii="Times New Roman" w:cs="Times New Roman" w:eastAsia="Times New Roman" w:hAnsi="Times New Roman"/>
          <w:sz w:val="18"/>
          <w:szCs w:val="18"/>
          <w:color w:val="auto"/>
        </w:rPr>
      </w:pPr>
    </w:p>
    <w:p>
      <w:pPr>
        <w:jc w:val="both"/>
        <w:ind w:left="220" w:right="20" w:firstLine="647"/>
        <w:spacing w:after="0" w:line="253" w:lineRule="auto"/>
        <w:tabs>
          <w:tab w:leader="none" w:pos="1479"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and other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 $</w:t>
      </w:r>
      <w:r>
        <w:rPr>
          <w:rFonts w:ascii="Times New Roman" w:cs="Times New Roman" w:eastAsia="Times New Roman" w:hAnsi="Times New Roman"/>
          <w:sz w:val="18"/>
          <w:szCs w:val="18"/>
          <w:color w:val="FF0000"/>
          <w:strike w:val="1"/>
        </w:rPr>
        <w:t>195,000,000</w:t>
      </w:r>
      <w:r>
        <w:rPr>
          <w:rFonts w:ascii="Times New Roman" w:cs="Times New Roman" w:eastAsia="Times New Roman" w:hAnsi="Times New Roman"/>
          <w:sz w:val="18"/>
          <w:szCs w:val="18"/>
          <w:u w:val="single" w:color="auto"/>
          <w:color w:val="0000FF"/>
        </w:rPr>
        <w:t>271,000,000</w:t>
      </w:r>
      <w:r>
        <w:rPr>
          <w:rFonts w:ascii="Times New Roman" w:cs="Times New Roman" w:eastAsia="Times New Roman" w:hAnsi="Times New Roman"/>
          <w:sz w:val="18"/>
          <w:szCs w:val="18"/>
          <w:color w:val="auto"/>
        </w:rPr>
        <w:t xml:space="preserve"> and (B) 50% of Consolidated EBITDA for the most recently ended Test Period after giving Pro Forma Effect to the making of such Investment or other acquisition,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Available Equity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General Restricted Payment Reallocated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Junior Debt Payment Reallocated Amount;</w:t>
      </w:r>
    </w:p>
    <w:p>
      <w:pPr>
        <w:spacing w:after="0" w:line="230" w:lineRule="exact"/>
        <w:rPr>
          <w:rFonts w:ascii="Times New Roman" w:cs="Times New Roman" w:eastAsia="Times New Roman" w:hAnsi="Times New Roman"/>
          <w:sz w:val="18"/>
          <w:szCs w:val="18"/>
          <w:color w:val="auto"/>
        </w:rPr>
      </w:pPr>
    </w:p>
    <w:p>
      <w:pPr>
        <w:ind w:left="1500" w:hanging="633"/>
        <w:spacing w:after="0"/>
        <w:tabs>
          <w:tab w:leader="none" w:pos="150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pacing w:after="0" w:line="265" w:lineRule="exact"/>
        <w:rPr>
          <w:rFonts w:ascii="Times New Roman" w:cs="Times New Roman" w:eastAsia="Times New Roman" w:hAnsi="Times New Roman"/>
          <w:sz w:val="18"/>
          <w:szCs w:val="18"/>
          <w:color w:val="auto"/>
        </w:rPr>
      </w:pPr>
    </w:p>
    <w:p>
      <w:pPr>
        <w:jc w:val="both"/>
        <w:ind w:left="220" w:right="20" w:firstLine="648"/>
        <w:spacing w:after="0" w:line="266" w:lineRule="auto"/>
        <w:tabs>
          <w:tab w:leader="none" w:pos="1469"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other acquisitions to the extent that payment for such Investments is made with Qualified Equity Interests (excluding Qualified Equity Interests the proceeds of which will be applied as Cure Amounts) of Holdings (or any direct or indirect parent thereof or the IPO Entity);</w:t>
      </w:r>
    </w:p>
    <w:p>
      <w:pPr>
        <w:spacing w:after="0" w:line="216" w:lineRule="exact"/>
        <w:rPr>
          <w:rFonts w:ascii="Times New Roman" w:cs="Times New Roman" w:eastAsia="Times New Roman" w:hAnsi="Times New Roman"/>
          <w:sz w:val="18"/>
          <w:szCs w:val="18"/>
          <w:color w:val="auto"/>
        </w:rPr>
      </w:pPr>
    </w:p>
    <w:p>
      <w:pPr>
        <w:jc w:val="both"/>
        <w:ind w:left="220" w:firstLine="647"/>
        <w:spacing w:after="0" w:line="256" w:lineRule="auto"/>
        <w:tabs>
          <w:tab w:leader="none" w:pos="1469"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Subsidiary acquired after the Effective Date or of a Person merged, amalgamated or consolidated with any Subsidiary in accordance with this Section 6.04 and Section 6.03 after the Effective Date or that otherwise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227" w:lineRule="exact"/>
        <w:rPr>
          <w:rFonts w:ascii="Times New Roman" w:cs="Times New Roman" w:eastAsia="Times New Roman" w:hAnsi="Times New Roman"/>
          <w:sz w:val="18"/>
          <w:szCs w:val="18"/>
          <w:color w:val="auto"/>
        </w:rPr>
      </w:pPr>
    </w:p>
    <w:p>
      <w:pPr>
        <w:ind w:left="1460" w:hanging="593"/>
        <w:spacing w:after="0"/>
        <w:tabs>
          <w:tab w:leader="none" w:pos="146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to the Borrower or any Restricted Subsidiary, if created or acquired in the ordinary course of</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33" w:lineRule="exact"/>
        <w:rPr>
          <w:rFonts w:ascii="Times New Roman" w:cs="Times New Roman" w:eastAsia="Times New Roman" w:hAnsi="Times New Roman"/>
          <w:sz w:val="18"/>
          <w:szCs w:val="18"/>
          <w:color w:val="auto"/>
        </w:rPr>
      </w:pPr>
    </w:p>
    <w:p>
      <w:pPr>
        <w:ind w:left="220" w:right="20" w:firstLine="647"/>
        <w:spacing w:after="0" w:line="282" w:lineRule="auto"/>
        <w:tabs>
          <w:tab w:leader="none" w:pos="148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for utilities, security deposits, leases and similar prepaid expenses incurred in the ordinary course of business and (B) trade accounts created, or prepaid expenses accrued, in the ordinary course of business;</w:t>
      </w:r>
    </w:p>
    <w:p>
      <w:pPr>
        <w:spacing w:after="0" w:line="202" w:lineRule="exact"/>
        <w:rPr>
          <w:rFonts w:ascii="Times New Roman" w:cs="Times New Roman" w:eastAsia="Times New Roman" w:hAnsi="Times New Roman"/>
          <w:sz w:val="18"/>
          <w:szCs w:val="18"/>
          <w:color w:val="auto"/>
        </w:rPr>
      </w:pPr>
    </w:p>
    <w:p>
      <w:pPr>
        <w:jc w:val="both"/>
        <w:ind w:left="220" w:right="40" w:firstLine="647"/>
        <w:spacing w:after="0" w:line="266" w:lineRule="auto"/>
        <w:tabs>
          <w:tab w:leader="none" w:pos="1476"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provided that after giving effect to any such activities, the security interests of the Lenders in the Collateral, taken as a whole, would not be materially impaired;</w:t>
      </w:r>
    </w:p>
    <w:p>
      <w:pPr>
        <w:spacing w:after="0" w:line="216" w:lineRule="exact"/>
        <w:rPr>
          <w:rFonts w:ascii="Times New Roman" w:cs="Times New Roman" w:eastAsia="Times New Roman" w:hAnsi="Times New Roman"/>
          <w:sz w:val="18"/>
          <w:szCs w:val="18"/>
          <w:color w:val="auto"/>
        </w:rPr>
      </w:pPr>
    </w:p>
    <w:p>
      <w:pPr>
        <w:ind w:left="220" w:right="20" w:firstLine="647"/>
        <w:spacing w:after="0" w:line="282" w:lineRule="auto"/>
        <w:tabs>
          <w:tab w:leader="none" w:pos="147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at the time of any such Investment and after giving effect thereto, (A) on a Pro Forma Basis, the Senior Secured Net Leverage Ratio is no greater than 7.00 to</w:t>
      </w:r>
    </w:p>
    <w:p>
      <w:pPr>
        <w:sectPr>
          <w:pgSz w:w="11900" w:h="16838" w:orient="portrait"/>
          <w:cols w:equalWidth="0" w:num="1">
            <w:col w:w="9620"/>
          </w:cols>
          <w:pgMar w:left="1440" w:top="1337" w:right="839" w:bottom="1440" w:gutter="0" w:footer="0" w:header="0"/>
        </w:sectPr>
      </w:pPr>
    </w:p>
    <w:bookmarkStart w:id="632" w:name="page633"/>
    <w:bookmarkEnd w:id="632"/>
    <w:p>
      <w:pPr>
        <w:ind w:left="640"/>
        <w:spacing w:after="0"/>
        <w:rPr>
          <w:sz w:val="20"/>
          <w:szCs w:val="20"/>
          <w:color w:val="auto"/>
        </w:rPr>
      </w:pPr>
      <w:r>
        <w:rPr>
          <w:rFonts w:ascii="Times New Roman" w:cs="Times New Roman" w:eastAsia="Times New Roman" w:hAnsi="Times New Roman"/>
          <w:sz w:val="18"/>
          <w:szCs w:val="18"/>
          <w:color w:val="auto"/>
        </w:rPr>
        <w:t>1.00 for the most recently ended Test Period and (B) no Event of Default exists or would result therefrom;</w:t>
      </w:r>
    </w:p>
    <w:p>
      <w:pPr>
        <w:spacing w:after="0" w:line="266" w:lineRule="exact"/>
        <w:rPr>
          <w:sz w:val="20"/>
          <w:szCs w:val="20"/>
          <w:color w:val="auto"/>
        </w:rPr>
      </w:pPr>
    </w:p>
    <w:p>
      <w:pPr>
        <w:ind w:left="640" w:right="60" w:firstLine="647"/>
        <w:spacing w:after="0" w:line="282" w:lineRule="auto"/>
        <w:tabs>
          <w:tab w:leader="none" w:pos="1889"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Indebtedness, Liens, fundamental changes, Dispositions and Restricted Payments permitted (other than by reference to this Section 6.04(v)) under Sections 6.01, 6.02, 6.03, 6.05 and 6.07, respectively;</w:t>
      </w:r>
    </w:p>
    <w:p>
      <w:pPr>
        <w:spacing w:after="0" w:line="202" w:lineRule="exact"/>
        <w:rPr>
          <w:rFonts w:ascii="Times New Roman" w:cs="Times New Roman" w:eastAsia="Times New Roman" w:hAnsi="Times New Roman"/>
          <w:sz w:val="18"/>
          <w:szCs w:val="18"/>
          <w:color w:val="auto"/>
        </w:rPr>
      </w:pPr>
    </w:p>
    <w:p>
      <w:pPr>
        <w:ind w:left="640" w:firstLine="647"/>
        <w:spacing w:after="0" w:line="282" w:lineRule="auto"/>
        <w:tabs>
          <w:tab w:leader="none" w:pos="1889"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188" w:lineRule="exact"/>
        <w:rPr>
          <w:rFonts w:ascii="Times New Roman" w:cs="Times New Roman" w:eastAsia="Times New Roman" w:hAnsi="Times New Roman"/>
          <w:sz w:val="18"/>
          <w:szCs w:val="18"/>
          <w:color w:val="auto"/>
        </w:rPr>
      </w:pPr>
    </w:p>
    <w:p>
      <w:pPr>
        <w:jc w:val="both"/>
        <w:ind w:left="640" w:right="40" w:firstLine="647"/>
        <w:spacing w:after="0" w:line="266" w:lineRule="auto"/>
        <w:tabs>
          <w:tab w:leader="none" w:pos="1889"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283" w:lineRule="exact"/>
        <w:rPr>
          <w:rFonts w:ascii="Times New Roman" w:cs="Times New Roman" w:eastAsia="Times New Roman" w:hAnsi="Times New Roman"/>
          <w:sz w:val="18"/>
          <w:szCs w:val="18"/>
          <w:color w:val="auto"/>
        </w:rPr>
      </w:pPr>
    </w:p>
    <w:p>
      <w:pPr>
        <w:ind w:left="640" w:right="40" w:firstLine="648"/>
        <w:spacing w:after="0" w:line="282" w:lineRule="auto"/>
        <w:tabs>
          <w:tab w:leader="none" w:pos="1889"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connection with intercompany cash management arrangements or related activities arising in the ordinary course of business;</w:t>
      </w:r>
    </w:p>
    <w:p>
      <w:pPr>
        <w:spacing w:after="0" w:line="202" w:lineRule="exact"/>
        <w:rPr>
          <w:rFonts w:ascii="Times New Roman" w:cs="Times New Roman" w:eastAsia="Times New Roman" w:hAnsi="Times New Roman"/>
          <w:sz w:val="18"/>
          <w:szCs w:val="18"/>
          <w:color w:val="auto"/>
        </w:rPr>
      </w:pPr>
    </w:p>
    <w:p>
      <w:pPr>
        <w:ind w:left="640" w:right="40" w:firstLine="648"/>
        <w:spacing w:after="0" w:line="282" w:lineRule="auto"/>
        <w:tabs>
          <w:tab w:leader="none" w:pos="1889"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188" w:lineRule="exact"/>
        <w:rPr>
          <w:rFonts w:ascii="Times New Roman" w:cs="Times New Roman" w:eastAsia="Times New Roman" w:hAnsi="Times New Roman"/>
          <w:sz w:val="18"/>
          <w:szCs w:val="18"/>
          <w:color w:val="auto"/>
        </w:rPr>
      </w:pPr>
    </w:p>
    <w:p>
      <w:pPr>
        <w:jc w:val="both"/>
        <w:ind w:left="640" w:right="20" w:firstLine="648"/>
        <w:spacing w:after="0" w:line="261" w:lineRule="auto"/>
        <w:tabs>
          <w:tab w:leader="none" w:pos="1893"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 </w:t>
      </w:r>
      <w:r>
        <w:rPr>
          <w:rFonts w:ascii="Times New Roman" w:cs="Times New Roman" w:eastAsia="Times New Roman" w:hAnsi="Times New Roman"/>
          <w:sz w:val="18"/>
          <w:szCs w:val="18"/>
          <w:color w:val="FF0000"/>
          <w:strike w:val="1"/>
        </w:rPr>
        <w:t>and</w:t>
      </w:r>
    </w:p>
    <w:p>
      <w:pPr>
        <w:spacing w:after="0" w:line="220" w:lineRule="exact"/>
        <w:rPr>
          <w:rFonts w:ascii="Times New Roman" w:cs="Times New Roman" w:eastAsia="Times New Roman" w:hAnsi="Times New Roman"/>
          <w:sz w:val="18"/>
          <w:szCs w:val="18"/>
          <w:color w:val="auto"/>
        </w:rPr>
      </w:pPr>
    </w:p>
    <w:p>
      <w:pPr>
        <w:ind w:left="1740" w:hanging="452"/>
        <w:spacing w:after="0"/>
        <w:tabs>
          <w:tab w:leader="none" w:pos="1740"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in connection with Settlements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 and</w:t>
      </w:r>
    </w:p>
    <w:p>
      <w:pPr>
        <w:spacing w:after="0" w:line="265" w:lineRule="exact"/>
        <w:rPr>
          <w:rFonts w:ascii="Times New Roman" w:cs="Times New Roman" w:eastAsia="Times New Roman" w:hAnsi="Times New Roman"/>
          <w:sz w:val="18"/>
          <w:szCs w:val="18"/>
          <w:color w:val="auto"/>
        </w:rPr>
      </w:pPr>
    </w:p>
    <w:p>
      <w:pPr>
        <w:ind w:left="640" w:right="860" w:firstLine="648"/>
        <w:spacing w:after="0" w:line="282" w:lineRule="auto"/>
        <w:tabs>
          <w:tab w:leader="none" w:pos="1813" w:val="left"/>
        </w:tabs>
        <w:numPr>
          <w:ilvl w:val="0"/>
          <w:numId w:val="7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non-cash investments in connection with tax planning and reorganization activities, and investments in connection with Permitted Intercompany Activities and Permitted Tax Restructurings.</w:t>
      </w:r>
    </w:p>
    <w:p>
      <w:pPr>
        <w:spacing w:after="0" w:line="18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Borrower or any Restricted Subsidiary in compliance with Section 6.04(c))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as a verb has the corresponding meaning), except:</w:t>
      </w:r>
    </w:p>
    <w:p>
      <w:pPr>
        <w:spacing w:after="0" w:line="224" w:lineRule="exact"/>
        <w:rPr>
          <w:sz w:val="20"/>
          <w:szCs w:val="20"/>
          <w:color w:val="auto"/>
        </w:rPr>
      </w:pPr>
    </w:p>
    <w:p>
      <w:pPr>
        <w:jc w:val="both"/>
        <w:ind w:left="640" w:right="40" w:firstLine="648"/>
        <w:spacing w:after="0" w:line="255" w:lineRule="auto"/>
        <w:tabs>
          <w:tab w:leader="none" w:pos="1893"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w:t>
      </w:r>
    </w:p>
    <w:p>
      <w:pPr>
        <w:sectPr>
          <w:pgSz w:w="11900" w:h="16838" w:orient="portrait"/>
          <w:cols w:equalWidth="0" w:num="1">
            <w:col w:w="10060"/>
          </w:cols>
          <w:pgMar w:left="1020" w:top="1337" w:right="819" w:bottom="1440" w:gutter="0" w:footer="0" w:header="0"/>
        </w:sectPr>
      </w:pPr>
    </w:p>
    <w:bookmarkStart w:id="633" w:name="page634"/>
    <w:bookmarkEnd w:id="633"/>
    <w:p>
      <w:pPr>
        <w:ind w:left="220" w:firstLine="648"/>
        <w:spacing w:after="0" w:line="282" w:lineRule="auto"/>
        <w:tabs>
          <w:tab w:leader="none" w:pos="1469" w:val="left"/>
        </w:tabs>
        <w:numPr>
          <w:ilvl w:val="1"/>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202" w:lineRule="exact"/>
        <w:rPr>
          <w:rFonts w:ascii="Times New Roman" w:cs="Times New Roman" w:eastAsia="Times New Roman" w:hAnsi="Times New Roman"/>
          <w:sz w:val="18"/>
          <w:szCs w:val="18"/>
          <w:color w:val="auto"/>
        </w:rPr>
      </w:pPr>
    </w:p>
    <w:p>
      <w:pPr>
        <w:jc w:val="both"/>
        <w:ind w:left="220" w:firstLine="648"/>
        <w:spacing w:after="0" w:line="266" w:lineRule="auto"/>
        <w:tabs>
          <w:tab w:leader="none" w:pos="1473" w:val="left"/>
        </w:tabs>
        <w:numPr>
          <w:ilvl w:val="1"/>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216" w:lineRule="exact"/>
        <w:rPr>
          <w:rFonts w:ascii="Times New Roman" w:cs="Times New Roman" w:eastAsia="Times New Roman" w:hAnsi="Times New Roman"/>
          <w:sz w:val="18"/>
          <w:szCs w:val="18"/>
          <w:color w:val="auto"/>
        </w:rPr>
      </w:pPr>
    </w:p>
    <w:p>
      <w:pPr>
        <w:ind w:left="220" w:firstLine="648"/>
        <w:spacing w:after="0" w:line="261" w:lineRule="auto"/>
        <w:tabs>
          <w:tab w:leader="none" w:pos="1469" w:val="left"/>
        </w:tabs>
        <w:numPr>
          <w:ilvl w:val="1"/>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either (i) the transferee must be a Loan Party,</w:t>
      </w:r>
    </w:p>
    <w:p>
      <w:pPr>
        <w:jc w:val="both"/>
        <w:ind w:left="220"/>
        <w:spacing w:after="0" w:line="253" w:lineRule="auto"/>
        <w:tabs>
          <w:tab w:leader="none" w:pos="487"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281" w:lineRule="exact"/>
        <w:rPr>
          <w:rFonts w:ascii="Times New Roman" w:cs="Times New Roman" w:eastAsia="Times New Roman" w:hAnsi="Times New Roman"/>
          <w:sz w:val="18"/>
          <w:szCs w:val="18"/>
          <w:color w:val="auto"/>
        </w:rPr>
      </w:pPr>
    </w:p>
    <w:p>
      <w:pPr>
        <w:jc w:val="both"/>
        <w:ind w:left="220" w:firstLine="648"/>
        <w:spacing w:after="0" w:line="266" w:lineRule="auto"/>
        <w:tabs>
          <w:tab w:leader="none" w:pos="1473"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Section 6.03, Investments permitted by Section 6.04, Restricted Payments permitted by Section 6.07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Liens permitted by Section 6.02 </w:t>
      </w:r>
      <w:r>
        <w:rPr>
          <w:rFonts w:ascii="Times New Roman" w:cs="Times New Roman" w:eastAsia="Times New Roman" w:hAnsi="Times New Roman"/>
          <w:sz w:val="18"/>
          <w:szCs w:val="18"/>
          <w:color w:val="0000FF"/>
        </w:rPr>
        <w:t>and otherwise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connection with Permitted Intercompany Activities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Permitted Tax Restructurings</w:t>
      </w:r>
      <w:r>
        <w:rPr>
          <w:rFonts w:ascii="Times New Roman" w:cs="Times New Roman" w:eastAsia="Times New Roman" w:hAnsi="Times New Roman"/>
          <w:sz w:val="18"/>
          <w:szCs w:val="18"/>
          <w:color w:val="000000"/>
        </w:rPr>
        <w:t>;</w:t>
      </w:r>
    </w:p>
    <w:p>
      <w:pPr>
        <w:spacing w:after="0" w:line="216" w:lineRule="exact"/>
        <w:rPr>
          <w:rFonts w:ascii="Times New Roman" w:cs="Times New Roman" w:eastAsia="Times New Roman" w:hAnsi="Times New Roman"/>
          <w:sz w:val="18"/>
          <w:szCs w:val="18"/>
          <w:color w:val="auto"/>
        </w:rPr>
      </w:pPr>
    </w:p>
    <w:p>
      <w:pPr>
        <w:ind w:left="220" w:firstLine="648"/>
        <w:spacing w:after="0" w:line="282" w:lineRule="auto"/>
        <w:tabs>
          <w:tab w:leader="none" w:pos="1480"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acquired by the Borrower or any of the Restricted Subsidiaries after the Effective Date pursuant to sale-leaseback transactions;</w:t>
      </w:r>
    </w:p>
    <w:p>
      <w:pPr>
        <w:spacing w:after="0" w:line="202" w:lineRule="exact"/>
        <w:rPr>
          <w:rFonts w:ascii="Times New Roman" w:cs="Times New Roman" w:eastAsia="Times New Roman" w:hAnsi="Times New Roman"/>
          <w:sz w:val="18"/>
          <w:szCs w:val="18"/>
          <w:color w:val="auto"/>
        </w:rPr>
      </w:pPr>
    </w:p>
    <w:p>
      <w:pPr>
        <w:ind w:left="1500" w:hanging="632"/>
        <w:spacing w:after="0"/>
        <w:tabs>
          <w:tab w:leader="none" w:pos="1500"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w:t>
      </w:r>
    </w:p>
    <w:p>
      <w:pPr>
        <w:spacing w:after="0" w:line="252" w:lineRule="exact"/>
        <w:rPr>
          <w:rFonts w:ascii="Times New Roman" w:cs="Times New Roman" w:eastAsia="Times New Roman" w:hAnsi="Times New Roman"/>
          <w:sz w:val="18"/>
          <w:szCs w:val="18"/>
          <w:color w:val="auto"/>
        </w:rPr>
      </w:pPr>
    </w:p>
    <w:p>
      <w:pPr>
        <w:ind w:left="220" w:firstLine="648"/>
        <w:spacing w:after="0" w:line="282" w:lineRule="auto"/>
        <w:tabs>
          <w:tab w:leader="none" w:pos="1469"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forgiveness of accounts receivable in connection with the collection or compromise thereof (including sales to factors or other third parties);</w:t>
      </w:r>
    </w:p>
    <w:p>
      <w:pPr>
        <w:spacing w:after="0" w:line="202" w:lineRule="exact"/>
        <w:rPr>
          <w:rFonts w:ascii="Times New Roman" w:cs="Times New Roman" w:eastAsia="Times New Roman" w:hAnsi="Times New Roman"/>
          <w:sz w:val="18"/>
          <w:szCs w:val="18"/>
          <w:color w:val="auto"/>
        </w:rPr>
      </w:pPr>
    </w:p>
    <w:p>
      <w:pPr>
        <w:jc w:val="both"/>
        <w:ind w:left="220" w:firstLine="648"/>
        <w:spacing w:after="0" w:line="266" w:lineRule="auto"/>
        <w:tabs>
          <w:tab w:leader="none" w:pos="1470"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service agreements, product sales, licenses or sublicenses (including licenses and sublicenses of Intellectual Property), in each case that do not materially interfere with the business of the Borrower and the Restricted Subsidiaries, taken as a whole;</w:t>
      </w:r>
    </w:p>
    <w:p>
      <w:pPr>
        <w:spacing w:after="0" w:line="216" w:lineRule="exact"/>
        <w:rPr>
          <w:rFonts w:ascii="Times New Roman" w:cs="Times New Roman" w:eastAsia="Times New Roman" w:hAnsi="Times New Roman"/>
          <w:sz w:val="18"/>
          <w:szCs w:val="18"/>
          <w:color w:val="auto"/>
        </w:rPr>
      </w:pPr>
    </w:p>
    <w:p>
      <w:pPr>
        <w:ind w:left="1520" w:hanging="652"/>
        <w:spacing w:after="0"/>
        <w:tabs>
          <w:tab w:leader="none" w:pos="1520"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Casualty Events;</w:t>
      </w:r>
    </w:p>
    <w:p>
      <w:pPr>
        <w:spacing w:after="0" w:line="265" w:lineRule="exact"/>
        <w:rPr>
          <w:rFonts w:ascii="Times New Roman" w:cs="Times New Roman" w:eastAsia="Times New Roman" w:hAnsi="Times New Roman"/>
          <w:sz w:val="18"/>
          <w:szCs w:val="18"/>
          <w:color w:val="auto"/>
        </w:rPr>
      </w:pPr>
    </w:p>
    <w:p>
      <w:pPr>
        <w:jc w:val="both"/>
        <w:ind w:left="220" w:firstLine="648"/>
        <w:spacing w:after="0" w:line="255" w:lineRule="auto"/>
        <w:tabs>
          <w:tab w:leader="none" w:pos="1469"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Disposition pursuant to this clause (k) for a purchase price in excess of</w:t>
      </w:r>
    </w:p>
    <w:p>
      <w:pPr>
        <w:spacing w:after="0" w:line="2" w:lineRule="exact"/>
        <w:rPr>
          <w:rFonts w:ascii="Times New Roman" w:cs="Times New Roman" w:eastAsia="Times New Roman" w:hAnsi="Times New Roman"/>
          <w:sz w:val="18"/>
          <w:szCs w:val="18"/>
          <w:color w:val="auto"/>
        </w:rPr>
      </w:pPr>
    </w:p>
    <w:p>
      <w:pPr>
        <w:jc w:val="both"/>
        <w:ind w:left="2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200,000,000</w:t>
      </w:r>
      <w:r>
        <w:rPr>
          <w:rFonts w:ascii="Times New Roman" w:cs="Times New Roman" w:eastAsia="Times New Roman" w:hAnsi="Times New Roman"/>
          <w:sz w:val="18"/>
          <w:szCs w:val="18"/>
          <w:u w:val="single" w:color="auto"/>
          <w:color w:val="0000FF"/>
        </w:rPr>
        <w:t>271,000,000</w:t>
      </w:r>
      <w:r>
        <w:rPr>
          <w:rFonts w:ascii="Times New Roman" w:cs="Times New Roman" w:eastAsia="Times New Roman" w:hAnsi="Times New Roman"/>
          <w:sz w:val="18"/>
          <w:szCs w:val="18"/>
          <w:color w:val="auto"/>
        </w:rPr>
        <w:t xml:space="preserve">, the Borrower or such Restricted Subsidiaries shall receive not less than 75% of such consideration in the form of cash or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for the purposes of this clause (k), (A) 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-4615180</wp:posOffset>
            </wp:positionV>
            <wp:extent cx="2019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930" cy="825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-4563745</wp:posOffset>
            </wp:positionV>
            <wp:extent cx="8178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ectPr>
          <w:pgSz w:w="11900" w:h="16838" w:orient="portrait"/>
          <w:cols w:equalWidth="0" w:num="1">
            <w:col w:w="9600"/>
          </w:cols>
          <w:pgMar w:left="1440" w:top="1337" w:right="859" w:bottom="1440" w:gutter="0" w:footer="0" w:header="0"/>
        </w:sectPr>
      </w:pPr>
    </w:p>
    <w:bookmarkStart w:id="634" w:name="page635"/>
    <w:bookmarkEnd w:id="634"/>
    <w:p>
      <w:pPr>
        <w:ind w:left="220" w:right="60"/>
        <w:spacing w:after="0" w:line="261" w:lineRule="auto"/>
        <w:rPr>
          <w:sz w:val="20"/>
          <w:szCs w:val="20"/>
          <w:color w:val="auto"/>
        </w:rPr>
      </w:pPr>
      <w:r>
        <w:rPr>
          <w:rFonts w:ascii="Times New Roman" w:cs="Times New Roman" w:eastAsia="Times New Roman" w:hAnsi="Times New Roman"/>
          <w:sz w:val="18"/>
          <w:szCs w:val="18"/>
          <w:color w:val="auto"/>
        </w:rPr>
        <w:t>Subsidiaries (to the extent previously liable thereunder) are released from any guarantee of payment of the principal amount of such Indebtedness in connection with such Disposition, shall be deemed to be cash,</w:t>
      </w:r>
    </w:p>
    <w:p>
      <w:pPr>
        <w:jc w:val="both"/>
        <w:ind w:left="220" w:right="40"/>
        <w:spacing w:after="0" w:line="254" w:lineRule="auto"/>
        <w:tabs>
          <w:tab w:leader="none" w:pos="564"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w:t>
      </w:r>
    </w:p>
    <w:p>
      <w:pPr>
        <w:spacing w:after="0" w:line="1" w:lineRule="exact"/>
        <w:rPr>
          <w:rFonts w:ascii="Times New Roman" w:cs="Times New Roman" w:eastAsia="Times New Roman" w:hAnsi="Times New Roman"/>
          <w:sz w:val="18"/>
          <w:szCs w:val="18"/>
          <w:color w:val="auto"/>
        </w:rPr>
      </w:pPr>
    </w:p>
    <w:p>
      <w:pPr>
        <w:jc w:val="both"/>
        <w:ind w:left="22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200,000,000</w:t>
      </w:r>
      <w:r>
        <w:rPr>
          <w:rFonts w:ascii="Times New Roman" w:cs="Times New Roman" w:eastAsia="Times New Roman" w:hAnsi="Times New Roman"/>
          <w:sz w:val="18"/>
          <w:szCs w:val="18"/>
          <w:u w:val="single" w:color="auto"/>
          <w:color w:val="0000FF"/>
        </w:rPr>
        <w:t>217,000,000</w:t>
      </w:r>
      <w:r>
        <w:rPr>
          <w:rFonts w:ascii="Times New Roman" w:cs="Times New Roman" w:eastAsia="Times New Roman" w:hAnsi="Times New Roman"/>
          <w:sz w:val="18"/>
          <w:szCs w:val="18"/>
          <w:color w:val="auto"/>
        </w:rPr>
        <w:t xml:space="preserve">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Required Revolving Lenders may waive such requirement;</w:t>
      </w:r>
    </w:p>
    <w:p>
      <w:pPr>
        <w:spacing w:after="0" w:line="227" w:lineRule="exact"/>
        <w:rPr>
          <w:rFonts w:ascii="Times New Roman" w:cs="Times New Roman" w:eastAsia="Times New Roman" w:hAnsi="Times New Roman"/>
          <w:sz w:val="18"/>
          <w:szCs w:val="18"/>
          <w:color w:val="auto"/>
        </w:rPr>
      </w:pPr>
    </w:p>
    <w:p>
      <w:pPr>
        <w:ind w:left="220" w:right="40" w:firstLine="648"/>
        <w:spacing w:after="0" w:line="282" w:lineRule="auto"/>
        <w:tabs>
          <w:tab w:leader="none" w:pos="1470"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256" w:lineRule="exact"/>
        <w:rPr>
          <w:rFonts w:ascii="Times New Roman" w:cs="Times New Roman" w:eastAsia="Times New Roman" w:hAnsi="Times New Roman"/>
          <w:sz w:val="18"/>
          <w:szCs w:val="18"/>
          <w:color w:val="auto"/>
        </w:rPr>
      </w:pPr>
    </w:p>
    <w:p>
      <w:pPr>
        <w:ind w:left="1480" w:hanging="612"/>
        <w:spacing w:after="0"/>
        <w:tabs>
          <w:tab w:leader="none" w:pos="1480"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the Equity Interests of any Immaterial Subsidiary or Unrestricted Subsidiary;</w:t>
      </w:r>
    </w:p>
    <w:p>
      <w:pPr>
        <w:spacing w:after="0" w:line="265" w:lineRule="exact"/>
        <w:rPr>
          <w:rFonts w:ascii="Times New Roman" w:cs="Times New Roman" w:eastAsia="Times New Roman" w:hAnsi="Times New Roman"/>
          <w:sz w:val="18"/>
          <w:szCs w:val="18"/>
          <w:color w:val="auto"/>
        </w:rPr>
      </w:pPr>
    </w:p>
    <w:p>
      <w:pPr>
        <w:jc w:val="both"/>
        <w:ind w:left="220" w:right="40" w:firstLine="648"/>
        <w:spacing w:after="0" w:line="261" w:lineRule="auto"/>
        <w:tabs>
          <w:tab w:leader="none" w:pos="1469"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assets (including Equity Interests) (A) acquired in connection with any Permitted Acquisition or other Investment not prohibited hereunder, which assets are not used or useful to the core or principal business of the Borrower and the Restricted Subsidiaries and (B) made to obtain the approval of any applicable antitrust authority in connection with a Permitted Acquisition;</w:t>
      </w:r>
    </w:p>
    <w:p>
      <w:pPr>
        <w:spacing w:after="0" w:line="220" w:lineRule="exact"/>
        <w:rPr>
          <w:rFonts w:ascii="Times New Roman" w:cs="Times New Roman" w:eastAsia="Times New Roman" w:hAnsi="Times New Roman"/>
          <w:sz w:val="18"/>
          <w:szCs w:val="18"/>
          <w:color w:val="auto"/>
        </w:rPr>
      </w:pPr>
    </w:p>
    <w:p>
      <w:pPr>
        <w:jc w:val="both"/>
        <w:ind w:left="220" w:right="40" w:firstLine="648"/>
        <w:spacing w:after="0" w:line="261" w:lineRule="auto"/>
        <w:tabs>
          <w:tab w:leader="none" w:pos="1469"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206" w:lineRule="exact"/>
        <w:rPr>
          <w:rFonts w:ascii="Times New Roman" w:cs="Times New Roman" w:eastAsia="Times New Roman" w:hAnsi="Times New Roman"/>
          <w:sz w:val="18"/>
          <w:szCs w:val="18"/>
          <w:color w:val="auto"/>
        </w:rPr>
      </w:pPr>
    </w:p>
    <w:p>
      <w:pPr>
        <w:jc w:val="both"/>
        <w:ind w:left="220" w:right="40" w:firstLine="648"/>
        <w:spacing w:after="0" w:line="261" w:lineRule="auto"/>
        <w:tabs>
          <w:tab w:leader="none" w:pos="1469"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220" w:lineRule="exact"/>
        <w:rPr>
          <w:rFonts w:ascii="Times New Roman" w:cs="Times New Roman" w:eastAsia="Times New Roman" w:hAnsi="Times New Roman"/>
          <w:sz w:val="18"/>
          <w:szCs w:val="18"/>
          <w:color w:val="auto"/>
        </w:rPr>
      </w:pPr>
    </w:p>
    <w:p>
      <w:pPr>
        <w:ind w:left="220" w:right="40" w:firstLine="648"/>
        <w:spacing w:after="0" w:line="282" w:lineRule="auto"/>
        <w:tabs>
          <w:tab w:leader="none" w:pos="1469"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or sublicenses, or other similar grants of rights, to Intellectual Property in the ordinary course of business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t>
      </w:r>
    </w:p>
    <w:p>
      <w:pPr>
        <w:spacing w:after="0" w:line="20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20" w:firstLine="1288"/>
        <w:spacing w:after="0" w:line="282" w:lineRule="auto"/>
        <w:tabs>
          <w:tab w:leader="none" w:pos="1481" w:val="left"/>
        </w:tabs>
        <w:numPr>
          <w:ilvl w:val="1"/>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declare or make, or agree to pay or make, directly or indirectly, any Restricted Payment, except:</w:t>
      </w:r>
    </w:p>
    <w:p>
      <w:pPr>
        <w:spacing w:after="0" w:line="202" w:lineRule="exact"/>
        <w:rPr>
          <w:rFonts w:ascii="Times New Roman" w:cs="Times New Roman" w:eastAsia="Times New Roman" w:hAnsi="Times New Roman"/>
          <w:sz w:val="18"/>
          <w:szCs w:val="18"/>
          <w:color w:val="auto"/>
        </w:rPr>
      </w:pPr>
    </w:p>
    <w:p>
      <w:pPr>
        <w:jc w:val="both"/>
        <w:ind w:left="-420" w:right="40" w:firstLine="727"/>
        <w:spacing w:after="0" w:line="258" w:lineRule="auto"/>
        <w:tabs>
          <w:tab w:leader="none" w:pos="837"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Subsidiary may make Restricted Payments to (x)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ectPr>
          <w:pgSz w:w="11900" w:h="16838" w:orient="portrait"/>
          <w:cols w:equalWidth="0" w:num="1">
            <w:col w:w="9640"/>
          </w:cols>
          <w:pgMar w:left="1440" w:top="1337" w:right="819" w:bottom="1440" w:gutter="0" w:footer="0" w:header="0"/>
        </w:sectPr>
      </w:pPr>
    </w:p>
    <w:bookmarkStart w:id="635" w:name="page636"/>
    <w:bookmarkEnd w:id="635"/>
    <w:p>
      <w:pPr>
        <w:ind w:left="9" w:right="60" w:firstLine="678"/>
        <w:spacing w:after="0" w:line="282" w:lineRule="auto"/>
        <w:tabs>
          <w:tab w:leader="none" w:pos="1266" w:val="left"/>
        </w:tabs>
        <w:numPr>
          <w:ilvl w:val="2"/>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Restricted Subsidiary may declare and make dividend payments or other distributions payable solely in the Equity Interests of such Person;</w:t>
      </w:r>
    </w:p>
    <w:p>
      <w:pPr>
        <w:spacing w:after="0" w:line="202" w:lineRule="exact"/>
        <w:rPr>
          <w:rFonts w:ascii="Times New Roman" w:cs="Times New Roman" w:eastAsia="Times New Roman" w:hAnsi="Times New Roman"/>
          <w:sz w:val="18"/>
          <w:szCs w:val="18"/>
          <w:color w:val="auto"/>
        </w:rPr>
      </w:pPr>
    </w:p>
    <w:p>
      <w:pPr>
        <w:ind w:left="1669" w:hanging="1032"/>
        <w:spacing w:after="0"/>
        <w:tabs>
          <w:tab w:leader="none" w:pos="1669" w:val="left"/>
        </w:tabs>
        <w:numPr>
          <w:ilvl w:val="2"/>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the Transactions;</w:t>
      </w:r>
    </w:p>
    <w:p>
      <w:pPr>
        <w:spacing w:after="0" w:line="265" w:lineRule="exact"/>
        <w:rPr>
          <w:rFonts w:ascii="Times New Roman" w:cs="Times New Roman" w:eastAsia="Times New Roman" w:hAnsi="Times New Roman"/>
          <w:sz w:val="18"/>
          <w:szCs w:val="18"/>
          <w:color w:val="auto"/>
        </w:rPr>
      </w:pPr>
    </w:p>
    <w:p>
      <w:pPr>
        <w:jc w:val="both"/>
        <w:ind w:left="9" w:right="40" w:firstLine="637"/>
        <w:spacing w:after="0" w:line="261" w:lineRule="auto"/>
        <w:tabs>
          <w:tab w:leader="none" w:pos="1265" w:val="left"/>
        </w:tabs>
        <w:numPr>
          <w:ilvl w:val="2"/>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in Holdings (or any direct or indirect parent of Holdings), any Intermediate Parent,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287" w:lineRule="exact"/>
        <w:rPr>
          <w:rFonts w:ascii="Times New Roman" w:cs="Times New Roman" w:eastAsia="Times New Roman" w:hAnsi="Times New Roman"/>
          <w:sz w:val="18"/>
          <w:szCs w:val="18"/>
          <w:color w:val="auto"/>
        </w:rPr>
      </w:pPr>
    </w:p>
    <w:p>
      <w:pPr>
        <w:jc w:val="both"/>
        <w:ind w:left="9" w:firstLine="686"/>
        <w:spacing w:after="0" w:line="266" w:lineRule="auto"/>
        <w:tabs>
          <w:tab w:leader="none" w:pos="1264" w:val="left"/>
        </w:tabs>
        <w:numPr>
          <w:ilvl w:val="2"/>
          <w:numId w:val="7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w:t>
      </w:r>
      <w:r>
        <w:rPr>
          <w:rFonts w:ascii="Times New Roman" w:cs="Times New Roman" w:eastAsia="Times New Roman" w:hAnsi="Times New Roman"/>
          <w:sz w:val="17"/>
          <w:szCs w:val="17"/>
          <w:color w:val="FF0000"/>
          <w:strike w:val="1"/>
        </w:rPr>
        <w:t>15,000,000</w:t>
      </w:r>
      <w:r>
        <w:rPr>
          <w:rFonts w:ascii="Times New Roman" w:cs="Times New Roman" w:eastAsia="Times New Roman" w:hAnsi="Times New Roman"/>
          <w:sz w:val="17"/>
          <w:szCs w:val="17"/>
          <w:u w:val="single" w:color="auto"/>
          <w:color w:val="0000FF"/>
        </w:rPr>
        <w:t>27,100,000</w:t>
      </w:r>
      <w:r>
        <w:rPr>
          <w:rFonts w:ascii="Times New Roman" w:cs="Times New Roman" w:eastAsia="Times New Roman" w:hAnsi="Times New Roman"/>
          <w:sz w:val="17"/>
          <w:szCs w:val="17"/>
          <w:color w:val="auto"/>
        </w:rPr>
        <w:t xml:space="preserve"> in any calendar year with unused amounts in any calendar year being carried over to succeeding calendar years subject to a maximum of $</w:t>
      </w:r>
      <w:r>
        <w:rPr>
          <w:rFonts w:ascii="Times New Roman" w:cs="Times New Roman" w:eastAsia="Times New Roman" w:hAnsi="Times New Roman"/>
          <w:sz w:val="17"/>
          <w:szCs w:val="17"/>
          <w:color w:val="FF0000"/>
          <w:strike w:val="1"/>
        </w:rPr>
        <w:t>35,000,000</w:t>
      </w:r>
      <w:r>
        <w:rPr>
          <w:rFonts w:ascii="Times New Roman" w:cs="Times New Roman" w:eastAsia="Times New Roman" w:hAnsi="Times New Roman"/>
          <w:sz w:val="17"/>
          <w:szCs w:val="17"/>
          <w:u w:val="single" w:color="auto"/>
          <w:color w:val="0000FF"/>
        </w:rPr>
        <w:t>54,200,000</w:t>
      </w:r>
      <w:r>
        <w:rPr>
          <w:rFonts w:ascii="Times New Roman" w:cs="Times New Roman" w:eastAsia="Times New Roman" w:hAnsi="Times New Roman"/>
          <w:sz w:val="17"/>
          <w:szCs w:val="17"/>
          <w:color w:val="auto"/>
        </w:rPr>
        <w:t xml:space="preserve"> in any calendar year (without giving effect to the following proviso);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amount in any calendar year may be increased by (1) an amount not to exceed the cash proceeds of key man life insurance policies received by the Borrower (or by Holdings (or any direct or indirect parent thereof) or an Intermediate Parent and contributed to the Borrower) or the Restricted Subsidiaries after the Effective Date, or</w:t>
      </w:r>
    </w:p>
    <w:p>
      <w:pPr>
        <w:spacing w:after="0" w:line="5" w:lineRule="exact"/>
        <w:rPr>
          <w:rFonts w:ascii="Times New Roman" w:cs="Times New Roman" w:eastAsia="Times New Roman" w:hAnsi="Times New Roman"/>
          <w:sz w:val="17"/>
          <w:szCs w:val="17"/>
          <w:color w:val="auto"/>
        </w:rPr>
      </w:pPr>
    </w:p>
    <w:p>
      <w:pPr>
        <w:jc w:val="both"/>
        <w:ind w:left="9" w:hanging="9"/>
        <w:spacing w:after="0" w:line="251" w:lineRule="auto"/>
        <w:tabs>
          <w:tab w:leader="none" w:pos="277"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w:t>
      </w:r>
    </w:p>
    <w:p>
      <w:pPr>
        <w:spacing w:after="0" w:line="233" w:lineRule="exact"/>
        <w:rPr>
          <w:rFonts w:ascii="Times New Roman" w:cs="Times New Roman" w:eastAsia="Times New Roman" w:hAnsi="Times New Roman"/>
          <w:sz w:val="18"/>
          <w:szCs w:val="18"/>
          <w:color w:val="auto"/>
        </w:rPr>
      </w:pPr>
    </w:p>
    <w:p>
      <w:pPr>
        <w:ind w:left="9" w:right="160" w:firstLine="637"/>
        <w:spacing w:after="0" w:line="261" w:lineRule="auto"/>
        <w:tabs>
          <w:tab w:leader="none" w:pos="1265"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made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making such Restricted Payments, (x) no Event of Default shall have occurred and be continuing or would result therefrom and</w:t>
      </w:r>
    </w:p>
    <w:p>
      <w:pPr>
        <w:ind w:left="9" w:right="460" w:hanging="8"/>
        <w:spacing w:after="0" w:line="260" w:lineRule="auto"/>
        <w:tabs>
          <w:tab w:leader="none" w:pos="264"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the Senior Secured Net Leverage Ratio is equal to or less than 6.00 to 1.00 for the most recently ended Test Period;</w:t>
      </w:r>
    </w:p>
    <w:p>
      <w:pPr>
        <w:spacing w:after="0" w:line="221" w:lineRule="exact"/>
        <w:rPr>
          <w:rFonts w:ascii="Times New Roman" w:cs="Times New Roman" w:eastAsia="Times New Roman" w:hAnsi="Times New Roman"/>
          <w:sz w:val="18"/>
          <w:szCs w:val="18"/>
          <w:color w:val="auto"/>
        </w:rPr>
      </w:pPr>
    </w:p>
    <w:p>
      <w:pPr>
        <w:ind w:left="9" w:right="260" w:firstLine="588"/>
        <w:spacing w:after="0" w:line="282" w:lineRule="auto"/>
        <w:tabs>
          <w:tab w:leader="none" w:pos="1265" w:val="left"/>
        </w:tabs>
        <w:numPr>
          <w:ilvl w:val="2"/>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any Restricted Subsidiary may make Restricted Payments in cash to the Borrower, Holdings and any Intermediate Parent:</w:t>
      </w:r>
    </w:p>
    <w:p>
      <w:pPr>
        <w:sectPr>
          <w:pgSz w:w="11900" w:h="16838" w:orient="portrait"/>
          <w:cols w:equalWidth="0" w:num="1">
            <w:col w:w="10069"/>
          </w:cols>
          <w:pgMar w:left="1011" w:top="1337" w:right="819" w:bottom="1440" w:gutter="0" w:footer="0" w:header="0"/>
        </w:sectPr>
      </w:pPr>
    </w:p>
    <w:bookmarkStart w:id="636" w:name="page637"/>
    <w:bookmarkEnd w:id="636"/>
    <w:p>
      <w:pPr>
        <w:jc w:val="both"/>
        <w:ind w:left="860" w:firstLine="655"/>
        <w:spacing w:after="0" w:line="253" w:lineRule="auto"/>
        <w:tabs>
          <w:tab w:leader="none" w:pos="2109" w:val="left"/>
        </w:tabs>
        <w:numPr>
          <w:ilvl w:val="1"/>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Borrower and/or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w:t>
      </w:r>
    </w:p>
    <w:p>
      <w:pPr>
        <w:spacing w:after="0" w:line="232" w:lineRule="exact"/>
        <w:rPr>
          <w:rFonts w:ascii="Times New Roman" w:cs="Times New Roman" w:eastAsia="Times New Roman" w:hAnsi="Times New Roman"/>
          <w:sz w:val="18"/>
          <w:szCs w:val="18"/>
          <w:color w:val="auto"/>
        </w:rPr>
      </w:pPr>
    </w:p>
    <w:p>
      <w:pPr>
        <w:jc w:val="both"/>
        <w:ind w:left="860" w:right="40" w:firstLine="655"/>
        <w:spacing w:after="0" w:line="258" w:lineRule="auto"/>
        <w:tabs>
          <w:tab w:leader="none" w:pos="2112" w:val="left"/>
        </w:tabs>
        <w:numPr>
          <w:ilvl w:val="1"/>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w:t>
      </w:r>
    </w:p>
    <w:p>
      <w:pPr>
        <w:spacing w:after="0" w:line="48" w:lineRule="exact"/>
        <w:rPr>
          <w:rFonts w:ascii="Times New Roman" w:cs="Times New Roman" w:eastAsia="Times New Roman" w:hAnsi="Times New Roman"/>
          <w:sz w:val="18"/>
          <w:szCs w:val="18"/>
          <w:color w:val="auto"/>
        </w:rPr>
      </w:pPr>
    </w:p>
    <w:p>
      <w:pPr>
        <w:jc w:val="both"/>
        <w:ind w:left="860" w:firstLine="8"/>
        <w:spacing w:after="0" w:line="257" w:lineRule="auto"/>
        <w:tabs>
          <w:tab w:leader="none" w:pos="1152"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w:t>
      </w:r>
    </w:p>
    <w:p>
      <w:pPr>
        <w:spacing w:after="0" w:line="1" w:lineRule="exact"/>
        <w:rPr>
          <w:rFonts w:ascii="Times New Roman" w:cs="Times New Roman" w:eastAsia="Times New Roman" w:hAnsi="Times New Roman"/>
          <w:sz w:val="18"/>
          <w:szCs w:val="18"/>
          <w:color w:val="auto"/>
        </w:rPr>
      </w:pPr>
    </w:p>
    <w:p>
      <w:pPr>
        <w:jc w:val="both"/>
        <w:ind w:left="860" w:firstLine="8"/>
        <w:spacing w:after="0" w:line="252" w:lineRule="auto"/>
        <w:tabs>
          <w:tab w:leader="none" w:pos="1120"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(x) due and payable by the Borrower and its Restricted Subsidiaries and (y) otherwise permitted to be paid by the Borrower and any Restricted Subsidiaries under this Agreement, (4) to the extent constituting a Restricted Payment, amounts due and payable pursuant to any investor management agreement entered into with the Sponsor after the Effective Date in an aggregate amount not to exceed 2.5% of Consolidated EBITDA for the most recently ended Test Period delivered pursuant to Section 5.01(a) as of the time of such Restricted Payment and (5) amounts that would otherwise be permitted to be paid pursuant to Section 6.08 (iii) or (xi);</w:t>
      </w:r>
    </w:p>
    <w:p>
      <w:pPr>
        <w:spacing w:after="0" w:line="230" w:lineRule="exact"/>
        <w:rPr>
          <w:rFonts w:ascii="Times New Roman" w:cs="Times New Roman" w:eastAsia="Times New Roman" w:hAnsi="Times New Roman"/>
          <w:sz w:val="18"/>
          <w:szCs w:val="18"/>
          <w:color w:val="auto"/>
        </w:rPr>
      </w:pPr>
    </w:p>
    <w:p>
      <w:pPr>
        <w:jc w:val="both"/>
        <w:ind w:left="860" w:right="40" w:firstLine="655"/>
        <w:spacing w:after="0" w:line="266" w:lineRule="auto"/>
        <w:tabs>
          <w:tab w:leader="none" w:pos="2112"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202" w:lineRule="exact"/>
        <w:rPr>
          <w:rFonts w:ascii="Times New Roman" w:cs="Times New Roman" w:eastAsia="Times New Roman" w:hAnsi="Times New Roman"/>
          <w:sz w:val="18"/>
          <w:szCs w:val="18"/>
          <w:color w:val="auto"/>
        </w:rPr>
      </w:pPr>
    </w:p>
    <w:p>
      <w:pPr>
        <w:jc w:val="both"/>
        <w:ind w:left="860" w:firstLine="655"/>
        <w:spacing w:after="0" w:line="254" w:lineRule="auto"/>
        <w:tabs>
          <w:tab w:leader="none" w:pos="2109"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finance any Investment made by Holdings or any Intermediate Parent that, if made by the Borrower, would be permitted to be made pursuant to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spacing w:after="0" w:line="228" w:lineRule="exact"/>
        <w:rPr>
          <w:rFonts w:ascii="Times New Roman" w:cs="Times New Roman" w:eastAsia="Times New Roman" w:hAnsi="Times New Roman"/>
          <w:sz w:val="18"/>
          <w:szCs w:val="18"/>
          <w:color w:val="auto"/>
        </w:rPr>
      </w:pPr>
    </w:p>
    <w:p>
      <w:pPr>
        <w:jc w:val="both"/>
        <w:ind w:left="860" w:right="40" w:firstLine="656"/>
        <w:spacing w:after="0" w:line="266" w:lineRule="auto"/>
        <w:tabs>
          <w:tab w:leader="none" w:pos="2116"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(or to make Restricted Payments to allow Holdings or any direct or indirect parent thereof or any Intermediate Parent thereof to pay) fees and expenses related to any equity or debt offering not prohibited by this Agreement;</w:t>
      </w:r>
    </w:p>
    <w:p>
      <w:pPr>
        <w:spacing w:after="0" w:line="216" w:lineRule="exact"/>
        <w:rPr>
          <w:rFonts w:ascii="Times New Roman" w:cs="Times New Roman" w:eastAsia="Times New Roman" w:hAnsi="Times New Roman"/>
          <w:sz w:val="18"/>
          <w:szCs w:val="18"/>
          <w:color w:val="auto"/>
        </w:rPr>
      </w:pPr>
    </w:p>
    <w:p>
      <w:pPr>
        <w:jc w:val="both"/>
        <w:ind w:left="860" w:right="120" w:firstLine="656"/>
        <w:spacing w:after="0" w:line="266" w:lineRule="auto"/>
        <w:tabs>
          <w:tab w:leader="none" w:pos="2119"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and other benefits payable to officers and employees of Holdings or any direct or indirect parent company of Holdings or any Intermediate Parent to the extent such salaries, bonuses and other benefits are</w:t>
      </w:r>
    </w:p>
    <w:p>
      <w:pPr>
        <w:sectPr>
          <w:pgSz w:w="11900" w:h="16838" w:orient="portrait"/>
          <w:cols w:equalWidth="0" w:num="1">
            <w:col w:w="9640"/>
          </w:cols>
          <w:pgMar w:left="1440" w:top="1337" w:right="819" w:bottom="1440" w:gutter="0" w:footer="0" w:header="0"/>
        </w:sectPr>
      </w:pPr>
    </w:p>
    <w:bookmarkStart w:id="637" w:name="page638"/>
    <w:bookmarkEnd w:id="637"/>
    <w:p>
      <w:pPr>
        <w:jc w:val="center"/>
        <w:ind w:right="-28"/>
        <w:spacing w:after="0"/>
        <w:rPr>
          <w:sz w:val="20"/>
          <w:szCs w:val="20"/>
          <w:color w:val="auto"/>
        </w:rPr>
      </w:pPr>
      <w:r>
        <w:rPr>
          <w:rFonts w:ascii="Times New Roman" w:cs="Times New Roman" w:eastAsia="Times New Roman" w:hAnsi="Times New Roman"/>
          <w:sz w:val="18"/>
          <w:szCs w:val="18"/>
          <w:color w:val="auto"/>
        </w:rPr>
        <w:t>attributable to the ownership or operation of Holdings, the Borrower and its Restricted Subsidiaries; and</w:t>
      </w:r>
    </w:p>
    <w:p>
      <w:pPr>
        <w:spacing w:after="0" w:line="266" w:lineRule="exact"/>
        <w:rPr>
          <w:sz w:val="20"/>
          <w:szCs w:val="20"/>
          <w:color w:val="auto"/>
        </w:rPr>
      </w:pPr>
    </w:p>
    <w:p>
      <w:pPr>
        <w:ind w:left="2549" w:hanging="604"/>
        <w:spacing w:after="0"/>
        <w:tabs>
          <w:tab w:leader="none" w:pos="2549"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make payments permitted by clause (b)(iv) and (b)(v) of Section</w:t>
      </w:r>
    </w:p>
    <w:p>
      <w:pPr>
        <w:spacing w:after="0" w:line="2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6.07;</w:t>
      </w:r>
    </w:p>
    <w:p>
      <w:pPr>
        <w:spacing w:after="0" w:line="247" w:lineRule="exact"/>
        <w:rPr>
          <w:sz w:val="20"/>
          <w:szCs w:val="20"/>
          <w:color w:val="auto"/>
        </w:rPr>
      </w:pPr>
    </w:p>
    <w:p>
      <w:pPr>
        <w:jc w:val="both"/>
        <w:ind w:left="9" w:right="40" w:firstLine="537"/>
        <w:spacing w:after="0" w:line="255" w:lineRule="auto"/>
        <w:tabs>
          <w:tab w:leader="none" w:pos="1266" w:val="left"/>
        </w:tabs>
        <w:numPr>
          <w:ilvl w:val="1"/>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Times New Roman" w:cs="Times New Roman" w:eastAsia="Times New Roman" w:hAnsi="Times New Roman"/>
          <w:sz w:val="18"/>
          <w:szCs w:val="18"/>
          <w:u w:val="single" w:color="auto"/>
          <w:color w:val="auto"/>
        </w:rPr>
        <w:t>plus</w:t>
      </w:r>
    </w:p>
    <w:p>
      <w:pPr>
        <w:spacing w:after="0" w:line="2" w:lineRule="exact"/>
        <w:rPr>
          <w:rFonts w:ascii="Times New Roman" w:cs="Times New Roman" w:eastAsia="Times New Roman" w:hAnsi="Times New Roman"/>
          <w:sz w:val="18"/>
          <w:szCs w:val="18"/>
          <w:color w:val="auto"/>
        </w:rPr>
      </w:pPr>
    </w:p>
    <w:p>
      <w:pPr>
        <w:ind w:left="9" w:right="40" w:hanging="9"/>
        <w:spacing w:after="0" w:line="260" w:lineRule="auto"/>
        <w:tabs>
          <w:tab w:leader="none" w:pos="309"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Equity Amount that is Not Otherwise Applied as in effect immediately prior to the time of making of such Restricted Payment;</w:t>
      </w:r>
    </w:p>
    <w:p>
      <w:pPr>
        <w:spacing w:after="0" w:line="221" w:lineRule="exact"/>
        <w:rPr>
          <w:rFonts w:ascii="Times New Roman" w:cs="Times New Roman" w:eastAsia="Times New Roman" w:hAnsi="Times New Roman"/>
          <w:sz w:val="18"/>
          <w:szCs w:val="18"/>
          <w:color w:val="auto"/>
        </w:rPr>
      </w:pPr>
    </w:p>
    <w:p>
      <w:pPr>
        <w:jc w:val="both"/>
        <w:ind w:left="9" w:right="40" w:firstLine="636"/>
        <w:spacing w:after="0" w:line="261" w:lineRule="auto"/>
        <w:tabs>
          <w:tab w:leader="none" w:pos="1265"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redemptions in whole or in part of any of its Equity Interests for another class of its Equity Interests or with proceeds from substantially concurrent equity contributions or issuances of new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new Equity Interests contain terms and provisions at least as advantageous to the Lenders in all respects material to their interests as those contained in the Equity Interests redeemed thereby;</w:t>
      </w:r>
    </w:p>
    <w:p>
      <w:pPr>
        <w:spacing w:after="0" w:line="274" w:lineRule="exact"/>
        <w:rPr>
          <w:rFonts w:ascii="Times New Roman" w:cs="Times New Roman" w:eastAsia="Times New Roman" w:hAnsi="Times New Roman"/>
          <w:sz w:val="18"/>
          <w:szCs w:val="18"/>
          <w:color w:val="auto"/>
        </w:rPr>
      </w:pPr>
    </w:p>
    <w:p>
      <w:pPr>
        <w:jc w:val="both"/>
        <w:ind w:left="9" w:right="40" w:firstLine="686"/>
        <w:spacing w:after="0" w:line="266" w:lineRule="auto"/>
        <w:tabs>
          <w:tab w:leader="none" w:pos="1264"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216" w:lineRule="exact"/>
        <w:rPr>
          <w:rFonts w:ascii="Times New Roman" w:cs="Times New Roman" w:eastAsia="Times New Roman" w:hAnsi="Times New Roman"/>
          <w:sz w:val="18"/>
          <w:szCs w:val="18"/>
          <w:color w:val="auto"/>
        </w:rPr>
      </w:pPr>
    </w:p>
    <w:p>
      <w:pPr>
        <w:jc w:val="both"/>
        <w:ind w:left="9" w:right="40" w:firstLine="636"/>
        <w:spacing w:after="0" w:line="261" w:lineRule="auto"/>
        <w:tabs>
          <w:tab w:leader="none" w:pos="1265"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220" w:lineRule="exact"/>
        <w:rPr>
          <w:rFonts w:ascii="Times New Roman" w:cs="Times New Roman" w:eastAsia="Times New Roman" w:hAnsi="Times New Roman"/>
          <w:sz w:val="18"/>
          <w:szCs w:val="18"/>
          <w:color w:val="auto"/>
        </w:rPr>
      </w:pPr>
    </w:p>
    <w:p>
      <w:pPr>
        <w:jc w:val="both"/>
        <w:ind w:left="9" w:right="40" w:firstLine="587"/>
        <w:spacing w:after="0" w:line="258" w:lineRule="auto"/>
        <w:tabs>
          <w:tab w:leader="none" w:pos="1265"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210" w:lineRule="exact"/>
        <w:rPr>
          <w:rFonts w:ascii="Times New Roman" w:cs="Times New Roman" w:eastAsia="Times New Roman" w:hAnsi="Times New Roman"/>
          <w:sz w:val="18"/>
          <w:szCs w:val="18"/>
          <w:color w:val="auto"/>
        </w:rPr>
      </w:pPr>
    </w:p>
    <w:p>
      <w:pPr>
        <w:ind w:left="1669" w:hanging="1122"/>
        <w:spacing w:after="0"/>
        <w:tabs>
          <w:tab w:leader="none" w:pos="1669"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65" w:lineRule="exact"/>
        <w:rPr>
          <w:rFonts w:ascii="Times New Roman" w:cs="Times New Roman" w:eastAsia="Times New Roman" w:hAnsi="Times New Roman"/>
          <w:sz w:val="18"/>
          <w:szCs w:val="18"/>
          <w:color w:val="auto"/>
        </w:rPr>
      </w:pPr>
    </w:p>
    <w:p>
      <w:pPr>
        <w:jc w:val="both"/>
        <w:ind w:left="9" w:right="40" w:firstLine="545"/>
        <w:spacing w:after="0" w:line="261" w:lineRule="auto"/>
        <w:tabs>
          <w:tab w:leader="none" w:pos="1264"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Restricted Payment on Holdings’ or the Borrower’s common stock (or the payment of Restricted Payments to Holdings or any direct or indirect parent company of Holdings to fund a payment of dividends on such company’s common stock), following consummation of an IPO, of up to 6.0% per annum of the net cash proceeds of such IPO received by or contributed to the Borrower, other than public offerings with respect to the IPO Entity’s common stock registered on Form S-8; and</w:t>
      </w:r>
    </w:p>
    <w:p>
      <w:pPr>
        <w:spacing w:after="0" w:line="220" w:lineRule="exact"/>
        <w:rPr>
          <w:rFonts w:ascii="Times New Roman" w:cs="Times New Roman" w:eastAsia="Times New Roman" w:hAnsi="Times New Roman"/>
          <w:sz w:val="18"/>
          <w:szCs w:val="18"/>
          <w:color w:val="auto"/>
        </w:rPr>
      </w:pPr>
    </w:p>
    <w:p>
      <w:pPr>
        <w:ind w:left="1669" w:hanging="1064"/>
        <w:spacing w:after="0"/>
        <w:tabs>
          <w:tab w:leader="none" w:pos="1669"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distributions or payments of Securitization Fees.</w:t>
      </w:r>
    </w:p>
    <w:p>
      <w:pPr>
        <w:spacing w:after="0" w:line="265" w:lineRule="exact"/>
        <w:rPr>
          <w:rFonts w:ascii="Times New Roman" w:cs="Times New Roman" w:eastAsia="Times New Roman" w:hAnsi="Times New Roman"/>
          <w:sz w:val="18"/>
          <w:szCs w:val="18"/>
          <w:color w:val="auto"/>
        </w:rPr>
      </w:pPr>
    </w:p>
    <w:p>
      <w:pPr>
        <w:jc w:val="both"/>
        <w:ind w:left="9" w:firstLine="1287"/>
        <w:spacing w:after="0" w:line="258" w:lineRule="auto"/>
        <w:tabs>
          <w:tab w:leader="none" w:pos="1906" w:val="left"/>
        </w:tabs>
        <w:numPr>
          <w:ilvl w:val="2"/>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ectPr>
          <w:pgSz w:w="11900" w:h="16838" w:orient="portrait"/>
          <w:cols w:equalWidth="0" w:num="1">
            <w:col w:w="10069"/>
          </w:cols>
          <w:pgMar w:left="1011" w:top="1337" w:right="819" w:bottom="1440" w:gutter="0" w:footer="0" w:header="0"/>
        </w:sectPr>
      </w:pPr>
    </w:p>
    <w:bookmarkStart w:id="638" w:name="page639"/>
    <w:bookmarkEnd w:id="638"/>
    <w:p>
      <w:pPr>
        <w:spacing w:after="0" w:line="154" w:lineRule="exact"/>
        <w:rPr>
          <w:sz w:val="20"/>
          <w:szCs w:val="20"/>
          <w:color w:val="auto"/>
        </w:rPr>
      </w:pPr>
    </w:p>
    <w:p>
      <w:pPr>
        <w:jc w:val="both"/>
        <w:ind w:left="9" w:firstLine="727"/>
        <w:spacing w:after="0" w:line="266" w:lineRule="auto"/>
        <w:tabs>
          <w:tab w:leader="none" w:pos="1266" w:val="left"/>
        </w:tabs>
        <w:numPr>
          <w:ilvl w:val="1"/>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216" w:lineRule="exact"/>
        <w:rPr>
          <w:rFonts w:ascii="Times New Roman" w:cs="Times New Roman" w:eastAsia="Times New Roman" w:hAnsi="Times New Roman"/>
          <w:sz w:val="18"/>
          <w:szCs w:val="18"/>
          <w:color w:val="auto"/>
        </w:rPr>
      </w:pPr>
    </w:p>
    <w:p>
      <w:pPr>
        <w:ind w:left="1249" w:hanging="513"/>
        <w:spacing w:after="0"/>
        <w:tabs>
          <w:tab w:leader="none" w:pos="1249" w:val="left"/>
        </w:tabs>
        <w:numPr>
          <w:ilvl w:val="2"/>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6.01;</w:t>
      </w:r>
    </w:p>
    <w:p>
      <w:pPr>
        <w:spacing w:after="0" w:line="265" w:lineRule="exact"/>
        <w:rPr>
          <w:rFonts w:ascii="Times New Roman" w:cs="Times New Roman" w:eastAsia="Times New Roman" w:hAnsi="Times New Roman"/>
          <w:sz w:val="18"/>
          <w:szCs w:val="18"/>
          <w:color w:val="auto"/>
        </w:rPr>
      </w:pPr>
    </w:p>
    <w:p>
      <w:pPr>
        <w:jc w:val="both"/>
        <w:ind w:left="9" w:right="20" w:firstLine="628"/>
        <w:spacing w:after="0" w:line="266" w:lineRule="auto"/>
        <w:tabs>
          <w:tab w:leader="none" w:pos="1267"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w:t>
      </w:r>
    </w:p>
    <w:p>
      <w:pPr>
        <w:spacing w:after="0" w:line="202" w:lineRule="exact"/>
        <w:rPr>
          <w:rFonts w:ascii="Times New Roman" w:cs="Times New Roman" w:eastAsia="Times New Roman" w:hAnsi="Times New Roman"/>
          <w:sz w:val="18"/>
          <w:szCs w:val="18"/>
          <w:color w:val="auto"/>
        </w:rPr>
      </w:pPr>
    </w:p>
    <w:p>
      <w:pPr>
        <w:jc w:val="both"/>
        <w:ind w:left="9" w:right="20" w:firstLine="637"/>
        <w:spacing w:after="0" w:line="268" w:lineRule="auto"/>
        <w:tabs>
          <w:tab w:leader="none" w:pos="1265" w:val="left"/>
        </w:tabs>
        <w:numPr>
          <w:ilvl w:val="1"/>
          <w:numId w:val="7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w:t>
      </w:r>
      <w:r>
        <w:rPr>
          <w:rFonts w:ascii="Times New Roman" w:cs="Times New Roman" w:eastAsia="Times New Roman" w:hAnsi="Times New Roman"/>
          <w:sz w:val="17"/>
          <w:szCs w:val="17"/>
          <w:color w:val="FF0000"/>
          <w:strike w:val="1"/>
        </w:rPr>
        <w:t>60,000,000</w:t>
      </w:r>
      <w:r>
        <w:rPr>
          <w:rFonts w:ascii="Times New Roman" w:cs="Times New Roman" w:eastAsia="Times New Roman" w:hAnsi="Times New Roman"/>
          <w:sz w:val="17"/>
          <w:szCs w:val="17"/>
          <w:u w:val="single" w:color="auto"/>
          <w:color w:val="0000FF"/>
        </w:rPr>
        <w:t>81,300,000</w:t>
      </w:r>
      <w:r>
        <w:rPr>
          <w:rFonts w:ascii="Times New Roman" w:cs="Times New Roman" w:eastAsia="Times New Roman" w:hAnsi="Times New Roman"/>
          <w:sz w:val="17"/>
          <w:szCs w:val="17"/>
          <w:color w:val="auto"/>
        </w:rPr>
        <w:t xml:space="preserve"> and (2) 15% of Consolidated EBITDA for the most recently ended Test Period after giving Pro Forma Effect to the making of such prepayment, redemption, purchase, defeasance or other payment,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(1) so long as no Event of Default shall have occurred and shall be continuing or would result therefrom and (2) on a Pro Forma Basis, the Total Net Leverage Ratio does not exceed 7.50 to 1.00 for the most recently ended Test Period</w:t>
      </w:r>
    </w:p>
    <w:p>
      <w:pPr>
        <w:spacing w:after="0" w:line="2" w:lineRule="exact"/>
        <w:rPr>
          <w:rFonts w:ascii="Times New Roman" w:cs="Times New Roman" w:eastAsia="Times New Roman" w:hAnsi="Times New Roman"/>
          <w:sz w:val="17"/>
          <w:szCs w:val="17"/>
          <w:color w:val="auto"/>
        </w:rPr>
      </w:pPr>
    </w:p>
    <w:p>
      <w:pPr>
        <w:ind w:left="9" w:right="20" w:hanging="8"/>
        <w:spacing w:after="0" w:line="260" w:lineRule="auto"/>
        <w:tabs>
          <w:tab w:leader="none" w:pos="272"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Available Equity Amount that is Not Otherwise Applied as in effect immediately prior to the time of making of such Investment;</w:t>
      </w:r>
    </w:p>
    <w:p>
      <w:pPr>
        <w:spacing w:after="0" w:line="221" w:lineRule="exact"/>
        <w:rPr>
          <w:rFonts w:ascii="Times New Roman" w:cs="Times New Roman" w:eastAsia="Times New Roman" w:hAnsi="Times New Roman"/>
          <w:sz w:val="18"/>
          <w:szCs w:val="18"/>
          <w:color w:val="auto"/>
        </w:rPr>
      </w:pPr>
    </w:p>
    <w:p>
      <w:pPr>
        <w:ind w:left="1669" w:hanging="973"/>
        <w:spacing w:after="0"/>
        <w:tabs>
          <w:tab w:leader="none" w:pos="1669"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connection with the Transactions;</w:t>
      </w:r>
    </w:p>
    <w:p>
      <w:pPr>
        <w:spacing w:after="0" w:line="265" w:lineRule="exact"/>
        <w:rPr>
          <w:rFonts w:ascii="Times New Roman" w:cs="Times New Roman" w:eastAsia="Times New Roman" w:hAnsi="Times New Roman"/>
          <w:sz w:val="18"/>
          <w:szCs w:val="18"/>
          <w:color w:val="auto"/>
        </w:rPr>
      </w:pPr>
    </w:p>
    <w:p>
      <w:pPr>
        <w:jc w:val="both"/>
        <w:ind w:left="9" w:right="20" w:firstLine="637"/>
        <w:spacing w:after="0" w:line="257" w:lineRule="auto"/>
        <w:tabs>
          <w:tab w:leader="none" w:pos="1265"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purchases, defeasances and other payments in respect of Junior Financing prior to their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w:t>
      </w:r>
    </w:p>
    <w:p>
      <w:pPr>
        <w:spacing w:after="0" w:line="1" w:lineRule="exact"/>
        <w:rPr>
          <w:rFonts w:ascii="Times New Roman" w:cs="Times New Roman" w:eastAsia="Times New Roman" w:hAnsi="Times New Roman"/>
          <w:sz w:val="18"/>
          <w:szCs w:val="18"/>
          <w:color w:val="auto"/>
        </w:rPr>
      </w:pPr>
    </w:p>
    <w:p>
      <w:pPr>
        <w:ind w:left="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no Event of Default exists or would result therefrom; </w:t>
      </w:r>
      <w:r>
        <w:rPr>
          <w:rFonts w:ascii="Times New Roman" w:cs="Times New Roman" w:eastAsia="Times New Roman" w:hAnsi="Times New Roman"/>
          <w:sz w:val="18"/>
          <w:szCs w:val="18"/>
          <w:color w:val="FF0000"/>
        </w:rPr>
        <w:t>and</w:t>
      </w:r>
    </w:p>
    <w:p>
      <w:pPr>
        <w:spacing w:after="0" w:line="247" w:lineRule="exact"/>
        <w:rPr>
          <w:rFonts w:ascii="Times New Roman" w:cs="Times New Roman" w:eastAsia="Times New Roman" w:hAnsi="Times New Roman"/>
          <w:sz w:val="18"/>
          <w:szCs w:val="18"/>
          <w:color w:val="auto"/>
        </w:rPr>
      </w:pPr>
    </w:p>
    <w:p>
      <w:pPr>
        <w:ind w:left="9" w:right="480" w:firstLine="587"/>
        <w:spacing w:after="0" w:line="282" w:lineRule="auto"/>
        <w:tabs>
          <w:tab w:leader="none" w:pos="1265"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Junior Financing owed to the Borrower or any Restricted Subsidiary or the prepayment of Permitted Refinancing of such Indebtedness with the proceeds of any other Junior Financing</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 and</w:t>
      </w:r>
    </w:p>
    <w:p>
      <w:pPr>
        <w:spacing w:after="0" w:line="188" w:lineRule="exact"/>
        <w:rPr>
          <w:rFonts w:ascii="Times New Roman" w:cs="Times New Roman" w:eastAsia="Times New Roman" w:hAnsi="Times New Roman"/>
          <w:sz w:val="18"/>
          <w:szCs w:val="18"/>
          <w:color w:val="auto"/>
        </w:rPr>
      </w:pPr>
    </w:p>
    <w:p>
      <w:pPr>
        <w:ind w:left="1669" w:hanging="1122"/>
        <w:spacing w:after="0"/>
        <w:tabs>
          <w:tab w:leader="none" w:pos="1669" w:val="left"/>
        </w:tabs>
        <w:numPr>
          <w:ilvl w:val="1"/>
          <w:numId w:val="760"/>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Payments made in connection with Permitted Intercompany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-788035</wp:posOffset>
            </wp:positionV>
            <wp:extent cx="1936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9" w:right="20" w:firstLine="1296"/>
        <w:spacing w:after="0" w:line="254"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the Borrower or any Restricted Subsidiary or any entity that becomes a Restricted Subsidiary as a result of such transaction and (B) transactions involving aggregate payment or consideration of less than $</w:t>
      </w:r>
      <w:r>
        <w:rPr>
          <w:rFonts w:ascii="Times New Roman" w:cs="Times New Roman" w:eastAsia="Times New Roman" w:hAnsi="Times New Roman"/>
          <w:sz w:val="18"/>
          <w:szCs w:val="18"/>
          <w:color w:val="FF0000"/>
          <w:strike w:val="1"/>
        </w:rPr>
        <w:t>40,000,000</w:t>
      </w:r>
      <w:r>
        <w:rPr>
          <w:rFonts w:ascii="Times New Roman" w:cs="Times New Roman" w:eastAsia="Times New Roman" w:hAnsi="Times New Roman"/>
          <w:sz w:val="18"/>
          <w:szCs w:val="18"/>
          <w:u w:val="single" w:color="auto"/>
          <w:color w:val="0000FF"/>
        </w:rPr>
        <w:t>54,200,000</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left="9" w:right="20" w:hanging="9"/>
        <w:spacing w:after="0" w:line="251" w:lineRule="auto"/>
        <w:tabs>
          <w:tab w:leader="none" w:pos="278"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substantially as favorable to the Borrower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6.07(a)(vii)(B)(4), (v) issuances of Equity Interests of the Borrower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w:t>
      </w:r>
    </w:p>
    <w:p>
      <w:pPr>
        <w:sectPr>
          <w:pgSz w:w="11900" w:h="16838" w:orient="portrait"/>
          <w:cols w:equalWidth="0" w:num="1">
            <w:col w:w="10049"/>
          </w:cols>
          <w:pgMar w:left="1011" w:top="1440" w:right="839" w:bottom="1440" w:gutter="0" w:footer="0" w:header="0"/>
        </w:sectPr>
      </w:pPr>
    </w:p>
    <w:bookmarkStart w:id="639" w:name="page640"/>
    <w:bookmarkEnd w:id="639"/>
    <w:p>
      <w:pPr>
        <w:jc w:val="both"/>
        <w:ind w:left="9" w:right="20"/>
        <w:spacing w:after="0" w:line="251" w:lineRule="auto"/>
        <w:rPr>
          <w:sz w:val="20"/>
          <w:szCs w:val="20"/>
          <w:color w:val="auto"/>
        </w:rPr>
      </w:pPr>
      <w:r>
        <w:rPr>
          <w:rFonts w:ascii="Times New Roman" w:cs="Times New Roman" w:eastAsia="Times New Roman" w:hAnsi="Times New Roman"/>
          <w:sz w:val="18"/>
          <w:szCs w:val="18"/>
          <w:color w:val="auto"/>
        </w:rPr>
        <w:t xml:space="preserve">pursuant to Sections 6.04(b) and 6.04(n)), (vii) 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w:t>
      </w:r>
      <w:r>
        <w:rPr>
          <w:rFonts w:ascii="Times New Roman" w:cs="Times New Roman" w:eastAsia="Times New Roman" w:hAnsi="Times New Roman"/>
          <w:sz w:val="18"/>
          <w:szCs w:val="18"/>
          <w:u w:val="single" w:color="auto"/>
          <w:color w:val="0000FF"/>
        </w:rPr>
        <w:t>Amendment No. 4</w:t>
      </w:r>
      <w:r>
        <w:rPr>
          <w:rFonts w:ascii="Times New Roman" w:cs="Times New Roman" w:eastAsia="Times New Roman" w:hAnsi="Times New Roman"/>
          <w:sz w:val="18"/>
          <w:szCs w:val="18"/>
          <w:color w:val="auto"/>
        </w:rPr>
        <w:t xml:space="preserve"> Effective Date and set forth on Schedule 6.08 or any amendment thereto to the extent such an amendment is not adverse to the Lenders in any material respect, (x) Restricted Payments permitted under Section 6.07 and loans and advances in lieu thereof pursuant to Section 6.04(l),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 (xiii) 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or such Restricted Subsidiary in good faith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(xvi) any other (A) Indebtedness permitted under Section 6.01 and Liens permitted under Section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and Liens are on terms which are fair and reasonable to the Borrower and its Subsidiaries as determined by the majority of disinterested members of the board of directors of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-346075</wp:posOffset>
            </wp:positionV>
            <wp:extent cx="2019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ind w:left="9" w:right="20" w:hanging="9"/>
        <w:spacing w:after="0" w:line="260" w:lineRule="auto"/>
        <w:tabs>
          <w:tab w:leader="none" w:pos="297"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permitted under Section 6.03, Investments permitted under Section 6.04 and Restricted Payments permitted under Section 6.07 </w:t>
      </w:r>
      <w:r>
        <w:rPr>
          <w:rFonts w:ascii="Times New Roman" w:cs="Times New Roman" w:eastAsia="Times New Roman" w:hAnsi="Times New Roman"/>
          <w:sz w:val="18"/>
          <w:szCs w:val="18"/>
          <w:color w:val="0000FF"/>
        </w:rPr>
        <w:t>and (xvii) Permitted Intercompany Activities and related transactions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-35560</wp:posOffset>
            </wp:positionV>
            <wp:extent cx="31915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191510" cy="8255"/>
                    </a:xfrm>
                    <a:prstGeom prst="rect">
                      <a:avLst/>
                    </a:prstGeom>
                    <a:noFill/>
                  </pic:spPr>
                </pic:pic>
              </a:graphicData>
            </a:graphic>
          </wp:anchor>
        </w:drawing>
      </w:r>
    </w:p>
    <w:p>
      <w:pPr>
        <w:spacing w:after="0" w:line="202"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u w:val="single" w:color="auto"/>
          <w:color w:val="auto"/>
        </w:rPr>
        <w:t>Restrictive Agreements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left="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220" w:lineRule="exact"/>
        <w:rPr>
          <w:sz w:val="20"/>
          <w:szCs w:val="20"/>
          <w:color w:val="auto"/>
        </w:rPr>
      </w:pPr>
    </w:p>
    <w:p>
      <w:pPr>
        <w:jc w:val="both"/>
        <w:ind w:left="649" w:right="20" w:firstLine="647"/>
        <w:spacing w:after="0" w:line="254" w:lineRule="auto"/>
        <w:tabs>
          <w:tab w:leader="none" w:pos="1902"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 intercompany debt owed to the Borrower or the Restricted Subsidiaries) that do not materially impair the Borrower’s ability to make payments on the Loans, (6) any documentation governing Indebtedness incurred pursuant to Section 6.01(a)(xxiv) or Section 6.01(a)(vii), (viii), (ix), (xv), (xxii)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(xxvii)</w:t>
      </w:r>
      <w:r>
        <w:rPr>
          <w:rFonts w:ascii="Times New Roman" w:cs="Times New Roman" w:eastAsia="Times New Roman" w:hAnsi="Times New Roman"/>
          <w:sz w:val="18"/>
          <w:szCs w:val="18"/>
          <w:u w:val="single" w:color="auto"/>
          <w:color w:val="0000FF"/>
        </w:rPr>
        <w:t>, (xxviii)</w:t>
      </w:r>
      <w:r>
        <w:rPr>
          <w:rFonts w:ascii="Times New Roman" w:cs="Times New Roman" w:eastAsia="Times New Roman" w:hAnsi="Times New Roman"/>
          <w:sz w:val="18"/>
          <w:szCs w:val="18"/>
          <w:color w:val="auto"/>
        </w:rPr>
        <w:t xml:space="preserve"> and (6) any documentation governing any Permitted Refinancing incurred to refinance any such Indebtedness referenced in clauses (1) through (5) above;</w:t>
      </w:r>
    </w:p>
    <w:p>
      <w:pPr>
        <w:spacing w:after="0" w:line="232" w:lineRule="exact"/>
        <w:rPr>
          <w:rFonts w:ascii="Times New Roman" w:cs="Times New Roman" w:eastAsia="Times New Roman" w:hAnsi="Times New Roman"/>
          <w:sz w:val="18"/>
          <w:szCs w:val="18"/>
          <w:color w:val="auto"/>
        </w:rPr>
      </w:pPr>
    </w:p>
    <w:p>
      <w:pPr>
        <w:jc w:val="both"/>
        <w:ind w:left="649" w:right="20" w:firstLine="647"/>
        <w:spacing w:after="0" w:line="266" w:lineRule="auto"/>
        <w:tabs>
          <w:tab w:leader="none" w:pos="1898"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202" w:lineRule="exact"/>
        <w:rPr>
          <w:rFonts w:ascii="Times New Roman" w:cs="Times New Roman" w:eastAsia="Times New Roman" w:hAnsi="Times New Roman"/>
          <w:sz w:val="18"/>
          <w:szCs w:val="18"/>
          <w:color w:val="auto"/>
        </w:rPr>
      </w:pPr>
    </w:p>
    <w:p>
      <w:pPr>
        <w:jc w:val="both"/>
        <w:ind w:left="649" w:right="20" w:firstLine="647"/>
        <w:spacing w:after="0" w:line="266" w:lineRule="auto"/>
        <w:tabs>
          <w:tab w:leader="none" w:pos="1902"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contained in agreements relating to the sale of a Subsidiary or any assets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or assets that is or are to be sold and such sale is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-1504950</wp:posOffset>
            </wp:positionV>
            <wp:extent cx="1238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ectPr>
          <w:pgSz w:w="11900" w:h="16838" w:orient="portrait"/>
          <w:cols w:equalWidth="0" w:num="1">
            <w:col w:w="10049"/>
          </w:cols>
          <w:pgMar w:left="1011" w:top="1337" w:right="839" w:bottom="1440" w:gutter="0" w:footer="0" w:header="0"/>
        </w:sectPr>
      </w:pPr>
    </w:p>
    <w:bookmarkStart w:id="640" w:name="page641"/>
    <w:bookmarkEnd w:id="640"/>
    <w:p>
      <w:pPr>
        <w:spacing w:after="0" w:line="154" w:lineRule="exact"/>
        <w:rPr>
          <w:sz w:val="20"/>
          <w:szCs w:val="20"/>
          <w:color w:val="auto"/>
        </w:rPr>
      </w:pPr>
    </w:p>
    <w:p>
      <w:pPr>
        <w:ind w:left="640" w:right="40" w:firstLine="647"/>
        <w:spacing w:after="0" w:line="282" w:lineRule="auto"/>
        <w:tabs>
          <w:tab w:leader="none" w:pos="1889"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sublicenses and other contracts (including licenses and sublicenses of Intellectual Property) restricting the assignment thereof;</w:t>
      </w:r>
    </w:p>
    <w:p>
      <w:pPr>
        <w:spacing w:after="0" w:line="202" w:lineRule="exact"/>
        <w:rPr>
          <w:rFonts w:ascii="Times New Roman" w:cs="Times New Roman" w:eastAsia="Times New Roman" w:hAnsi="Times New Roman"/>
          <w:sz w:val="18"/>
          <w:szCs w:val="18"/>
          <w:color w:val="auto"/>
        </w:rPr>
      </w:pPr>
    </w:p>
    <w:p>
      <w:pPr>
        <w:ind w:left="640" w:right="40" w:firstLine="647"/>
        <w:spacing w:after="0" w:line="282" w:lineRule="auto"/>
        <w:tabs>
          <w:tab w:leader="none" w:pos="1893"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agreement relating to secured Indebtedness permitted by this Agreement to the extent such restriction applies only to the property securing such Indebtedness;</w:t>
      </w:r>
    </w:p>
    <w:p>
      <w:pPr>
        <w:spacing w:after="0" w:line="188" w:lineRule="exact"/>
        <w:rPr>
          <w:rFonts w:ascii="Times New Roman" w:cs="Times New Roman" w:eastAsia="Times New Roman" w:hAnsi="Times New Roman"/>
          <w:sz w:val="18"/>
          <w:szCs w:val="18"/>
          <w:color w:val="auto"/>
        </w:rPr>
      </w:pPr>
    </w:p>
    <w:p>
      <w:pPr>
        <w:jc w:val="both"/>
        <w:ind w:left="640" w:right="40" w:firstLine="647"/>
        <w:spacing w:after="0" w:line="261" w:lineRule="auto"/>
        <w:tabs>
          <w:tab w:leader="none" w:pos="190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220" w:lineRule="exact"/>
        <w:rPr>
          <w:rFonts w:ascii="Times New Roman" w:cs="Times New Roman" w:eastAsia="Times New Roman" w:hAnsi="Times New Roman"/>
          <w:sz w:val="18"/>
          <w:szCs w:val="18"/>
          <w:color w:val="auto"/>
        </w:rPr>
      </w:pPr>
    </w:p>
    <w:p>
      <w:pPr>
        <w:jc w:val="both"/>
        <w:ind w:left="640" w:right="40" w:firstLine="648"/>
        <w:spacing w:after="0" w:line="261" w:lineRule="auto"/>
        <w:tabs>
          <w:tab w:leader="none" w:pos="1889"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spacing w:after="0" w:line="287" w:lineRule="exact"/>
        <w:rPr>
          <w:rFonts w:ascii="Times New Roman" w:cs="Times New Roman" w:eastAsia="Times New Roman" w:hAnsi="Times New Roman"/>
          <w:sz w:val="18"/>
          <w:szCs w:val="18"/>
          <w:color w:val="auto"/>
        </w:rPr>
      </w:pPr>
    </w:p>
    <w:p>
      <w:pPr>
        <w:ind w:left="640" w:right="60" w:firstLine="648"/>
        <w:spacing w:after="0" w:line="282" w:lineRule="auto"/>
        <w:tabs>
          <w:tab w:leader="none" w:pos="1889"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188" w:lineRule="exact"/>
        <w:rPr>
          <w:rFonts w:ascii="Times New Roman" w:cs="Times New Roman" w:eastAsia="Times New Roman" w:hAnsi="Times New Roman"/>
          <w:sz w:val="18"/>
          <w:szCs w:val="18"/>
          <w:color w:val="auto"/>
        </w:rPr>
      </w:pPr>
    </w:p>
    <w:p>
      <w:pPr>
        <w:jc w:val="both"/>
        <w:ind w:left="640" w:right="40" w:firstLine="647"/>
        <w:spacing w:after="0" w:line="266" w:lineRule="auto"/>
        <w:tabs>
          <w:tab w:leader="none" w:pos="189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216" w:lineRule="exact"/>
        <w:rPr>
          <w:rFonts w:ascii="Times New Roman" w:cs="Times New Roman" w:eastAsia="Times New Roman" w:hAnsi="Times New Roman"/>
          <w:sz w:val="18"/>
          <w:szCs w:val="18"/>
          <w:color w:val="auto"/>
        </w:rPr>
      </w:pPr>
    </w:p>
    <w:p>
      <w:pPr>
        <w:ind w:left="640" w:right="40" w:firstLine="647"/>
        <w:spacing w:after="0" w:line="282" w:lineRule="auto"/>
        <w:tabs>
          <w:tab w:leader="none" w:pos="189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and other similar agreements applicable to joint ventures permitted by Section 6.04;</w:t>
      </w:r>
    </w:p>
    <w:p>
      <w:pPr>
        <w:spacing w:after="0" w:line="202" w:lineRule="exact"/>
        <w:rPr>
          <w:rFonts w:ascii="Times New Roman" w:cs="Times New Roman" w:eastAsia="Times New Roman" w:hAnsi="Times New Roman"/>
          <w:sz w:val="18"/>
          <w:szCs w:val="18"/>
          <w:color w:val="auto"/>
        </w:rPr>
      </w:pPr>
    </w:p>
    <w:p>
      <w:pPr>
        <w:ind w:left="640" w:right="40" w:firstLine="647"/>
        <w:spacing w:after="0" w:line="282" w:lineRule="auto"/>
        <w:tabs>
          <w:tab w:leader="none" w:pos="1889"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202" w:lineRule="exact"/>
        <w:rPr>
          <w:rFonts w:ascii="Times New Roman" w:cs="Times New Roman" w:eastAsia="Times New Roman" w:hAnsi="Times New Roman"/>
          <w:sz w:val="18"/>
          <w:szCs w:val="18"/>
          <w:color w:val="auto"/>
        </w:rPr>
      </w:pPr>
    </w:p>
    <w:p>
      <w:pPr>
        <w:ind w:left="640" w:right="40" w:firstLine="648"/>
        <w:spacing w:after="0" w:line="282" w:lineRule="auto"/>
        <w:tabs>
          <w:tab w:leader="none" w:pos="189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 leasehold interest of Holdings, any Intermediate Parent, the Borrower or any Restricted Subsidiary; and</w:t>
      </w:r>
    </w:p>
    <w:p>
      <w:pPr>
        <w:spacing w:after="0" w:line="188" w:lineRule="exact"/>
        <w:rPr>
          <w:rFonts w:ascii="Times New Roman" w:cs="Times New Roman" w:eastAsia="Times New Roman" w:hAnsi="Times New Roman"/>
          <w:sz w:val="18"/>
          <w:szCs w:val="18"/>
          <w:color w:val="auto"/>
        </w:rPr>
      </w:pPr>
    </w:p>
    <w:p>
      <w:pPr>
        <w:jc w:val="both"/>
        <w:ind w:left="640" w:firstLine="648"/>
        <w:spacing w:after="0" w:line="266" w:lineRule="auto"/>
        <w:tabs>
          <w:tab w:leader="none" w:pos="1899"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216"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Amendment of Junior Financing</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The Borrower will not, and will not permit any Restricted Subsidiary to, amend or modify the documentation governing any Junior Financing if the effect of such amendment or modification is materially adverse to the Lenders or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modification will not be deemed to be materially adverse if such Junior Financing could be otherwise incurred under this Agreement (including as Indebtedness that does not constitute a Junior Financing) with such terms as so modified at the time of such modification.</w:t>
      </w:r>
    </w:p>
    <w:p>
      <w:pPr>
        <w:spacing w:after="0" w:line="21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Solely with respect to the Revolving Facility, if on the last day of any Test Period (commencing with the Test Period ending March 31, 2020), the sum of (i) the aggregate principal amount of Revolving Loans then outstanding (other than for the first four fiscal quarters following the Effective Date, any Revolving Loans</w:t>
      </w:r>
    </w:p>
    <w:p>
      <w:pPr>
        <w:sectPr>
          <w:pgSz w:w="11900" w:h="16838" w:orient="portrait"/>
          <w:cols w:equalWidth="0" w:num="1">
            <w:col w:w="10060"/>
          </w:cols>
          <w:pgMar w:left="1020" w:top="1440" w:right="819" w:bottom="1440" w:gutter="0" w:footer="0" w:header="0"/>
        </w:sectPr>
      </w:pPr>
    </w:p>
    <w:bookmarkStart w:id="641" w:name="page642"/>
    <w:bookmarkEnd w:id="641"/>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 xml:space="preserve">borrowed to fund any fees paid on the Effective Date in connection with the Transactions),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amount of LC Disbursements that have not been reimbursed (or otherwise cash collateralized or backstopped) within two (2) Business Days by or on behalf of the Borrower following the end of the applicable fiscal quarter, exceeds the greater of (x) $169,500,000 and (y) 40% of the aggregate principal amount of Revolving Commitments then in effect (after including any Additional/Replacement Revolving Commitments or Incremental Revolving Commitment Increase then in effect), the Borrower will not permit the Senior Secured First Lien Net Leverage Ratio to exceed 9.00 to 1.00 on the last day of such Test Period.</w:t>
      </w:r>
    </w:p>
    <w:p>
      <w:pPr>
        <w:spacing w:after="0" w:line="228"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8"/>
          <w:szCs w:val="18"/>
          <w:u w:val="single" w:color="auto"/>
          <w:color w:val="auto"/>
        </w:rPr>
        <w:t>Changes in Fiscal Periods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The Borrower will not make any change in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may, upon written notice to the First 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limitation of this Section 6.12 shall not apply with respect to any short year resulting from the Transactions to occur on the Effective Date.</w:t>
      </w:r>
    </w:p>
    <w:p>
      <w:pPr>
        <w:spacing w:after="0" w:line="200" w:lineRule="exact"/>
        <w:rPr>
          <w:sz w:val="20"/>
          <w:szCs w:val="20"/>
          <w:color w:val="auto"/>
        </w:rPr>
      </w:pPr>
    </w:p>
    <w:p>
      <w:pPr>
        <w:spacing w:after="0" w:line="253" w:lineRule="exact"/>
        <w:rPr>
          <w:sz w:val="20"/>
          <w:szCs w:val="20"/>
          <w:color w:val="auto"/>
        </w:rPr>
      </w:pPr>
    </w:p>
    <w:p>
      <w:pPr>
        <w:ind w:left="1280" w:right="3500" w:firstLine="2386"/>
        <w:spacing w:after="0" w:line="407" w:lineRule="auto"/>
        <w:rPr>
          <w:sz w:val="20"/>
          <w:szCs w:val="20"/>
          <w:color w:val="auto"/>
        </w:rPr>
      </w:pPr>
      <w:r>
        <w:rPr>
          <w:rFonts w:ascii="Times New Roman" w:cs="Times New Roman" w:eastAsia="Times New Roman" w:hAnsi="Times New Roman"/>
          <w:sz w:val="18"/>
          <w:szCs w:val="18"/>
          <w:color w:val="auto"/>
        </w:rPr>
        <w:t xml:space="preserve">ARTICLE VII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266" w:lineRule="exact"/>
        <w:rPr>
          <w:sz w:val="20"/>
          <w:szCs w:val="20"/>
          <w:color w:val="auto"/>
        </w:rPr>
      </w:pPr>
    </w:p>
    <w:p>
      <w:pPr>
        <w:jc w:val="both"/>
        <w:ind w:left="640" w:right="60" w:firstLine="648"/>
        <w:spacing w:after="0" w:line="266" w:lineRule="auto"/>
        <w:tabs>
          <w:tab w:leader="none" w:pos="1893"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202" w:lineRule="exact"/>
        <w:rPr>
          <w:rFonts w:ascii="Times New Roman" w:cs="Times New Roman" w:eastAsia="Times New Roman" w:hAnsi="Times New Roman"/>
          <w:sz w:val="18"/>
          <w:szCs w:val="18"/>
          <w:color w:val="auto"/>
        </w:rPr>
      </w:pPr>
    </w:p>
    <w:p>
      <w:pPr>
        <w:jc w:val="both"/>
        <w:ind w:left="640" w:right="40" w:firstLine="648"/>
        <w:spacing w:after="0" w:line="266" w:lineRule="auto"/>
        <w:tabs>
          <w:tab w:leader="none" w:pos="1889"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any interest on any Loan or any fee or any other amount (other than an amount referred to in paragraph (a) of this Section 7.01) payable under any First Lien Loan Document, when and as the same shall become due and payable, and such failure shall continue unremedied for a period of five (5) Business Days;</w:t>
      </w:r>
    </w:p>
    <w:p>
      <w:pPr>
        <w:spacing w:after="0" w:line="216" w:lineRule="exact"/>
        <w:rPr>
          <w:rFonts w:ascii="Times New Roman" w:cs="Times New Roman" w:eastAsia="Times New Roman" w:hAnsi="Times New Roman"/>
          <w:sz w:val="18"/>
          <w:szCs w:val="18"/>
          <w:color w:val="auto"/>
        </w:rPr>
      </w:pPr>
    </w:p>
    <w:p>
      <w:pPr>
        <w:jc w:val="both"/>
        <w:ind w:left="640" w:right="40" w:firstLine="647"/>
        <w:spacing w:after="0" w:line="255" w:lineRule="auto"/>
        <w:tabs>
          <w:tab w:leader="none" w:pos="1893"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w:t>
      </w:r>
    </w:p>
    <w:p>
      <w:pPr>
        <w:spacing w:after="0" w:line="229" w:lineRule="exact"/>
        <w:rPr>
          <w:rFonts w:ascii="Times New Roman" w:cs="Times New Roman" w:eastAsia="Times New Roman" w:hAnsi="Times New Roman"/>
          <w:sz w:val="18"/>
          <w:szCs w:val="18"/>
          <w:color w:val="auto"/>
        </w:rPr>
      </w:pPr>
    </w:p>
    <w:p>
      <w:pPr>
        <w:jc w:val="both"/>
        <w:ind w:left="640" w:right="40" w:firstLine="647"/>
        <w:spacing w:after="0" w:line="261" w:lineRule="auto"/>
        <w:tabs>
          <w:tab w:leader="none" w:pos="1889"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 5.14 or in Article VI (other than Section 6.08 or 6.12 or the Financial Performance Covenant); or</w:t>
      </w:r>
    </w:p>
    <w:p>
      <w:pPr>
        <w:spacing w:after="0" w:line="220" w:lineRule="exact"/>
        <w:rPr>
          <w:rFonts w:ascii="Times New Roman" w:cs="Times New Roman" w:eastAsia="Times New Roman" w:hAnsi="Times New Roman"/>
          <w:sz w:val="18"/>
          <w:szCs w:val="18"/>
          <w:color w:val="auto"/>
        </w:rPr>
      </w:pPr>
    </w:p>
    <w:p>
      <w:pPr>
        <w:jc w:val="both"/>
        <w:ind w:right="40" w:firstLine="727"/>
        <w:spacing w:after="0" w:line="261" w:lineRule="auto"/>
        <w:tabs>
          <w:tab w:leader="none" w:pos="1148"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of the Restricted Subsidiaries shall fail to observe or perform the Financial Performance Covenant;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w:t>
      </w:r>
    </w:p>
    <w:p>
      <w:pPr>
        <w:sectPr>
          <w:pgSz w:w="11900" w:h="16838" w:orient="portrait"/>
          <w:cols w:equalWidth="0" w:num="1">
            <w:col w:w="10060"/>
          </w:cols>
          <w:pgMar w:left="1020" w:top="1337" w:right="819" w:bottom="1440" w:gutter="0" w:footer="0" w:header="0"/>
        </w:sectPr>
      </w:pPr>
    </w:p>
    <w:bookmarkStart w:id="642" w:name="page643"/>
    <w:bookmarkEnd w:id="642"/>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quarter (or the fiscal year ended on the last day of such fiscal quarter) are required to be delivered pursuant to Section 5.01(a) or Section 5.01(b), as applicable, and (b) a Default under Section 6.11 shall not constitute an Event of Default with respect to the Term Loans unless and until the Revolving Lenders have actually declared all such obligations to be immediately due and payable and terminated the Revolving Commitments in accordance with this Agreement and such declaration has not been rescinded by the Required Revolving Lenders on or before such date;</w:t>
      </w:r>
    </w:p>
    <w:p>
      <w:pPr>
        <w:spacing w:after="0" w:line="224" w:lineRule="exact"/>
        <w:rPr>
          <w:sz w:val="20"/>
          <w:szCs w:val="20"/>
          <w:color w:val="auto"/>
        </w:rPr>
      </w:pPr>
    </w:p>
    <w:p>
      <w:pPr>
        <w:jc w:val="both"/>
        <w:ind w:left="640" w:right="40" w:firstLine="647"/>
        <w:spacing w:after="0" w:line="261" w:lineRule="auto"/>
        <w:tabs>
          <w:tab w:leader="none" w:pos="1893" w:val="left"/>
        </w:tabs>
        <w:numPr>
          <w:ilvl w:val="1"/>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spacing w:after="0" w:line="220" w:lineRule="exact"/>
        <w:rPr>
          <w:rFonts w:ascii="Times New Roman" w:cs="Times New Roman" w:eastAsia="Times New Roman" w:hAnsi="Times New Roman"/>
          <w:sz w:val="18"/>
          <w:szCs w:val="18"/>
          <w:color w:val="auto"/>
        </w:rPr>
      </w:pPr>
    </w:p>
    <w:p>
      <w:pPr>
        <w:jc w:val="both"/>
        <w:ind w:left="640" w:right="40" w:firstLine="647"/>
        <w:spacing w:after="0" w:line="266" w:lineRule="auto"/>
        <w:tabs>
          <w:tab w:leader="none" w:pos="1900" w:val="left"/>
        </w:tabs>
        <w:numPr>
          <w:ilvl w:val="1"/>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270" w:lineRule="exact"/>
        <w:rPr>
          <w:rFonts w:ascii="Times New Roman" w:cs="Times New Roman" w:eastAsia="Times New Roman" w:hAnsi="Times New Roman"/>
          <w:sz w:val="18"/>
          <w:szCs w:val="18"/>
          <w:color w:val="auto"/>
        </w:rPr>
      </w:pPr>
    </w:p>
    <w:p>
      <w:pPr>
        <w:jc w:val="both"/>
        <w:ind w:left="640" w:firstLine="647"/>
        <w:spacing w:after="0" w:line="253" w:lineRule="auto"/>
        <w:tabs>
          <w:tab w:leader="none" w:pos="1889" w:val="left"/>
        </w:tabs>
        <w:numPr>
          <w:ilvl w:val="1"/>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227" w:lineRule="exact"/>
        <w:rPr>
          <w:rFonts w:ascii="Times New Roman" w:cs="Times New Roman" w:eastAsia="Times New Roman" w:hAnsi="Times New Roman"/>
          <w:sz w:val="18"/>
          <w:szCs w:val="18"/>
          <w:color w:val="auto"/>
        </w:rPr>
      </w:pPr>
    </w:p>
    <w:p>
      <w:pPr>
        <w:jc w:val="both"/>
        <w:ind w:left="640" w:right="20" w:firstLine="647"/>
        <w:spacing w:after="0" w:line="255" w:lineRule="auto"/>
        <w:tabs>
          <w:tab w:leader="none" w:pos="1889" w:val="left"/>
        </w:tabs>
        <w:numPr>
          <w:ilvl w:val="1"/>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229" w:lineRule="exact"/>
        <w:rPr>
          <w:rFonts w:ascii="Times New Roman" w:cs="Times New Roman" w:eastAsia="Times New Roman" w:hAnsi="Times New Roman"/>
          <w:sz w:val="18"/>
          <w:szCs w:val="18"/>
          <w:color w:val="auto"/>
        </w:rPr>
      </w:pPr>
    </w:p>
    <w:p>
      <w:pPr>
        <w:jc w:val="both"/>
        <w:ind w:left="640" w:firstLine="647"/>
        <w:spacing w:after="0" w:line="257" w:lineRule="auto"/>
        <w:tabs>
          <w:tab w:leader="none" w:pos="1890" w:val="left"/>
        </w:tabs>
        <w:numPr>
          <w:ilvl w:val="1"/>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w:t>
      </w:r>
    </w:p>
    <w:p>
      <w:pPr>
        <w:spacing w:after="0" w:line="1" w:lineRule="exact"/>
        <w:rPr>
          <w:rFonts w:ascii="Times New Roman" w:cs="Times New Roman" w:eastAsia="Times New Roman" w:hAnsi="Times New Roman"/>
          <w:sz w:val="18"/>
          <w:szCs w:val="18"/>
          <w:color w:val="auto"/>
        </w:rPr>
      </w:pPr>
    </w:p>
    <w:p>
      <w:pPr>
        <w:jc w:val="both"/>
        <w:ind w:left="640" w:right="40" w:hanging="1"/>
        <w:spacing w:after="0" w:line="253" w:lineRule="auto"/>
        <w:tabs>
          <w:tab w:leader="none" w:pos="925"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ectPr>
          <w:pgSz w:w="11900" w:h="16838" w:orient="portrait"/>
          <w:cols w:equalWidth="0" w:num="1">
            <w:col w:w="10060"/>
          </w:cols>
          <w:pgMar w:left="1020" w:top="1337" w:right="819" w:bottom="1440" w:gutter="0" w:footer="0" w:header="0"/>
        </w:sectPr>
      </w:pPr>
    </w:p>
    <w:bookmarkStart w:id="643" w:name="page644"/>
    <w:bookmarkEnd w:id="643"/>
    <w:p>
      <w:pPr>
        <w:ind w:left="1880" w:hanging="593"/>
        <w:spacing w:after="0"/>
        <w:tabs>
          <w:tab w:leader="none" w:pos="1880" w:val="left"/>
        </w:tabs>
        <w:numPr>
          <w:ilvl w:val="1"/>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or more enforceable judgments for the payment of money in an aggregate amount in excess of </w:t>
      </w:r>
      <w:r>
        <w:rPr>
          <w:rFonts w:ascii="Times New Roman" w:cs="Times New Roman" w:eastAsia="Times New Roman" w:hAnsi="Times New Roman"/>
          <w:sz w:val="18"/>
          <w:szCs w:val="18"/>
          <w:u w:val="single" w:color="auto"/>
          <w:color w:val="0000FF"/>
        </w:rPr>
        <w:t>the greater of</w:t>
      </w:r>
    </w:p>
    <w:p>
      <w:pPr>
        <w:spacing w:after="0" w:line="27" w:lineRule="exact"/>
        <w:rPr>
          <w:rFonts w:ascii="Times New Roman" w:cs="Times New Roman" w:eastAsia="Times New Roman" w:hAnsi="Times New Roman"/>
          <w:sz w:val="18"/>
          <w:szCs w:val="18"/>
          <w:color w:val="auto"/>
        </w:rPr>
      </w:pPr>
    </w:p>
    <w:p>
      <w:pPr>
        <w:jc w:val="both"/>
        <w:ind w:left="640" w:right="20" w:hanging="1"/>
        <w:spacing w:after="0" w:line="251" w:lineRule="auto"/>
        <w:tabs>
          <w:tab w:leader="none" w:pos="935" w:val="left"/>
        </w:tabs>
        <w:numPr>
          <w:ilvl w:val="0"/>
          <w:numId w:val="7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162,600,000 and (B) 30% of Consolidated EBITDA for the most recently ended Test Period as of such time</w:t>
      </w:r>
      <w:r>
        <w:rPr>
          <w:rFonts w:ascii="Times New Roman" w:cs="Times New Roman" w:eastAsia="Times New Roman" w:hAnsi="Times New Roman"/>
          <w:sz w:val="18"/>
          <w:szCs w:val="18"/>
          <w:color w:val="auto"/>
        </w:rPr>
        <w:t xml:space="preserve"> (to the extent not covered by insurance as to which the insurer has been notified of such judgment or order and has not denied coverage) shall be rendered against Holdings, any Intermediate Parent, the Borrower and any of its Restricted Subsidiaries </w:t>
      </w:r>
      <w:r>
        <w:rPr>
          <w:rFonts w:ascii="Times New Roman" w:cs="Times New Roman" w:eastAsia="Times New Roman" w:hAnsi="Times New Roman"/>
          <w:sz w:val="18"/>
          <w:szCs w:val="18"/>
          <w:u w:val="single" w:color="auto"/>
          <w:color w:val="0000FF"/>
        </w:rPr>
        <w:t>that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 Material Subsidiary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any combination thereof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 the same shall remain</w:t>
      </w:r>
      <w:r>
        <w:rPr>
          <w:rFonts w:ascii="Times New Roman" w:cs="Times New Roman" w:eastAsia="Times New Roman" w:hAnsi="Times New Roman"/>
          <w:sz w:val="18"/>
          <w:szCs w:val="18"/>
          <w:u w:val="single" w:color="auto"/>
          <w:color w:val="0000FF"/>
        </w:rPr>
        <w:t>that, taken together, would constitute a Material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Subsidiary and such judgment shall not have been effectively satisfied, vacated,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un</w:t>
      </w:r>
      <w:r>
        <w:rPr>
          <w:rFonts w:ascii="Times New Roman" w:cs="Times New Roman" w:eastAsia="Times New Roman" w:hAnsi="Times New Roman"/>
          <w:sz w:val="18"/>
          <w:szCs w:val="18"/>
          <w:color w:val="000000"/>
        </w:rPr>
        <w:t>discharged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stayed or bonded pending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appeal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 period of 60 consecutive days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during which execution shall not be effectively stayed, or any judgment creditor shall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legally attach or levy upon assets of such Loan Party that are material to the businesses and operations of Holdings, any Intermediate Parent, the Borrower and the Restricted Subsidiaries, taken as a whole, to enforce any such judgment;</w:t>
      </w:r>
      <w:r>
        <w:rPr>
          <w:rFonts w:ascii="Times New Roman" w:cs="Times New Roman" w:eastAsia="Times New Roman" w:hAnsi="Times New Roman"/>
          <w:sz w:val="18"/>
          <w:szCs w:val="18"/>
          <w:color w:val="0000FF"/>
          <w:strike w:val="1"/>
        </w:rPr>
        <w:t>;</w:t>
      </w:r>
    </w:p>
    <w:p>
      <w:pPr>
        <w:spacing w:after="0" w:line="200" w:lineRule="exact"/>
        <w:rPr>
          <w:rFonts w:ascii="Times New Roman" w:cs="Times New Roman" w:eastAsia="Times New Roman" w:hAnsi="Times New Roman"/>
          <w:sz w:val="18"/>
          <w:szCs w:val="18"/>
          <w:u w:val="single" w:color="auto"/>
          <w:color w:val="0000FF"/>
        </w:rPr>
      </w:pPr>
    </w:p>
    <w:p>
      <w:pPr>
        <w:spacing w:after="0" w:line="223" w:lineRule="exact"/>
        <w:rPr>
          <w:rFonts w:ascii="Times New Roman" w:cs="Times New Roman" w:eastAsia="Times New Roman" w:hAnsi="Times New Roman"/>
          <w:sz w:val="18"/>
          <w:szCs w:val="18"/>
          <w:u w:val="single" w:color="auto"/>
          <w:color w:val="0000FF"/>
        </w:rPr>
      </w:pPr>
    </w:p>
    <w:p>
      <w:pPr>
        <w:ind w:left="1880" w:hanging="592"/>
        <w:spacing w:after="0"/>
        <w:tabs>
          <w:tab w:leader="none" w:pos="1880" w:val="left"/>
        </w:tabs>
        <w:numPr>
          <w:ilvl w:val="1"/>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occurs that has resulted or would reasonably be expected to result in a Material Adverse Effect;</w:t>
      </w:r>
    </w:p>
    <w:p>
      <w:pPr>
        <w:spacing w:after="0" w:line="333" w:lineRule="exact"/>
        <w:rPr>
          <w:rFonts w:ascii="Times New Roman" w:cs="Times New Roman" w:eastAsia="Times New Roman" w:hAnsi="Times New Roman"/>
          <w:sz w:val="18"/>
          <w:szCs w:val="18"/>
          <w:color w:val="auto"/>
        </w:rPr>
      </w:pPr>
    </w:p>
    <w:p>
      <w:pPr>
        <w:jc w:val="both"/>
        <w:ind w:left="640" w:firstLine="648"/>
        <w:spacing w:after="0" w:line="254" w:lineRule="auto"/>
        <w:tabs>
          <w:tab w:leader="none" w:pos="1890" w:val="left"/>
        </w:tabs>
        <w:numPr>
          <w:ilvl w:val="1"/>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First Lien Loan Documents, (ii) as a result of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the First Lien Administrative Agent’s </w:t>
      </w:r>
      <w:r>
        <w:rPr>
          <w:rFonts w:ascii="Times New Roman" w:cs="Times New Roman" w:eastAsia="Times New Roman" w:hAnsi="Times New Roman"/>
          <w:sz w:val="18"/>
          <w:szCs w:val="18"/>
          <w:color w:val="FF0000"/>
          <w:strike w:val="1"/>
        </w:rPr>
        <w:t>failure to (A) maintain</w:t>
      </w:r>
      <w:r>
        <w:rPr>
          <w:rFonts w:ascii="Times New Roman" w:cs="Times New Roman" w:eastAsia="Times New Roman" w:hAnsi="Times New Roman"/>
          <w:sz w:val="18"/>
          <w:szCs w:val="18"/>
          <w:u w:val="single" w:color="auto"/>
          <w:color w:val="0000FF"/>
        </w:rPr>
        <w:t>no longer having</w:t>
      </w:r>
      <w:r>
        <w:rPr>
          <w:rFonts w:ascii="Times New Roman" w:cs="Times New Roman" w:eastAsia="Times New Roman" w:hAnsi="Times New Roman"/>
          <w:sz w:val="18"/>
          <w:szCs w:val="18"/>
          <w:color w:val="auto"/>
        </w:rPr>
        <w:t xml:space="preserve"> possession of any stock certificates, promissory notes or other instruments delivered to it under the Security Documents or (B) </w:t>
      </w:r>
      <w:r>
        <w:rPr>
          <w:rFonts w:ascii="Times New Roman" w:cs="Times New Roman" w:eastAsia="Times New Roman" w:hAnsi="Times New Roman"/>
          <w:sz w:val="18"/>
          <w:szCs w:val="18"/>
          <w:color w:val="FF0000"/>
          <w:strike w:val="1"/>
        </w:rPr>
        <w:t>file</w:t>
      </w:r>
      <w:r>
        <w:rPr>
          <w:rFonts w:ascii="Times New Roman" w:cs="Times New Roman" w:eastAsia="Times New Roman" w:hAnsi="Times New Roman"/>
          <w:sz w:val="18"/>
          <w:szCs w:val="18"/>
          <w:color w:val="auto"/>
        </w:rPr>
        <w:t xml:space="preserve"> Uniform Commercial Code amendment or continuation financing statements </w:t>
      </w:r>
      <w:r>
        <w:rPr>
          <w:rFonts w:ascii="Times New Roman" w:cs="Times New Roman" w:eastAsia="Times New Roman" w:hAnsi="Times New Roman"/>
          <w:sz w:val="18"/>
          <w:szCs w:val="18"/>
          <w:u w:val="single" w:color="auto"/>
          <w:color w:val="0000FF"/>
        </w:rPr>
        <w:t>not being timely filed</w:t>
      </w:r>
      <w:r>
        <w:rPr>
          <w:rFonts w:ascii="Times New Roman" w:cs="Times New Roman" w:eastAsia="Times New Roman" w:hAnsi="Times New Roman"/>
          <w:sz w:val="18"/>
          <w:szCs w:val="18"/>
          <w:color w:val="auto"/>
        </w:rPr>
        <w:t xml:space="preserve"> or (iii) as to Collateral consisting of Material Real Property to the extent that such losses are covered by a lender’s title insurance policy and such insurer has not denied coverage or (iv) as a result of acts or omissions </w:t>
      </w:r>
      <w:r>
        <w:rPr>
          <w:rFonts w:ascii="Times New Roman" w:cs="Times New Roman" w:eastAsia="Times New Roman" w:hAnsi="Times New Roman"/>
          <w:sz w:val="18"/>
          <w:szCs w:val="18"/>
          <w:u w:val="single" w:color="auto"/>
          <w:color w:val="0000FF"/>
        </w:rPr>
        <w:t>in the exclusive control</w:t>
      </w:r>
      <w:r>
        <w:rPr>
          <w:rFonts w:ascii="Times New Roman" w:cs="Times New Roman" w:eastAsia="Times New Roman" w:hAnsi="Times New Roman"/>
          <w:sz w:val="18"/>
          <w:szCs w:val="18"/>
          <w:color w:val="auto"/>
        </w:rPr>
        <w:t xml:space="preserve"> of the First Lien Administrative Agent or any Lender;</w:t>
      </w:r>
    </w:p>
    <w:p>
      <w:pPr>
        <w:spacing w:after="0" w:line="228" w:lineRule="exact"/>
        <w:rPr>
          <w:rFonts w:ascii="Times New Roman" w:cs="Times New Roman" w:eastAsia="Times New Roman" w:hAnsi="Times New Roman"/>
          <w:sz w:val="18"/>
          <w:szCs w:val="18"/>
          <w:color w:val="auto"/>
        </w:rPr>
      </w:pPr>
    </w:p>
    <w:p>
      <w:pPr>
        <w:jc w:val="both"/>
        <w:ind w:left="640" w:right="20" w:firstLine="647"/>
        <w:spacing w:after="0" w:line="266" w:lineRule="auto"/>
        <w:tabs>
          <w:tab w:leader="none" w:pos="1899" w:val="left"/>
        </w:tabs>
        <w:numPr>
          <w:ilvl w:val="1"/>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spacing w:after="0" w:line="216" w:lineRule="exact"/>
        <w:rPr>
          <w:rFonts w:ascii="Times New Roman" w:cs="Times New Roman" w:eastAsia="Times New Roman" w:hAnsi="Times New Roman"/>
          <w:sz w:val="18"/>
          <w:szCs w:val="18"/>
          <w:color w:val="auto"/>
        </w:rPr>
      </w:pPr>
    </w:p>
    <w:p>
      <w:pPr>
        <w:jc w:val="both"/>
        <w:ind w:left="640" w:right="20" w:firstLine="647"/>
        <w:spacing w:after="0" w:line="266" w:lineRule="auto"/>
        <w:tabs>
          <w:tab w:leader="none" w:pos="1889" w:val="left"/>
        </w:tabs>
        <w:numPr>
          <w:ilvl w:val="1"/>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First Lien Loan Document Obligations by any Loan Party pursuant to the First Lien Guarantee Agreement shall cease to be in full force and effect (in each case, other than in accordance with the terms of the First Lien Loan Documents); or</w:t>
      </w:r>
    </w:p>
    <w:p>
      <w:pPr>
        <w:spacing w:after="0" w:line="202"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w:t>
      </w:r>
    </w:p>
    <w:p>
      <w:pPr>
        <w:sectPr>
          <w:pgSz w:w="11900" w:h="16838" w:orient="portrait"/>
          <w:cols w:equalWidth="0" w:num="1">
            <w:col w:w="10040"/>
          </w:cols>
          <w:pgMar w:left="1020" w:top="1337" w:right="839" w:bottom="1440" w:gutter="0" w:footer="0" w:header="0"/>
        </w:sectPr>
      </w:pPr>
    </w:p>
    <w:bookmarkStart w:id="644" w:name="page645"/>
    <w:bookmarkEnd w:id="644"/>
    <w:p>
      <w:pPr>
        <w:ind w:left="9"/>
        <w:spacing w:after="0" w:line="282" w:lineRule="auto"/>
        <w:rPr>
          <w:sz w:val="20"/>
          <w:szCs w:val="20"/>
          <w:color w:val="auto"/>
        </w:rPr>
      </w:pPr>
      <w:r>
        <w:rPr>
          <w:rFonts w:ascii="Times New Roman" w:cs="Times New Roman" w:eastAsia="Times New Roman" w:hAnsi="Times New Roman"/>
          <w:sz w:val="18"/>
          <w:szCs w:val="18"/>
          <w:color w:val="auto"/>
        </w:rPr>
        <w:t>automatically become due and payable, without presentment, demand, protest or other notice of any kind, all of which are hereby waived by the Borrower.</w:t>
      </w:r>
    </w:p>
    <w:p>
      <w:pPr>
        <w:spacing w:after="0" w:line="202"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9" w:right="20" w:firstLine="1287"/>
        <w:spacing w:after="0" w:line="253" w:lineRule="auto"/>
        <w:tabs>
          <w:tab w:leader="none" w:pos="1910" w:val="left"/>
        </w:tabs>
        <w:numPr>
          <w:ilvl w:val="1"/>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7.01, in the event that the Borrower and its Restricted Subsidiaries fail to comply with the requirements of the Financial Performance Covenant (if applicable) as of the last day of any applicable fiscal quarter of the Borrower,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Borrower of the Net Proceeds of such issuance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pursuant to the exercise by Holdings of such Cure Right the Financial Performance Covenant shall be recalculated giving effect to one of the following pro forma adjustments:</w:t>
      </w:r>
    </w:p>
    <w:p>
      <w:pPr>
        <w:spacing w:after="0" w:line="302" w:lineRule="exact"/>
        <w:rPr>
          <w:rFonts w:ascii="Times New Roman" w:cs="Times New Roman" w:eastAsia="Times New Roman" w:hAnsi="Times New Roman"/>
          <w:sz w:val="18"/>
          <w:szCs w:val="18"/>
          <w:color w:val="auto"/>
        </w:rPr>
      </w:pPr>
    </w:p>
    <w:p>
      <w:pPr>
        <w:jc w:val="both"/>
        <w:ind w:left="9" w:right="40" w:firstLine="728"/>
        <w:spacing w:after="0" w:line="266" w:lineRule="auto"/>
        <w:tabs>
          <w:tab w:leader="none" w:pos="1266"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w:t>
      </w:r>
    </w:p>
    <w:p>
      <w:pPr>
        <w:spacing w:after="0" w:line="216" w:lineRule="exact"/>
        <w:rPr>
          <w:rFonts w:ascii="Times New Roman" w:cs="Times New Roman" w:eastAsia="Times New Roman" w:hAnsi="Times New Roman"/>
          <w:sz w:val="18"/>
          <w:szCs w:val="18"/>
          <w:color w:val="auto"/>
        </w:rPr>
      </w:pPr>
    </w:p>
    <w:p>
      <w:pPr>
        <w:jc w:val="both"/>
        <w:ind w:left="9" w:right="20" w:firstLine="678"/>
        <w:spacing w:after="0" w:line="254" w:lineRule="auto"/>
        <w:tabs>
          <w:tab w:leader="none" w:pos="1266"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contained in the Financial Performance Covenant or the Financial Performance Covenant is not applicable for such fiscal quarter, the Borrower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232" w:lineRule="exact"/>
        <w:rPr>
          <w:sz w:val="20"/>
          <w:szCs w:val="20"/>
          <w:color w:val="auto"/>
        </w:rPr>
      </w:pPr>
    </w:p>
    <w:p>
      <w:pPr>
        <w:ind w:left="9"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notified the First Lien Administrative Agent of the exercise of such Cure Right within five (5) Business Days of the issuance of the relevant Qualified Equity Interests for cash or the receipt of the cash contributions by Holdings.</w:t>
      </w:r>
    </w:p>
    <w:p>
      <w:pPr>
        <w:spacing w:after="0" w:line="202" w:lineRule="exact"/>
        <w:rPr>
          <w:sz w:val="20"/>
          <w:szCs w:val="20"/>
          <w:color w:val="auto"/>
        </w:rPr>
      </w:pPr>
    </w:p>
    <w:p>
      <w:pPr>
        <w:ind w:left="9" w:right="20" w:firstLine="1287"/>
        <w:spacing w:after="0" w:line="261" w:lineRule="auto"/>
        <w:tabs>
          <w:tab w:leader="none" w:pos="1906" w:val="left"/>
        </w:tabs>
        <w:numPr>
          <w:ilvl w:val="1"/>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in each four consecutive fiscal quarter period of the Borrower there shall be at least one (1) fiscal quarter in which the Cure Right is not exercised,</w:t>
      </w:r>
    </w:p>
    <w:p>
      <w:pPr>
        <w:jc w:val="both"/>
        <w:ind w:left="9" w:right="20" w:hanging="9"/>
        <w:spacing w:after="0" w:line="251" w:lineRule="auto"/>
        <w:tabs>
          <w:tab w:leader="none" w:pos="279"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the Borrower and its Restricted Subsidiaries on a Pro Forma Basis for purposes of determining compliance with the Financial Performance Covenants for the fiscal quarter in which such Cure Right was made and there shall not have been a breach of any covenant under Article VI of this Agreement by reason of having no longer included such Cure Amount in any basket during the relevant period.</w:t>
      </w:r>
    </w:p>
    <w:p>
      <w:pPr>
        <w:spacing w:after="0" w:line="234" w:lineRule="exact"/>
        <w:rPr>
          <w:sz w:val="20"/>
          <w:szCs w:val="20"/>
          <w:color w:val="auto"/>
        </w:rPr>
      </w:pPr>
    </w:p>
    <w:p>
      <w:pPr>
        <w:ind w:left="9" w:firstLine="1295"/>
        <w:spacing w:after="0" w:line="28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Subject to the terms of any applicable Intercreditor Agreement, the First Lien Collateral Agent shall apply the proceeds of any collection or sale of Collateral, including any Collateral consisting of cash, as follows:</w:t>
      </w:r>
    </w:p>
    <w:p>
      <w:pPr>
        <w:sectPr>
          <w:pgSz w:w="11900" w:h="16838" w:orient="portrait"/>
          <w:cols w:equalWidth="0" w:num="1">
            <w:col w:w="10049"/>
          </w:cols>
          <w:pgMar w:left="1011" w:top="1337" w:right="839" w:bottom="1440" w:gutter="0" w:footer="0" w:header="0"/>
        </w:sectPr>
      </w:pPr>
    </w:p>
    <w:bookmarkStart w:id="645" w:name="page646"/>
    <w:bookmarkEnd w:id="645"/>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w:t>
      </w:r>
    </w:p>
    <w:p>
      <w:pPr>
        <w:spacing w:after="0" w:line="228" w:lineRule="exact"/>
        <w:rPr>
          <w:sz w:val="20"/>
          <w:szCs w:val="20"/>
          <w:color w:val="auto"/>
        </w:rPr>
      </w:pPr>
    </w:p>
    <w:p>
      <w:pPr>
        <w:ind w:left="640" w:right="40" w:firstLine="648"/>
        <w:spacing w:after="0" w:line="282" w:lineRule="auto"/>
        <w:rPr>
          <w:sz w:val="20"/>
          <w:szCs w:val="20"/>
          <w:color w:val="auto"/>
        </w:rPr>
      </w:pPr>
      <w:r>
        <w:rPr>
          <w:rFonts w:ascii="Times New Roman" w:cs="Times New Roman" w:eastAsia="Times New Roman" w:hAnsi="Times New Roman"/>
          <w:sz w:val="18"/>
          <w:szCs w:val="18"/>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THIRD, to any agent of any other junior secured debt, in accordance with any applicable intercreditor agreement; and</w:t>
      </w:r>
    </w:p>
    <w:p>
      <w:pPr>
        <w:spacing w:after="0" w:line="2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FOURTH, to the Loan Parties, their successors or assigns, or as a court of competent jurisdiction may otherwise direct.</w:t>
      </w:r>
    </w:p>
    <w:p>
      <w:pPr>
        <w:spacing w:after="0" w:line="25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spacing w:after="0" w:line="329" w:lineRule="exact"/>
        <w:rPr>
          <w:sz w:val="20"/>
          <w:szCs w:val="20"/>
          <w:color w:val="auto"/>
        </w:rPr>
      </w:pPr>
    </w:p>
    <w:p>
      <w:pPr>
        <w:ind w:left="1280" w:right="3480" w:firstLine="1974"/>
        <w:spacing w:after="0" w:line="423" w:lineRule="auto"/>
        <w:rPr>
          <w:sz w:val="20"/>
          <w:szCs w:val="20"/>
          <w:color w:val="auto"/>
        </w:rPr>
      </w:pPr>
      <w:r>
        <w:rPr>
          <w:rFonts w:ascii="Times New Roman" w:cs="Times New Roman" w:eastAsia="Times New Roman" w:hAnsi="Times New Roman"/>
          <w:sz w:val="18"/>
          <w:szCs w:val="18"/>
          <w:color w:val="auto"/>
        </w:rPr>
        <w:t xml:space="preserve">ARTICLE VIII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SECTION 8.01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right="40" w:firstLine="1287"/>
        <w:spacing w:after="0" w:line="255" w:lineRule="auto"/>
        <w:tabs>
          <w:tab w:leader="none" w:pos="1901"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 hereby irrevocably appoints JPMorgan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w:t>
      </w:r>
    </w:p>
    <w:p>
      <w:pPr>
        <w:spacing w:after="0" w:line="215" w:lineRule="exact"/>
        <w:rPr>
          <w:rFonts w:ascii="Times New Roman" w:cs="Times New Roman" w:eastAsia="Times New Roman" w:hAnsi="Times New Roman"/>
          <w:sz w:val="18"/>
          <w:szCs w:val="18"/>
          <w:color w:val="auto"/>
        </w:rPr>
      </w:pPr>
    </w:p>
    <w:p>
      <w:pPr>
        <w:jc w:val="both"/>
        <w:ind w:right="40" w:firstLine="1287"/>
        <w:spacing w:after="0" w:line="254" w:lineRule="auto"/>
        <w:tabs>
          <w:tab w:leader="none" w:pos="1897"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w:t>
      </w:r>
    </w:p>
    <w:p>
      <w:pPr>
        <w:sectPr>
          <w:pgSz w:w="11900" w:h="16838" w:orient="portrait"/>
          <w:cols w:equalWidth="0" w:num="1">
            <w:col w:w="10060"/>
          </w:cols>
          <w:pgMar w:left="1020" w:top="1337" w:right="819" w:bottom="1440" w:gutter="0" w:footer="0" w:header="0"/>
        </w:sectPr>
      </w:pPr>
    </w:p>
    <w:bookmarkStart w:id="646" w:name="page647"/>
    <w:bookmarkEnd w:id="646"/>
    <w:p>
      <w:pPr>
        <w:ind w:right="40"/>
        <w:spacing w:after="0" w:line="282" w:lineRule="auto"/>
        <w:rPr>
          <w:sz w:val="20"/>
          <w:szCs w:val="20"/>
          <w:color w:val="auto"/>
        </w:rPr>
      </w:pPr>
      <w:r>
        <w:rPr>
          <w:rFonts w:ascii="Times New Roman" w:cs="Times New Roman" w:eastAsia="Times New Roman" w:hAnsi="Times New Roman"/>
          <w:sz w:val="18"/>
          <w:szCs w:val="18"/>
          <w:color w:val="auto"/>
        </w:rPr>
        <w:t>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spacing w:after="0" w:line="20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spacing w:after="0" w:line="22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The First Lien Administrative Agent shall not have any duties or obligations except those expressly set forth herein and in the other First Lien Loan Documents. Without limiting the generality of the foregoing, the First Lien Administrative Agent:</w:t>
      </w:r>
    </w:p>
    <w:p>
      <w:pPr>
        <w:spacing w:after="0" w:line="256" w:lineRule="exact"/>
        <w:rPr>
          <w:sz w:val="20"/>
          <w:szCs w:val="20"/>
          <w:color w:val="auto"/>
        </w:rPr>
      </w:pPr>
    </w:p>
    <w:p>
      <w:pPr>
        <w:ind w:left="1900" w:hanging="612"/>
        <w:spacing w:after="0"/>
        <w:tabs>
          <w:tab w:leader="none" w:pos="1900"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47" w:lineRule="exact"/>
        <w:rPr>
          <w:rFonts w:ascii="Times New Roman" w:cs="Times New Roman" w:eastAsia="Times New Roman" w:hAnsi="Times New Roman"/>
          <w:sz w:val="18"/>
          <w:szCs w:val="18"/>
          <w:color w:val="auto"/>
        </w:rPr>
      </w:pPr>
    </w:p>
    <w:p>
      <w:pPr>
        <w:jc w:val="both"/>
        <w:ind w:left="640" w:right="40" w:firstLine="648"/>
        <w:spacing w:after="0" w:line="256" w:lineRule="auto"/>
        <w:tabs>
          <w:tab w:leader="none" w:pos="1889"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w:t>
      </w:r>
    </w:p>
    <w:p>
      <w:pPr>
        <w:spacing w:after="0" w:line="227" w:lineRule="exact"/>
        <w:rPr>
          <w:rFonts w:ascii="Times New Roman" w:cs="Times New Roman" w:eastAsia="Times New Roman" w:hAnsi="Times New Roman"/>
          <w:sz w:val="18"/>
          <w:szCs w:val="18"/>
          <w:color w:val="auto"/>
        </w:rPr>
      </w:pPr>
    </w:p>
    <w:p>
      <w:pPr>
        <w:jc w:val="both"/>
        <w:ind w:left="640" w:right="40" w:firstLine="648"/>
        <w:spacing w:after="0" w:line="261" w:lineRule="auto"/>
        <w:tabs>
          <w:tab w:leader="none" w:pos="1893"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spacing w:after="0" w:line="206" w:lineRule="exact"/>
        <w:rPr>
          <w:rFonts w:ascii="Times New Roman" w:cs="Times New Roman" w:eastAsia="Times New Roman" w:hAnsi="Times New Roman"/>
          <w:sz w:val="18"/>
          <w:szCs w:val="18"/>
          <w:color w:val="auto"/>
        </w:rPr>
      </w:pPr>
    </w:p>
    <w:p>
      <w:pPr>
        <w:jc w:val="both"/>
        <w:ind w:left="640" w:right="40" w:firstLine="647"/>
        <w:spacing w:after="0" w:line="255" w:lineRule="auto"/>
        <w:tabs>
          <w:tab w:leader="none" w:pos="1889"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shall be deemed not to have knowledge of any Default unless and until written notice describing such Default is given to the First Lien Administrative Agent by the Borrower, a Lender or the Issuing Bank; and</w:t>
      </w:r>
    </w:p>
    <w:p>
      <w:pPr>
        <w:spacing w:after="0" w:line="229" w:lineRule="exact"/>
        <w:rPr>
          <w:rFonts w:ascii="Times New Roman" w:cs="Times New Roman" w:eastAsia="Times New Roman" w:hAnsi="Times New Roman"/>
          <w:sz w:val="18"/>
          <w:szCs w:val="18"/>
          <w:color w:val="auto"/>
        </w:rPr>
      </w:pPr>
    </w:p>
    <w:p>
      <w:pPr>
        <w:jc w:val="both"/>
        <w:ind w:left="640" w:firstLine="647"/>
        <w:spacing w:after="0" w:line="256" w:lineRule="auto"/>
        <w:tabs>
          <w:tab w:leader="none" w:pos="1893"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 Lien Loan Document or any other agreement, instrument or document, or the creation, perfection or priority of any</w:t>
      </w:r>
    </w:p>
    <w:p>
      <w:pPr>
        <w:sectPr>
          <w:pgSz w:w="11900" w:h="16838" w:orient="portrait"/>
          <w:cols w:equalWidth="0" w:num="1">
            <w:col w:w="10060"/>
          </w:cols>
          <w:pgMar w:left="1020" w:top="1337" w:right="819" w:bottom="1440" w:gutter="0" w:footer="0" w:header="0"/>
        </w:sectPr>
      </w:pPr>
    </w:p>
    <w:bookmarkStart w:id="647" w:name="page648"/>
    <w:bookmarkEnd w:id="647"/>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w:t>
      </w:r>
    </w:p>
    <w:p>
      <w:pPr>
        <w:spacing w:after="0" w:line="216"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u w:val="single" w:color="auto"/>
          <w:color w:val="auto"/>
        </w:rPr>
        <w:t>Reliance by First Lien Administrative Agent</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 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367"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40" w:firstLine="1296"/>
        <w:spacing w:after="0" w:line="255" w:lineRule="auto"/>
        <w:rPr>
          <w:sz w:val="20"/>
          <w:szCs w:val="20"/>
          <w:color w:val="auto"/>
        </w:rPr>
      </w:pPr>
      <w:r>
        <w:rPr>
          <w:rFonts w:ascii="Times New Roman" w:cs="Times New Roman" w:eastAsia="Times New Roman" w:hAnsi="Times New Roman"/>
          <w:sz w:val="18"/>
          <w:szCs w:val="18"/>
          <w:color w:val="auto"/>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w:t>
      </w:r>
    </w:p>
    <w:p>
      <w:pPr>
        <w:spacing w:after="0" w:line="22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7"/>
          <w:szCs w:val="17"/>
          <w:u w:val="single" w:color="auto"/>
          <w:color w:val="auto"/>
        </w:rPr>
        <w:t>Resignation of First Lien Administrative Agent</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First Lien Administrative Agent shall notify the Borrower and the Lenders that no qualifying Person accepted such appointment, then such resignation shall nonetheless become effective in accordance with such notice.</w:t>
      </w:r>
    </w:p>
    <w:p>
      <w:pPr>
        <w:spacing w:after="0" w:line="230"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 such successor shall have been so appointed by the Required Lenders and shall have accepted such appointment</w:t>
      </w:r>
    </w:p>
    <w:p>
      <w:pPr>
        <w:sectPr>
          <w:pgSz w:w="11900" w:h="16838" w:orient="portrait"/>
          <w:cols w:equalWidth="0" w:num="1">
            <w:col w:w="10060"/>
          </w:cols>
          <w:pgMar w:left="1020" w:top="1337" w:right="819" w:bottom="1440" w:gutter="0" w:footer="0" w:header="0"/>
        </w:sectPr>
      </w:pPr>
    </w:p>
    <w:bookmarkStart w:id="648" w:name="page649"/>
    <w:bookmarkEnd w:id="648"/>
    <w:p>
      <w:pPr>
        <w:ind w:right="20"/>
        <w:spacing w:after="0" w:line="282" w:lineRule="auto"/>
        <w:rPr>
          <w:sz w:val="20"/>
          <w:szCs w:val="20"/>
          <w:color w:val="auto"/>
        </w:rPr>
      </w:pPr>
      <w:r>
        <w:rPr>
          <w:rFonts w:ascii="Times New Roman" w:cs="Times New Roman" w:eastAsia="Times New Roman" w:hAnsi="Times New Roman"/>
          <w:sz w:val="18"/>
          <w:szCs w:val="18"/>
          <w:color w:val="auto"/>
        </w:rPr>
        <w:t>within thirty (30) days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20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retiring or removed First Lien Administrative Agent shall continue to hold such collateral security until such time as a successor 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 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w:t>
      </w:r>
    </w:p>
    <w:p>
      <w:pPr>
        <w:spacing w:after="0" w:line="231"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8"/>
          <w:szCs w:val="18"/>
          <w:u w:val="single" w:color="auto"/>
          <w:color w:val="auto"/>
        </w:rPr>
        <w:t>Non-Reliance on First Lien Administrative Agent and Other Lenders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w:t>
      </w:r>
    </w:p>
    <w:p>
      <w:pPr>
        <w:spacing w:after="0" w:line="22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w:t>
      </w:r>
    </w:p>
    <w:p>
      <w:pPr>
        <w:sectPr>
          <w:pgSz w:w="11900" w:h="16838" w:orient="portrait"/>
          <w:cols w:equalWidth="0" w:num="1">
            <w:col w:w="10040"/>
          </w:cols>
          <w:pgMar w:left="1020" w:top="1337" w:right="839" w:bottom="1440" w:gutter="0" w:footer="0" w:header="0"/>
        </w:sectPr>
      </w:pPr>
    </w:p>
    <w:bookmarkStart w:id="649" w:name="page650"/>
    <w:bookmarkEnd w:id="649"/>
    <w:p>
      <w:pPr>
        <w:jc w:val="both"/>
        <w:spacing w:after="0" w:line="261" w:lineRule="auto"/>
        <w:rPr>
          <w:sz w:val="20"/>
          <w:szCs w:val="20"/>
          <w:color w:val="auto"/>
        </w:rPr>
      </w:pPr>
      <w:r>
        <w:rPr>
          <w:rFonts w:ascii="Times New Roman" w:cs="Times New Roman" w:eastAsia="Times New Roman" w:hAnsi="Times New Roman"/>
          <w:sz w:val="18"/>
          <w:szCs w:val="18"/>
          <w:color w:val="auto"/>
        </w:rPr>
        <w:t>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22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8.08</w:t>
      </w:r>
      <w:r>
        <w:rPr>
          <w:sz w:val="20"/>
          <w:szCs w:val="20"/>
          <w:color w:val="auto"/>
        </w:rPr>
        <w:tab/>
      </w:r>
      <w:r>
        <w:rPr>
          <w:rFonts w:ascii="Times New Roman" w:cs="Times New Roman" w:eastAsia="Times New Roman" w:hAnsi="Times New Roman"/>
          <w:sz w:val="18"/>
          <w:szCs w:val="18"/>
          <w:u w:val="single" w:color="auto"/>
          <w:color w:val="auto"/>
        </w:rPr>
        <w:t>No Other Duties, Etc.</w:t>
      </w:r>
    </w:p>
    <w:p>
      <w:pPr>
        <w:spacing w:after="0" w:line="26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w:t>
      </w:r>
    </w:p>
    <w:p>
      <w:pPr>
        <w:spacing w:after="0" w:line="216" w:lineRule="exact"/>
        <w:rPr>
          <w:sz w:val="20"/>
          <w:szCs w:val="20"/>
          <w:color w:val="auto"/>
        </w:rPr>
      </w:pPr>
    </w:p>
    <w:p>
      <w:pPr>
        <w:jc w:val="center"/>
        <w:ind w:right="200"/>
        <w:spacing w:after="0"/>
        <w:tabs>
          <w:tab w:leader="none" w:pos="160" w:val="left"/>
        </w:tabs>
        <w:rPr>
          <w:sz w:val="20"/>
          <w:szCs w:val="20"/>
          <w:color w:val="auto"/>
        </w:rPr>
      </w:pPr>
      <w:r>
        <w:rPr>
          <w:rFonts w:ascii="Times New Roman" w:cs="Times New Roman" w:eastAsia="Times New Roman" w:hAnsi="Times New Roman"/>
          <w:sz w:val="18"/>
          <w:szCs w:val="18"/>
          <w:color w:val="auto"/>
        </w:rPr>
        <w:t>SECTION 8.09</w:t>
      </w:r>
      <w:r>
        <w:rPr>
          <w:sz w:val="20"/>
          <w:szCs w:val="20"/>
          <w:color w:val="auto"/>
        </w:rPr>
        <w:tab/>
      </w:r>
      <w:r>
        <w:rPr>
          <w:rFonts w:ascii="Times New Roman" w:cs="Times New Roman" w:eastAsia="Times New Roman" w:hAnsi="Times New Roman"/>
          <w:sz w:val="18"/>
          <w:szCs w:val="18"/>
          <w:u w:val="single" w:color="auto"/>
          <w:color w:val="auto"/>
        </w:rPr>
        <w:t>First Lien Administrative Agent May File Proofs of Claim</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w:t>
      </w:r>
    </w:p>
    <w:p>
      <w:pPr>
        <w:spacing w:after="0" w:line="288" w:lineRule="exact"/>
        <w:rPr>
          <w:sz w:val="20"/>
          <w:szCs w:val="20"/>
          <w:color w:val="auto"/>
        </w:rPr>
      </w:pPr>
    </w:p>
    <w:p>
      <w:pPr>
        <w:jc w:val="both"/>
        <w:ind w:left="640" w:right="20" w:firstLine="648"/>
        <w:spacing w:after="0" w:line="256" w:lineRule="auto"/>
        <w:tabs>
          <w:tab w:leader="none" w:pos="1893"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w:t>
      </w:r>
    </w:p>
    <w:p>
      <w:pPr>
        <w:spacing w:after="0" w:line="227" w:lineRule="exact"/>
        <w:rPr>
          <w:rFonts w:ascii="Times New Roman" w:cs="Times New Roman" w:eastAsia="Times New Roman" w:hAnsi="Times New Roman"/>
          <w:sz w:val="18"/>
          <w:szCs w:val="18"/>
          <w:color w:val="auto"/>
        </w:rPr>
      </w:pPr>
    </w:p>
    <w:p>
      <w:pPr>
        <w:ind w:left="1880" w:hanging="592"/>
        <w:spacing w:after="0"/>
        <w:tabs>
          <w:tab w:leader="none" w:pos="188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w:t>
      </w:r>
    </w:p>
    <w:p>
      <w:pPr>
        <w:spacing w:after="0" w:line="24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w:t>
      </w:r>
    </w:p>
    <w:p>
      <w:pPr>
        <w:spacing w:after="0" w:line="21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w:t>
      </w:r>
    </w:p>
    <w:p>
      <w:pPr>
        <w:spacing w:after="0" w:line="22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8.10</w:t>
      </w:r>
      <w:r>
        <w:rPr>
          <w:sz w:val="20"/>
          <w:szCs w:val="20"/>
          <w:color w:val="auto"/>
        </w:rPr>
        <w:tab/>
      </w:r>
      <w:r>
        <w:rPr>
          <w:rFonts w:ascii="Times New Roman" w:cs="Times New Roman" w:eastAsia="Times New Roman" w:hAnsi="Times New Roman"/>
          <w:sz w:val="17"/>
          <w:szCs w:val="17"/>
          <w:u w:val="single" w:color="auto"/>
          <w:color w:val="auto"/>
        </w:rPr>
        <w:t>No Waiver; Cumulative Remedies; Enforcement</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w:t>
      </w:r>
    </w:p>
    <w:p>
      <w:pPr>
        <w:sectPr>
          <w:pgSz w:w="11900" w:h="16838" w:orient="portrait"/>
          <w:cols w:equalWidth="0" w:num="1">
            <w:col w:w="10040"/>
          </w:cols>
          <w:pgMar w:left="1020" w:top="1337" w:right="839" w:bottom="1440" w:gutter="0" w:footer="0" w:header="0"/>
        </w:sectPr>
      </w:pPr>
    </w:p>
    <w:bookmarkStart w:id="650" w:name="page651"/>
    <w:bookmarkEnd w:id="650"/>
    <w:p>
      <w:pPr>
        <w:ind w:left="9"/>
        <w:spacing w:after="0"/>
        <w:rPr>
          <w:sz w:val="20"/>
          <w:szCs w:val="20"/>
          <w:color w:val="auto"/>
        </w:rPr>
      </w:pPr>
      <w:r>
        <w:rPr>
          <w:rFonts w:ascii="Times New Roman" w:cs="Times New Roman" w:eastAsia="Times New Roman" w:hAnsi="Times New Roman"/>
          <w:sz w:val="18"/>
          <w:szCs w:val="18"/>
          <w:color w:val="auto"/>
        </w:rPr>
        <w:t>each other First Lien Loan Document, are cumulative and not exclusive of any rights, remedies, powers and privileges provided by law.</w:t>
      </w:r>
    </w:p>
    <w:p>
      <w:pPr>
        <w:spacing w:after="0" w:line="266" w:lineRule="exact"/>
        <w:rPr>
          <w:sz w:val="20"/>
          <w:szCs w:val="20"/>
          <w:color w:val="auto"/>
        </w:rPr>
      </w:pPr>
    </w:p>
    <w:p>
      <w:pPr>
        <w:jc w:val="both"/>
        <w:ind w:left="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Agent in accordance with Article VII for the benefit of all the Lenders and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(a) 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 hereunder and under the other First Lien Loan Documents,</w:t>
      </w:r>
    </w:p>
    <w:p>
      <w:pPr>
        <w:spacing w:after="0" w:line="1" w:lineRule="exact"/>
        <w:rPr>
          <w:sz w:val="20"/>
          <w:szCs w:val="20"/>
          <w:color w:val="auto"/>
        </w:rPr>
      </w:pPr>
    </w:p>
    <w:p>
      <w:pPr>
        <w:jc w:val="both"/>
        <w:ind w:left="9" w:hanging="9"/>
        <w:spacing w:after="0" w:line="252" w:lineRule="auto"/>
        <w:tabs>
          <w:tab w:leader="none" w:pos="258"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any time there is no Person acting as First Lien Administrative Agent hereunder and under the other First Lien Loan Documents, then (i) the Required Lenders 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364"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8.11</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109" w:right="120" w:firstLine="1296"/>
        <w:spacing w:after="0" w:line="261" w:lineRule="auto"/>
        <w:tabs>
          <w:tab w:leader="none" w:pos="1902" w:val="left"/>
        </w:tabs>
        <w:numPr>
          <w:ilvl w:val="0"/>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at least one of the following is and will be true:</w:t>
      </w:r>
    </w:p>
    <w:p>
      <w:pPr>
        <w:spacing w:after="0" w:line="139" w:lineRule="exact"/>
        <w:rPr>
          <w:sz w:val="20"/>
          <w:szCs w:val="20"/>
          <w:color w:val="auto"/>
        </w:rPr>
      </w:pPr>
    </w:p>
    <w:p>
      <w:pPr>
        <w:jc w:val="both"/>
        <w:ind w:left="749" w:right="140" w:firstLine="656"/>
        <w:spacing w:after="0" w:line="266" w:lineRule="auto"/>
        <w:tabs>
          <w:tab w:leader="none" w:pos="1891"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35" w:lineRule="exact"/>
        <w:rPr>
          <w:rFonts w:ascii="Times New Roman" w:cs="Times New Roman" w:eastAsia="Times New Roman" w:hAnsi="Times New Roman"/>
          <w:sz w:val="18"/>
          <w:szCs w:val="18"/>
          <w:color w:val="auto"/>
        </w:rPr>
      </w:pPr>
    </w:p>
    <w:p>
      <w:pPr>
        <w:jc w:val="both"/>
        <w:ind w:left="749" w:right="140" w:firstLine="656"/>
        <w:spacing w:after="0" w:line="255" w:lineRule="auto"/>
        <w:tabs>
          <w:tab w:leader="none" w:pos="1900"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48" w:lineRule="exact"/>
        <w:rPr>
          <w:rFonts w:ascii="Times New Roman" w:cs="Times New Roman" w:eastAsia="Times New Roman" w:hAnsi="Times New Roman"/>
          <w:sz w:val="18"/>
          <w:szCs w:val="18"/>
          <w:color w:val="auto"/>
        </w:rPr>
      </w:pPr>
    </w:p>
    <w:p>
      <w:pPr>
        <w:jc w:val="both"/>
        <w:ind w:left="749" w:right="140" w:firstLine="656"/>
        <w:spacing w:after="0" w:line="254" w:lineRule="auto"/>
        <w:tabs>
          <w:tab w:leader="none" w:pos="1896"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ectPr>
          <w:pgSz w:w="11900" w:h="16838" w:orient="portrait"/>
          <w:cols w:equalWidth="0" w:num="1">
            <w:col w:w="10049"/>
          </w:cols>
          <w:pgMar w:left="1011" w:top="1337" w:right="839" w:bottom="1440" w:gutter="0" w:footer="0" w:header="0"/>
        </w:sectPr>
      </w:pPr>
    </w:p>
    <w:bookmarkStart w:id="651" w:name="page652"/>
    <w:bookmarkEnd w:id="651"/>
    <w:p>
      <w:pPr>
        <w:ind w:left="740" w:right="160" w:firstLine="651"/>
        <w:spacing w:after="0" w:line="282" w:lineRule="auto"/>
        <w:tabs>
          <w:tab w:leader="none" w:pos="1891"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First Lien Administrative Agent, in its sole discretion, and such Lender.</w:t>
      </w:r>
    </w:p>
    <w:p>
      <w:pPr>
        <w:spacing w:after="0" w:line="189" w:lineRule="exact"/>
        <w:rPr>
          <w:sz w:val="20"/>
          <w:szCs w:val="20"/>
          <w:color w:val="auto"/>
        </w:rPr>
      </w:pPr>
    </w:p>
    <w:p>
      <w:pPr>
        <w:jc w:val="both"/>
        <w:ind w:left="100" w:right="160" w:firstLine="1296"/>
        <w:spacing w:after="0" w:line="254" w:lineRule="auto"/>
        <w:tabs>
          <w:tab w:leader="none" w:pos="1889"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the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First Lien Administrative Agent under this Agreement, any First Lien Loan Document or any documents related hereto or thereto).</w:t>
      </w:r>
    </w:p>
    <w:p>
      <w:pPr>
        <w:spacing w:after="0" w:line="200" w:lineRule="exact"/>
        <w:rPr>
          <w:sz w:val="20"/>
          <w:szCs w:val="20"/>
          <w:color w:val="auto"/>
        </w:rPr>
      </w:pPr>
    </w:p>
    <w:p>
      <w:pPr>
        <w:spacing w:after="0" w:line="25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 xml:space="preserve">ARTICLE IX </w:t>
      </w:r>
      <w:r>
        <w:rPr>
          <w:rFonts w:ascii="Times New Roman" w:cs="Times New Roman" w:eastAsia="Times New Roman" w:hAnsi="Times New Roman"/>
          <w:sz w:val="18"/>
          <w:szCs w:val="18"/>
          <w:u w:val="single" w:color="auto"/>
          <w:color w:val="auto"/>
        </w:rPr>
        <w:t>MISCELLANEOUS</w:t>
      </w:r>
    </w:p>
    <w:p>
      <w:pPr>
        <w:spacing w:after="0" w:line="131"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40" w:firstLine="1288"/>
        <w:spacing w:after="0" w:line="266" w:lineRule="auto"/>
        <w:tabs>
          <w:tab w:leader="none" w:pos="1901" w:val="left"/>
        </w:tabs>
        <w:numPr>
          <w:ilvl w:val="1"/>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202" w:lineRule="exact"/>
        <w:rPr>
          <w:rFonts w:ascii="Times New Roman" w:cs="Times New Roman" w:eastAsia="Times New Roman" w:hAnsi="Times New Roman"/>
          <w:sz w:val="18"/>
          <w:szCs w:val="18"/>
          <w:color w:val="auto"/>
        </w:rPr>
      </w:pPr>
    </w:p>
    <w:p>
      <w:pPr>
        <w:ind w:right="40" w:firstLine="727"/>
        <w:spacing w:after="0" w:line="282" w:lineRule="auto"/>
        <w:tabs>
          <w:tab w:leader="none" w:pos="1257"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Holdings, the Borrower, the First Lien Administrative Agent, the Issuing Bank or the Swingline Lender, to the address, fax number, e-mail address or telephone number specified for such Person on Schedule 9.01; and</w:t>
      </w:r>
    </w:p>
    <w:p>
      <w:pPr>
        <w:spacing w:after="0" w:line="202" w:lineRule="exact"/>
        <w:rPr>
          <w:rFonts w:ascii="Times New Roman" w:cs="Times New Roman" w:eastAsia="Times New Roman" w:hAnsi="Times New Roman"/>
          <w:sz w:val="18"/>
          <w:szCs w:val="18"/>
          <w:color w:val="auto"/>
        </w:rPr>
      </w:pPr>
    </w:p>
    <w:p>
      <w:pPr>
        <w:jc w:val="both"/>
        <w:ind w:right="40" w:firstLine="678"/>
        <w:spacing w:after="0" w:line="261" w:lineRule="auto"/>
        <w:tabs>
          <w:tab w:leader="none" w:pos="1257"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220"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224" w:lineRule="exact"/>
        <w:rPr>
          <w:sz w:val="20"/>
          <w:szCs w:val="20"/>
          <w:color w:val="auto"/>
        </w:rPr>
      </w:pPr>
    </w:p>
    <w:p>
      <w:pPr>
        <w:jc w:val="both"/>
        <w:ind w:firstLine="1287"/>
        <w:spacing w:after="0" w:line="256" w:lineRule="auto"/>
        <w:tabs>
          <w:tab w:leader="none" w:pos="1897"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the Issuing Bank and the Swingline Lender hereunder may be delivered or furnished by electronic communication (including e-mail and Internet or intranet websites) pursuant to procedures reasonably approved by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the Issuing Bank or Swingline Lender pursuant to Article II if such Lender, the Issuing Bank or the Swingline Lender, as applicable, has notified the First Lien Administrative Agent that it is incapable of receiving notices under such Article by electronic communication.</w:t>
      </w:r>
    </w:p>
    <w:p>
      <w:pPr>
        <w:spacing w:after="0" w:line="214"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w:t>
      </w:r>
    </w:p>
    <w:p>
      <w:pPr>
        <w:sectPr>
          <w:pgSz w:w="11900" w:h="16838" w:orient="portrait"/>
          <w:cols w:equalWidth="0" w:num="1">
            <w:col w:w="10060"/>
          </w:cols>
          <w:pgMar w:left="1020" w:top="1337" w:right="819" w:bottom="1440" w:gutter="0" w:footer="0" w:header="0"/>
        </w:sectPr>
      </w:pPr>
    </w:p>
    <w:bookmarkStart w:id="652" w:name="page653"/>
    <w:bookmarkEnd w:id="652"/>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 xml:space="preserve">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24" w:lineRule="exact"/>
        <w:rPr>
          <w:sz w:val="20"/>
          <w:szCs w:val="20"/>
          <w:color w:val="auto"/>
        </w:rPr>
      </w:pPr>
    </w:p>
    <w:p>
      <w:pPr>
        <w:jc w:val="both"/>
        <w:ind w:firstLine="1287"/>
        <w:spacing w:after="0" w:line="253" w:lineRule="auto"/>
        <w:tabs>
          <w:tab w:leader="none" w:pos="1901"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shall the First Lien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234" w:lineRule="exact"/>
        <w:rPr>
          <w:rFonts w:ascii="Times New Roman" w:cs="Times New Roman" w:eastAsia="Times New Roman" w:hAnsi="Times New Roman"/>
          <w:sz w:val="18"/>
          <w:szCs w:val="18"/>
          <w:color w:val="auto"/>
        </w:rPr>
      </w:pPr>
    </w:p>
    <w:p>
      <w:pPr>
        <w:jc w:val="both"/>
        <w:ind w:right="20" w:firstLine="1287"/>
        <w:spacing w:after="0" w:line="255" w:lineRule="auto"/>
        <w:tabs>
          <w:tab w:leader="none" w:pos="1896"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spacing w:after="0" w:line="229" w:lineRule="exact"/>
        <w:rPr>
          <w:rFonts w:ascii="Times New Roman" w:cs="Times New Roman" w:eastAsia="Times New Roman" w:hAnsi="Times New Roman"/>
          <w:sz w:val="18"/>
          <w:szCs w:val="18"/>
          <w:color w:val="auto"/>
        </w:rPr>
      </w:pPr>
    </w:p>
    <w:p>
      <w:pPr>
        <w:jc w:val="both"/>
        <w:ind w:right="40" w:firstLine="1288"/>
        <w:spacing w:after="0" w:line="254" w:lineRule="auto"/>
        <w:tabs>
          <w:tab w:leader="none" w:pos="1901"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w:t>
      </w:r>
      <w:r>
        <w:rPr>
          <w:rFonts w:ascii="Times New Roman" w:cs="Times New Roman" w:eastAsia="Times New Roman" w:hAnsi="Times New Roman"/>
          <w:sz w:val="18"/>
          <w:szCs w:val="18"/>
          <w:color w:val="auto"/>
        </w:rPr>
        <w:t xml:space="preserve"> First Lien </w:t>
      </w:r>
      <w:r>
        <w:rPr>
          <w:rFonts w:ascii="Times New Roman" w:cs="Times New Roman" w:eastAsia="Times New Roman" w:hAnsi="Times New Roman"/>
          <w:sz w:val="18"/>
          <w:szCs w:val="18"/>
          <w:u w:val="single" w:color="auto"/>
          <w:color w:val="auto"/>
        </w:rPr>
        <w:t>Administrative Agent, Issuing Bank and Lenders</w:t>
      </w:r>
      <w:r>
        <w:rPr>
          <w:rFonts w:ascii="Times New Roman" w:cs="Times New Roman" w:eastAsia="Times New Roman" w:hAnsi="Times New Roman"/>
          <w:sz w:val="18"/>
          <w:szCs w:val="18"/>
          <w:color w:val="auto"/>
        </w:rPr>
        <w:t>.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spacing w:after="0" w:line="22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40" w:firstLine="1288"/>
        <w:spacing w:after="0" w:line="258" w:lineRule="auto"/>
        <w:tabs>
          <w:tab w:leader="none" w:pos="1901"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w:t>
      </w:r>
    </w:p>
    <w:p>
      <w:pPr>
        <w:sectPr>
          <w:pgSz w:w="11900" w:h="16838" w:orient="portrait"/>
          <w:cols w:equalWidth="0" w:num="1">
            <w:col w:w="10060"/>
          </w:cols>
          <w:pgMar w:left="1020" w:top="1337" w:right="819" w:bottom="1440" w:gutter="0" w:footer="0" w:header="0"/>
        </w:sectPr>
      </w:pPr>
    </w:p>
    <w:bookmarkStart w:id="653" w:name="page654"/>
    <w:bookmarkEnd w:id="653"/>
    <w:p>
      <w:pPr>
        <w:jc w:val="both"/>
        <w:spacing w:after="0" w:line="254" w:lineRule="auto"/>
        <w:rPr>
          <w:sz w:val="20"/>
          <w:szCs w:val="20"/>
          <w:color w:val="auto"/>
        </w:rPr>
      </w:pPr>
      <w:r>
        <w:rPr>
          <w:rFonts w:ascii="Times New Roman" w:cs="Times New Roman" w:eastAsia="Times New Roman" w:hAnsi="Times New Roman"/>
          <w:sz w:val="18"/>
          <w:szCs w:val="18"/>
          <w:color w:val="auto"/>
        </w:rPr>
        <w:t>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232" w:lineRule="exact"/>
        <w:rPr>
          <w:sz w:val="20"/>
          <w:szCs w:val="20"/>
          <w:color w:val="auto"/>
        </w:rPr>
      </w:pPr>
    </w:p>
    <w:p>
      <w:pPr>
        <w:jc w:val="both"/>
        <w:ind w:firstLine="1288"/>
        <w:spacing w:after="0" w:line="251" w:lineRule="auto"/>
        <w:tabs>
          <w:tab w:leader="none" w:pos="1897"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waive any obligation of the Borrower to pay default interest pursuant to Section 2.13(c),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 2.18(a), Section 2.18 (b), Section 2.18(c), Section 7.03 or this Section 9.02 without the written consent of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First Lien Guarantee Agreement (except as expressly provided in the First Lien Loan Documents) without the written consent of each Lender (other than a Defaulting Lender or a Net Short Lender), or (vii) release all or substantially all the Collateral from the Liens of the Security Documents, without the</w:t>
      </w:r>
    </w:p>
    <w:p>
      <w:pPr>
        <w:sectPr>
          <w:pgSz w:w="11900" w:h="16838" w:orient="portrait"/>
          <w:cols w:equalWidth="0" w:num="1">
            <w:col w:w="10020"/>
          </w:cols>
          <w:pgMar w:left="1020" w:top="1337" w:right="859" w:bottom="1440" w:gutter="0" w:footer="0" w:header="0"/>
        </w:sectPr>
      </w:pPr>
    </w:p>
    <w:bookmarkStart w:id="654" w:name="page655"/>
    <w:bookmarkEnd w:id="654"/>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written consent of each Lender (other than a Defaulting Lender or a Net Short Lender), except as expressly provided in the First Lien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 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 Section 9.02 if such Class of Lenders were the only Class of Lenders hereunder at the time.</w:t>
      </w:r>
    </w:p>
    <w:p>
      <w:pPr>
        <w:spacing w:after="0" w:line="24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First Lien Loan Documents, (iii) to cause any guarantee, collateral security document (including Mortgages) or other document to be consistent with this Agreement and the other First Lien Loan Documents, (iv) to give effect to the provisions of Section 2.14(b) or (v) to integrate any First Lien Incremental Facility or Credit Agreement Refinancing Indebtedness in a manner consistent with this Agreement and the other First Lien Loan Documents.</w:t>
      </w:r>
    </w:p>
    <w:p>
      <w:pPr>
        <w:spacing w:after="0" w:line="238" w:lineRule="exact"/>
        <w:rPr>
          <w:sz w:val="20"/>
          <w:szCs w:val="20"/>
          <w:color w:val="auto"/>
        </w:rPr>
      </w:pPr>
    </w:p>
    <w:p>
      <w:pPr>
        <w:jc w:val="both"/>
        <w:ind w:firstLine="1287"/>
        <w:spacing w:after="0" w:line="252" w:lineRule="auto"/>
        <w:tabs>
          <w:tab w:leader="none" w:pos="1901"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proposed amendment, modification, waiver or termination (a “</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so long as the Lender that is acting as First Lien Administrative Agent is not a Non-Consenting Lender, the Borrower may, at its sole expense and effort, upon notice to such Non-Consenting Lender and the First Lien Administrative Agent, either (i) if exists, permanently prepay all of the Loans of any Class owing by it to, and terminating any Commitments of such Non-Consenting Lender or (ii)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w:t>
      </w:r>
    </w:p>
    <w:p>
      <w:pPr>
        <w:sectPr>
          <w:pgSz w:w="11900" w:h="16838" w:orient="portrait"/>
          <w:cols w:equalWidth="0" w:num="1">
            <w:col w:w="10040"/>
          </w:cols>
          <w:pgMar w:left="1020" w:top="1337" w:right="839" w:bottom="1440" w:gutter="0" w:footer="0" w:header="0"/>
        </w:sectPr>
      </w:pPr>
    </w:p>
    <w:bookmarkStart w:id="655" w:name="page656"/>
    <w:bookmarkEnd w:id="655"/>
    <w:p>
      <w:pPr>
        <w:jc w:val="both"/>
        <w:spacing w:after="0" w:line="255" w:lineRule="auto"/>
        <w:rPr>
          <w:sz w:val="20"/>
          <w:szCs w:val="20"/>
          <w:color w:val="auto"/>
        </w:rPr>
      </w:pPr>
      <w:r>
        <w:rPr>
          <w:rFonts w:ascii="Times New Roman" w:cs="Times New Roman" w:eastAsia="Times New Roman" w:hAnsi="Times New Roman"/>
          <w:sz w:val="18"/>
          <w:szCs w:val="18"/>
          <w:color w:val="auto"/>
        </w:rPr>
        <w:t>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w:t>
      </w:r>
    </w:p>
    <w:p>
      <w:pPr>
        <w:spacing w:after="0" w:line="310" w:lineRule="exact"/>
        <w:rPr>
          <w:sz w:val="20"/>
          <w:szCs w:val="20"/>
          <w:color w:val="auto"/>
        </w:rPr>
      </w:pPr>
    </w:p>
    <w:p>
      <w:pPr>
        <w:jc w:val="both"/>
        <w:ind w:firstLine="1288"/>
        <w:spacing w:after="0" w:line="253" w:lineRule="auto"/>
        <w:tabs>
          <w:tab w:leader="none" w:pos="1897"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(ii) no Disqualified Lender shall have any right to approve or disapprove any amendment, waiver or consent hereunder or under any of the First Lien Loan Documents, and (iii) no Net Short Lender shall have any right to approve or disapprove any amendment, waiver or consent hereunder or under any of the First Lien Loan Documents and instead shall be deemed to have voted its interest as a Lender as provided in </w:t>
      </w:r>
      <w:r>
        <w:rPr>
          <w:rFonts w:ascii="Times New Roman" w:cs="Times New Roman" w:eastAsia="Times New Roman" w:hAnsi="Times New Roman"/>
          <w:sz w:val="18"/>
          <w:szCs w:val="18"/>
          <w:u w:val="single" w:color="auto"/>
          <w:color w:val="auto"/>
        </w:rPr>
        <w:t>Section 9.02(h)</w:t>
      </w:r>
      <w:r>
        <w:rPr>
          <w:rFonts w:ascii="Times New Roman" w:cs="Times New Roman" w:eastAsia="Times New Roman" w:hAnsi="Times New Roman"/>
          <w:sz w:val="18"/>
          <w:szCs w:val="18"/>
          <w:color w:val="auto"/>
        </w:rPr>
        <w:t xml:space="preserve"> (for the avoidance of doubt, other than a Net Short Lender that is also a Disqualified Lender, which shall be subject to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230" w:lineRule="exact"/>
        <w:rPr>
          <w:rFonts w:ascii="Times New Roman" w:cs="Times New Roman" w:eastAsia="Times New Roman" w:hAnsi="Times New Roman"/>
          <w:sz w:val="18"/>
          <w:szCs w:val="18"/>
          <w:color w:val="auto"/>
        </w:rPr>
      </w:pPr>
    </w:p>
    <w:p>
      <w:pPr>
        <w:jc w:val="both"/>
        <w:ind w:right="20" w:firstLine="1288"/>
        <w:spacing w:after="0" w:line="254" w:lineRule="auto"/>
        <w:tabs>
          <w:tab w:leader="none" w:pos="1901"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Affiliated Lender shall be entitled to vote in accordance with its sole 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w:t>
      </w:r>
    </w:p>
    <w:p>
      <w:pPr>
        <w:spacing w:after="0" w:line="232" w:lineRule="exact"/>
        <w:rPr>
          <w:rFonts w:ascii="Times New Roman" w:cs="Times New Roman" w:eastAsia="Times New Roman" w:hAnsi="Times New Roman"/>
          <w:sz w:val="18"/>
          <w:szCs w:val="18"/>
          <w:color w:val="auto"/>
        </w:rPr>
      </w:pPr>
    </w:p>
    <w:p>
      <w:pPr>
        <w:jc w:val="both"/>
        <w:ind w:right="20" w:firstLine="1287"/>
        <w:spacing w:after="0" w:line="253" w:lineRule="auto"/>
        <w:tabs>
          <w:tab w:leader="none" w:pos="1908"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w:t>
      </w:r>
    </w:p>
    <w:p>
      <w:pPr>
        <w:spacing w:after="0" w:line="234" w:lineRule="exact"/>
        <w:rPr>
          <w:rFonts w:ascii="Times New Roman" w:cs="Times New Roman" w:eastAsia="Times New Roman" w:hAnsi="Times New Roman"/>
          <w:sz w:val="18"/>
          <w:szCs w:val="18"/>
          <w:color w:val="auto"/>
        </w:rPr>
      </w:pPr>
    </w:p>
    <w:p>
      <w:pPr>
        <w:jc w:val="both"/>
        <w:ind w:right="20" w:firstLine="1287"/>
        <w:spacing w:after="0" w:line="258" w:lineRule="auto"/>
        <w:tabs>
          <w:tab w:leader="none" w:pos="1897"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any modifications and amendments permitted to be made to this Agreement pursuant to the Fee Letter at the election of the Majority Lenders (as defined in the Fee Letter) shall be deemed to have been incorporated into this Agreement for all purposes, and the Loan Parties shall execute any agreements reasonably requested by the Majority Lenders to confirm the incorporation of such modifications and amendments.</w:t>
      </w:r>
    </w:p>
    <w:p>
      <w:pPr>
        <w:sectPr>
          <w:pgSz w:w="11900" w:h="16838" w:orient="portrait"/>
          <w:cols w:equalWidth="0" w:num="1">
            <w:col w:w="10040"/>
          </w:cols>
          <w:pgMar w:left="1020" w:top="1337" w:right="839" w:bottom="1440" w:gutter="0" w:footer="0" w:header="0"/>
        </w:sectPr>
      </w:pPr>
    </w:p>
    <w:bookmarkStart w:id="656" w:name="page657"/>
    <w:bookmarkEnd w:id="656"/>
    <w:p>
      <w:pPr>
        <w:spacing w:after="0" w:line="154" w:lineRule="exact"/>
        <w:rPr>
          <w:sz w:val="20"/>
          <w:szCs w:val="20"/>
          <w:color w:val="auto"/>
        </w:rPr>
      </w:pPr>
    </w:p>
    <w:p>
      <w:pPr>
        <w:jc w:val="both"/>
        <w:ind w:left="10" w:right="20" w:firstLine="1287"/>
        <w:spacing w:after="0" w:line="253" w:lineRule="auto"/>
        <w:tabs>
          <w:tab w:leader="none" w:pos="1907" w:val="left"/>
        </w:tabs>
        <w:numPr>
          <w:ilvl w:val="2"/>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 refrain from taking any action) with respect to or under any First Lien Loan Document, any Lender (other than</w:t>
      </w:r>
    </w:p>
    <w:p>
      <w:pPr>
        <w:spacing w:after="0" w:line="5" w:lineRule="exact"/>
        <w:rPr>
          <w:rFonts w:ascii="Times New Roman" w:cs="Times New Roman" w:eastAsia="Times New Roman" w:hAnsi="Times New Roman"/>
          <w:sz w:val="18"/>
          <w:szCs w:val="18"/>
          <w:color w:val="auto"/>
        </w:rPr>
      </w:pPr>
    </w:p>
    <w:p>
      <w:pPr>
        <w:jc w:val="both"/>
        <w:ind w:left="10" w:hanging="10"/>
        <w:spacing w:after="0" w:line="250" w:lineRule="auto"/>
        <w:tabs>
          <w:tab w:leader="none" w:pos="269" w:val="left"/>
        </w:tabs>
        <w:numPr>
          <w:ilvl w:val="1"/>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a Regulated Bank </w:t>
      </w:r>
      <w:r>
        <w:rPr>
          <w:rFonts w:ascii="Times New Roman" w:cs="Times New Roman" w:eastAsia="Times New Roman" w:hAnsi="Times New Roman"/>
          <w:sz w:val="18"/>
          <w:szCs w:val="18"/>
          <w:u w:val="single" w:color="auto"/>
          <w:color w:val="0000FF"/>
        </w:rPr>
        <w:t>or an Affiliate of a Regulated Bank</w:t>
      </w:r>
      <w:r>
        <w:rPr>
          <w:rFonts w:ascii="Times New Roman" w:cs="Times New Roman" w:eastAsia="Times New Roman" w:hAnsi="Times New Roman"/>
          <w:sz w:val="18"/>
          <w:szCs w:val="18"/>
          <w:color w:val="auto"/>
        </w:rPr>
        <w:t xml:space="preserve"> and (y) any Revolving Lender as of the Effective Date </w:t>
      </w:r>
      <w:r>
        <w:rPr>
          <w:rFonts w:ascii="Times New Roman" w:cs="Times New Roman" w:eastAsia="Times New Roman" w:hAnsi="Times New Roman"/>
          <w:sz w:val="18"/>
          <w:szCs w:val="18"/>
          <w:color w:val="0000FF"/>
        </w:rPr>
        <w:t>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Affiliate of such a Revolving Lender</w:t>
      </w:r>
      <w:r>
        <w:rPr>
          <w:rFonts w:ascii="Times New Roman" w:cs="Times New Roman" w:eastAsia="Times New Roman" w:hAnsi="Times New Roman"/>
          <w:sz w:val="18"/>
          <w:szCs w:val="18"/>
          <w:color w:val="000000"/>
        </w:rPr>
        <w:t>) that, as a result of its interest in any total return swap, total rate of return swap, credit default swap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w:t>
      </w:r>
    </w:p>
    <w:p>
      <w:pPr>
        <w:spacing w:after="0" w:line="10" w:lineRule="exact"/>
        <w:rPr>
          <w:rFonts w:ascii="Times New Roman" w:cs="Times New Roman" w:eastAsia="Times New Roman" w:hAnsi="Times New Roman"/>
          <w:sz w:val="18"/>
          <w:szCs w:val="18"/>
          <w:color w:val="auto"/>
        </w:rPr>
      </w:pPr>
    </w:p>
    <w:p>
      <w:pPr>
        <w:jc w:val="both"/>
        <w:ind w:left="10" w:hanging="9"/>
        <w:spacing w:after="0" w:line="252" w:lineRule="auto"/>
        <w:tabs>
          <w:tab w:leader="none" w:pos="280" w:val="left"/>
        </w:tabs>
        <w:numPr>
          <w:ilvl w:val="1"/>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index is not created, designed, administered or requested by such 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 the Borrower and the First Lien Administrative Agent that it is not a Net Short Lender (it being understood and agreed that the Borrower and the First Lien Administrative Agent shall be entitled to rely on each such representation and deemed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-4281805</wp:posOffset>
            </wp:positionV>
            <wp:extent cx="325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224" w:lineRule="exact"/>
        <w:rPr>
          <w:sz w:val="20"/>
          <w:szCs w:val="20"/>
          <w:color w:val="auto"/>
        </w:rPr>
      </w:pPr>
    </w:p>
    <w:p>
      <w:pPr>
        <w:ind w:left="1290"/>
        <w:spacing w:after="0"/>
        <w:tabs>
          <w:tab w:leader="none" w:pos="2569"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both"/>
        <w:ind w:left="10" w:right="20" w:firstLine="1287"/>
        <w:spacing w:after="0" w:line="258" w:lineRule="auto"/>
        <w:tabs>
          <w:tab w:leader="none" w:pos="191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Latham &amp; Watkins LLP for</w:t>
      </w:r>
    </w:p>
    <w:p>
      <w:pPr>
        <w:sectPr>
          <w:pgSz w:w="11900" w:h="16838" w:orient="portrait"/>
          <w:cols w:equalWidth="0" w:num="1">
            <w:col w:w="10050"/>
          </w:cols>
          <w:pgMar w:left="1010" w:top="1440" w:right="839" w:bottom="1440" w:gutter="0" w:footer="0" w:header="0"/>
        </w:sectPr>
      </w:pPr>
    </w:p>
    <w:bookmarkStart w:id="657" w:name="page658"/>
    <w:bookmarkEnd w:id="657"/>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any and all of the foregoing in connection with Amendment No. 2 and Amendment No. 3, including the primary syndication, to occur on or prior to or otherwise in connection with the Amendment No.2 Effective Date or the Amendment No. 3 Effective Date)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First Lien Administrative Agent, each Issuing Bank or any Lender, including the fees, charges and 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 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w:t>
      </w:r>
    </w:p>
    <w:p>
      <w:pPr>
        <w:spacing w:after="0" w:line="200" w:lineRule="exact"/>
        <w:rPr>
          <w:sz w:val="20"/>
          <w:szCs w:val="20"/>
          <w:color w:val="auto"/>
        </w:rPr>
      </w:pPr>
    </w:p>
    <w:p>
      <w:pPr>
        <w:spacing w:after="0" w:line="236" w:lineRule="exact"/>
        <w:rPr>
          <w:sz w:val="20"/>
          <w:szCs w:val="20"/>
          <w:color w:val="auto"/>
        </w:rPr>
      </w:pPr>
    </w:p>
    <w:p>
      <w:pPr>
        <w:jc w:val="both"/>
        <w:ind w:firstLine="1287"/>
        <w:spacing w:after="0" w:line="252" w:lineRule="auto"/>
        <w:tabs>
          <w:tab w:leader="none" w:pos="1897"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the expense reimbursement obligations pursuant to clause (a) above, the Borrower shall indemnify the First Lien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w:t>
      </w:r>
    </w:p>
    <w:p>
      <w:pPr>
        <w:sectPr>
          <w:pgSz w:w="11900" w:h="16838" w:orient="portrait"/>
          <w:cols w:equalWidth="0" w:num="1">
            <w:col w:w="10060"/>
          </w:cols>
          <w:pgMar w:left="1020" w:top="1418" w:right="819" w:bottom="1440" w:gutter="0" w:footer="0" w:header="0"/>
        </w:sectPr>
      </w:pPr>
    </w:p>
    <w:bookmarkStart w:id="658" w:name="page659"/>
    <w:bookmarkEnd w:id="65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First Lien Loan 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 (z) resulted from any settlement effected without the Borrower’s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w:t>
      </w:r>
    </w:p>
    <w:p>
      <w:pPr>
        <w:spacing w:after="0" w:line="234" w:lineRule="exact"/>
        <w:rPr>
          <w:sz w:val="20"/>
          <w:szCs w:val="20"/>
          <w:color w:val="auto"/>
        </w:rPr>
      </w:pPr>
    </w:p>
    <w:p>
      <w:pPr>
        <w:jc w:val="both"/>
        <w:ind w:right="40" w:firstLine="1287"/>
        <w:spacing w:after="0" w:line="254" w:lineRule="auto"/>
        <w:tabs>
          <w:tab w:leader="none" w:pos="1901"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First Lien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to the Lenders’ obligations under this paragraph (c)).</w:t>
      </w:r>
    </w:p>
    <w:p>
      <w:pPr>
        <w:spacing w:after="0" w:line="228" w:lineRule="exact"/>
        <w:rPr>
          <w:rFonts w:ascii="Times New Roman" w:cs="Times New Roman" w:eastAsia="Times New Roman" w:hAnsi="Times New Roman"/>
          <w:sz w:val="18"/>
          <w:szCs w:val="18"/>
          <w:color w:val="auto"/>
        </w:rPr>
      </w:pPr>
    </w:p>
    <w:p>
      <w:pPr>
        <w:jc w:val="both"/>
        <w:ind w:right="40" w:firstLine="1287"/>
        <w:spacing w:after="0" w:line="253" w:lineRule="auto"/>
        <w:tabs>
          <w:tab w:leader="none" w:pos="1897"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in no event limit the Borrower’s indemnification obligations under clause (b) above.</w:t>
      </w:r>
    </w:p>
    <w:p>
      <w:pPr>
        <w:spacing w:after="0" w:line="234" w:lineRule="exact"/>
        <w:rPr>
          <w:rFonts w:ascii="Times New Roman" w:cs="Times New Roman" w:eastAsia="Times New Roman" w:hAnsi="Times New Roman"/>
          <w:sz w:val="18"/>
          <w:szCs w:val="18"/>
          <w:color w:val="auto"/>
        </w:rPr>
      </w:pPr>
    </w:p>
    <w:p>
      <w:pPr>
        <w:jc w:val="both"/>
        <w:ind w:right="40" w:firstLine="1287"/>
        <w:spacing w:after="0" w:line="255" w:lineRule="auto"/>
        <w:tabs>
          <w:tab w:leader="none" w:pos="1901"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w:t>
      </w:r>
    </w:p>
    <w:p>
      <w:pPr>
        <w:sectPr>
          <w:pgSz w:w="11900" w:h="16838" w:orient="portrait"/>
          <w:cols w:equalWidth="0" w:num="1">
            <w:col w:w="10060"/>
          </w:cols>
          <w:pgMar w:left="1020" w:top="1337" w:right="819" w:bottom="1440" w:gutter="0" w:footer="0" w:header="0"/>
        </w:sectPr>
      </w:pPr>
    </w:p>
    <w:bookmarkStart w:id="659" w:name="page660"/>
    <w:bookmarkEnd w:id="659"/>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220" w:lineRule="exact"/>
        <w:rPr>
          <w:sz w:val="20"/>
          <w:szCs w:val="20"/>
          <w:color w:val="auto"/>
        </w:rPr>
      </w:pPr>
    </w:p>
    <w:p>
      <w:pPr>
        <w:jc w:val="both"/>
        <w:ind w:right="40" w:firstLine="1287"/>
        <w:spacing w:after="0" w:line="254" w:lineRule="auto"/>
        <w:tabs>
          <w:tab w:leader="none" w:pos="1908"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spacing w:after="0" w:line="313" w:lineRule="exact"/>
        <w:rPr>
          <w:rFonts w:ascii="Times New Roman" w:cs="Times New Roman" w:eastAsia="Times New Roman" w:hAnsi="Times New Roman"/>
          <w:sz w:val="18"/>
          <w:szCs w:val="18"/>
          <w:color w:val="auto"/>
        </w:rPr>
      </w:pPr>
    </w:p>
    <w:p>
      <w:pPr>
        <w:jc w:val="both"/>
        <w:ind w:right="40" w:firstLine="1288"/>
        <w:spacing w:after="0" w:line="261" w:lineRule="auto"/>
        <w:tabs>
          <w:tab w:leader="none" w:pos="1897"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Section 9.03 shall be payable not later than ten (10) Business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207"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40" w:firstLine="1287"/>
        <w:spacing w:after="0" w:line="253" w:lineRule="auto"/>
        <w:tabs>
          <w:tab w:leader="none" w:pos="1901"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spacing w:after="0" w:line="230" w:lineRule="exact"/>
        <w:rPr>
          <w:rFonts w:ascii="Times New Roman" w:cs="Times New Roman" w:eastAsia="Times New Roman" w:hAnsi="Times New Roman"/>
          <w:sz w:val="18"/>
          <w:szCs w:val="18"/>
          <w:color w:val="auto"/>
        </w:rPr>
      </w:pPr>
    </w:p>
    <w:p>
      <w:pPr>
        <w:jc w:val="both"/>
        <w:ind w:firstLine="1287"/>
        <w:spacing w:after="0" w:line="252" w:lineRule="auto"/>
        <w:tabs>
          <w:tab w:leader="none" w:pos="1897"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shall have the right to withhold its consent to any assignment if in order for such assignment to comply with applicable law, the Borrower would be required to</w:t>
      </w:r>
    </w:p>
    <w:p>
      <w:pPr>
        <w:sectPr>
          <w:pgSz w:w="11900" w:h="16838" w:orient="portrait"/>
          <w:cols w:equalWidth="0" w:num="1">
            <w:col w:w="10060"/>
          </w:cols>
          <w:pgMar w:left="1020" w:top="1337" w:right="819" w:bottom="1440" w:gutter="0" w:footer="0" w:header="0"/>
        </w:sectPr>
      </w:pPr>
    </w:p>
    <w:bookmarkStart w:id="660" w:name="page661"/>
    <w:bookmarkEnd w:id="660"/>
    <w:p>
      <w:pPr>
        <w:jc w:val="both"/>
        <w:ind w:left="9"/>
        <w:spacing w:after="0" w:line="257" w:lineRule="auto"/>
        <w:rPr>
          <w:sz w:val="20"/>
          <w:szCs w:val="20"/>
          <w:color w:val="auto"/>
        </w:rPr>
      </w:pPr>
      <w:r>
        <w:rPr>
          <w:rFonts w:ascii="Times New Roman" w:cs="Times New Roman" w:eastAsia="Times New Roman" w:hAnsi="Times New Roman"/>
          <w:sz w:val="18"/>
          <w:szCs w:val="18"/>
          <w:color w:val="auto"/>
        </w:rPr>
        <w:t xml:space="preserve">obtain the consent of, or make any filing or registration with, any Governmental Authority, (B)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First Lien Administrative Agent shall be required for an assignment of a Term Loan or assignments pursuant to the proviso in clause (z) of Section 9.04(b)(i)(A) to (x) a Revolving Lender, an Affiliate of a Lender or an Approved Fund or</w:t>
      </w:r>
    </w:p>
    <w:p>
      <w:pPr>
        <w:spacing w:after="0" w:line="1" w:lineRule="exact"/>
        <w:rPr>
          <w:sz w:val="20"/>
          <w:szCs w:val="20"/>
          <w:color w:val="auto"/>
        </w:rPr>
      </w:pPr>
    </w:p>
    <w:p>
      <w:pPr>
        <w:jc w:val="both"/>
        <w:ind w:left="9" w:hanging="9"/>
        <w:spacing w:after="0" w:line="252" w:lineRule="auto"/>
        <w:tabs>
          <w:tab w:leader="none" w:pos="272"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w:t>
      </w:r>
    </w:p>
    <w:p>
      <w:pPr>
        <w:spacing w:after="0" w:line="311" w:lineRule="exact"/>
        <w:rPr>
          <w:rFonts w:ascii="Times New Roman" w:cs="Times New Roman" w:eastAsia="Times New Roman" w:hAnsi="Times New Roman"/>
          <w:sz w:val="18"/>
          <w:szCs w:val="18"/>
          <w:color w:val="auto"/>
        </w:rPr>
      </w:pPr>
    </w:p>
    <w:p>
      <w:pPr>
        <w:jc w:val="both"/>
        <w:ind w:left="9" w:firstLine="1287"/>
        <w:spacing w:after="0" w:line="267" w:lineRule="auto"/>
        <w:tabs>
          <w:tab w:leader="none" w:pos="1916" w:val="left"/>
        </w:tabs>
        <w:numPr>
          <w:ilvl w:val="1"/>
          <w:numId w:val="7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and determined on an aggregate basis in the event of concurrent assignments to Related Funds or by Related Funds) shall, in the case of Revolving Loans, not be less than $2,500,000 or, in the case of a Term Loan, $1,000,000, unless the Borrower and the First Lien Administrative Agent otherwise consent (in each case, such consent not to be unreasonably withheld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First Lien Administrative Agent, in its sole discretion, may elect to waive or reduce such processing and recordation fee;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such processing and recordation fee shall not be payable in the case of assignments by any Agent or any Lender to any of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such Assignment and Assumption shall include a representation by the assignee that the assignee is not a Disqualified Lender or an Affiliate of a Disqualified Lender;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assignments made pursuant to Section 2.19(b) or Section 9.02(c) shall not require the signature of the assigning Lender to become effective, (D) the 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200" w:lineRule="exact"/>
        <w:rPr>
          <w:rFonts w:ascii="Times New Roman" w:cs="Times New Roman" w:eastAsia="Times New Roman" w:hAnsi="Times New Roman"/>
          <w:sz w:val="17"/>
          <w:szCs w:val="17"/>
          <w:color w:val="auto"/>
        </w:rPr>
      </w:pPr>
    </w:p>
    <w:p>
      <w:pPr>
        <w:jc w:val="both"/>
        <w:ind w:left="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 Specified Event of Default has occurred and is continuing.</w:t>
      </w:r>
    </w:p>
    <w:p>
      <w:pPr>
        <w:spacing w:after="0" w:line="247" w:lineRule="exact"/>
        <w:rPr>
          <w:rFonts w:ascii="Times New Roman" w:cs="Times New Roman" w:eastAsia="Times New Roman" w:hAnsi="Times New Roman"/>
          <w:sz w:val="17"/>
          <w:szCs w:val="17"/>
          <w:color w:val="auto"/>
        </w:rPr>
      </w:pPr>
    </w:p>
    <w:p>
      <w:pPr>
        <w:ind w:left="9" w:right="20" w:firstLine="1287"/>
        <w:spacing w:after="0" w:line="282" w:lineRule="auto"/>
        <w:tabs>
          <w:tab w:leader="none" w:pos="1912" w:val="left"/>
        </w:tabs>
        <w:numPr>
          <w:ilvl w:val="1"/>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(b)(v) of this Section 9.04, from and after the effective date specified in each Assignment and Assumption, the assignee thereunder shall</w:t>
      </w:r>
    </w:p>
    <w:p>
      <w:pPr>
        <w:sectPr>
          <w:pgSz w:w="11900" w:h="16838" w:orient="portrait"/>
          <w:cols w:equalWidth="0" w:num="1">
            <w:col w:w="10069"/>
          </w:cols>
          <w:pgMar w:left="1011" w:top="1337" w:right="819" w:bottom="1440" w:gutter="0" w:footer="0" w:header="0"/>
        </w:sectPr>
      </w:pPr>
    </w:p>
    <w:bookmarkStart w:id="661" w:name="page662"/>
    <w:bookmarkEnd w:id="661"/>
    <w:p>
      <w:pPr>
        <w:jc w:val="both"/>
        <w:spacing w:after="0" w:line="254" w:lineRule="auto"/>
        <w:rPr>
          <w:sz w:val="20"/>
          <w:szCs w:val="20"/>
          <w:color w:val="auto"/>
        </w:rPr>
      </w:pPr>
      <w:r>
        <w:rPr>
          <w:rFonts w:ascii="Times New Roman" w:cs="Times New Roman" w:eastAsia="Times New Roman" w:hAnsi="Times New Roman"/>
          <w:sz w:val="18"/>
          <w:szCs w:val="18"/>
          <w:color w:val="auto"/>
        </w:rPr>
        <w:t>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313" w:lineRule="exact"/>
        <w:rPr>
          <w:sz w:val="20"/>
          <w:szCs w:val="20"/>
          <w:color w:val="auto"/>
        </w:rPr>
      </w:pPr>
    </w:p>
    <w:p>
      <w:pPr>
        <w:jc w:val="both"/>
        <w:ind w:right="40" w:firstLine="1287"/>
        <w:spacing w:after="0" w:line="253" w:lineRule="auto"/>
        <w:tabs>
          <w:tab w:leader="none" w:pos="1907"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216" w:lineRule="exact"/>
        <w:rPr>
          <w:rFonts w:ascii="Times New Roman" w:cs="Times New Roman" w:eastAsia="Times New Roman" w:hAnsi="Times New Roman"/>
          <w:sz w:val="18"/>
          <w:szCs w:val="18"/>
          <w:color w:val="auto"/>
        </w:rPr>
      </w:pPr>
    </w:p>
    <w:p>
      <w:pPr>
        <w:jc w:val="both"/>
        <w:ind w:right="20" w:firstLine="1287"/>
        <w:spacing w:after="0" w:line="256" w:lineRule="auto"/>
        <w:tabs>
          <w:tab w:leader="none" w:pos="1897"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227" w:lineRule="exact"/>
        <w:rPr>
          <w:rFonts w:ascii="Times New Roman" w:cs="Times New Roman" w:eastAsia="Times New Roman" w:hAnsi="Times New Roman"/>
          <w:sz w:val="18"/>
          <w:szCs w:val="18"/>
          <w:color w:val="auto"/>
        </w:rPr>
      </w:pPr>
    </w:p>
    <w:p>
      <w:pPr>
        <w:jc w:val="both"/>
        <w:ind w:right="20" w:firstLine="1287"/>
        <w:spacing w:after="0" w:line="258" w:lineRule="auto"/>
        <w:tabs>
          <w:tab w:leader="none" w:pos="1907"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24" w:lineRule="exact"/>
        <w:rPr>
          <w:sz w:val="20"/>
          <w:szCs w:val="20"/>
          <w:color w:val="auto"/>
        </w:rPr>
      </w:pPr>
    </w:p>
    <w:p>
      <w:pPr>
        <w:jc w:val="both"/>
        <w:ind w:firstLine="1287"/>
        <w:spacing w:after="0" w:line="253" w:lineRule="auto"/>
        <w:tabs>
          <w:tab w:leader="none" w:pos="1901"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Borrower, the First Lien Administrative Agent, the Issuing Banks or the Swingline Lender, sell participations to one or more banks or other Persons (other than to a Person that is not an Eligible Assignee)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w:t>
      </w:r>
    </w:p>
    <w:p>
      <w:pPr>
        <w:sectPr>
          <w:pgSz w:w="11900" w:h="16838" w:orient="portrait"/>
          <w:cols w:equalWidth="0" w:num="1">
            <w:col w:w="10060"/>
          </w:cols>
          <w:pgMar w:left="1020" w:top="1337" w:right="819" w:bottom="1440" w:gutter="0" w:footer="0" w:header="0"/>
        </w:sectPr>
      </w:pPr>
    </w:p>
    <w:bookmarkStart w:id="662" w:name="page663"/>
    <w:bookmarkEnd w:id="662"/>
    <w:p>
      <w:pPr>
        <w:jc w:val="both"/>
        <w:spacing w:after="0" w:line="257" w:lineRule="auto"/>
        <w:rPr>
          <w:sz w:val="20"/>
          <w:szCs w:val="20"/>
          <w:color w:val="auto"/>
        </w:rPr>
      </w:pPr>
      <w:r>
        <w:rPr>
          <w:rFonts w:ascii="Times New Roman" w:cs="Times New Roman" w:eastAsia="Times New Roman" w:hAnsi="Times New Roman"/>
          <w:sz w:val="18"/>
          <w:szCs w:val="18"/>
          <w:color w:val="auto"/>
        </w:rPr>
        <w:t>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w:t>
      </w:r>
    </w:p>
    <w:p>
      <w:pPr>
        <w:spacing w:after="0" w:line="1"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 xml:space="preserve">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Section 2.18(c) as though it were a Lender.</w:t>
      </w:r>
    </w:p>
    <w:p>
      <w:pPr>
        <w:spacing w:after="0" w:line="290" w:lineRule="exact"/>
        <w:rPr>
          <w:sz w:val="20"/>
          <w:szCs w:val="20"/>
          <w:color w:val="auto"/>
        </w:rPr>
      </w:pPr>
    </w:p>
    <w:p>
      <w:pPr>
        <w:jc w:val="both"/>
        <w:ind w:right="40" w:firstLine="1288"/>
        <w:spacing w:after="0" w:line="253" w:lineRule="auto"/>
        <w:tabs>
          <w:tab w:leader="none" w:pos="1907"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spacing w:after="0" w:line="234" w:lineRule="exact"/>
        <w:rPr>
          <w:rFonts w:ascii="Times New Roman" w:cs="Times New Roman" w:eastAsia="Times New Roman" w:hAnsi="Times New Roman"/>
          <w:sz w:val="18"/>
          <w:szCs w:val="18"/>
          <w:color w:val="auto"/>
        </w:rPr>
      </w:pPr>
    </w:p>
    <w:p>
      <w:pPr>
        <w:jc w:val="both"/>
        <w:ind w:right="40" w:firstLine="1288"/>
        <w:spacing w:after="0" w:line="261" w:lineRule="auto"/>
        <w:tabs>
          <w:tab w:leader="none" w:pos="1903"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spacing w:after="0" w:line="207" w:lineRule="exact"/>
        <w:rPr>
          <w:sz w:val="20"/>
          <w:szCs w:val="20"/>
          <w:color w:val="auto"/>
        </w:rPr>
      </w:pPr>
    </w:p>
    <w:p>
      <w:pPr>
        <w:jc w:val="both"/>
        <w:ind w:right="40" w:firstLine="1288"/>
        <w:spacing w:after="0" w:line="258" w:lineRule="auto"/>
        <w:tabs>
          <w:tab w:leader="none" w:pos="1897"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223" w:lineRule="exact"/>
        <w:rPr>
          <w:rFonts w:ascii="Times New Roman" w:cs="Times New Roman" w:eastAsia="Times New Roman" w:hAnsi="Times New Roman"/>
          <w:sz w:val="18"/>
          <w:szCs w:val="18"/>
          <w:color w:val="auto"/>
        </w:rPr>
      </w:pPr>
    </w:p>
    <w:p>
      <w:pPr>
        <w:jc w:val="both"/>
        <w:ind w:firstLine="1287"/>
        <w:spacing w:after="0" w:line="253" w:lineRule="auto"/>
        <w:tabs>
          <w:tab w:leader="none" w:pos="1901"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30" w:lineRule="exact"/>
        <w:rPr>
          <w:rFonts w:ascii="Times New Roman" w:cs="Times New Roman" w:eastAsia="Times New Roman" w:hAnsi="Times New Roman"/>
          <w:sz w:val="18"/>
          <w:szCs w:val="18"/>
          <w:color w:val="auto"/>
        </w:rPr>
      </w:pPr>
    </w:p>
    <w:p>
      <w:pPr>
        <w:ind w:right="40" w:firstLine="1287"/>
        <w:spacing w:after="0" w:line="282" w:lineRule="auto"/>
        <w:tabs>
          <w:tab w:leader="none" w:pos="1908"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Lender may, at any time, assign all or a portion of its rights and obligations under this Agreement to an Affiliated Lender subject to the following limitations:</w:t>
      </w:r>
    </w:p>
    <w:p>
      <w:pPr>
        <w:sectPr>
          <w:pgSz w:w="11900" w:h="16838" w:orient="portrait"/>
          <w:cols w:equalWidth="0" w:num="1">
            <w:col w:w="10060"/>
          </w:cols>
          <w:pgMar w:left="1020" w:top="1337" w:right="819" w:bottom="1440" w:gutter="0" w:footer="0" w:header="0"/>
        </w:sectPr>
      </w:pPr>
    </w:p>
    <w:bookmarkStart w:id="663" w:name="page664"/>
    <w:bookmarkEnd w:id="663"/>
    <w:p>
      <w:pPr>
        <w:jc w:val="both"/>
        <w:ind w:right="40" w:firstLine="727"/>
        <w:spacing w:after="0" w:line="261" w:lineRule="auto"/>
        <w:tabs>
          <w:tab w:leader="none" w:pos="1257"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w:t>
      </w:r>
    </w:p>
    <w:p>
      <w:pPr>
        <w:spacing w:after="0" w:line="220" w:lineRule="exact"/>
        <w:rPr>
          <w:rFonts w:ascii="Times New Roman" w:cs="Times New Roman" w:eastAsia="Times New Roman" w:hAnsi="Times New Roman"/>
          <w:sz w:val="18"/>
          <w:szCs w:val="18"/>
          <w:color w:val="auto"/>
        </w:rPr>
      </w:pPr>
    </w:p>
    <w:p>
      <w:pPr>
        <w:jc w:val="both"/>
        <w:ind w:right="40" w:firstLine="678"/>
        <w:spacing w:after="0" w:line="253" w:lineRule="auto"/>
        <w:tabs>
          <w:tab w:leader="none" w:pos="1257"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any amendment, waiver or modification of any First Lien Loan Document (including such modifications pursuant to Section 9.02), or, subject to Section 9.02(e), any plan of reorganization pursuant to the U.S.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Affiliated Debt Funds will not be subject to such voting limitations and will be entitled to vote as any other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Affiliated Debt Funds may not account for more than 49.9% of the “Required Lenders” in any Required Lender vote;</w:t>
      </w:r>
    </w:p>
    <w:p>
      <w:pPr>
        <w:spacing w:after="0" w:line="286" w:lineRule="exact"/>
        <w:rPr>
          <w:rFonts w:ascii="Times New Roman" w:cs="Times New Roman" w:eastAsia="Times New Roman" w:hAnsi="Times New Roman"/>
          <w:sz w:val="18"/>
          <w:szCs w:val="18"/>
          <w:color w:val="auto"/>
        </w:rPr>
      </w:pPr>
    </w:p>
    <w:p>
      <w:pPr>
        <w:ind w:left="1660" w:hanging="1031"/>
        <w:spacing w:after="0"/>
        <w:tabs>
          <w:tab w:leader="none" w:pos="1660"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may not purchase Revolving Loans, including pursuant to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9.04;</w:t>
      </w:r>
    </w:p>
    <w:p>
      <w:pPr>
        <w:spacing w:after="0" w:line="247" w:lineRule="exact"/>
        <w:rPr>
          <w:sz w:val="20"/>
          <w:szCs w:val="20"/>
          <w:color w:val="auto"/>
        </w:rPr>
      </w:pPr>
    </w:p>
    <w:p>
      <w:pPr>
        <w:jc w:val="both"/>
        <w:ind w:right="40" w:firstLine="636"/>
        <w:spacing w:after="0" w:line="266" w:lineRule="auto"/>
        <w:tabs>
          <w:tab w:leader="none" w:pos="1256"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w:t>
      </w:r>
    </w:p>
    <w:p>
      <w:pPr>
        <w:spacing w:after="0" w:line="216" w:lineRule="exact"/>
        <w:rPr>
          <w:rFonts w:ascii="Times New Roman" w:cs="Times New Roman" w:eastAsia="Times New Roman" w:hAnsi="Times New Roman"/>
          <w:sz w:val="18"/>
          <w:szCs w:val="18"/>
          <w:color w:val="auto"/>
        </w:rPr>
      </w:pPr>
    </w:p>
    <w:p>
      <w:pPr>
        <w:jc w:val="both"/>
        <w:ind w:right="40" w:firstLine="686"/>
        <w:spacing w:after="0" w:line="258" w:lineRule="auto"/>
        <w:tabs>
          <w:tab w:leader="none" w:pos="1255"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w:t>
      </w:r>
    </w:p>
    <w:p>
      <w:pPr>
        <w:spacing w:after="0" w:line="223" w:lineRule="exact"/>
        <w:rPr>
          <w:rFonts w:ascii="Times New Roman" w:cs="Times New Roman" w:eastAsia="Times New Roman" w:hAnsi="Times New Roman"/>
          <w:sz w:val="18"/>
          <w:szCs w:val="18"/>
          <w:color w:val="auto"/>
        </w:rPr>
      </w:pPr>
    </w:p>
    <w:p>
      <w:pPr>
        <w:jc w:val="both"/>
        <w:ind w:left="640" w:firstLine="735"/>
        <w:spacing w:after="0" w:line="254" w:lineRule="auto"/>
        <w:tabs>
          <w:tab w:leader="none" w:pos="1897" w:val="left"/>
        </w:tabs>
        <w:numPr>
          <w:ilvl w:val="1"/>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spacing w:after="0" w:line="232" w:lineRule="exact"/>
        <w:rPr>
          <w:rFonts w:ascii="Times New Roman" w:cs="Times New Roman" w:eastAsia="Times New Roman" w:hAnsi="Times New Roman"/>
          <w:sz w:val="18"/>
          <w:szCs w:val="18"/>
          <w:color w:val="auto"/>
        </w:rPr>
      </w:pPr>
    </w:p>
    <w:p>
      <w:pPr>
        <w:jc w:val="both"/>
        <w:ind w:right="40" w:firstLine="636"/>
        <w:spacing w:after="0" w:line="255" w:lineRule="auto"/>
        <w:tabs>
          <w:tab w:leader="none" w:pos="1256"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any Affiliated Lender or any of their respective Affiliates shall have any liability to such Lender, and such Lender hereby waives and releases, to the extent permitted by Requirements of Law, any claims</w:t>
      </w:r>
    </w:p>
    <w:p>
      <w:pPr>
        <w:sectPr>
          <w:pgSz w:w="11900" w:h="16838" w:orient="portrait"/>
          <w:cols w:equalWidth="0" w:num="1">
            <w:col w:w="10060"/>
          </w:cols>
          <w:pgMar w:left="1020" w:top="1337" w:right="819" w:bottom="1440" w:gutter="0" w:footer="0" w:header="0"/>
        </w:sectPr>
      </w:pPr>
    </w:p>
    <w:bookmarkStart w:id="664" w:name="page665"/>
    <w:bookmarkEnd w:id="664"/>
    <w:p>
      <w:pPr>
        <w:jc w:val="both"/>
        <w:ind w:left="9" w:right="40"/>
        <w:spacing w:after="0" w:line="261" w:lineRule="auto"/>
        <w:rPr>
          <w:sz w:val="20"/>
          <w:szCs w:val="20"/>
          <w:color w:val="auto"/>
        </w:rPr>
      </w:pPr>
      <w:r>
        <w:rPr>
          <w:rFonts w:ascii="Times New Roman" w:cs="Times New Roman" w:eastAsia="Times New Roman" w:hAnsi="Times New Roman"/>
          <w:sz w:val="18"/>
          <w:szCs w:val="18"/>
          <w:color w:val="auto"/>
        </w:rPr>
        <w:t>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301" w:lineRule="exact"/>
        <w:rPr>
          <w:sz w:val="20"/>
          <w:szCs w:val="20"/>
          <w:color w:val="auto"/>
        </w:rPr>
      </w:pPr>
    </w:p>
    <w:p>
      <w:pPr>
        <w:jc w:val="both"/>
        <w:ind w:left="9" w:right="40" w:firstLine="1287"/>
        <w:spacing w:after="0" w:line="252" w:lineRule="auto"/>
        <w:tabs>
          <w:tab w:leader="none" w:pos="1906" w:val="left"/>
        </w:tabs>
        <w:numPr>
          <w:ilvl w:val="1"/>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220" w:lineRule="exact"/>
        <w:rPr>
          <w:rFonts w:ascii="Times New Roman" w:cs="Times New Roman" w:eastAsia="Times New Roman" w:hAnsi="Times New Roman"/>
          <w:sz w:val="18"/>
          <w:szCs w:val="18"/>
          <w:color w:val="auto"/>
        </w:rPr>
      </w:pPr>
    </w:p>
    <w:p>
      <w:pPr>
        <w:jc w:val="both"/>
        <w:ind w:left="9" w:right="20" w:firstLine="1287"/>
        <w:spacing w:after="0" w:line="251" w:lineRule="auto"/>
        <w:tabs>
          <w:tab w:leader="none" w:pos="1906" w:val="left"/>
        </w:tabs>
        <w:numPr>
          <w:ilvl w:val="1"/>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assignment may be made or participation sold to a Disqualified Lender without the prior written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w:t>
      </w:r>
    </w:p>
    <w:p>
      <w:pPr>
        <w:spacing w:after="0" w:line="11" w:lineRule="exact"/>
        <w:rPr>
          <w:rFonts w:ascii="Times New Roman" w:cs="Times New Roman" w:eastAsia="Times New Roman" w:hAnsi="Times New Roman"/>
          <w:sz w:val="18"/>
          <w:szCs w:val="18"/>
          <w:color w:val="auto"/>
        </w:rPr>
      </w:pPr>
    </w:p>
    <w:p>
      <w:pPr>
        <w:jc w:val="both"/>
        <w:ind w:left="9" w:hanging="9"/>
        <w:spacing w:after="0" w:line="253" w:lineRule="auto"/>
        <w:tabs>
          <w:tab w:leader="none" w:pos="304"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w:t>
      </w:r>
    </w:p>
    <w:p>
      <w:pPr>
        <w:sectPr>
          <w:pgSz w:w="11900" w:h="16838" w:orient="portrait"/>
          <w:cols w:equalWidth="0" w:num="1">
            <w:col w:w="10069"/>
          </w:cols>
          <w:pgMar w:left="1011" w:top="1337" w:right="819" w:bottom="1440" w:gutter="0" w:footer="0" w:header="0"/>
        </w:sectPr>
      </w:pPr>
    </w:p>
    <w:bookmarkStart w:id="665" w:name="page666"/>
    <w:bookmarkEnd w:id="665"/>
    <w:p>
      <w:pPr>
        <w:spacing w:after="0" w:line="282" w:lineRule="auto"/>
        <w:rPr>
          <w:sz w:val="20"/>
          <w:szCs w:val="20"/>
          <w:color w:val="auto"/>
        </w:rPr>
      </w:pPr>
      <w:r>
        <w:rPr>
          <w:rFonts w:ascii="Times New Roman" w:cs="Times New Roman" w:eastAsia="Times New Roman" w:hAnsi="Times New Roman"/>
          <w:sz w:val="18"/>
          <w:szCs w:val="18"/>
          <w:color w:val="auto"/>
        </w:rPr>
        <w:t>the right to receive notices or Borrowings, notices or prepayments and other administrative notices in respect of its Loans or Commitments required to be delivered to Lenders pursuant to Article II.</w:t>
      </w:r>
    </w:p>
    <w:p>
      <w:pPr>
        <w:spacing w:after="0" w:line="202" w:lineRule="exact"/>
        <w:rPr>
          <w:sz w:val="20"/>
          <w:szCs w:val="20"/>
          <w:color w:val="auto"/>
        </w:rPr>
      </w:pPr>
    </w:p>
    <w:p>
      <w:pPr>
        <w:jc w:val="both"/>
        <w:ind w:firstLine="1287"/>
        <w:spacing w:after="0" w:line="258" w:lineRule="auto"/>
        <w:tabs>
          <w:tab w:leader="none" w:pos="1898"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w:t>
      </w:r>
    </w:p>
    <w:p>
      <w:pPr>
        <w:spacing w:after="0" w:line="224"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18"/>
          <w:szCs w:val="18"/>
          <w:color w:val="auto"/>
        </w:rPr>
        <w:t>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 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w:t>
      </w:r>
    </w:p>
    <w:p>
      <w:pPr>
        <w:spacing w:after="0" w:line="23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u w:val="single" w:color="auto"/>
          <w:color w:val="auto"/>
        </w:rPr>
        <w:t>Counterparts; Integration; Effectiveness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235"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9.07</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w:t>
      </w:r>
    </w:p>
    <w:p>
      <w:pPr>
        <w:sectPr>
          <w:pgSz w:w="11900" w:h="16838" w:orient="portrait"/>
          <w:cols w:equalWidth="0" w:num="1">
            <w:col w:w="10040"/>
          </w:cols>
          <w:pgMar w:left="1020" w:top="1350" w:right="839" w:bottom="1440" w:gutter="0" w:footer="0" w:header="0"/>
        </w:sectPr>
      </w:pPr>
    </w:p>
    <w:bookmarkStart w:id="666" w:name="page667"/>
    <w:bookmarkEnd w:id="66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w:t>
      </w:r>
    </w:p>
    <w:p>
      <w:pPr>
        <w:spacing w:after="0" w:line="22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9.08</w:t>
      </w:r>
      <w:r>
        <w:rPr>
          <w:sz w:val="20"/>
          <w:szCs w:val="20"/>
          <w:color w:val="auto"/>
        </w:rPr>
        <w:tab/>
      </w:r>
      <w:r>
        <w:rPr>
          <w:rFonts w:ascii="Times New Roman" w:cs="Times New Roman" w:eastAsia="Times New Roman" w:hAnsi="Times New Roman"/>
          <w:sz w:val="17"/>
          <w:szCs w:val="17"/>
          <w:u w:val="single" w:color="auto"/>
          <w:color w:val="auto"/>
        </w:rPr>
        <w:t>Right of Setoff</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231"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1900" w:hanging="612"/>
        <w:spacing w:after="0"/>
        <w:tabs>
          <w:tab w:leader="none" w:pos="1900"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New York.</w:t>
      </w:r>
    </w:p>
    <w:p>
      <w:pPr>
        <w:spacing w:after="0" w:line="265" w:lineRule="exact"/>
        <w:rPr>
          <w:rFonts w:ascii="Times New Roman" w:cs="Times New Roman" w:eastAsia="Times New Roman" w:hAnsi="Times New Roman"/>
          <w:sz w:val="18"/>
          <w:szCs w:val="18"/>
          <w:color w:val="auto"/>
        </w:rPr>
      </w:pPr>
    </w:p>
    <w:p>
      <w:pPr>
        <w:jc w:val="both"/>
        <w:ind w:firstLine="1288"/>
        <w:spacing w:after="0" w:line="253" w:lineRule="auto"/>
        <w:tabs>
          <w:tab w:leader="none" w:pos="1897"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w:t>
      </w:r>
    </w:p>
    <w:p>
      <w:pPr>
        <w:spacing w:after="0" w:line="234" w:lineRule="exact"/>
        <w:rPr>
          <w:rFonts w:ascii="Times New Roman" w:cs="Times New Roman" w:eastAsia="Times New Roman" w:hAnsi="Times New Roman"/>
          <w:sz w:val="18"/>
          <w:szCs w:val="18"/>
          <w:color w:val="auto"/>
        </w:rPr>
      </w:pPr>
    </w:p>
    <w:p>
      <w:pPr>
        <w:jc w:val="both"/>
        <w:ind w:right="20" w:firstLine="1288"/>
        <w:spacing w:after="0" w:line="266" w:lineRule="auto"/>
        <w:tabs>
          <w:tab w:leader="none" w:pos="1901"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w:t>
      </w:r>
    </w:p>
    <w:p>
      <w:pPr>
        <w:sectPr>
          <w:pgSz w:w="11900" w:h="16838" w:orient="portrait"/>
          <w:cols w:equalWidth="0" w:num="1">
            <w:col w:w="10060"/>
          </w:cols>
          <w:pgMar w:left="1020" w:top="1337" w:right="819" w:bottom="1440" w:gutter="0" w:footer="0" w:header="0"/>
        </w:sectPr>
      </w:pPr>
    </w:p>
    <w:bookmarkStart w:id="667" w:name="page668"/>
    <w:bookmarkEnd w:id="667"/>
    <w:p>
      <w:pPr>
        <w:ind w:left="9" w:hanging="8"/>
        <w:spacing w:after="0" w:line="282" w:lineRule="auto"/>
        <w:tabs>
          <w:tab w:leader="none" w:pos="284"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9.09. Each of the parties hereto hereby irrevocably waives, to the fullest extent permitted by law, the defense of an inconvenient forum to the maintenance of such action or proceeding in any such court.</w:t>
      </w:r>
    </w:p>
    <w:p>
      <w:pPr>
        <w:spacing w:after="0" w:line="202" w:lineRule="exact"/>
        <w:rPr>
          <w:rFonts w:ascii="Times New Roman" w:cs="Times New Roman" w:eastAsia="Times New Roman" w:hAnsi="Times New Roman"/>
          <w:sz w:val="18"/>
          <w:szCs w:val="18"/>
          <w:color w:val="auto"/>
        </w:rPr>
      </w:pPr>
    </w:p>
    <w:p>
      <w:pPr>
        <w:jc w:val="both"/>
        <w:ind w:left="9" w:right="20" w:firstLine="1288"/>
        <w:spacing w:after="0" w:line="266" w:lineRule="auto"/>
        <w:tabs>
          <w:tab w:leader="none" w:pos="1906" w:val="left"/>
        </w:tabs>
        <w:numPr>
          <w:ilvl w:val="1"/>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spacing w:after="0" w:line="216"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left="9" w:firstLine="1296"/>
        <w:spacing w:after="0" w:line="254" w:lineRule="auto"/>
        <w:rPr>
          <w:sz w:val="20"/>
          <w:szCs w:val="20"/>
          <w:color w:val="auto"/>
        </w:rPr>
      </w:pPr>
      <w:r>
        <w:rPr>
          <w:rFonts w:ascii="Times New Roman" w:cs="Times New Roman" w:eastAsia="Times New Roman" w:hAnsi="Times New Roman"/>
          <w:sz w:val="18"/>
          <w:szCs w:val="18"/>
          <w:color w:val="auto"/>
        </w:rPr>
        <w:t>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354"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9.11</w:t>
      </w:r>
      <w:r>
        <w:rPr>
          <w:sz w:val="20"/>
          <w:szCs w:val="20"/>
          <w:color w:val="auto"/>
        </w:rPr>
        <w:tab/>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9" w:right="20" w:firstLine="1296"/>
        <w:spacing w:after="0" w:line="282" w:lineRule="auto"/>
        <w:rPr>
          <w:sz w:val="20"/>
          <w:szCs w:val="20"/>
          <w:color w:val="auto"/>
        </w:rPr>
      </w:pPr>
      <w:r>
        <w:rPr>
          <w:rFonts w:ascii="Times New Roman" w:cs="Times New Roman" w:eastAsia="Times New Roman" w:hAnsi="Times New Roman"/>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202" w:lineRule="exact"/>
        <w:rPr>
          <w:sz w:val="20"/>
          <w:szCs w:val="20"/>
          <w:color w:val="auto"/>
        </w:rPr>
      </w:pPr>
    </w:p>
    <w:p>
      <w:pPr>
        <w:ind w:left="1289"/>
        <w:spacing w:after="0"/>
        <w:tabs>
          <w:tab w:leader="none" w:pos="2569" w:val="left"/>
        </w:tabs>
        <w:rPr>
          <w:sz w:val="20"/>
          <w:szCs w:val="20"/>
          <w:color w:val="auto"/>
        </w:rPr>
      </w:pPr>
      <w:r>
        <w:rPr>
          <w:rFonts w:ascii="Times New Roman" w:cs="Times New Roman" w:eastAsia="Times New Roman" w:hAnsi="Times New Roman"/>
          <w:sz w:val="18"/>
          <w:szCs w:val="18"/>
          <w:color w:val="auto"/>
        </w:rPr>
        <w:t>SECTION 9.12</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9" w:firstLine="1287"/>
        <w:spacing w:after="0" w:line="251" w:lineRule="auto"/>
        <w:tabs>
          <w:tab w:leader="none" w:pos="1910" w:val="left"/>
        </w:tabs>
        <w:numPr>
          <w:ilvl w:val="1"/>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First Lien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 (A) any assignee of or Participant in, or any prospective assignee of or Participant in, any of its rights or obligations under this Agreement,</w:t>
      </w:r>
    </w:p>
    <w:p>
      <w:pPr>
        <w:spacing w:after="0" w:line="9" w:lineRule="exact"/>
        <w:rPr>
          <w:rFonts w:ascii="Times New Roman" w:cs="Times New Roman" w:eastAsia="Times New Roman" w:hAnsi="Times New Roman"/>
          <w:sz w:val="18"/>
          <w:szCs w:val="18"/>
          <w:color w:val="auto"/>
        </w:rPr>
      </w:pPr>
    </w:p>
    <w:p>
      <w:pPr>
        <w:jc w:val="both"/>
        <w:ind w:left="9" w:hanging="9"/>
        <w:spacing w:after="0" w:line="256" w:lineRule="auto"/>
        <w:tabs>
          <w:tab w:leader="none" w:pos="300" w:val="left"/>
        </w:tabs>
        <w:numPr>
          <w:ilvl w:val="0"/>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such rating agency shall have agreed in writing to maintain the confidentiality of such Information, (vi) to service providers providing administrative and ministerial services solely in connection with the syndication and</w:t>
      </w:r>
    </w:p>
    <w:p>
      <w:pPr>
        <w:sectPr>
          <w:pgSz w:w="11900" w:h="16838" w:orient="portrait"/>
          <w:cols w:equalWidth="0" w:num="1">
            <w:col w:w="10049"/>
          </w:cols>
          <w:pgMar w:left="1011" w:top="1337" w:right="839" w:bottom="1440" w:gutter="0" w:footer="0" w:header="0"/>
        </w:sectPr>
      </w:pPr>
    </w:p>
    <w:bookmarkStart w:id="668" w:name="page669"/>
    <w:bookmarkEnd w:id="668"/>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or on behalf of Holdings or the Borrower relating to Holdings, any Intermediate Parent, the Borrower, any other Subsidiary or their business, other than any such information that is available to the First Lien Administrative Agent, any Issuing Bank or any Lender on a nonconfidential basis prior to disclosure by Holdings, any Intermediate Parent, the Borrower or any Subsidiary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the Borrower’s prior written consent.</w:t>
      </w:r>
    </w:p>
    <w:p>
      <w:pPr>
        <w:spacing w:after="0" w:line="304" w:lineRule="exact"/>
        <w:rPr>
          <w:sz w:val="20"/>
          <w:szCs w:val="20"/>
          <w:color w:val="auto"/>
        </w:rPr>
      </w:pPr>
    </w:p>
    <w:p>
      <w:pPr>
        <w:ind w:left="1880" w:hanging="593"/>
        <w:spacing w:after="0"/>
        <w:tabs>
          <w:tab w:leader="none" w:pos="1880"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INFORMATION  (AS  DEFINED  IN  SECTION  9.12(a))</w:t>
      </w:r>
    </w:p>
    <w:p>
      <w:pPr>
        <w:spacing w:after="0" w:line="26" w:lineRule="exact"/>
        <w:rPr>
          <w:rFonts w:ascii="Times New Roman" w:cs="Times New Roman" w:eastAsia="Times New Roman" w:hAnsi="Times New Roman"/>
          <w:sz w:val="18"/>
          <w:szCs w:val="18"/>
          <w:color w:val="auto"/>
        </w:rPr>
      </w:pPr>
    </w:p>
    <w:p>
      <w:pPr>
        <w:jc w:val="both"/>
        <w:ind w:right="6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FURNISHED TO IT PURSUANT TO THIS AGREEMENT MAY INCLUDE MATERIAL </w:t>
      </w:r>
      <w:r>
        <w:rPr>
          <w:rFonts w:ascii="Times New Roman" w:cs="Times New Roman" w:eastAsia="Times New Roman" w:hAnsi="Times New Roman"/>
          <w:sz w:val="19"/>
          <w:szCs w:val="19"/>
          <w:color w:val="auto"/>
        </w:rPr>
        <w:t>NON-PUBLIC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28" w:lineRule="exact"/>
        <w:rPr>
          <w:rFonts w:ascii="Times New Roman" w:cs="Times New Roman" w:eastAsia="Times New Roman" w:hAnsi="Times New Roman"/>
          <w:sz w:val="18"/>
          <w:szCs w:val="18"/>
          <w:color w:val="auto"/>
        </w:rPr>
      </w:pPr>
    </w:p>
    <w:p>
      <w:pPr>
        <w:jc w:val="both"/>
        <w:ind w:firstLine="1287"/>
        <w:spacing w:after="0" w:line="254" w:lineRule="auto"/>
        <w:tabs>
          <w:tab w:leader="none" w:pos="1901"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2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60" w:firstLine="1296"/>
        <w:spacing w:after="0" w:line="258" w:lineRule="auto"/>
        <w:rPr>
          <w:sz w:val="20"/>
          <w:szCs w:val="20"/>
          <w:color w:val="auto"/>
        </w:rPr>
      </w:pPr>
      <w:r>
        <w:rPr>
          <w:rFonts w:ascii="Times New Roman" w:cs="Times New Roman" w:eastAsia="Times New Roman" w:hAnsi="Times New Roman"/>
          <w:sz w:val="18"/>
          <w:szCs w:val="18"/>
          <w:color w:val="auto"/>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w:t>
      </w:r>
    </w:p>
    <w:p>
      <w:pPr>
        <w:spacing w:after="0" w:line="210"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9.14</w:t>
      </w:r>
      <w:r>
        <w:rPr>
          <w:sz w:val="20"/>
          <w:szCs w:val="20"/>
          <w:color w:val="auto"/>
        </w:rPr>
        <w:tab/>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1287"/>
        <w:spacing w:after="0" w:line="266" w:lineRule="auto"/>
        <w:tabs>
          <w:tab w:leader="none" w:pos="1901"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w:t>
      </w:r>
    </w:p>
    <w:p>
      <w:pPr>
        <w:sectPr>
          <w:pgSz w:w="11900" w:h="16838" w:orient="portrait"/>
          <w:cols w:equalWidth="0" w:num="1">
            <w:col w:w="10080"/>
          </w:cols>
          <w:pgMar w:left="1020" w:top="1350" w:right="799" w:bottom="1440" w:gutter="0" w:footer="0" w:header="0"/>
        </w:sectPr>
      </w:pPr>
    </w:p>
    <w:bookmarkStart w:id="669" w:name="page670"/>
    <w:bookmarkEnd w:id="66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Non-Wholly 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so required by this Agreement, the Required Lenders 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w:t>
      </w:r>
    </w:p>
    <w:p>
      <w:pPr>
        <w:spacing w:after="0" w:line="367" w:lineRule="exact"/>
        <w:rPr>
          <w:sz w:val="20"/>
          <w:szCs w:val="20"/>
          <w:color w:val="auto"/>
        </w:rPr>
      </w:pPr>
    </w:p>
    <w:p>
      <w:pPr>
        <w:jc w:val="both"/>
        <w:ind w:right="40" w:firstLine="1288"/>
        <w:spacing w:after="0" w:line="258" w:lineRule="auto"/>
        <w:tabs>
          <w:tab w:leader="none" w:pos="1897"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spacing w:after="0" w:line="223" w:lineRule="exact"/>
        <w:rPr>
          <w:rFonts w:ascii="Times New Roman" w:cs="Times New Roman" w:eastAsia="Times New Roman" w:hAnsi="Times New Roman"/>
          <w:sz w:val="18"/>
          <w:szCs w:val="18"/>
          <w:color w:val="auto"/>
        </w:rPr>
      </w:pPr>
    </w:p>
    <w:p>
      <w:pPr>
        <w:jc w:val="both"/>
        <w:ind w:right="40" w:firstLine="1287"/>
        <w:spacing w:after="0" w:line="255" w:lineRule="auto"/>
        <w:tabs>
          <w:tab w:leader="none" w:pos="1901"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spacing w:after="0" w:line="229"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9.15</w:t>
      </w:r>
      <w:r>
        <w:rPr>
          <w:sz w:val="20"/>
          <w:szCs w:val="20"/>
          <w:color w:val="auto"/>
        </w:rPr>
        <w:tab/>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40" w:firstLine="1296"/>
        <w:spacing w:after="0" w:line="253" w:lineRule="auto"/>
        <w:rPr>
          <w:sz w:val="20"/>
          <w:szCs w:val="20"/>
          <w:color w:val="auto"/>
        </w:rPr>
      </w:pPr>
      <w:r>
        <w:rPr>
          <w:rFonts w:ascii="Times New Roman" w:cs="Times New Roman" w:eastAsia="Times New Roman" w:hAnsi="Times New Roman"/>
          <w:sz w:val="18"/>
          <w:szCs w:val="18"/>
          <w:color w:val="auto"/>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the Issuing Banks and the Lenders has any obligation to the</w:t>
      </w:r>
    </w:p>
    <w:p>
      <w:pPr>
        <w:sectPr>
          <w:pgSz w:w="11900" w:h="16838" w:orient="portrait"/>
          <w:cols w:equalWidth="0" w:num="1">
            <w:col w:w="10060"/>
          </w:cols>
          <w:pgMar w:left="1020" w:top="1337" w:right="819" w:bottom="1440" w:gutter="0" w:footer="0" w:header="0"/>
        </w:sectPr>
      </w:pPr>
    </w:p>
    <w:bookmarkStart w:id="670" w:name="page671"/>
    <w:bookmarkEnd w:id="670"/>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Borrower, Holdings or any of their respective Affiliates with respect to the transactions contemplated hereby except those obligations expressly set forth herein and in the other First Lien Loan Documents; and (iii) 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 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w:t>
      </w:r>
    </w:p>
    <w:p>
      <w:pPr>
        <w:spacing w:after="0" w:line="246"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9.16</w:t>
      </w:r>
      <w:r>
        <w:rPr>
          <w:sz w:val="20"/>
          <w:szCs w:val="20"/>
          <w:color w:val="auto"/>
        </w:rPr>
        <w:tab/>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First Lien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First Lien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67"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9.17</w:t>
      </w:r>
      <w:r>
        <w:rPr>
          <w:sz w:val="20"/>
          <w:szCs w:val="20"/>
          <w:color w:val="auto"/>
        </w:rPr>
        <w:tab/>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40" w:firstLine="1366"/>
        <w:spacing w:after="0" w:line="252" w:lineRule="auto"/>
        <w:rPr>
          <w:sz w:val="20"/>
          <w:szCs w:val="20"/>
          <w:color w:val="auto"/>
        </w:rPr>
      </w:pPr>
      <w:r>
        <w:rPr>
          <w:rFonts w:ascii="Times New Roman" w:cs="Times New Roman" w:eastAsia="Times New Roman" w:hAnsi="Times New Roman"/>
          <w:sz w:val="18"/>
          <w:szCs w:val="18"/>
          <w:color w:val="auto"/>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238"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9.18</w:t>
      </w:r>
      <w:r>
        <w:rPr>
          <w:sz w:val="20"/>
          <w:szCs w:val="20"/>
          <w:color w:val="auto"/>
        </w:rPr>
        <w:tab/>
      </w:r>
      <w:r>
        <w:rPr>
          <w:rFonts w:ascii="Times New Roman" w:cs="Times New Roman" w:eastAsia="Times New Roman" w:hAnsi="Times New Roman"/>
          <w:sz w:val="17"/>
          <w:szCs w:val="17"/>
          <w:u w:val="single" w:color="auto"/>
          <w:color w:val="010101"/>
        </w:rPr>
        <w:t>Acknowledgement and Consent to Bail-In of Affected Financial Institutions</w:t>
      </w:r>
      <w:r>
        <w:rPr>
          <w:rFonts w:ascii="Times New Roman" w:cs="Times New Roman" w:eastAsia="Times New Roman" w:hAnsi="Times New Roman"/>
          <w:sz w:val="17"/>
          <w:szCs w:val="17"/>
          <w:color w:val="000000"/>
        </w:rPr>
        <w:t>.</w:t>
      </w:r>
    </w:p>
    <w:p>
      <w:pPr>
        <w:spacing w:after="0" w:line="266"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any First Lien Loan Document or in any other agreement, arrangement or understanding among any parties to any First Lien Loan Document, each party hereto acknowledges that any liability of any Lender that is an Affected Financial Institution arising under any First Lien Loan Document, to the extent such liability is unsecured, may be subject to the write-down and conversion powers of the applicable Resolution Authority and agrees and consents to, and acknowledges and agrees to be bound by:</w:t>
      </w:r>
    </w:p>
    <w:p>
      <w:pPr>
        <w:sectPr>
          <w:pgSz w:w="11900" w:h="16838" w:orient="portrait"/>
          <w:cols w:equalWidth="0" w:num="1">
            <w:col w:w="10060"/>
          </w:cols>
          <w:pgMar w:left="1020" w:top="1337" w:right="819" w:bottom="1440" w:gutter="0" w:footer="0" w:header="0"/>
        </w:sectPr>
      </w:pPr>
    </w:p>
    <w:bookmarkStart w:id="671" w:name="page672"/>
    <w:bookmarkEnd w:id="671"/>
    <w:p>
      <w:pPr>
        <w:ind w:left="8" w:right="40" w:firstLine="1288"/>
        <w:spacing w:after="0" w:line="282" w:lineRule="auto"/>
        <w:tabs>
          <w:tab w:leader="none" w:pos="1909"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w:t>
      </w:r>
    </w:p>
    <w:p>
      <w:pPr>
        <w:spacing w:after="0" w:line="202" w:lineRule="exact"/>
        <w:rPr>
          <w:rFonts w:ascii="Times New Roman" w:cs="Times New Roman" w:eastAsia="Times New Roman" w:hAnsi="Times New Roman"/>
          <w:sz w:val="18"/>
          <w:szCs w:val="18"/>
          <w:color w:val="auto"/>
        </w:rPr>
      </w:pPr>
    </w:p>
    <w:p>
      <w:pPr>
        <w:ind w:left="1928" w:hanging="632"/>
        <w:spacing w:after="0"/>
        <w:tabs>
          <w:tab w:leader="none" w:pos="1928"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928" w:hanging="544"/>
        <w:spacing w:after="0"/>
        <w:tabs>
          <w:tab w:leader="none" w:pos="1928"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52" w:lineRule="exact"/>
        <w:rPr>
          <w:rFonts w:ascii="Times New Roman" w:cs="Times New Roman" w:eastAsia="Times New Roman" w:hAnsi="Times New Roman"/>
          <w:sz w:val="18"/>
          <w:szCs w:val="18"/>
          <w:color w:val="auto"/>
        </w:rPr>
      </w:pPr>
    </w:p>
    <w:p>
      <w:pPr>
        <w:jc w:val="both"/>
        <w:ind w:left="648" w:firstLine="686"/>
        <w:spacing w:after="0" w:line="261" w:lineRule="auto"/>
        <w:tabs>
          <w:tab w:leader="none" w:pos="1906"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220" w:lineRule="exact"/>
        <w:rPr>
          <w:rFonts w:ascii="Times New Roman" w:cs="Times New Roman" w:eastAsia="Times New Roman" w:hAnsi="Times New Roman"/>
          <w:sz w:val="18"/>
          <w:szCs w:val="18"/>
          <w:color w:val="auto"/>
        </w:rPr>
      </w:pPr>
    </w:p>
    <w:p>
      <w:pPr>
        <w:ind w:left="648" w:right="40" w:firstLine="636"/>
        <w:spacing w:after="0" w:line="282" w:lineRule="auto"/>
        <w:tabs>
          <w:tab w:leader="none" w:pos="1906"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202" w:lineRule="exact"/>
        <w:rPr>
          <w:sz w:val="20"/>
          <w:szCs w:val="20"/>
          <w:color w:val="auto"/>
        </w:rPr>
      </w:pPr>
    </w:p>
    <w:p>
      <w:pPr>
        <w:ind w:left="1288"/>
        <w:spacing w:after="0"/>
        <w:tabs>
          <w:tab w:leader="none" w:pos="2568" w:val="left"/>
        </w:tabs>
        <w:rPr>
          <w:sz w:val="20"/>
          <w:szCs w:val="20"/>
          <w:color w:val="auto"/>
        </w:rPr>
      </w:pPr>
      <w:r>
        <w:rPr>
          <w:rFonts w:ascii="Times New Roman" w:cs="Times New Roman" w:eastAsia="Times New Roman" w:hAnsi="Times New Roman"/>
          <w:sz w:val="18"/>
          <w:szCs w:val="18"/>
          <w:color w:val="auto"/>
        </w:rPr>
        <w:t>SECTION 9.19</w:t>
      </w:r>
      <w:r>
        <w:rPr>
          <w:sz w:val="20"/>
          <w:szCs w:val="20"/>
          <w:color w:val="auto"/>
        </w:rPr>
        <w:tab/>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8" w:right="40" w:firstLine="1288"/>
        <w:spacing w:after="0" w:line="256" w:lineRule="auto"/>
        <w:tabs>
          <w:tab w:leader="none" w:pos="1909" w:val="left"/>
        </w:tabs>
        <w:numPr>
          <w:ilvl w:val="1"/>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JPMorgan (or its affiliated designee, representative, agent or successor) on its behalf as collateral agent, respectively, thereunder.</w:t>
      </w:r>
    </w:p>
    <w:p>
      <w:pPr>
        <w:spacing w:after="0" w:line="214" w:lineRule="exact"/>
        <w:rPr>
          <w:rFonts w:ascii="Times New Roman" w:cs="Times New Roman" w:eastAsia="Times New Roman" w:hAnsi="Times New Roman"/>
          <w:sz w:val="18"/>
          <w:szCs w:val="18"/>
          <w:color w:val="auto"/>
        </w:rPr>
      </w:pPr>
    </w:p>
    <w:p>
      <w:pPr>
        <w:jc w:val="both"/>
        <w:ind w:left="8" w:right="40" w:firstLine="1288"/>
        <w:spacing w:after="0" w:line="257" w:lineRule="auto"/>
        <w:tabs>
          <w:tab w:leader="none" w:pos="1905" w:val="left"/>
        </w:tabs>
        <w:numPr>
          <w:ilvl w:val="1"/>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w:t>
      </w:r>
    </w:p>
    <w:p>
      <w:pPr>
        <w:spacing w:after="0" w:line="1" w:lineRule="exact"/>
        <w:rPr>
          <w:rFonts w:ascii="Times New Roman" w:cs="Times New Roman" w:eastAsia="Times New Roman" w:hAnsi="Times New Roman"/>
          <w:sz w:val="18"/>
          <w:szCs w:val="18"/>
          <w:color w:val="auto"/>
        </w:rPr>
      </w:pPr>
    </w:p>
    <w:p>
      <w:pPr>
        <w:jc w:val="both"/>
        <w:ind w:left="8" w:right="40" w:hanging="8"/>
        <w:spacing w:after="0" w:line="253" w:lineRule="auto"/>
        <w:tabs>
          <w:tab w:leader="none" w:pos="265"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spacing w:after="0" w:line="227" w:lineRule="exact"/>
        <w:rPr>
          <w:rFonts w:ascii="Times New Roman" w:cs="Times New Roman" w:eastAsia="Times New Roman" w:hAnsi="Times New Roman"/>
          <w:sz w:val="18"/>
          <w:szCs w:val="18"/>
          <w:color w:val="auto"/>
        </w:rPr>
      </w:pPr>
    </w:p>
    <w:p>
      <w:pPr>
        <w:jc w:val="both"/>
        <w:ind w:left="8" w:right="40" w:firstLine="1288"/>
        <w:spacing w:after="0" w:line="256" w:lineRule="auto"/>
        <w:tabs>
          <w:tab w:leader="none" w:pos="1909" w:val="left"/>
        </w:tabs>
        <w:numPr>
          <w:ilvl w:val="1"/>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w:t>
      </w:r>
    </w:p>
    <w:p>
      <w:pPr>
        <w:spacing w:after="0" w:line="228" w:lineRule="exact"/>
        <w:rPr>
          <w:sz w:val="20"/>
          <w:szCs w:val="20"/>
          <w:color w:val="auto"/>
        </w:rPr>
      </w:pPr>
    </w:p>
    <w:p>
      <w:pPr>
        <w:ind w:left="1288"/>
        <w:spacing w:after="0"/>
        <w:tabs>
          <w:tab w:leader="none" w:pos="2568" w:val="left"/>
        </w:tabs>
        <w:rPr>
          <w:sz w:val="20"/>
          <w:szCs w:val="20"/>
          <w:color w:val="auto"/>
        </w:rPr>
      </w:pPr>
      <w:r>
        <w:rPr>
          <w:rFonts w:ascii="Times New Roman" w:cs="Times New Roman" w:eastAsia="Times New Roman" w:hAnsi="Times New Roman"/>
          <w:sz w:val="18"/>
          <w:szCs w:val="18"/>
          <w:color w:val="auto"/>
        </w:rPr>
        <w:t>SECTION 9.20</w:t>
      </w:r>
      <w:r>
        <w:rPr>
          <w:sz w:val="20"/>
          <w:szCs w:val="20"/>
          <w:color w:val="auto"/>
        </w:rPr>
        <w:tab/>
      </w:r>
      <w:r>
        <w:rPr>
          <w:rFonts w:ascii="Times New Roman" w:cs="Times New Roman" w:eastAsia="Times New Roman" w:hAnsi="Times New Roman"/>
          <w:sz w:val="18"/>
          <w:szCs w:val="18"/>
          <w:u w:val="single" w:color="auto"/>
          <w:color w:val="auto"/>
        </w:rPr>
        <w:t>Cashless Settlement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8" w:right="20" w:firstLine="1296"/>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w:t>
      </w:r>
    </w:p>
    <w:p>
      <w:pPr>
        <w:sectPr>
          <w:pgSz w:w="11900" w:h="16838" w:orient="portrait"/>
          <w:cols w:equalWidth="0" w:num="1">
            <w:col w:w="10068"/>
          </w:cols>
          <w:pgMar w:left="1012" w:top="1337" w:right="819" w:bottom="1440" w:gutter="0" w:footer="0" w:header="0"/>
        </w:sectPr>
      </w:pPr>
    </w:p>
    <w:bookmarkStart w:id="672" w:name="page673"/>
    <w:bookmarkEnd w:id="67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First Lien Loan Documents provide support, through a 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First Lien Loan Documents and any Supported QFC may in fact be stated to be governed by the laws of the State of New York and/or of the United States or any other state of the United States):</w:t>
      </w:r>
    </w:p>
    <w:p>
      <w:pPr>
        <w:spacing w:after="0" w:line="232" w:lineRule="exact"/>
        <w:rPr>
          <w:sz w:val="20"/>
          <w:szCs w:val="20"/>
          <w:color w:val="auto"/>
        </w:rPr>
      </w:pPr>
    </w:p>
    <w:p>
      <w:pPr>
        <w:jc w:val="both"/>
        <w:ind w:firstLine="1611"/>
        <w:spacing w:after="0" w:line="253" w:lineRule="auto"/>
        <w:tabs>
          <w:tab w:leader="none" w:pos="1901" w:val="left"/>
        </w:tabs>
        <w:numPr>
          <w:ilvl w:val="0"/>
          <w:numId w:val="8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30" w:lineRule="exact"/>
        <w:rPr>
          <w:rFonts w:ascii="Times New Roman" w:cs="Times New Roman" w:eastAsia="Times New Roman" w:hAnsi="Times New Roman"/>
          <w:sz w:val="18"/>
          <w:szCs w:val="18"/>
          <w:color w:val="010000"/>
        </w:rPr>
      </w:pPr>
    </w:p>
    <w:p>
      <w:pPr>
        <w:ind w:left="1920" w:hanging="309"/>
        <w:spacing w:after="0"/>
        <w:tabs>
          <w:tab w:leader="none" w:pos="1920" w:val="left"/>
        </w:tabs>
        <w:numPr>
          <w:ilvl w:val="0"/>
          <w:numId w:val="8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the following terms have the following meanings:</w:t>
      </w:r>
    </w:p>
    <w:p>
      <w:pPr>
        <w:spacing w:after="0" w:line="200" w:lineRule="exact"/>
        <w:rPr>
          <w:sz w:val="20"/>
          <w:szCs w:val="20"/>
          <w:color w:val="auto"/>
        </w:rPr>
      </w:pPr>
    </w:p>
    <w:p>
      <w:pPr>
        <w:spacing w:after="0" w:line="201" w:lineRule="exact"/>
        <w:rPr>
          <w:sz w:val="20"/>
          <w:szCs w:val="20"/>
          <w:color w:val="auto"/>
        </w:rPr>
      </w:pPr>
    </w:p>
    <w:p>
      <w:pPr>
        <w:ind w:right="340" w:firstLine="16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202" w:lineRule="exact"/>
        <w:rPr>
          <w:sz w:val="20"/>
          <w:szCs w:val="20"/>
          <w:color w:val="auto"/>
        </w:rPr>
      </w:pPr>
    </w:p>
    <w:p>
      <w:pPr>
        <w:jc w:val="both"/>
        <w:ind w:right="20" w:firstLine="16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16" w:lineRule="exact"/>
        <w:rPr>
          <w:sz w:val="20"/>
          <w:szCs w:val="20"/>
          <w:color w:val="auto"/>
        </w:rPr>
      </w:pPr>
    </w:p>
    <w:p>
      <w:pPr>
        <w:jc w:val="both"/>
        <w:ind w:right="40" w:firstLine="16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85" w:lineRule="exact"/>
        <w:rPr>
          <w:sz w:val="20"/>
          <w:szCs w:val="20"/>
          <w:color w:val="auto"/>
        </w:rPr>
      </w:pPr>
    </w:p>
    <w:p>
      <w:pPr>
        <w:jc w:val="both"/>
        <w:ind w:right="40" w:firstLine="1619"/>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12 U.S.C. 5390(c)(8)(D).</w:t>
      </w:r>
    </w:p>
    <w:p>
      <w:pPr>
        <w:spacing w:after="0" w:line="195"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18"/>
          <w:szCs w:val="18"/>
          <w:color w:val="0000FF"/>
        </w:rPr>
        <w:t>SECTION 9.22</w:t>
      </w:r>
      <w:r>
        <w:rPr>
          <w:sz w:val="20"/>
          <w:szCs w:val="20"/>
          <w:color w:val="auto"/>
        </w:rPr>
        <w:tab/>
      </w:r>
      <w:r>
        <w:rPr>
          <w:rFonts w:ascii="Times New Roman" w:cs="Times New Roman" w:eastAsia="Times New Roman" w:hAnsi="Times New Roman"/>
          <w:sz w:val="18"/>
          <w:szCs w:val="18"/>
          <w:u w:val="single" w:color="auto"/>
          <w:color w:val="0000FF"/>
        </w:rPr>
        <w:t>Erroneous Payments</w:t>
      </w:r>
      <w:r>
        <w:rPr>
          <w:rFonts w:ascii="Times New Roman" w:cs="Times New Roman" w:eastAsia="Times New Roman" w:hAnsi="Times New Roman"/>
          <w:sz w:val="19"/>
          <w:szCs w:val="19"/>
          <w:u w:val="single" w:color="auto"/>
          <w:color w:val="0000FF"/>
        </w:rPr>
        <w:t>.</w:t>
      </w:r>
    </w:p>
    <w:p>
      <w:pPr>
        <w:spacing w:after="0" w:line="178" w:lineRule="exact"/>
        <w:rPr>
          <w:sz w:val="20"/>
          <w:szCs w:val="20"/>
          <w:color w:val="auto"/>
        </w:rPr>
      </w:pPr>
    </w:p>
    <w:p>
      <w:pPr>
        <w:jc w:val="both"/>
        <w:ind w:right="20" w:firstLine="1288"/>
        <w:spacing w:after="0" w:line="254" w:lineRule="auto"/>
        <w:tabs>
          <w:tab w:leader="none" w:pos="1901" w:val="left"/>
        </w:tabs>
        <w:numPr>
          <w:ilvl w:val="0"/>
          <w:numId w:val="8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If the First Lien Administrative Agent (x) notifies a Lender or Secured Party, or any Person who has received funds on behalf of a Lender or Secured Party (any such Lender, Secured Party or other recipient (and each of their respective successors and assigns), a “Payment Recipient”) that the First Lien Administrative Agent has determined in its sole discretion (whether or not after receipt of any notice under immediately succeeding clause (b)) that any funds received by such Payment Recipient from the First Lien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“Erroneous Payment”) and (y) demands the return of such Erroneous Payment (or a portion thereof), such</w:t>
      </w:r>
    </w:p>
    <w:p>
      <w:pPr>
        <w:sectPr>
          <w:pgSz w:w="11900" w:h="16838" w:orient="portrait"/>
          <w:cols w:equalWidth="0" w:num="1">
            <w:col w:w="10060"/>
          </w:cols>
          <w:pgMar w:left="1020" w:top="1337" w:right="819" w:bottom="1440" w:gutter="0" w:footer="0" w:header="0"/>
        </w:sectPr>
      </w:pPr>
    </w:p>
    <w:bookmarkStart w:id="673" w:name="page674"/>
    <w:bookmarkEnd w:id="673"/>
    <w:p>
      <w:pPr>
        <w:spacing w:after="0" w:line="59"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8"/>
          <w:szCs w:val="18"/>
          <w:u w:val="single" w:color="auto"/>
          <w:color w:val="0000FF"/>
        </w:rPr>
        <w:t>Erroneous Payment shall at all times remain the property of the First Lien Administrative Agent pending its return or repayment as contemplated below in this Section 9.22 and held in trust for the benefit of the First Lien Administrative Agent, and such Lender or Secured Party shall (or, with respect to any Payment Recipient who received such funds on its behalf, shall cause such Payment Recipient to) promptly, but in no event later than one Business Day thereafter (or such later date as the First Lien Administrative Agent may, in its sole discretion, specify in writing), return to the First Lien Administrative Agent the amount of any such Erroneous Payment (or portion thereof) as to which such a demand was made, in same day funds (in the currency so received), together with interest thereon (except to the extent waived in writing by the First Lien Administrative Agent) in respect of each day from and including the date such Erroneous Payment (or portion thereof) was received by such Payment Recipient to the date such amount is repaid to the First Lien Administrative Agent in same day funds at the greater of the NYFRB Rate and a rate determined by the First Lien Administrative Agent in accordance with banking industry rules on interbank compensation from time to time in effect. A notice from the First Lien Administrative Agent to any Payment Recipient under this clause (a) shall be conclusive, absent manifest error.</w:t>
      </w:r>
    </w:p>
    <w:p>
      <w:pPr>
        <w:spacing w:after="0" w:line="246" w:lineRule="exact"/>
        <w:rPr>
          <w:sz w:val="20"/>
          <w:szCs w:val="20"/>
          <w:color w:val="auto"/>
        </w:rPr>
      </w:pPr>
    </w:p>
    <w:p>
      <w:pPr>
        <w:jc w:val="both"/>
        <w:ind w:left="8" w:right="40" w:firstLine="1288"/>
        <w:spacing w:after="0" w:line="253" w:lineRule="auto"/>
        <w:tabs>
          <w:tab w:leader="none" w:pos="1905" w:val="left"/>
        </w:tabs>
        <w:numPr>
          <w:ilvl w:val="2"/>
          <w:numId w:val="82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Without limiting the immediately preceding clause (a), each Lender, Secured Party or any Person who has received funds on behalf of a Lender or Secured Party (and each of their respective successors and assigns), agrees that if it (or a Payment Recipient on its behalf) receives a payment, prepayment or repayment (whether received as a payment, prepayment or repayment of principal, interest, fees, distribution or otherwise) from the First Lien Administrative Agent (or any of its Affiliates) (x) that is in a different amount than, or on a different date from, that specified in this Agreement or in a notice of payment, prepayment or repayment sent by the First Lien Administrative Agent (or any of its Affiliates) with respect to such payment, prepayment or repayment,</w:t>
      </w:r>
    </w:p>
    <w:p>
      <w:pPr>
        <w:spacing w:after="0" w:line="5" w:lineRule="exact"/>
        <w:rPr>
          <w:rFonts w:ascii="Times New Roman" w:cs="Times New Roman" w:eastAsia="Times New Roman" w:hAnsi="Times New Roman"/>
          <w:sz w:val="18"/>
          <w:szCs w:val="18"/>
          <w:u w:val="single" w:color="auto"/>
          <w:color w:val="0000FF"/>
        </w:rPr>
      </w:pPr>
    </w:p>
    <w:p>
      <w:pPr>
        <w:jc w:val="both"/>
        <w:ind w:left="8" w:right="40" w:hanging="8"/>
        <w:spacing w:after="0" w:line="255" w:lineRule="auto"/>
        <w:tabs>
          <w:tab w:leader="none" w:pos="272" w:val="left"/>
        </w:tabs>
        <w:numPr>
          <w:ilvl w:val="0"/>
          <w:numId w:val="8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that was not preceded or accompanied by a notice of payment, prepayment or repayment sent by the First Lien Administrative Agent (or any of its Affiliates), or (z) that such Payment Recipient otherwise becomes aware was transmitted, or received, in error or by mistake (in whole or in part), then in each such case:</w:t>
      </w:r>
    </w:p>
    <w:p>
      <w:pPr>
        <w:spacing w:after="0" w:line="293" w:lineRule="exact"/>
        <w:rPr>
          <w:rFonts w:ascii="Times New Roman" w:cs="Times New Roman" w:eastAsia="Times New Roman" w:hAnsi="Times New Roman"/>
          <w:sz w:val="18"/>
          <w:szCs w:val="18"/>
          <w:u w:val="single" w:color="auto"/>
          <w:color w:val="0000FF"/>
        </w:rPr>
      </w:pPr>
    </w:p>
    <w:p>
      <w:pPr>
        <w:jc w:val="both"/>
        <w:ind w:left="648" w:right="40" w:firstLine="736"/>
        <w:spacing w:after="0" w:line="261" w:lineRule="auto"/>
        <w:tabs>
          <w:tab w:leader="none" w:pos="1905" w:val="left"/>
        </w:tabs>
        <w:numPr>
          <w:ilvl w:val="3"/>
          <w:numId w:val="8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it acknowledges and agrees that (A) in the case of immediately preceding clauses (x) or (y), an error and mistake shall be presumed to have been made (absent written confirmation from the First Lien Administrative Agent to the contrary) or</w:t>
      </w:r>
    </w:p>
    <w:p>
      <w:pPr>
        <w:ind w:left="648" w:right="40"/>
        <w:spacing w:after="0" w:line="260" w:lineRule="auto"/>
        <w:tabs>
          <w:tab w:leader="none" w:pos="955" w:val="left"/>
        </w:tabs>
        <w:numPr>
          <w:ilvl w:val="1"/>
          <w:numId w:val="8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 error and mistake has been made (in the case of immediately preceding clause (z)), in each case, with respect to such payment, prepayment or repayment; and</w:t>
      </w:r>
    </w:p>
    <w:p>
      <w:pPr>
        <w:spacing w:after="0" w:line="221" w:lineRule="exact"/>
        <w:rPr>
          <w:rFonts w:ascii="Times New Roman" w:cs="Times New Roman" w:eastAsia="Times New Roman" w:hAnsi="Times New Roman"/>
          <w:sz w:val="18"/>
          <w:szCs w:val="18"/>
          <w:u w:val="single" w:color="auto"/>
          <w:color w:val="0000FF"/>
        </w:rPr>
      </w:pPr>
    </w:p>
    <w:p>
      <w:pPr>
        <w:jc w:val="both"/>
        <w:ind w:left="648" w:right="20" w:firstLine="686"/>
        <w:spacing w:after="0" w:line="258" w:lineRule="auto"/>
        <w:tabs>
          <w:tab w:leader="none" w:pos="1906" w:val="left"/>
        </w:tabs>
        <w:numPr>
          <w:ilvl w:val="3"/>
          <w:numId w:val="82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such Lender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First Lien Administrative Agent of its receipt of such payment, prepayment or repayment, the details thereof (in reasonable detail) and that it is so notifying the First Lien Administrative Agent pursuant to this Section 9.22(b).</w:t>
      </w:r>
    </w:p>
    <w:p>
      <w:pPr>
        <w:spacing w:after="0" w:line="210" w:lineRule="exact"/>
        <w:rPr>
          <w:sz w:val="20"/>
          <w:szCs w:val="20"/>
          <w:color w:val="auto"/>
        </w:rPr>
      </w:pPr>
    </w:p>
    <w:p>
      <w:pPr>
        <w:jc w:val="both"/>
        <w:ind w:left="8" w:right="40"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For the avoidance of doubt, the failure to deliver a notice to the First Lien Administrative Agent pursuant to this Section 9.22(b) shall not have any effect on a Payment Recipient’s obligations pursuant to Section 9.22(a) or on whether or not an Erroneous Payment has been made.</w:t>
      </w:r>
    </w:p>
    <w:p>
      <w:pPr>
        <w:spacing w:after="0" w:line="216" w:lineRule="exact"/>
        <w:rPr>
          <w:sz w:val="20"/>
          <w:szCs w:val="20"/>
          <w:color w:val="auto"/>
        </w:rPr>
      </w:pPr>
    </w:p>
    <w:p>
      <w:pPr>
        <w:jc w:val="both"/>
        <w:ind w:left="8" w:right="40" w:firstLine="1288"/>
        <w:spacing w:after="0" w:line="261" w:lineRule="auto"/>
        <w:tabs>
          <w:tab w:leader="none" w:pos="1909" w:val="left"/>
        </w:tabs>
        <w:numPr>
          <w:ilvl w:val="0"/>
          <w:numId w:val="8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Lender or Secured Party hereby authorizes the First Lien Administrative Agent to set off, net and apply any and all amounts at any time owing to such Lender or Secured Party under any Loan Document, or otherwise payable or distributable by the First Lien Administrative Agent to such Lender or Secured Party under any Loan Document or from any other source against any amount that the First Lien Administrative Agent has demanded to be returned under the immediately preceding clause (a).</w:t>
      </w:r>
    </w:p>
    <w:p>
      <w:pPr>
        <w:spacing w:after="0" w:line="220" w:lineRule="exact"/>
        <w:rPr>
          <w:rFonts w:ascii="Times New Roman" w:cs="Times New Roman" w:eastAsia="Times New Roman" w:hAnsi="Times New Roman"/>
          <w:sz w:val="18"/>
          <w:szCs w:val="18"/>
          <w:u w:val="single" w:color="auto"/>
          <w:color w:val="0000FF"/>
        </w:rPr>
      </w:pPr>
    </w:p>
    <w:p>
      <w:pPr>
        <w:jc w:val="both"/>
        <w:ind w:left="8" w:firstLine="1288"/>
        <w:spacing w:after="0" w:line="258" w:lineRule="auto"/>
        <w:tabs>
          <w:tab w:leader="none" w:pos="1905" w:val="left"/>
        </w:tabs>
        <w:numPr>
          <w:ilvl w:val="0"/>
          <w:numId w:val="8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parties hereto agree that (x) irrespective of whether the First Lien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(the</w:t>
      </w:r>
    </w:p>
    <w:p>
      <w:pPr>
        <w:sectPr>
          <w:pgSz w:w="11900" w:h="16838" w:orient="portrait"/>
          <w:cols w:equalWidth="0" w:num="1">
            <w:col w:w="10068"/>
          </w:cols>
          <w:pgMar w:left="1012" w:top="1440" w:right="819" w:bottom="1440" w:gutter="0" w:footer="0" w:header="0"/>
        </w:sectPr>
      </w:pPr>
    </w:p>
    <w:bookmarkStart w:id="674" w:name="page675"/>
    <w:bookmarkEnd w:id="674"/>
    <w:p>
      <w:pPr>
        <w:ind w:left="8"/>
        <w:spacing w:after="0" w:line="261" w:lineRule="auto"/>
        <w:rPr>
          <w:sz w:val="20"/>
          <w:szCs w:val="20"/>
          <w:color w:val="auto"/>
        </w:rPr>
      </w:pPr>
      <w:r>
        <w:rPr>
          <w:rFonts w:ascii="Times New Roman" w:cs="Times New Roman" w:eastAsia="Times New Roman" w:hAnsi="Times New Roman"/>
          <w:sz w:val="18"/>
          <w:szCs w:val="18"/>
          <w:u w:val="single" w:color="auto"/>
          <w:color w:val="0000FF"/>
        </w:rPr>
        <w:t>“Erroneous Payment Subrogation Rights”) and (y) an Erroneous Payment shall not pay, prepay, repay, discharge or otherwise satisfy any Obligations owed by the Borrowers or any other Loan Party; provided, that for the avoidance of doubt, the immediately preceding clauses</w:t>
      </w:r>
    </w:p>
    <w:p>
      <w:pPr>
        <w:jc w:val="both"/>
        <w:ind w:left="8" w:hanging="8"/>
        <w:spacing w:after="0" w:line="253" w:lineRule="auto"/>
        <w:tabs>
          <w:tab w:leader="none" w:pos="268" w:val="left"/>
        </w:tabs>
        <w:numPr>
          <w:ilvl w:val="0"/>
          <w:numId w:val="8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and (y) shall not apply to the extent any such Erroneous Payment is, and solely with respect to the amount of such Erroneous Payment that is, comprised of funds received by the First Lien Administrative Agent from the Borrower or any other Loan Party for the purpose of making a payment to satisfy certain Obligations and is not otherwise repaid or returned to the Borrower or a Loan Party by the First Lien Administrative Agent, any Lender or any of their respective Affiliates, whether pursuant to a legal proceeding or otherwise.</w:t>
      </w:r>
    </w:p>
    <w:p>
      <w:pPr>
        <w:spacing w:after="0" w:line="229" w:lineRule="exact"/>
        <w:rPr>
          <w:rFonts w:ascii="Times New Roman" w:cs="Times New Roman" w:eastAsia="Times New Roman" w:hAnsi="Times New Roman"/>
          <w:sz w:val="18"/>
          <w:szCs w:val="18"/>
          <w:u w:val="single" w:color="auto"/>
          <w:color w:val="0000FF"/>
        </w:rPr>
      </w:pPr>
    </w:p>
    <w:p>
      <w:pPr>
        <w:jc w:val="both"/>
        <w:ind w:left="8" w:right="20" w:firstLine="1288"/>
        <w:spacing w:after="0" w:line="261" w:lineRule="auto"/>
        <w:tabs>
          <w:tab w:leader="none" w:pos="1909" w:val="left"/>
        </w:tabs>
        <w:numPr>
          <w:ilvl w:val="1"/>
          <w:numId w:val="8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Notwithstanding anything to the contrary contained herein, and for the avoidance of doubt, in no event shall the occurrence of an Erroneous Payment (or the existence of any Erroneous Payment Subrogation Rights or other rights of the First Lien Administrative Agent in respect of an Erroneous Payment) result in the First Lien Administrative Agent becoming, or being deemed to be, a Lender hereunder or the holder of any Loans hereunder.</w:t>
      </w:r>
    </w:p>
    <w:p>
      <w:pPr>
        <w:spacing w:after="0" w:line="220" w:lineRule="exact"/>
        <w:rPr>
          <w:rFonts w:ascii="Times New Roman" w:cs="Times New Roman" w:eastAsia="Times New Roman" w:hAnsi="Times New Roman"/>
          <w:sz w:val="18"/>
          <w:szCs w:val="18"/>
          <w:u w:val="single" w:color="auto"/>
          <w:color w:val="0000FF"/>
        </w:rPr>
      </w:pPr>
    </w:p>
    <w:p>
      <w:pPr>
        <w:jc w:val="both"/>
        <w:ind w:left="8" w:right="20" w:firstLine="1288"/>
        <w:spacing w:after="0" w:line="261" w:lineRule="auto"/>
        <w:tabs>
          <w:tab w:leader="none" w:pos="1916" w:val="left"/>
        </w:tabs>
        <w:numPr>
          <w:ilvl w:val="1"/>
          <w:numId w:val="8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First Lien Administrative Agent for the return of any Erroneous Payment received, including any defense based on “discharge for value” or any similar doctrine.</w:t>
      </w:r>
    </w:p>
    <w:p>
      <w:pPr>
        <w:spacing w:after="0" w:line="220" w:lineRule="exact"/>
        <w:rPr>
          <w:rFonts w:ascii="Times New Roman" w:cs="Times New Roman" w:eastAsia="Times New Roman" w:hAnsi="Times New Roman"/>
          <w:sz w:val="18"/>
          <w:szCs w:val="18"/>
          <w:u w:val="single" w:color="auto"/>
          <w:color w:val="0000FF"/>
        </w:rPr>
      </w:pPr>
    </w:p>
    <w:p>
      <w:pPr>
        <w:jc w:val="both"/>
        <w:ind w:left="8" w:firstLine="1288"/>
        <w:spacing w:after="0" w:line="261" w:lineRule="auto"/>
        <w:tabs>
          <w:tab w:leader="none" w:pos="1905" w:val="left"/>
        </w:tabs>
        <w:numPr>
          <w:ilvl w:val="1"/>
          <w:numId w:val="8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party’s obligations, agreements and waivers under this Section 9.22 shall survive the resignation or replacement of the First Lien Administrative Agent, any transfer of rights or obligations by, or the replacement of, a Lender, the termination of the Commitments and/or the repayment, satisfaction or discharge of all Obligations (or any portion thereof) under any Loan Document.</w:t>
      </w:r>
    </w:p>
    <w:p>
      <w:pPr>
        <w:spacing w:after="0" w:line="299"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048"/>
          </w:cols>
          <w:pgMar w:left="1012" w:top="1337" w:right="839" w:bottom="1440" w:gutter="0" w:footer="0" w:header="0"/>
        </w:sectPr>
      </w:pPr>
    </w:p>
    <w:bookmarkStart w:id="675" w:name="page676"/>
    <w:bookmarkEnd w:id="67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SOTERA HEALTH TOPCO,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Holdings</w:t>
      </w:r>
    </w:p>
    <w:p>
      <w:pPr>
        <w:spacing w:after="0" w:line="200" w:lineRule="exact"/>
        <w:rPr>
          <w:sz w:val="20"/>
          <w:szCs w:val="20"/>
          <w:color w:val="auto"/>
        </w:rPr>
      </w:pPr>
    </w:p>
    <w:p>
      <w:pPr>
        <w:spacing w:after="0" w:line="29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-7620</wp:posOffset>
            </wp:positionV>
            <wp:extent cx="1143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SOTERA HEALTH HOLDINGS, LLC</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Borrower</w:t>
      </w:r>
    </w:p>
    <w:p>
      <w:pPr>
        <w:spacing w:after="0" w:line="200" w:lineRule="exact"/>
        <w:rPr>
          <w:sz w:val="20"/>
          <w:szCs w:val="20"/>
          <w:color w:val="auto"/>
        </w:rPr>
      </w:pPr>
    </w:p>
    <w:p>
      <w:pPr>
        <w:spacing w:after="0" w:line="29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-7620</wp:posOffset>
            </wp:positionV>
            <wp:extent cx="1143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1020" w:top="1418" w:right="399" w:bottom="1440" w:gutter="0" w:footer="0" w:header="0"/>
        </w:sectPr>
      </w:pPr>
    </w:p>
    <w:bookmarkStart w:id="676" w:name="page677"/>
    <w:bookmarkEnd w:id="676"/>
    <w:p>
      <w:pPr>
        <w:spacing w:after="0" w:line="217" w:lineRule="exact"/>
        <w:rPr>
          <w:sz w:val="20"/>
          <w:szCs w:val="20"/>
          <w:color w:val="auto"/>
        </w:rPr>
      </w:pPr>
    </w:p>
    <w:p>
      <w:pPr>
        <w:ind w:left="3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JEFFERIES FINANCE LLC </w:t>
      </w:r>
      <w:r>
        <w:rPr>
          <w:rFonts w:ascii="Times New Roman" w:cs="Times New Roman" w:eastAsia="Times New Roman" w:hAnsi="Times New Roman"/>
          <w:sz w:val="18"/>
          <w:szCs w:val="18"/>
          <w:color w:val="auto"/>
        </w:rPr>
        <w:t>as Administrative Agent, an Issuing Bank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200" w:lineRule="exact"/>
        <w:rPr>
          <w:sz w:val="20"/>
          <w:szCs w:val="20"/>
          <w:color w:val="auto"/>
        </w:rPr>
      </w:pPr>
    </w:p>
    <w:p>
      <w:pPr>
        <w:spacing w:after="0" w:line="242" w:lineRule="exact"/>
        <w:rPr>
          <w:sz w:val="20"/>
          <w:szCs w:val="20"/>
          <w:color w:val="auto"/>
        </w:rPr>
      </w:pPr>
    </w:p>
    <w:p>
      <w:pPr>
        <w:ind w:left="3460"/>
        <w:spacing w:after="0"/>
        <w:tabs>
          <w:tab w:leader="none" w:pos="4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-7620</wp:posOffset>
            </wp:positionV>
            <wp:extent cx="2286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60" w:hanging="98"/>
        <w:spacing w:after="0"/>
        <w:tabs>
          <w:tab w:leader="none" w:pos="4060" w:val="left"/>
        </w:tabs>
        <w:numPr>
          <w:ilvl w:val="0"/>
          <w:numId w:val="8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-5080</wp:posOffset>
            </wp:positionV>
            <wp:extent cx="285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60"/>
        <w:spacing w:after="0"/>
        <w:tabs>
          <w:tab w:leader="none" w:pos="4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-7620</wp:posOffset>
            </wp:positionV>
            <wp:extent cx="2286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60" w:hanging="98"/>
        <w:spacing w:after="0"/>
        <w:tabs>
          <w:tab w:leader="none" w:pos="4060" w:val="left"/>
        </w:tabs>
        <w:numPr>
          <w:ilvl w:val="0"/>
          <w:numId w:val="8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-5080</wp:posOffset>
            </wp:positionV>
            <wp:extent cx="285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60"/>
        <w:spacing w:after="0"/>
        <w:tabs>
          <w:tab w:leader="none" w:pos="4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-7620</wp:posOffset>
            </wp:positionV>
            <wp:extent cx="2286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560" w:hanging="101"/>
        <w:spacing w:after="0"/>
        <w:tabs>
          <w:tab w:leader="none" w:pos="3560" w:val="left"/>
        </w:tabs>
        <w:numPr>
          <w:ilvl w:val="0"/>
          <w:numId w:val="8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an Issuing Bank and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-5080</wp:posOffset>
            </wp:positionV>
            <wp:extent cx="285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3460"/>
        <w:spacing w:after="0"/>
        <w:tabs>
          <w:tab w:leader="none" w:pos="4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-7620</wp:posOffset>
            </wp:positionV>
            <wp:extent cx="2286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200"/>
          </w:cols>
          <w:pgMar w:left="1440" w:top="1440" w:right="1259" w:bottom="1440" w:gutter="0" w:footer="0" w:header="0"/>
        </w:sectPr>
      </w:pPr>
    </w:p>
    <w:bookmarkStart w:id="677" w:name="page678"/>
    <w:bookmarkEnd w:id="677"/>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u w:val="single" w:color="auto"/>
          <w:color w:val="auto"/>
        </w:rPr>
        <w:t>Annex B Schedules</w:t>
      </w:r>
    </w:p>
    <w:p>
      <w:pPr>
        <w:sectPr>
          <w:pgSz w:w="11900" w:h="16838" w:orient="portrait"/>
          <w:cols w:equalWidth="0" w:num="1">
            <w:col w:w="9019"/>
          </w:cols>
          <w:pgMar w:left="1440" w:top="1440" w:right="1440" w:bottom="1440" w:gutter="0" w:footer="0" w:header="0"/>
        </w:sectPr>
      </w:pPr>
    </w:p>
    <w:bookmarkStart w:id="678" w:name="page679"/>
    <w:bookmarkEnd w:id="678"/>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SCHEDULE 2.01</w:t>
      </w: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u w:val="single" w:color="auto"/>
          <w:color w:val="auto"/>
        </w:rPr>
        <w:t>Commitments and Loans</w:t>
      </w: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280" w:type="dxa"/>
            <w:vAlign w:val="bottom"/>
            <w:tcBorders>
              <w:top w:val="single" w:sz="8" w:color="auto"/>
              <w:left w:val="single" w:sz="8" w:color="auto"/>
              <w:bottom w:val="single" w:sz="8" w:color="auto"/>
            </w:tcBorders>
            <w:shd w:val="clear" w:color="auto" w:fill="D9D9D9"/>
          </w:tcPr>
          <w:p>
            <w:pPr>
              <w:spacing w:after="0"/>
              <w:rPr>
                <w:sz w:val="24"/>
                <w:szCs w:val="24"/>
                <w:color w:val="auto"/>
              </w:rPr>
            </w:pPr>
          </w:p>
        </w:tc>
        <w:tc>
          <w:tcPr>
            <w:tcW w:w="2800" w:type="dxa"/>
            <w:vAlign w:val="bottom"/>
            <w:tcBorders>
              <w:top w:val="single" w:sz="8" w:color="auto"/>
              <w:bottom w:val="single" w:sz="8" w:color="auto"/>
              <w:right w:val="single" w:sz="8" w:color="D9D9D9"/>
            </w:tcBorders>
            <w:gridSpan w:val="4"/>
            <w:shd w:val="clear" w:color="auto" w:fill="D9D9D9"/>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Term Lender</w:t>
            </w:r>
          </w:p>
        </w:tc>
        <w:tc>
          <w:tcPr>
            <w:tcW w:w="240" w:type="dxa"/>
            <w:vAlign w:val="bottom"/>
            <w:tcBorders>
              <w:top w:val="single" w:sz="8" w:color="auto"/>
              <w:bottom w:val="single" w:sz="8" w:color="auto"/>
            </w:tcBorders>
            <w:shd w:val="clear" w:color="auto" w:fill="D9D9D9"/>
          </w:tcPr>
          <w:p>
            <w:pPr>
              <w:spacing w:after="0"/>
              <w:rPr>
                <w:sz w:val="24"/>
                <w:szCs w:val="24"/>
                <w:color w:val="auto"/>
              </w:rPr>
            </w:pPr>
          </w:p>
        </w:tc>
        <w:tc>
          <w:tcPr>
            <w:tcW w:w="114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c>
          <w:tcPr>
            <w:tcW w:w="960" w:type="dxa"/>
            <w:vAlign w:val="bottom"/>
            <w:tcBorders>
              <w:top w:val="single" w:sz="8" w:color="auto"/>
              <w:bottom w:val="single" w:sz="8" w:color="auto"/>
            </w:tcBorders>
            <w:shd w:val="clear" w:color="auto" w:fill="D9D9D9"/>
          </w:tcPr>
          <w:p>
            <w:pPr>
              <w:spacing w:after="0"/>
              <w:rPr>
                <w:sz w:val="24"/>
                <w:szCs w:val="24"/>
                <w:color w:val="auto"/>
              </w:rPr>
            </w:pP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2780" w:type="dxa"/>
            <w:vAlign w:val="bottom"/>
            <w:tcBorders>
              <w:top w:val="single" w:sz="8" w:color="auto"/>
              <w:bottom w:val="single" w:sz="8" w:color="auto"/>
              <w:right w:val="single" w:sz="8" w:color="auto"/>
            </w:tcBorders>
            <w:gridSpan w:val="5"/>
            <w:shd w:val="clear" w:color="auto" w:fill="D9D9D9"/>
          </w:tcPr>
          <w:p>
            <w:pPr>
              <w:jc w:val="center"/>
              <w:ind w:right="1080"/>
              <w:spacing w:after="0" w:line="216" w:lineRule="exact"/>
              <w:rPr>
                <w:sz w:val="20"/>
                <w:szCs w:val="20"/>
                <w:color w:val="auto"/>
              </w:rPr>
            </w:pPr>
            <w:r>
              <w:rPr>
                <w:rFonts w:ascii="Times New Roman" w:cs="Times New Roman" w:eastAsia="Times New Roman" w:hAnsi="Times New Roman"/>
                <w:sz w:val="20"/>
                <w:szCs w:val="20"/>
                <w:b w:val="1"/>
                <w:bCs w:val="1"/>
                <w:color w:val="auto"/>
                <w:w w:val="97"/>
              </w:rPr>
              <w:t>Term Commitments</w:t>
            </w:r>
          </w:p>
        </w:tc>
      </w:tr>
      <w:tr>
        <w:trPr>
          <w:trHeight w:val="256"/>
        </w:trPr>
        <w:tc>
          <w:tcPr>
            <w:tcW w:w="1280" w:type="dxa"/>
            <w:vAlign w:val="bottom"/>
            <w:tcBorders>
              <w:left w:val="single" w:sz="8" w:color="auto"/>
            </w:tcBorders>
          </w:tcPr>
          <w:p>
            <w:pPr>
              <w:spacing w:after="0"/>
              <w:rPr>
                <w:sz w:val="22"/>
                <w:szCs w:val="22"/>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8"/>
              </w:rPr>
              <w:t>JPMorgan Chase Bank, N.A.</w:t>
            </w:r>
          </w:p>
        </w:tc>
        <w:tc>
          <w:tcPr>
            <w:tcW w:w="24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$1,509,350,000.00</w:t>
            </w:r>
          </w:p>
        </w:tc>
        <w:tc>
          <w:tcPr>
            <w:tcW w:w="82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34"/>
        </w:trPr>
        <w:tc>
          <w:tcPr>
            <w:tcW w:w="128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56"/>
        </w:trPr>
        <w:tc>
          <w:tcPr>
            <w:tcW w:w="128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1920" w:type="dxa"/>
            <w:vAlign w:val="bottom"/>
            <w:gridSpan w:val="3"/>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w w:val="95"/>
              </w:rPr>
              <w:t>Total:</w:t>
            </w:r>
          </w:p>
        </w:tc>
        <w:tc>
          <w:tcPr>
            <w:tcW w:w="24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$1,509,350,000.00</w:t>
            </w:r>
          </w:p>
        </w:tc>
        <w:tc>
          <w:tcPr>
            <w:tcW w:w="82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58"/>
        </w:trPr>
        <w:tc>
          <w:tcPr>
            <w:tcW w:w="1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210"/>
        </w:trPr>
        <w:tc>
          <w:tcPr>
            <w:tcW w:w="1280" w:type="dxa"/>
            <w:vAlign w:val="bottom"/>
            <w:tcBorders>
              <w:left w:val="single" w:sz="8" w:color="auto"/>
            </w:tcBorders>
            <w:shd w:val="clear" w:color="auto" w:fill="E6E6E6"/>
          </w:tcPr>
          <w:p>
            <w:pPr>
              <w:spacing w:after="0"/>
              <w:rPr>
                <w:sz w:val="18"/>
                <w:szCs w:val="18"/>
                <w:color w:val="auto"/>
              </w:rPr>
            </w:pPr>
          </w:p>
        </w:tc>
        <w:tc>
          <w:tcPr>
            <w:tcW w:w="2800" w:type="dxa"/>
            <w:vAlign w:val="bottom"/>
            <w:tcBorders>
              <w:right w:val="single" w:sz="8" w:color="auto"/>
            </w:tcBorders>
            <w:gridSpan w:val="4"/>
            <w:shd w:val="clear" w:color="auto" w:fill="E6E6E6"/>
          </w:tcPr>
          <w:p>
            <w:pPr>
              <w:jc w:val="center"/>
              <w:ind w:right="1300"/>
              <w:spacing w:after="0" w:line="209" w:lineRule="exact"/>
              <w:rPr>
                <w:sz w:val="20"/>
                <w:szCs w:val="20"/>
                <w:color w:val="auto"/>
              </w:rPr>
            </w:pPr>
            <w:r>
              <w:rPr>
                <w:rFonts w:ascii="Times New Roman" w:cs="Times New Roman" w:eastAsia="Times New Roman" w:hAnsi="Times New Roman"/>
                <w:sz w:val="20"/>
                <w:szCs w:val="20"/>
                <w:b w:val="1"/>
                <w:bCs w:val="1"/>
                <w:color w:val="auto"/>
                <w:w w:val="98"/>
              </w:rPr>
              <w:t>Revolving Lender</w:t>
            </w:r>
          </w:p>
        </w:tc>
        <w:tc>
          <w:tcPr>
            <w:tcW w:w="240" w:type="dxa"/>
            <w:vAlign w:val="bottom"/>
            <w:shd w:val="clear" w:color="auto" w:fill="E6E6E6"/>
          </w:tcPr>
          <w:p>
            <w:pPr>
              <w:spacing w:after="0"/>
              <w:rPr>
                <w:sz w:val="18"/>
                <w:szCs w:val="18"/>
                <w:color w:val="auto"/>
              </w:rPr>
            </w:pPr>
          </w:p>
        </w:tc>
        <w:tc>
          <w:tcPr>
            <w:tcW w:w="2200" w:type="dxa"/>
            <w:vAlign w:val="bottom"/>
            <w:gridSpan w:val="3"/>
            <w:shd w:val="clear" w:color="auto" w:fill="E6E6E6"/>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Revolving Commitments</w:t>
            </w:r>
          </w:p>
        </w:tc>
        <w:tc>
          <w:tcPr>
            <w:tcW w:w="160" w:type="dxa"/>
            <w:vAlign w:val="bottom"/>
            <w:tcBorders>
              <w:right w:val="single" w:sz="8" w:color="auto"/>
            </w:tcBorders>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2380" w:type="dxa"/>
            <w:vAlign w:val="bottom"/>
            <w:tcBorders>
              <w:right w:val="single" w:sz="8" w:color="auto"/>
            </w:tcBorders>
            <w:gridSpan w:val="3"/>
            <w:shd w:val="clear" w:color="auto" w:fill="E6E6E6"/>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Letter of Credit Sublimit</w:t>
            </w:r>
          </w:p>
        </w:tc>
      </w:tr>
      <w:tr>
        <w:trPr>
          <w:trHeight w:val="61"/>
        </w:trPr>
        <w:tc>
          <w:tcPr>
            <w:tcW w:w="1280" w:type="dxa"/>
            <w:vAlign w:val="bottom"/>
            <w:tcBorders>
              <w:top w:val="single" w:sz="8" w:color="E6E6E6"/>
              <w:left w:val="single" w:sz="8" w:color="auto"/>
              <w:bottom w:val="single" w:sz="8" w:color="auto"/>
            </w:tcBorders>
            <w:shd w:val="clear" w:color="auto" w:fill="E6E6E6"/>
          </w:tcPr>
          <w:p>
            <w:pPr>
              <w:spacing w:after="0"/>
              <w:rPr>
                <w:sz w:val="5"/>
                <w:szCs w:val="5"/>
                <w:color w:val="auto"/>
              </w:rPr>
            </w:pPr>
          </w:p>
        </w:tc>
        <w:tc>
          <w:tcPr>
            <w:tcW w:w="880" w:type="dxa"/>
            <w:vAlign w:val="bottom"/>
            <w:tcBorders>
              <w:top w:val="single" w:sz="8" w:color="auto"/>
              <w:bottom w:val="single" w:sz="8" w:color="auto"/>
            </w:tcBorders>
            <w:shd w:val="clear" w:color="auto" w:fill="E6E6E6"/>
          </w:tcPr>
          <w:p>
            <w:pPr>
              <w:spacing w:after="0"/>
              <w:rPr>
                <w:sz w:val="5"/>
                <w:szCs w:val="5"/>
                <w:color w:val="auto"/>
              </w:rPr>
            </w:pPr>
          </w:p>
        </w:tc>
        <w:tc>
          <w:tcPr>
            <w:tcW w:w="620" w:type="dxa"/>
            <w:vAlign w:val="bottom"/>
            <w:tcBorders>
              <w:top w:val="single" w:sz="8" w:color="auto"/>
              <w:bottom w:val="single" w:sz="8" w:color="auto"/>
            </w:tcBorders>
            <w:shd w:val="clear" w:color="auto" w:fill="E6E6E6"/>
          </w:tcPr>
          <w:p>
            <w:pPr>
              <w:spacing w:after="0"/>
              <w:rPr>
                <w:sz w:val="5"/>
                <w:szCs w:val="5"/>
                <w:color w:val="auto"/>
              </w:rPr>
            </w:pPr>
          </w:p>
        </w:tc>
        <w:tc>
          <w:tcPr>
            <w:tcW w:w="500" w:type="dxa"/>
            <w:vAlign w:val="bottom"/>
            <w:tcBorders>
              <w:top w:val="single" w:sz="8" w:color="E6E6E6"/>
              <w:bottom w:val="single" w:sz="8" w:color="auto"/>
            </w:tcBorders>
            <w:shd w:val="clear" w:color="auto" w:fill="E6E6E6"/>
          </w:tcPr>
          <w:p>
            <w:pPr>
              <w:spacing w:after="0"/>
              <w:rPr>
                <w:sz w:val="5"/>
                <w:szCs w:val="5"/>
                <w:color w:val="auto"/>
              </w:rPr>
            </w:pPr>
          </w:p>
        </w:tc>
        <w:tc>
          <w:tcPr>
            <w:tcW w:w="800" w:type="dxa"/>
            <w:vAlign w:val="bottom"/>
            <w:tcBorders>
              <w:top w:val="single" w:sz="8" w:color="E6E6E6"/>
              <w:bottom w:val="single" w:sz="8" w:color="auto"/>
              <w:right w:val="single" w:sz="8" w:color="auto"/>
            </w:tcBorders>
            <w:shd w:val="clear" w:color="auto" w:fill="E6E6E6"/>
          </w:tcPr>
          <w:p>
            <w:pPr>
              <w:spacing w:after="0"/>
              <w:rPr>
                <w:sz w:val="5"/>
                <w:szCs w:val="5"/>
                <w:color w:val="auto"/>
              </w:rPr>
            </w:pPr>
          </w:p>
        </w:tc>
        <w:tc>
          <w:tcPr>
            <w:tcW w:w="240" w:type="dxa"/>
            <w:vAlign w:val="bottom"/>
            <w:tcBorders>
              <w:top w:val="single" w:sz="8" w:color="E6E6E6"/>
              <w:bottom w:val="single" w:sz="8" w:color="auto"/>
            </w:tcBorders>
            <w:shd w:val="clear" w:color="auto" w:fill="E6E6E6"/>
          </w:tcPr>
          <w:p>
            <w:pPr>
              <w:spacing w:after="0"/>
              <w:rPr>
                <w:sz w:val="5"/>
                <w:szCs w:val="5"/>
                <w:color w:val="auto"/>
              </w:rPr>
            </w:pPr>
          </w:p>
        </w:tc>
        <w:tc>
          <w:tcPr>
            <w:tcW w:w="1140" w:type="dxa"/>
            <w:vAlign w:val="bottom"/>
            <w:tcBorders>
              <w:top w:val="single" w:sz="8" w:color="auto"/>
              <w:bottom w:val="single" w:sz="8" w:color="auto"/>
              <w:right w:val="single" w:sz="8" w:color="E6E6E6"/>
            </w:tcBorders>
            <w:shd w:val="clear" w:color="auto" w:fill="E6E6E6"/>
          </w:tcPr>
          <w:p>
            <w:pPr>
              <w:spacing w:after="0"/>
              <w:rPr>
                <w:sz w:val="5"/>
                <w:szCs w:val="5"/>
                <w:color w:val="auto"/>
              </w:rPr>
            </w:pPr>
          </w:p>
        </w:tc>
        <w:tc>
          <w:tcPr>
            <w:tcW w:w="960" w:type="dxa"/>
            <w:vAlign w:val="bottom"/>
            <w:tcBorders>
              <w:top w:val="single" w:sz="8" w:color="auto"/>
              <w:bottom w:val="single" w:sz="8" w:color="auto"/>
            </w:tcBorders>
            <w:shd w:val="clear" w:color="auto" w:fill="E6E6E6"/>
          </w:tcPr>
          <w:p>
            <w:pPr>
              <w:spacing w:after="0"/>
              <w:rPr>
                <w:sz w:val="5"/>
                <w:szCs w:val="5"/>
                <w:color w:val="auto"/>
              </w:rPr>
            </w:pPr>
          </w:p>
        </w:tc>
        <w:tc>
          <w:tcPr>
            <w:tcW w:w="100" w:type="dxa"/>
            <w:vAlign w:val="bottom"/>
            <w:tcBorders>
              <w:top w:val="single" w:sz="8" w:color="E6E6E6"/>
              <w:bottom w:val="single" w:sz="8" w:color="auto"/>
            </w:tcBorders>
            <w:shd w:val="clear" w:color="auto" w:fill="E6E6E6"/>
          </w:tcPr>
          <w:p>
            <w:pPr>
              <w:spacing w:after="0"/>
              <w:rPr>
                <w:sz w:val="5"/>
                <w:szCs w:val="5"/>
                <w:color w:val="auto"/>
              </w:rPr>
            </w:pPr>
          </w:p>
        </w:tc>
        <w:tc>
          <w:tcPr>
            <w:tcW w:w="160" w:type="dxa"/>
            <w:vAlign w:val="bottom"/>
            <w:tcBorders>
              <w:top w:val="single" w:sz="8" w:color="E6E6E6"/>
              <w:bottom w:val="single" w:sz="8" w:color="auto"/>
              <w:right w:val="single" w:sz="8" w:color="auto"/>
            </w:tcBorders>
            <w:shd w:val="clear" w:color="auto" w:fill="E6E6E6"/>
          </w:tcPr>
          <w:p>
            <w:pPr>
              <w:spacing w:after="0"/>
              <w:rPr>
                <w:sz w:val="5"/>
                <w:szCs w:val="5"/>
                <w:color w:val="auto"/>
              </w:rPr>
            </w:pPr>
          </w:p>
        </w:tc>
        <w:tc>
          <w:tcPr>
            <w:tcW w:w="240" w:type="dxa"/>
            <w:vAlign w:val="bottom"/>
            <w:tcBorders>
              <w:top w:val="single" w:sz="8" w:color="E6E6E6"/>
              <w:bottom w:val="single" w:sz="8" w:color="auto"/>
            </w:tcBorders>
            <w:shd w:val="clear" w:color="auto" w:fill="E6E6E6"/>
          </w:tcPr>
          <w:p>
            <w:pPr>
              <w:spacing w:after="0"/>
              <w:rPr>
                <w:sz w:val="5"/>
                <w:szCs w:val="5"/>
                <w:color w:val="auto"/>
              </w:rPr>
            </w:pPr>
          </w:p>
        </w:tc>
        <w:tc>
          <w:tcPr>
            <w:tcW w:w="1300" w:type="dxa"/>
            <w:vAlign w:val="bottom"/>
            <w:tcBorders>
              <w:top w:val="single" w:sz="8" w:color="auto"/>
              <w:bottom w:val="single" w:sz="8" w:color="auto"/>
            </w:tcBorders>
            <w:shd w:val="clear" w:color="auto" w:fill="E6E6E6"/>
          </w:tcPr>
          <w:p>
            <w:pPr>
              <w:spacing w:after="0"/>
              <w:rPr>
                <w:sz w:val="5"/>
                <w:szCs w:val="5"/>
                <w:color w:val="auto"/>
              </w:rPr>
            </w:pPr>
          </w:p>
        </w:tc>
        <w:tc>
          <w:tcPr>
            <w:tcW w:w="820" w:type="dxa"/>
            <w:vAlign w:val="bottom"/>
            <w:tcBorders>
              <w:top w:val="single" w:sz="8" w:color="auto"/>
              <w:bottom w:val="single" w:sz="8" w:color="auto"/>
            </w:tcBorders>
            <w:shd w:val="clear" w:color="auto" w:fill="E6E6E6"/>
          </w:tcPr>
          <w:p>
            <w:pPr>
              <w:spacing w:after="0"/>
              <w:rPr>
                <w:sz w:val="5"/>
                <w:szCs w:val="5"/>
                <w:color w:val="auto"/>
              </w:rPr>
            </w:pPr>
          </w:p>
        </w:tc>
        <w:tc>
          <w:tcPr>
            <w:tcW w:w="260" w:type="dxa"/>
            <w:vAlign w:val="bottom"/>
            <w:tcBorders>
              <w:top w:val="single" w:sz="8" w:color="E6E6E6"/>
              <w:bottom w:val="single" w:sz="8" w:color="auto"/>
              <w:right w:val="single" w:sz="8" w:color="auto"/>
            </w:tcBorders>
            <w:shd w:val="clear" w:color="auto" w:fill="E6E6E6"/>
          </w:tcPr>
          <w:p>
            <w:pPr>
              <w:spacing w:after="0"/>
              <w:rPr>
                <w:sz w:val="5"/>
                <w:szCs w:val="5"/>
                <w:color w:val="auto"/>
              </w:rPr>
            </w:pPr>
          </w:p>
        </w:tc>
      </w:tr>
      <w:tr>
        <w:trPr>
          <w:trHeight w:val="364"/>
        </w:trPr>
        <w:tc>
          <w:tcPr>
            <w:tcW w:w="40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8"/>
              </w:rPr>
              <w:t>JPMorgan Chase Bank N.A.</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$98,250,000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$98,250,000</w:t>
            </w:r>
          </w:p>
        </w:tc>
        <w:tc>
          <w:tcPr>
            <w:tcW w:w="260" w:type="dxa"/>
            <w:vAlign w:val="bottom"/>
            <w:tcBorders>
              <w:right w:val="single" w:sz="8" w:color="auto"/>
            </w:tcBorders>
          </w:tcPr>
          <w:p>
            <w:pPr>
              <w:spacing w:after="0"/>
              <w:rPr>
                <w:sz w:val="24"/>
                <w:szCs w:val="24"/>
                <w:color w:val="auto"/>
              </w:rPr>
            </w:pPr>
          </w:p>
        </w:tc>
      </w:tr>
      <w:tr>
        <w:trPr>
          <w:trHeight w:val="34"/>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64"/>
        </w:trPr>
        <w:tc>
          <w:tcPr>
            <w:tcW w:w="40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8"/>
              </w:rPr>
              <w:t>Goldman Sachs Bank USA</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$49,000,000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$49,000,000</w:t>
            </w:r>
          </w:p>
        </w:tc>
        <w:tc>
          <w:tcPr>
            <w:tcW w:w="260" w:type="dxa"/>
            <w:vAlign w:val="bottom"/>
            <w:tcBorders>
              <w:right w:val="single" w:sz="8" w:color="auto"/>
            </w:tcBorders>
          </w:tcPr>
          <w:p>
            <w:pPr>
              <w:spacing w:after="0"/>
              <w:rPr>
                <w:sz w:val="24"/>
                <w:szCs w:val="24"/>
                <w:color w:val="auto"/>
              </w:rPr>
            </w:pPr>
          </w:p>
        </w:tc>
      </w:tr>
      <w:tr>
        <w:trPr>
          <w:trHeight w:val="34"/>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78"/>
        </w:trPr>
        <w:tc>
          <w:tcPr>
            <w:tcW w:w="128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gridSpan w:val="4"/>
          </w:tcPr>
          <w:p>
            <w:pPr>
              <w:jc w:val="center"/>
              <w:ind w:right="1280"/>
              <w:spacing w:after="0"/>
              <w:rPr>
                <w:sz w:val="20"/>
                <w:szCs w:val="20"/>
                <w:color w:val="auto"/>
              </w:rPr>
            </w:pPr>
            <w:r>
              <w:rPr>
                <w:rFonts w:ascii="Times New Roman" w:cs="Times New Roman" w:eastAsia="Times New Roman" w:hAnsi="Times New Roman"/>
                <w:sz w:val="20"/>
                <w:szCs w:val="20"/>
                <w:color w:val="auto"/>
                <w:w w:val="98"/>
              </w:rPr>
              <w:t>Citibank, N.A.</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$49,000,000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$49,000,000</w:t>
            </w:r>
          </w:p>
        </w:tc>
        <w:tc>
          <w:tcPr>
            <w:tcW w:w="260" w:type="dxa"/>
            <w:vAlign w:val="bottom"/>
            <w:tcBorders>
              <w:right w:val="single" w:sz="8" w:color="auto"/>
            </w:tcBorders>
          </w:tcPr>
          <w:p>
            <w:pPr>
              <w:spacing w:after="0"/>
              <w:rPr>
                <w:sz w:val="24"/>
                <w:szCs w:val="24"/>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77"/>
        </w:trPr>
        <w:tc>
          <w:tcPr>
            <w:tcW w:w="40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8"/>
              </w:rPr>
              <w:t>Jefferies Finance LLC</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$40,000,000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$15,000,000</w:t>
            </w:r>
          </w:p>
        </w:tc>
        <w:tc>
          <w:tcPr>
            <w:tcW w:w="260" w:type="dxa"/>
            <w:vAlign w:val="bottom"/>
            <w:tcBorders>
              <w:right w:val="single" w:sz="8" w:color="auto"/>
            </w:tcBorders>
          </w:tcPr>
          <w:p>
            <w:pPr>
              <w:spacing w:after="0"/>
              <w:rPr>
                <w:sz w:val="24"/>
                <w:szCs w:val="24"/>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64"/>
        </w:trPr>
        <w:tc>
          <w:tcPr>
            <w:tcW w:w="40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9"/>
              </w:rPr>
              <w:t>Royal Bank of Canada</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$40,000,000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$40,000,000</w:t>
            </w:r>
          </w:p>
        </w:tc>
        <w:tc>
          <w:tcPr>
            <w:tcW w:w="260" w:type="dxa"/>
            <w:vAlign w:val="bottom"/>
            <w:tcBorders>
              <w:right w:val="single" w:sz="8" w:color="auto"/>
            </w:tcBorders>
          </w:tcPr>
          <w:p>
            <w:pPr>
              <w:spacing w:after="0"/>
              <w:rPr>
                <w:sz w:val="24"/>
                <w:szCs w:val="24"/>
                <w:color w:val="auto"/>
              </w:rPr>
            </w:pPr>
          </w:p>
        </w:tc>
      </w:tr>
      <w:tr>
        <w:trPr>
          <w:trHeight w:val="34"/>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64"/>
        </w:trPr>
        <w:tc>
          <w:tcPr>
            <w:tcW w:w="4080" w:type="dxa"/>
            <w:vAlign w:val="bottom"/>
            <w:tcBorders>
              <w:left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9"/>
              </w:rPr>
              <w:t>Barclays Bank PLC</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$40,000,000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$40,000,000</w:t>
            </w:r>
          </w:p>
        </w:tc>
        <w:tc>
          <w:tcPr>
            <w:tcW w:w="260" w:type="dxa"/>
            <w:vAlign w:val="bottom"/>
            <w:tcBorders>
              <w:right w:val="single" w:sz="8" w:color="auto"/>
            </w:tcBorders>
          </w:tcPr>
          <w:p>
            <w:pPr>
              <w:spacing w:after="0"/>
              <w:rPr>
                <w:sz w:val="24"/>
                <w:szCs w:val="24"/>
                <w:color w:val="auto"/>
              </w:rPr>
            </w:pPr>
          </w:p>
        </w:tc>
      </w:tr>
      <w:tr>
        <w:trPr>
          <w:trHeight w:val="34"/>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64"/>
        </w:trPr>
        <w:tc>
          <w:tcPr>
            <w:tcW w:w="40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8"/>
              </w:rPr>
              <w:t>Banco Santander, S.A., New York Branch</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$37,500,000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$37,500,000</w:t>
            </w:r>
          </w:p>
        </w:tc>
        <w:tc>
          <w:tcPr>
            <w:tcW w:w="260" w:type="dxa"/>
            <w:vAlign w:val="bottom"/>
            <w:tcBorders>
              <w:right w:val="single" w:sz="8" w:color="auto"/>
            </w:tcBorders>
          </w:tcPr>
          <w:p>
            <w:pPr>
              <w:spacing w:after="0"/>
              <w:rPr>
                <w:sz w:val="24"/>
                <w:szCs w:val="24"/>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64"/>
        </w:trPr>
        <w:tc>
          <w:tcPr>
            <w:tcW w:w="128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gridSpan w:val="4"/>
          </w:tcPr>
          <w:p>
            <w:pPr>
              <w:jc w:val="center"/>
              <w:ind w:right="1300"/>
              <w:spacing w:after="0"/>
              <w:rPr>
                <w:sz w:val="20"/>
                <w:szCs w:val="20"/>
                <w:color w:val="auto"/>
              </w:rPr>
            </w:pPr>
            <w:r>
              <w:rPr>
                <w:rFonts w:ascii="Times New Roman" w:cs="Times New Roman" w:eastAsia="Times New Roman" w:hAnsi="Times New Roman"/>
                <w:sz w:val="20"/>
                <w:szCs w:val="20"/>
                <w:color w:val="auto"/>
                <w:w w:val="99"/>
              </w:rPr>
              <w:t>BNP Paribas</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$32,500,000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$32,500,000</w:t>
            </w:r>
          </w:p>
        </w:tc>
        <w:tc>
          <w:tcPr>
            <w:tcW w:w="260" w:type="dxa"/>
            <w:vAlign w:val="bottom"/>
            <w:tcBorders>
              <w:right w:val="single" w:sz="8" w:color="auto"/>
            </w:tcBorders>
          </w:tcPr>
          <w:p>
            <w:pPr>
              <w:spacing w:after="0"/>
              <w:rPr>
                <w:sz w:val="24"/>
                <w:szCs w:val="24"/>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78"/>
        </w:trPr>
        <w:tc>
          <w:tcPr>
            <w:tcW w:w="4080" w:type="dxa"/>
            <w:vAlign w:val="bottom"/>
            <w:tcBorders>
              <w:left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8"/>
              </w:rPr>
              <w:t>KeyBank National Association</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$25,000,000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$25,000,000</w:t>
            </w:r>
          </w:p>
        </w:tc>
        <w:tc>
          <w:tcPr>
            <w:tcW w:w="260" w:type="dxa"/>
            <w:vAlign w:val="bottom"/>
            <w:tcBorders>
              <w:right w:val="single" w:sz="8" w:color="auto"/>
            </w:tcBorders>
          </w:tcPr>
          <w:p>
            <w:pPr>
              <w:spacing w:after="0"/>
              <w:rPr>
                <w:sz w:val="24"/>
                <w:szCs w:val="24"/>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64"/>
        </w:trPr>
        <w:tc>
          <w:tcPr>
            <w:tcW w:w="40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8"/>
              </w:rPr>
              <w:t>Citizens Bank, N.A.</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7"/>
              </w:rPr>
              <w:t>$12,500,000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$12,500,000</w:t>
            </w:r>
          </w:p>
        </w:tc>
        <w:tc>
          <w:tcPr>
            <w:tcW w:w="260" w:type="dxa"/>
            <w:vAlign w:val="bottom"/>
            <w:tcBorders>
              <w:right w:val="single" w:sz="8" w:color="auto"/>
            </w:tcBorders>
          </w:tcPr>
          <w:p>
            <w:pPr>
              <w:spacing w:after="0"/>
              <w:rPr>
                <w:sz w:val="24"/>
                <w:szCs w:val="24"/>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64"/>
        </w:trPr>
        <w:tc>
          <w:tcPr>
            <w:tcW w:w="128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gridSpan w:val="4"/>
          </w:tcPr>
          <w:p>
            <w:pPr>
              <w:jc w:val="center"/>
              <w:ind w:right="1300"/>
              <w:spacing w:after="0"/>
              <w:rPr>
                <w:sz w:val="20"/>
                <w:szCs w:val="20"/>
                <w:color w:val="auto"/>
              </w:rPr>
            </w:pPr>
            <w:r>
              <w:rPr>
                <w:rFonts w:ascii="Times New Roman" w:cs="Times New Roman" w:eastAsia="Times New Roman" w:hAnsi="Times New Roman"/>
                <w:sz w:val="20"/>
                <w:szCs w:val="20"/>
                <w:b w:val="1"/>
                <w:bCs w:val="1"/>
                <w:color w:val="auto"/>
                <w:w w:val="95"/>
              </w:rPr>
              <w:t>Total:</w:t>
            </w:r>
          </w:p>
        </w:tc>
        <w:tc>
          <w:tcPr>
            <w:tcW w:w="23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b w:val="1"/>
                <w:bCs w:val="1"/>
                <w:color w:val="auto"/>
                <w:w w:val="99"/>
              </w:rPr>
              <w:t>$423,750,000</w:t>
            </w: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6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b w:val="1"/>
                <w:bCs w:val="1"/>
                <w:color w:val="auto"/>
                <w:w w:val="98"/>
              </w:rPr>
              <w:t>$398,750,000</w:t>
            </w:r>
          </w:p>
        </w:tc>
        <w:tc>
          <w:tcPr>
            <w:tcW w:w="260" w:type="dxa"/>
            <w:vAlign w:val="bottom"/>
            <w:tcBorders>
              <w:right w:val="single" w:sz="8" w:color="auto"/>
            </w:tcBorders>
          </w:tcPr>
          <w:p>
            <w:pPr>
              <w:spacing w:after="0"/>
              <w:rPr>
                <w:sz w:val="24"/>
                <w:szCs w:val="24"/>
                <w:color w:val="auto"/>
              </w:rPr>
            </w:pPr>
          </w:p>
        </w:tc>
      </w:tr>
      <w:tr>
        <w:trPr>
          <w:trHeight w:val="34"/>
        </w:trPr>
        <w:tc>
          <w:tcPr>
            <w:tcW w:w="128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9439"/>
          </w:cols>
          <w:pgMar w:left="1020" w:top="1409" w:right="1440" w:bottom="1440" w:gutter="0" w:footer="0" w:header="0"/>
        </w:sectPr>
      </w:pPr>
    </w:p>
    <w:bookmarkStart w:id="679" w:name="page680"/>
    <w:bookmarkEnd w:id="679"/>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2.05</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Existing Letters of Credit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[omitted pursuant to Reg S-K 601(a)(5)]</w:t>
      </w:r>
    </w:p>
    <w:p>
      <w:pPr>
        <w:sectPr>
          <w:pgSz w:w="11900" w:h="16838" w:orient="portrait"/>
          <w:cols w:equalWidth="0" w:num="1">
            <w:col w:w="9019"/>
          </w:cols>
          <w:pgMar w:left="1440" w:top="1440" w:right="1440" w:bottom="1440" w:gutter="0" w:footer="0" w:header="0"/>
        </w:sectPr>
      </w:pPr>
    </w:p>
    <w:bookmarkStart w:id="680" w:name="page681"/>
    <w:bookmarkEnd w:id="680"/>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SCHEDULE 3.03</w:t>
      </w:r>
    </w:p>
    <w:p>
      <w:pPr>
        <w:spacing w:after="0" w:line="233"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u w:val="single" w:color="auto"/>
          <w:color w:val="auto"/>
        </w:rPr>
        <w:t>Government Approvals; No Conflicts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139"/>
          </w:cols>
          <w:pgMar w:left="320" w:top="1328" w:right="1440" w:bottom="1440" w:gutter="0" w:footer="0" w:header="0"/>
        </w:sectPr>
      </w:pPr>
    </w:p>
    <w:bookmarkStart w:id="681" w:name="page682"/>
    <w:bookmarkEnd w:id="681"/>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SCHEDULE 3.06</w:t>
      </w:r>
    </w:p>
    <w:p>
      <w:pPr>
        <w:spacing w:after="0" w:line="233"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u w:val="single" w:color="auto"/>
          <w:color w:val="auto"/>
        </w:rPr>
        <w:t>Litigation and Environmental Matters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439"/>
          </w:cols>
          <w:pgMar w:left="1020" w:top="1328" w:right="1440" w:bottom="1440" w:gutter="0" w:footer="0" w:header="0"/>
        </w:sectPr>
      </w:pPr>
    </w:p>
    <w:bookmarkStart w:id="682" w:name="page683"/>
    <w:bookmarkEnd w:id="682"/>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3.12</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Subsidiaries</w:t>
      </w: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[omitted pursuant to Reg S-K 601(a)(5)]</w:t>
      </w:r>
    </w:p>
    <w:p>
      <w:pPr>
        <w:sectPr>
          <w:pgSz w:w="11900" w:h="16838" w:orient="portrait"/>
          <w:cols w:equalWidth="0" w:num="1">
            <w:col w:w="9019"/>
          </w:cols>
          <w:pgMar w:left="1440" w:top="1440" w:right="1440" w:bottom="1440" w:gutter="0" w:footer="0" w:header="0"/>
        </w:sectPr>
      </w:pPr>
    </w:p>
    <w:bookmarkStart w:id="683" w:name="page684"/>
    <w:bookmarkEnd w:id="683"/>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SCHEDULE 5.14</w:t>
      </w:r>
    </w:p>
    <w:p>
      <w:pPr>
        <w:spacing w:after="0" w:line="2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u w:val="single" w:color="auto"/>
          <w:color w:val="auto"/>
        </w:rPr>
        <w:t>Certain Post-Closing Obligations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 later than January 6, 2020 (or such later date as the First Lien Administrative Agent may agree to in its reasonable discretion), the Borrower shall deliver to the First Lien Collateral Agent, duly executed original counterpart signature pages to the Second Amended &amp; Restated Intercompany Note dated December 13, 2019 by and among Holdings, the Borrower and the other payors and payees party thereto, for each Subsidiary that is obligated under clause (c) of the definition of “Collateral and Guarantee Requirement” or Section 6.01(a)(iv) of the Credit Agreement to execute such Intercompany Note.</w:t>
      </w:r>
    </w:p>
    <w:p>
      <w:pPr>
        <w:sectPr>
          <w:pgSz w:w="11900" w:h="16838" w:orient="portrait"/>
          <w:cols w:equalWidth="0" w:num="1">
            <w:col w:w="10080"/>
          </w:cols>
          <w:pgMar w:left="1020" w:top="1409" w:right="799" w:bottom="1440" w:gutter="0" w:footer="0" w:header="0"/>
        </w:sectPr>
      </w:pPr>
    </w:p>
    <w:bookmarkStart w:id="684" w:name="page685"/>
    <w:bookmarkEnd w:id="684"/>
    <w:p>
      <w:pPr>
        <w:spacing w:after="0" w:line="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SCHEDULE 6.01</w:t>
      </w: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u w:val="single" w:color="auto"/>
          <w:color w:val="auto"/>
        </w:rPr>
        <w:t>Existing Indebtedness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[omitted pursuant to Reg S-K 601(a)(5)]</w:t>
      </w:r>
    </w:p>
    <w:p>
      <w:pPr>
        <w:sectPr>
          <w:pgSz w:w="11900" w:h="16838" w:orient="portrait"/>
          <w:cols w:equalWidth="0" w:num="1">
            <w:col w:w="9139"/>
          </w:cols>
          <w:pgMar w:left="1320" w:top="1440" w:right="1440" w:bottom="1440" w:gutter="0" w:footer="0" w:header="0"/>
        </w:sectPr>
      </w:pPr>
    </w:p>
    <w:bookmarkStart w:id="685" w:name="page686"/>
    <w:bookmarkEnd w:id="685"/>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6.02</w:t>
      </w:r>
    </w:p>
    <w:p>
      <w:pPr>
        <w:spacing w:after="0" w:line="2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u w:val="single" w:color="auto"/>
          <w:color w:val="auto"/>
        </w:rPr>
        <w:t>Existing Liens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139"/>
          </w:cols>
          <w:pgMar w:left="320" w:top="1409" w:right="1440" w:bottom="1440" w:gutter="0" w:footer="0" w:header="0"/>
        </w:sectPr>
      </w:pPr>
    </w:p>
    <w:bookmarkStart w:id="686" w:name="page687"/>
    <w:bookmarkEnd w:id="686"/>
    <w:p>
      <w:pPr>
        <w:jc w:val="center"/>
        <w:spacing w:after="0"/>
        <w:rPr>
          <w:sz w:val="20"/>
          <w:szCs w:val="20"/>
          <w:color w:val="auto"/>
        </w:rPr>
      </w:pPr>
      <w:r>
        <w:rPr>
          <w:rFonts w:ascii="Times New Roman" w:cs="Times New Roman" w:eastAsia="Times New Roman" w:hAnsi="Times New Roman"/>
          <w:sz w:val="20"/>
          <w:szCs w:val="20"/>
          <w:b w:val="1"/>
          <w:bCs w:val="1"/>
          <w:color w:val="auto"/>
        </w:rPr>
        <w:t>SCHEDULE 6.04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Existing Investments</w:t>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[omitted pursuant to Reg S-K 601(a)(5)]</w:t>
      </w:r>
    </w:p>
    <w:p>
      <w:pPr>
        <w:sectPr>
          <w:pgSz w:w="11900" w:h="16838" w:orient="portrait"/>
          <w:cols w:equalWidth="0" w:num="1">
            <w:col w:w="9019"/>
          </w:cols>
          <w:pgMar w:left="1440" w:top="1409" w:right="1440" w:bottom="1440" w:gutter="0" w:footer="0" w:header="0"/>
        </w:sectPr>
      </w:pPr>
    </w:p>
    <w:bookmarkStart w:id="687" w:name="page688"/>
    <w:bookmarkEnd w:id="687"/>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SCHEDULE 6.08</w:t>
      </w:r>
    </w:p>
    <w:p>
      <w:pPr>
        <w:spacing w:after="0" w:line="200" w:lineRule="exact"/>
        <w:rPr>
          <w:sz w:val="20"/>
          <w:szCs w:val="20"/>
          <w:color w:val="auto"/>
        </w:rPr>
      </w:pPr>
    </w:p>
    <w:p>
      <w:pPr>
        <w:spacing w:after="0" w:line="209" w:lineRule="exact"/>
        <w:rPr>
          <w:sz w:val="20"/>
          <w:szCs w:val="20"/>
          <w:color w:val="auto"/>
        </w:rPr>
      </w:pPr>
    </w:p>
    <w:p>
      <w:pPr>
        <w:jc w:val="right"/>
        <w:ind w:right="3299"/>
        <w:spacing w:after="0"/>
        <w:rPr>
          <w:sz w:val="20"/>
          <w:szCs w:val="20"/>
          <w:color w:val="auto"/>
        </w:rPr>
      </w:pPr>
      <w:r>
        <w:rPr>
          <w:rFonts w:ascii="Times New Roman" w:cs="Times New Roman" w:eastAsia="Times New Roman" w:hAnsi="Times New Roman"/>
          <w:sz w:val="20"/>
          <w:szCs w:val="20"/>
          <w:u w:val="single" w:color="auto"/>
          <w:color w:val="auto"/>
        </w:rPr>
        <w:t>Existing Affiliate Transactions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439"/>
          </w:cols>
          <w:pgMar w:left="1020" w:top="1301" w:right="1440" w:bottom="1440" w:gutter="0" w:footer="0" w:header="0"/>
        </w:sectPr>
      </w:pPr>
    </w:p>
    <w:bookmarkStart w:id="688" w:name="page689"/>
    <w:bookmarkEnd w:id="688"/>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SCHEDULE 6.09</w:t>
      </w:r>
    </w:p>
    <w:p>
      <w:pPr>
        <w:spacing w:after="0" w:line="220"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20"/>
          <w:szCs w:val="20"/>
          <w:u w:val="single" w:color="auto"/>
          <w:color w:val="auto"/>
        </w:rPr>
        <w:t>Existing Restrictions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139"/>
          </w:cols>
          <w:pgMar w:left="320" w:top="1409" w:right="1440" w:bottom="1440" w:gutter="0" w:footer="0" w:header="0"/>
        </w:sectPr>
      </w:pPr>
    </w:p>
    <w:bookmarkStart w:id="689" w:name="page690"/>
    <w:bookmarkEnd w:id="689"/>
    <w:p>
      <w:pPr>
        <w:spacing w:after="0" w:line="18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u w:val="single" w:color="auto"/>
          <w:color w:val="auto"/>
        </w:rPr>
        <w:t>Schedule 9.01 – Notices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Holdings / Borrower:</w:t>
      </w:r>
    </w:p>
    <w:p>
      <w:pPr>
        <w:spacing w:after="0" w:line="2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Alex Dimitrief</w:t>
      </w:r>
    </w:p>
    <w:p>
      <w:pPr>
        <w:spacing w:after="0" w:line="22" w:lineRule="exact"/>
        <w:rPr>
          <w:sz w:val="20"/>
          <w:szCs w:val="20"/>
          <w:color w:val="auto"/>
        </w:rPr>
      </w:pPr>
    </w:p>
    <w:p>
      <w:pPr>
        <w:ind w:right="3799"/>
        <w:spacing w:after="0" w:line="246" w:lineRule="auto"/>
        <w:rPr>
          <w:sz w:val="20"/>
          <w:szCs w:val="20"/>
          <w:color w:val="auto"/>
        </w:rPr>
      </w:pPr>
      <w:r>
        <w:rPr>
          <w:rFonts w:ascii="Times New Roman" w:cs="Times New Roman" w:eastAsia="Times New Roman" w:hAnsi="Times New Roman"/>
          <w:sz w:val="20"/>
          <w:szCs w:val="20"/>
          <w:color w:val="auto"/>
        </w:rPr>
        <w:t>Company: Sotera Health Holdings, LLC Address: 9100 South Hills Blvd, Suite 300</w:t>
      </w:r>
    </w:p>
    <w:p>
      <w:pPr>
        <w:ind w:left="1280"/>
        <w:spacing w:after="0" w:line="226" w:lineRule="auto"/>
        <w:rPr>
          <w:sz w:val="20"/>
          <w:szCs w:val="20"/>
          <w:color w:val="auto"/>
        </w:rPr>
      </w:pPr>
      <w:r>
        <w:rPr>
          <w:rFonts w:ascii="Times New Roman" w:cs="Times New Roman" w:eastAsia="Times New Roman" w:hAnsi="Times New Roman"/>
          <w:sz w:val="20"/>
          <w:szCs w:val="20"/>
          <w:color w:val="auto"/>
        </w:rPr>
        <w:t>Broadview Heights, OH 44147</w:t>
      </w:r>
    </w:p>
    <w:p>
      <w:pPr>
        <w:spacing w:after="0"/>
        <w:tabs>
          <w:tab w:leader="none" w:pos="580" w:val="left"/>
          <w:tab w:leader="none" w:pos="5020" w:val="left"/>
        </w:tabs>
        <w:rPr>
          <w:sz w:val="20"/>
          <w:szCs w:val="20"/>
          <w:color w:val="auto"/>
        </w:rPr>
      </w:pPr>
      <w:r>
        <w:rPr>
          <w:rFonts w:ascii="Times New Roman" w:cs="Times New Roman" w:eastAsia="Times New Roman" w:hAnsi="Times New Roman"/>
          <w:sz w:val="20"/>
          <w:szCs w:val="20"/>
          <w:color w:val="auto"/>
        </w:rPr>
        <w:t>Attn:</w:t>
        <w:tab/>
        <w:t>General Counsel, Sotera Health Company Telephone:</w:t>
        <w:tab/>
        <w:t>[***]</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E-Mail:</w:t>
        <w:tab/>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copies to (which shall not constitute notice):</w:t>
      </w:r>
    </w:p>
    <w:p>
      <w:pPr>
        <w:spacing w:after="0" w:line="229" w:lineRule="exact"/>
        <w:rPr>
          <w:sz w:val="20"/>
          <w:szCs w:val="20"/>
          <w:color w:val="auto"/>
        </w:rPr>
      </w:pPr>
    </w:p>
    <w:p>
      <w:pPr>
        <w:ind w:right="3499"/>
        <w:spacing w:after="0" w:line="250" w:lineRule="auto"/>
        <w:rPr>
          <w:sz w:val="20"/>
          <w:szCs w:val="20"/>
          <w:color w:val="auto"/>
        </w:rPr>
      </w:pPr>
      <w:r>
        <w:rPr>
          <w:rFonts w:ascii="Times New Roman" w:cs="Times New Roman" w:eastAsia="Times New Roman" w:hAnsi="Times New Roman"/>
          <w:sz w:val="20"/>
          <w:szCs w:val="20"/>
          <w:color w:val="auto"/>
        </w:rPr>
        <w:t>Name: Jonathan M. Lyons and Jason Peterson Company: Sotera Health Holdings, LLC</w:t>
      </w:r>
    </w:p>
    <w:p>
      <w:pPr>
        <w:spacing w:after="0" w:line="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9100 South Hills Blvd, Suite 300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Broadview Heights, OH 44147</w:t>
      </w:r>
    </w:p>
    <w:p>
      <w:pPr>
        <w:spacing w:after="0" w:line="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Attn:</w:t>
      </w:r>
      <w:r>
        <w:rPr>
          <w:sz w:val="20"/>
          <w:szCs w:val="20"/>
          <w:color w:val="auto"/>
        </w:rPr>
        <w:tab/>
      </w:r>
      <w:r>
        <w:rPr>
          <w:rFonts w:ascii="Times New Roman" w:cs="Times New Roman" w:eastAsia="Times New Roman" w:hAnsi="Times New Roman"/>
          <w:sz w:val="19"/>
          <w:szCs w:val="19"/>
          <w:color w:val="auto"/>
        </w:rPr>
        <w:t>CFO/Treasurer</w:t>
      </w:r>
    </w:p>
    <w:p>
      <w:pPr>
        <w:spacing w:after="0" w:line="225" w:lineRule="auto"/>
        <w:tabs>
          <w:tab w:leader="none" w:pos="1040" w:val="left"/>
        </w:tabs>
        <w:rPr>
          <w:sz w:val="20"/>
          <w:szCs w:val="20"/>
          <w:color w:val="auto"/>
        </w:rPr>
      </w:pPr>
      <w:r>
        <w:rPr>
          <w:rFonts w:ascii="Times New Roman" w:cs="Times New Roman" w:eastAsia="Times New Roman" w:hAnsi="Times New Roman"/>
          <w:sz w:val="20"/>
          <w:szCs w:val="20"/>
          <w:color w:val="auto"/>
        </w:rPr>
        <w:t>Telephone:</w:t>
        <w:tab/>
        <w:t>[***]</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E-Mail:</w:t>
        <w:tab/>
        <w:t>[***]</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Katherine R. Reaves</w:t>
      </w:r>
    </w:p>
    <w:p>
      <w:pPr>
        <w:spacing w:after="0" w:line="28" w:lineRule="exact"/>
        <w:rPr>
          <w:sz w:val="20"/>
          <w:szCs w:val="20"/>
          <w:color w:val="auto"/>
        </w:rPr>
      </w:pPr>
    </w:p>
    <w:p>
      <w:pPr>
        <w:ind w:right="3399"/>
        <w:spacing w:after="0" w:line="235" w:lineRule="auto"/>
        <w:rPr>
          <w:sz w:val="20"/>
          <w:szCs w:val="20"/>
          <w:color w:val="auto"/>
        </w:rPr>
      </w:pPr>
      <w:r>
        <w:rPr>
          <w:rFonts w:ascii="Times New Roman" w:cs="Times New Roman" w:eastAsia="Times New Roman" w:hAnsi="Times New Roman"/>
          <w:sz w:val="20"/>
          <w:szCs w:val="20"/>
          <w:color w:val="auto"/>
        </w:rPr>
        <w:t>Company: Cleary Gottlieb Steen &amp; Hamilton LLP Address: One Liberty Plaza</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New York, NY 10006 Telephone: 212-225-</w:t>
      </w:r>
    </w:p>
    <w:p>
      <w:pPr>
        <w:spacing w:after="0"/>
        <w:rPr>
          <w:sz w:val="20"/>
          <w:szCs w:val="20"/>
          <w:color w:val="auto"/>
        </w:rPr>
      </w:pPr>
      <w:r>
        <w:rPr>
          <w:rFonts w:ascii="Times New Roman" w:cs="Times New Roman" w:eastAsia="Times New Roman" w:hAnsi="Times New Roman"/>
          <w:sz w:val="20"/>
          <w:szCs w:val="20"/>
          <w:color w:val="auto"/>
        </w:rPr>
        <w:t>2312</w:t>
      </w:r>
    </w:p>
    <w:p>
      <w:pPr>
        <w:spacing w:after="0" w:line="6" w:lineRule="exact"/>
        <w:rPr>
          <w:sz w:val="20"/>
          <w:szCs w:val="20"/>
          <w:color w:val="auto"/>
        </w:rPr>
      </w:pPr>
    </w:p>
    <w:p>
      <w:pPr>
        <w:spacing w:after="0"/>
        <w:tabs>
          <w:tab w:leader="none" w:pos="1000" w:val="left"/>
          <w:tab w:leader="none" w:pos="2880" w:val="left"/>
        </w:tabs>
        <w:rPr>
          <w:sz w:val="20"/>
          <w:szCs w:val="20"/>
          <w:color w:val="auto"/>
        </w:rPr>
      </w:pPr>
      <w:r>
        <w:rPr>
          <w:rFonts w:ascii="Times New Roman" w:cs="Times New Roman" w:eastAsia="Times New Roman" w:hAnsi="Times New Roman"/>
          <w:sz w:val="20"/>
          <w:szCs w:val="20"/>
          <w:color w:val="auto"/>
        </w:rPr>
        <w:t>Facsimile:</w:t>
        <w:tab/>
        <w:t>212-225-3999 Email:</w:t>
      </w:r>
      <w:r>
        <w:rPr>
          <w:sz w:val="20"/>
          <w:szCs w:val="20"/>
          <w:color w:val="auto"/>
        </w:rPr>
        <w:tab/>
      </w:r>
      <w:r>
        <w:rPr>
          <w:rFonts w:ascii="Times New Roman" w:cs="Times New Roman" w:eastAsia="Times New Roman" w:hAnsi="Times New Roman"/>
          <w:sz w:val="19"/>
          <w:szCs w:val="19"/>
          <w:u w:val="single" w:color="auto"/>
          <w:color w:val="0562C1"/>
        </w:rPr>
        <w:t>kreaves@cgsh.com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Website: </w:t>
      </w:r>
      <w:r>
        <w:rPr>
          <w:rFonts w:ascii="Times New Roman" w:cs="Times New Roman" w:eastAsia="Times New Roman" w:hAnsi="Times New Roman"/>
          <w:sz w:val="20"/>
          <w:szCs w:val="20"/>
          <w:u w:val="single" w:color="auto"/>
          <w:color w:val="0562C1"/>
        </w:rPr>
        <w:t>https://investors.soterahealth.com/sec-filings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Lien Administrative Agent/Issuing Bank/ Swingline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TO ADMININSTRATIVE AGENT OR COLLATERAL AGENT</w:t>
      </w:r>
    </w:p>
    <w:p>
      <w:pPr>
        <w:spacing w:after="0" w:line="262" w:lineRule="exact"/>
        <w:rPr>
          <w:sz w:val="20"/>
          <w:szCs w:val="20"/>
          <w:color w:val="auto"/>
        </w:rPr>
      </w:pPr>
    </w:p>
    <w:p>
      <w:pPr>
        <w:ind w:right="4239"/>
        <w:spacing w:after="0" w:line="243" w:lineRule="auto"/>
        <w:rPr>
          <w:sz w:val="20"/>
          <w:szCs w:val="20"/>
          <w:color w:val="auto"/>
        </w:rPr>
      </w:pPr>
      <w:r>
        <w:rPr>
          <w:rFonts w:ascii="Times New Roman" w:cs="Times New Roman" w:eastAsia="Times New Roman" w:hAnsi="Times New Roman"/>
          <w:sz w:val="20"/>
          <w:szCs w:val="20"/>
          <w:color w:val="auto"/>
        </w:rPr>
        <w:t>Company:</w:t>
      </w:r>
      <w:r>
        <w:rPr>
          <w:sz w:val="20"/>
          <w:szCs w:val="20"/>
          <w:color w:val="auto"/>
        </w:rPr>
        <w:t xml:space="preserve"> </w:t>
      </w:r>
      <w:r>
        <w:rPr>
          <w:rFonts w:ascii="Times New Roman" w:cs="Times New Roman" w:eastAsia="Times New Roman" w:hAnsi="Times New Roman"/>
          <w:sz w:val="20"/>
          <w:szCs w:val="20"/>
          <w:color w:val="auto"/>
        </w:rPr>
        <w:t>JPMorgan Chase Bank, N.A. Address: 500 Stanton Christiana Rd.</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NCC5 / 1</w:t>
      </w:r>
      <w:r>
        <w:rPr>
          <w:rFonts w:ascii="Times New Roman" w:cs="Times New Roman" w:eastAsia="Times New Roman" w:hAnsi="Times New Roman"/>
          <w:sz w:val="12"/>
          <w:szCs w:val="12"/>
          <w:color w:val="auto"/>
        </w:rPr>
        <w:t>st</w:t>
      </w:r>
      <w:r>
        <w:rPr>
          <w:rFonts w:ascii="Times New Roman" w:cs="Times New Roman" w:eastAsia="Times New Roman" w:hAnsi="Times New Roman"/>
          <w:sz w:val="20"/>
          <w:szCs w:val="20"/>
          <w:color w:val="auto"/>
        </w:rPr>
        <w:t xml:space="preserve"> Floor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Newark, DE 19713</w:t>
      </w:r>
    </w:p>
    <w:p>
      <w:pPr>
        <w:spacing w:after="0" w:line="27" w:lineRule="exact"/>
        <w:rPr>
          <w:sz w:val="20"/>
          <w:szCs w:val="20"/>
          <w:color w:val="auto"/>
        </w:rPr>
      </w:pPr>
    </w:p>
    <w:p>
      <w:pPr>
        <w:spacing w:after="0"/>
        <w:tabs>
          <w:tab w:leader="none" w:pos="980" w:val="left"/>
          <w:tab w:leader="none" w:pos="4340" w:val="left"/>
        </w:tabs>
        <w:rPr>
          <w:sz w:val="20"/>
          <w:szCs w:val="20"/>
          <w:color w:val="auto"/>
        </w:rPr>
      </w:pPr>
      <w:r>
        <w:rPr>
          <w:rFonts w:ascii="Times New Roman" w:cs="Times New Roman" w:eastAsia="Times New Roman" w:hAnsi="Times New Roman"/>
          <w:sz w:val="20"/>
          <w:szCs w:val="20"/>
          <w:color w:val="auto"/>
        </w:rPr>
        <w:t>Attention:</w:t>
        <w:tab/>
        <w:t>Loan &amp; Agency Services Group Email:</w:t>
        <w:tab/>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 Company:</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1271 Avenue of the Americas</w:t>
      </w:r>
    </w:p>
    <w:p>
      <w:pPr>
        <w:ind w:left="1320"/>
        <w:spacing w:after="0"/>
        <w:rPr>
          <w:sz w:val="20"/>
          <w:szCs w:val="20"/>
          <w:color w:val="auto"/>
        </w:rPr>
      </w:pPr>
      <w:r>
        <w:rPr>
          <w:rFonts w:ascii="Times New Roman" w:cs="Times New Roman" w:eastAsia="Times New Roman" w:hAnsi="Times New Roman"/>
          <w:sz w:val="20"/>
          <w:szCs w:val="20"/>
          <w:color w:val="auto"/>
        </w:rPr>
        <w:t>New York, NY 10020 Attention: Lisa Collier</w:t>
      </w:r>
    </w:p>
    <w:p>
      <w:pPr>
        <w:spacing w:after="0"/>
        <w:tabs>
          <w:tab w:leader="none" w:pos="1100" w:val="left"/>
        </w:tabs>
        <w:rPr>
          <w:sz w:val="20"/>
          <w:szCs w:val="20"/>
          <w:color w:val="auto"/>
        </w:rPr>
      </w:pPr>
      <w:r>
        <w:rPr>
          <w:rFonts w:ascii="Times New Roman" w:cs="Times New Roman" w:eastAsia="Times New Roman" w:hAnsi="Times New Roman"/>
          <w:sz w:val="20"/>
          <w:szCs w:val="20"/>
          <w:color w:val="auto"/>
        </w:rPr>
        <w:t>Telephone:</w:t>
        <w:tab/>
        <w:t>212-906-3044</w:t>
      </w: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u w:val="single" w:color="auto"/>
          <w:color w:val="0562C1"/>
        </w:rPr>
        <w:t>lisa.collier@lw.com</w:t>
      </w:r>
    </w:p>
    <w:p>
      <w:pPr>
        <w:sectPr>
          <w:pgSz w:w="11900" w:h="16838" w:orient="portrait"/>
          <w:cols w:equalWidth="0" w:num="1">
            <w:col w:w="9439"/>
          </w:cols>
          <w:pgMar w:left="1020" w:top="1440" w:right="1440" w:bottom="1440" w:gutter="0" w:footer="0" w:header="0"/>
        </w:sectPr>
      </w:pPr>
    </w:p>
    <w:bookmarkStart w:id="690" w:name="page691"/>
    <w:bookmarkEnd w:id="6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TO SWINGLINE LENDER</w:t>
      </w:r>
    </w:p>
    <w:p>
      <w:pPr>
        <w:spacing w:after="0" w:line="262" w:lineRule="exact"/>
        <w:rPr>
          <w:sz w:val="20"/>
          <w:szCs w:val="20"/>
          <w:color w:val="auto"/>
        </w:rPr>
      </w:pPr>
    </w:p>
    <w:p>
      <w:pPr>
        <w:ind w:right="4179"/>
        <w:spacing w:after="0" w:line="243" w:lineRule="auto"/>
        <w:rPr>
          <w:sz w:val="20"/>
          <w:szCs w:val="20"/>
          <w:color w:val="auto"/>
        </w:rPr>
      </w:pPr>
      <w:r>
        <w:rPr>
          <w:rFonts w:ascii="Times New Roman" w:cs="Times New Roman" w:eastAsia="Times New Roman" w:hAnsi="Times New Roman"/>
          <w:sz w:val="20"/>
          <w:szCs w:val="20"/>
          <w:color w:val="auto"/>
        </w:rPr>
        <w:t>Company: JPMorgan Chase Bank, N.A. Address: 500 Stanton Christiana Rd.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NCC5 / 1st Floor</w:t>
      </w:r>
    </w:p>
    <w:p>
      <w:pPr>
        <w:ind w:left="1280"/>
        <w:spacing w:after="0"/>
        <w:rPr>
          <w:sz w:val="20"/>
          <w:szCs w:val="20"/>
          <w:color w:val="auto"/>
        </w:rPr>
      </w:pPr>
      <w:r>
        <w:rPr>
          <w:rFonts w:ascii="Times New Roman" w:cs="Times New Roman" w:eastAsia="Times New Roman" w:hAnsi="Times New Roman"/>
          <w:sz w:val="20"/>
          <w:szCs w:val="20"/>
          <w:color w:val="auto"/>
        </w:rPr>
        <w:t>Newark, DE 19713</w:t>
      </w:r>
    </w:p>
    <w:p>
      <w:pPr>
        <w:spacing w:after="0" w:line="6" w:lineRule="exact"/>
        <w:rPr>
          <w:sz w:val="20"/>
          <w:szCs w:val="20"/>
          <w:color w:val="auto"/>
        </w:rPr>
      </w:pPr>
    </w:p>
    <w:p>
      <w:pPr>
        <w:ind w:left="1280"/>
        <w:spacing w:after="0"/>
        <w:tabs>
          <w:tab w:leader="none" w:pos="5800" w:val="left"/>
        </w:tabs>
        <w:rPr>
          <w:sz w:val="20"/>
          <w:szCs w:val="20"/>
          <w:color w:val="auto"/>
        </w:rPr>
      </w:pPr>
      <w:r>
        <w:rPr>
          <w:rFonts w:ascii="Times New Roman" w:cs="Times New Roman" w:eastAsia="Times New Roman" w:hAnsi="Times New Roman"/>
          <w:sz w:val="20"/>
          <w:szCs w:val="20"/>
          <w:color w:val="auto"/>
        </w:rPr>
        <w:t>Attention: Loan &amp; Agency Services Group Telephone:</w:t>
      </w:r>
      <w:r>
        <w:rPr>
          <w:sz w:val="20"/>
          <w:szCs w:val="20"/>
          <w:color w:val="auto"/>
        </w:rPr>
        <w:tab/>
      </w:r>
      <w:r>
        <w:rPr>
          <w:rFonts w:ascii="Times New Roman" w:cs="Times New Roman" w:eastAsia="Times New Roman" w:hAnsi="Times New Roman"/>
          <w:sz w:val="19"/>
          <w:szCs w:val="19"/>
          <w:color w:val="auto"/>
        </w:rPr>
        <w:t>[***]</w:t>
      </w:r>
    </w:p>
    <w:p>
      <w:pPr>
        <w:spacing w:after="0" w:line="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TO ISSUING BANK</w:t>
      </w:r>
    </w:p>
    <w:p>
      <w:pPr>
        <w:spacing w:after="0" w:line="26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19"/>
          <w:szCs w:val="19"/>
          <w:color w:val="auto"/>
        </w:rPr>
        <w:t>JPMorgan Chase Bank, N.A.</w:t>
      </w:r>
    </w:p>
    <w:p>
      <w:pPr>
        <w:spacing w:after="0" w:line="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10420 Highland Manor Dr., 4th Floor Tampa, FL 33610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Attention: Standby LC Unit Telephone: [***]</w:t>
      </w: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Facsimile:</w:t>
      </w:r>
      <w:r>
        <w:rPr>
          <w:sz w:val="20"/>
          <w:szCs w:val="20"/>
          <w:color w:val="auto"/>
        </w:rPr>
        <w:tab/>
      </w:r>
      <w:r>
        <w:rPr>
          <w:rFonts w:ascii="Times New Roman" w:cs="Times New Roman" w:eastAsia="Times New Roman" w:hAnsi="Times New Roman"/>
          <w:sz w:val="19"/>
          <w:szCs w:val="19"/>
          <w:color w:val="auto"/>
        </w:rPr>
        <w:t>[***]</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270" w:lineRule="exact"/>
        <w:rPr>
          <w:sz w:val="20"/>
          <w:szCs w:val="20"/>
          <w:color w:val="auto"/>
        </w:rPr>
      </w:pPr>
    </w:p>
    <w:p>
      <w:pPr>
        <w:ind w:right="4239"/>
        <w:spacing w:after="0" w:line="243" w:lineRule="auto"/>
        <w:rPr>
          <w:sz w:val="20"/>
          <w:szCs w:val="20"/>
          <w:color w:val="auto"/>
        </w:rPr>
      </w:pPr>
      <w:r>
        <w:rPr>
          <w:rFonts w:ascii="Times New Roman" w:cs="Times New Roman" w:eastAsia="Times New Roman" w:hAnsi="Times New Roman"/>
          <w:sz w:val="20"/>
          <w:szCs w:val="20"/>
          <w:color w:val="auto"/>
        </w:rPr>
        <w:t>Company: JPMorgan Chase Bank, N.A. Address: 500 Stanton Christiana Rd.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NCC5 / 1st Floor Newark, DE 19713</w:t>
      </w:r>
    </w:p>
    <w:p>
      <w:pPr>
        <w:ind w:left="1280"/>
        <w:spacing w:after="0" w:line="237" w:lineRule="auto"/>
        <w:tabs>
          <w:tab w:leader="none" w:pos="5800" w:val="left"/>
        </w:tabs>
        <w:rPr>
          <w:sz w:val="20"/>
          <w:szCs w:val="20"/>
          <w:color w:val="auto"/>
        </w:rPr>
      </w:pPr>
      <w:r>
        <w:rPr>
          <w:rFonts w:ascii="Times New Roman" w:cs="Times New Roman" w:eastAsia="Times New Roman" w:hAnsi="Times New Roman"/>
          <w:sz w:val="20"/>
          <w:szCs w:val="20"/>
          <w:color w:val="auto"/>
        </w:rPr>
        <w:t>Attention: Loan &amp; Agency Services Group Telephone:</w:t>
      </w:r>
      <w:r>
        <w:rPr>
          <w:sz w:val="20"/>
          <w:szCs w:val="20"/>
          <w:color w:val="auto"/>
        </w:rPr>
        <w:tab/>
      </w:r>
      <w:r>
        <w:rPr>
          <w:rFonts w:ascii="Times New Roman" w:cs="Times New Roman" w:eastAsia="Times New Roman" w:hAnsi="Times New Roman"/>
          <w:sz w:val="19"/>
          <w:szCs w:val="19"/>
          <w:color w:val="auto"/>
        </w:rPr>
        <w:t>[***]</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spacing w:after="0"/>
        <w:tabs>
          <w:tab w:leader="none" w:pos="1040" w:val="left"/>
          <w:tab w:leader="none" w:pos="3800" w:val="left"/>
        </w:tabs>
        <w:rPr>
          <w:sz w:val="20"/>
          <w:szCs w:val="20"/>
          <w:color w:val="auto"/>
        </w:rPr>
      </w:pPr>
      <w:r>
        <w:rPr>
          <w:rFonts w:ascii="Times New Roman" w:cs="Times New Roman" w:eastAsia="Times New Roman" w:hAnsi="Times New Roman"/>
          <w:sz w:val="20"/>
          <w:szCs w:val="20"/>
          <w:color w:val="auto"/>
        </w:rPr>
        <w:t>Company:</w:t>
        <w:tab/>
        <w:t>Royal Bank of Canada Address:</w:t>
      </w:r>
      <w:r>
        <w:rPr>
          <w:sz w:val="20"/>
          <w:szCs w:val="20"/>
          <w:color w:val="auto"/>
        </w:rPr>
        <w:tab/>
      </w:r>
      <w:r>
        <w:rPr>
          <w:rFonts w:ascii="Times New Roman" w:cs="Times New Roman" w:eastAsia="Times New Roman" w:hAnsi="Times New Roman"/>
          <w:sz w:val="19"/>
          <w:szCs w:val="19"/>
          <w:color w:val="auto"/>
        </w:rPr>
        <w:t>30 Hudson Street,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28th floor</w:t>
      </w:r>
    </w:p>
    <w:p>
      <w:pPr>
        <w:spacing w:after="0" w:line="108" w:lineRule="exact"/>
        <w:rPr>
          <w:sz w:val="20"/>
          <w:szCs w:val="20"/>
          <w:color w:val="auto"/>
        </w:rPr>
      </w:pPr>
    </w:p>
    <w:p>
      <w:pPr>
        <w:ind w:left="1280"/>
        <w:spacing w:after="0"/>
        <w:tabs>
          <w:tab w:leader="none" w:pos="4580" w:val="left"/>
        </w:tabs>
        <w:rPr>
          <w:sz w:val="20"/>
          <w:szCs w:val="20"/>
          <w:color w:val="auto"/>
        </w:rPr>
      </w:pPr>
      <w:r>
        <w:rPr>
          <w:rFonts w:ascii="Times New Roman" w:cs="Times New Roman" w:eastAsia="Times New Roman" w:hAnsi="Times New Roman"/>
          <w:sz w:val="20"/>
          <w:szCs w:val="20"/>
          <w:color w:val="auto"/>
        </w:rPr>
        <w:t>Jersey City, NJ 07302-4699 Telephone:</w:t>
        <w:tab/>
        <w:t>[***]</w:t>
      </w:r>
    </w:p>
    <w:p>
      <w:pPr>
        <w:spacing w:after="0" w:line="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Facsimile:</w:t>
      </w:r>
      <w:r>
        <w:rPr>
          <w:sz w:val="20"/>
          <w:szCs w:val="20"/>
          <w:color w:val="auto"/>
        </w:rPr>
        <w:tab/>
      </w:r>
      <w:r>
        <w:rPr>
          <w:rFonts w:ascii="Times New Roman" w:cs="Times New Roman" w:eastAsia="Times New Roman" w:hAnsi="Times New Roman"/>
          <w:sz w:val="19"/>
          <w:szCs w:val="19"/>
          <w:color w:val="auto"/>
        </w:rPr>
        <w:t>[***]</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9439"/>
          </w:cols>
          <w:pgMar w:left="1020" w:top="1440" w:right="1440" w:bottom="1440" w:gutter="0" w:footer="0" w:header="0"/>
        </w:sectPr>
      </w:pPr>
    </w:p>
    <w:bookmarkStart w:id="691" w:name="page692"/>
    <w:bookmarkEnd w:id="6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Sotera Health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8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August 5, 2024</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18173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8" w:right="339" w:bottom="1440" w:gutter="0" w:footer="0" w:header="0"/>
        </w:sectPr>
      </w:pPr>
    </w:p>
    <w:bookmarkStart w:id="692" w:name="page693"/>
    <w:bookmarkEnd w:id="6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 Lyons, certify that:</w:t>
      </w:r>
    </w:p>
    <w:p>
      <w:pPr>
        <w:spacing w:after="0" w:line="225" w:lineRule="exact"/>
        <w:rPr>
          <w:sz w:val="20"/>
          <w:szCs w:val="20"/>
          <w:color w:val="auto"/>
        </w:rPr>
      </w:pPr>
    </w:p>
    <w:p>
      <w:pPr>
        <w:ind w:left="340" w:hanging="332"/>
        <w:spacing w:after="0"/>
        <w:tabs>
          <w:tab w:leader="none" w:pos="34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Sotera Health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8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August 5, 2024</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22885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Senior Vice President and Chief Financial</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Officer</w:t>
      </w:r>
    </w:p>
    <w:p>
      <w:pPr>
        <w:spacing w:after="0" w:line="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8" w:right="339" w:bottom="1440" w:gutter="0" w:footer="0" w:header="0"/>
        </w:sectPr>
      </w:pPr>
    </w:p>
    <w:bookmarkStart w:id="693" w:name="page694"/>
    <w:bookmarkEnd w:id="6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Sotera Health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to each such officer’s knowledge, that the Company’s Quarterly Report on Form 10-Q for the quarter ended June 30, 2024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B. Petras, Jr.</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August 5, 2024</w:t>
            </w:r>
          </w:p>
        </w:tc>
        <w:tc>
          <w:tcPr>
            <w:tcW w:w="6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80" w:type="dxa"/>
            <w:vAlign w:val="bottom"/>
            <w:vMerge w:val="continue"/>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B. Petras, Jr.</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257"/>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August 5, 2024</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 Lyons</w:t>
            </w:r>
          </w:p>
        </w:tc>
        <w:tc>
          <w:tcPr>
            <w:tcW w:w="0" w:type="dxa"/>
            <w:vAlign w:val="bottom"/>
          </w:tcPr>
          <w:p>
            <w:pPr>
              <w:spacing w:after="0"/>
              <w:rPr>
                <w:sz w:val="1"/>
                <w:szCs w:val="1"/>
                <w:color w:val="auto"/>
              </w:rPr>
            </w:pPr>
          </w:p>
        </w:tc>
      </w:tr>
      <w:tr>
        <w:trPr>
          <w:trHeight w:val="205"/>
        </w:trPr>
        <w:tc>
          <w:tcPr>
            <w:tcW w:w="4680" w:type="dxa"/>
            <w:vAlign w:val="bottom"/>
            <w:vMerge w:val="continue"/>
          </w:tcPr>
          <w:p>
            <w:pPr>
              <w:spacing w:after="0"/>
              <w:rPr>
                <w:sz w:val="17"/>
                <w:szCs w:val="17"/>
                <w:color w:val="auto"/>
              </w:rPr>
            </w:pPr>
          </w:p>
        </w:tc>
        <w:tc>
          <w:tcPr>
            <w:tcW w:w="6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Jonathan M. Lyons</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6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 Senior Vice President and Chief Financial Officer</w:t>
            </w: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foregoing certifications are furnished and are not deemed filed with the Securities and Exchange Commission for purposes of Section 18 of the Securities Exchange Act of 1934, as amended (the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8DB59C"/>
    <w:multiLevelType w:val="hybridMultilevel"/>
    <w:lvl w:ilvl="0">
      <w:lvlJc w:val="left"/>
      <w:lvlText w:val="☒"/>
      <w:numFmt w:val="bullet"/>
      <w:start w:val="1"/>
    </w:lvl>
  </w:abstractNum>
  <w:abstractNum w:abstractNumId="1">
    <w:nsid w:val="1AFD9053"/>
    <w:multiLevelType w:val="hybridMultilevel"/>
    <w:lvl w:ilvl="0">
      <w:lvlJc w:val="left"/>
      <w:lvlText w:val="☐"/>
      <w:numFmt w:val="bullet"/>
      <w:start w:val="1"/>
    </w:lvl>
  </w:abstractNum>
  <w:abstractNum w:abstractNumId="2">
    <w:nsid w:val="558BB10D"/>
    <w:multiLevelType w:val="hybridMultilevel"/>
    <w:lvl w:ilvl="0">
      <w:lvlJc w:val="left"/>
      <w:lvlText w:val="☐"/>
      <w:numFmt w:val="bullet"/>
      <w:start w:val="1"/>
    </w:lvl>
  </w:abstractNum>
  <w:abstractNum w:abstractNumId="3">
    <w:nsid w:val="43B27FA7"/>
    <w:multiLevelType w:val="hybridMultilevel"/>
    <w:lvl w:ilvl="0">
      <w:lvlJc w:val="left"/>
      <w:lvlText w:val="•"/>
      <w:numFmt w:val="bullet"/>
      <w:start w:val="1"/>
    </w:lvl>
  </w:abstractNum>
  <w:abstractNum w:abstractNumId="4">
    <w:nsid w:val="27FADEFA"/>
    <w:multiLevelType w:val="hybridMultilevel"/>
    <w:lvl w:ilvl="0">
      <w:lvlJc w:val="left"/>
      <w:lvlText w:val="%1."/>
      <w:numFmt w:val="decimal"/>
      <w:start w:val="1"/>
    </w:lvl>
  </w:abstractNum>
  <w:abstractNum w:abstractNumId="5">
    <w:nsid w:val="78BB805A"/>
    <w:multiLevelType w:val="hybridMultilevel"/>
    <w:lvl w:ilvl="0">
      <w:lvlJc w:val="left"/>
      <w:lvlText w:val="%1."/>
      <w:numFmt w:val="decimal"/>
      <w:start w:val="2"/>
    </w:lvl>
  </w:abstractNum>
  <w:abstractNum w:abstractNumId="6">
    <w:nsid w:val="62548FD8"/>
    <w:multiLevelType w:val="hybridMultilevel"/>
    <w:lvl w:ilvl="0">
      <w:lvlJc w:val="left"/>
      <w:lvlText w:val="%1."/>
      <w:numFmt w:val="decimal"/>
      <w:start w:val="3"/>
    </w:lvl>
  </w:abstractNum>
  <w:abstractNum w:abstractNumId="7">
    <w:nsid w:val="FA085B0"/>
    <w:multiLevelType w:val="hybridMultilevel"/>
    <w:lvl w:ilvl="0">
      <w:lvlJc w:val="left"/>
      <w:lvlText w:val="%1."/>
      <w:numFmt w:val="decimal"/>
      <w:start w:val="4"/>
    </w:lvl>
  </w:abstractNum>
  <w:abstractNum w:abstractNumId="8">
    <w:nsid w:val="4E5DCB5"/>
    <w:multiLevelType w:val="hybridMultilevel"/>
    <w:lvl w:ilvl="0">
      <w:lvlJc w:val="left"/>
      <w:lvlText w:val="%1."/>
      <w:numFmt w:val="decimal"/>
      <w:start w:val="5"/>
    </w:lvl>
  </w:abstractNum>
  <w:abstractNum w:abstractNumId="9">
    <w:nsid w:val="41E96BDB"/>
    <w:multiLevelType w:val="hybridMultilevel"/>
    <w:lvl w:ilvl="0">
      <w:lvlJc w:val="left"/>
      <w:lvlText w:val="(%1)"/>
      <w:numFmt w:val="lowerLetter"/>
      <w:start w:val="1"/>
    </w:lvl>
  </w:abstractNum>
  <w:abstractNum w:abstractNumId="10">
    <w:nsid w:val="331C4250"/>
    <w:multiLevelType w:val="hybridMultilevel"/>
    <w:lvl w:ilvl="0">
      <w:lvlJc w:val="left"/>
      <w:lvlText w:val="%1."/>
      <w:numFmt w:val="decimal"/>
      <w:start w:val="7"/>
    </w:lvl>
  </w:abstractNum>
  <w:abstractNum w:abstractNumId="11">
    <w:nsid w:val="1B1493C2"/>
    <w:multiLevelType w:val="hybridMultilevel"/>
    <w:lvl w:ilvl="0">
      <w:lvlJc w:val="left"/>
      <w:lvlText w:val="%1."/>
      <w:numFmt w:val="decimal"/>
      <w:start w:val="9"/>
    </w:lvl>
  </w:abstractNum>
  <w:abstractNum w:abstractNumId="12">
    <w:nsid w:val="39F06DFD"/>
    <w:multiLevelType w:val="hybridMultilevel"/>
    <w:lvl w:ilvl="0">
      <w:lvlJc w:val="left"/>
      <w:lvlText w:val="(%1)"/>
      <w:numFmt w:val="lowerLetter"/>
      <w:start w:val="1"/>
    </w:lvl>
  </w:abstractNum>
  <w:abstractNum w:abstractNumId="13">
    <w:nsid w:val="14802F5D"/>
    <w:multiLevelType w:val="hybridMultilevel"/>
    <w:lvl w:ilvl="0">
      <w:lvlJc w:val="left"/>
      <w:lvlText w:val="(%1)"/>
      <w:numFmt w:val="lowerLetter"/>
      <w:start w:val="1"/>
    </w:lvl>
  </w:abstractNum>
  <w:abstractNum w:abstractNumId="14">
    <w:nsid w:val="2774A209"/>
    <w:multiLevelType w:val="hybridMultilevel"/>
    <w:lvl w:ilvl="0">
      <w:lvlJc w:val="left"/>
      <w:lvlText w:val="(%1)"/>
      <w:numFmt w:val="lowerLetter"/>
      <w:start w:val="1"/>
    </w:lvl>
  </w:abstractNum>
  <w:abstractNum w:abstractNumId="15">
    <w:nsid w:val="3785655A"/>
    <w:multiLevelType w:val="hybridMultilevel"/>
    <w:lvl w:ilvl="0">
      <w:lvlJc w:val="left"/>
      <w:lvlText w:val="(%1)"/>
      <w:numFmt w:val="lowerLetter"/>
      <w:start w:val="1"/>
    </w:lvl>
  </w:abstractNum>
  <w:abstractNum w:abstractNumId="16">
    <w:nsid w:val="B2172A"/>
    <w:multiLevelType w:val="hybridMultilevel"/>
    <w:lvl w:ilvl="0">
      <w:lvlJc w:val="left"/>
      <w:lvlText w:val="•"/>
      <w:numFmt w:val="bullet"/>
      <w:start w:val="1"/>
    </w:lvl>
  </w:abstractNum>
  <w:abstractNum w:abstractNumId="17">
    <w:nsid w:val="532C34A5"/>
    <w:multiLevelType w:val="hybridMultilevel"/>
    <w:lvl w:ilvl="0">
      <w:lvlJc w:val="left"/>
      <w:lvlText w:val="•"/>
      <w:numFmt w:val="bullet"/>
      <w:start w:val="1"/>
    </w:lvl>
  </w:abstractNum>
  <w:abstractNum w:abstractNumId="18">
    <w:nsid w:val="102809E2"/>
    <w:multiLevelType w:val="hybridMultilevel"/>
    <w:lvl w:ilvl="0">
      <w:lvlJc w:val="left"/>
      <w:lvlText w:val="(%1)"/>
      <w:numFmt w:val="lowerLetter"/>
      <w:start w:val="1"/>
    </w:lvl>
  </w:abstractNum>
  <w:abstractNum w:abstractNumId="19">
    <w:nsid w:val="3B2125A3"/>
    <w:multiLevelType w:val="hybridMultilevel"/>
    <w:lvl w:ilvl="0">
      <w:lvlJc w:val="left"/>
      <w:lvlText w:val="(%1)"/>
      <w:numFmt w:val="lowerLetter"/>
      <w:start w:val="1"/>
    </w:lvl>
  </w:abstractNum>
  <w:abstractNum w:abstractNumId="20">
    <w:nsid w:val="AC68FFB"/>
    <w:multiLevelType w:val="hybridMultilevel"/>
    <w:lvl w:ilvl="0">
      <w:lvlJc w:val="left"/>
      <w:lvlText w:val="•"/>
      <w:numFmt w:val="bullet"/>
      <w:start w:val="1"/>
    </w:lvl>
  </w:abstractNum>
  <w:abstractNum w:abstractNumId="21">
    <w:nsid w:val="63DF3FB7"/>
    <w:multiLevelType w:val="hybridMultilevel"/>
    <w:lvl w:ilvl="0">
      <w:lvlJc w:val="left"/>
      <w:lvlText w:val="(%1)"/>
      <w:numFmt w:val="lowerLetter"/>
      <w:start w:val="1"/>
    </w:lvl>
  </w:abstractNum>
  <w:abstractNum w:abstractNumId="22">
    <w:nsid w:val="64996E13"/>
    <w:multiLevelType w:val="hybridMultilevel"/>
    <w:lvl w:ilvl="0">
      <w:lvlJc w:val="left"/>
      <w:lvlText w:val="(%1)"/>
      <w:numFmt w:val="lowerLetter"/>
      <w:start w:val="9"/>
    </w:lvl>
  </w:abstractNum>
  <w:abstractNum w:abstractNumId="23">
    <w:nsid w:val="57A37D47"/>
    <w:multiLevelType w:val="hybridMultilevel"/>
    <w:lvl w:ilvl="0">
      <w:lvlJc w:val="left"/>
      <w:lvlText w:val="•"/>
      <w:numFmt w:val="bullet"/>
      <w:start w:val="1"/>
    </w:lvl>
  </w:abstractNum>
  <w:abstractNum w:abstractNumId="24">
    <w:nsid w:val="74824D54"/>
    <w:multiLevelType w:val="hybridMultilevel"/>
    <w:lvl w:ilvl="0">
      <w:lvlJc w:val="left"/>
      <w:lvlText w:val="*"/>
      <w:numFmt w:val="bullet"/>
      <w:start w:val="1"/>
    </w:lvl>
    <w:lvl w:ilvl="1">
      <w:lvlJc w:val="left"/>
      <w:lvlText w:val="%2"/>
      <w:numFmt w:val="decimal"/>
      <w:start w:val="104"/>
    </w:lvl>
  </w:abstractNum>
  <w:abstractNum w:abstractNumId="25">
    <w:nsid w:val="6F00529A"/>
    <w:multiLevelType w:val="hybridMultilevel"/>
    <w:lvl w:ilvl="0">
      <w:lvlJc w:val="left"/>
      <w:lvlText w:val="**"/>
      <w:numFmt w:val="bullet"/>
      <w:start w:val="1"/>
    </w:lvl>
    <w:lvl w:ilvl="1">
      <w:lvlJc w:val="left"/>
      <w:lvlText w:val="%2"/>
      <w:numFmt w:val="decimal"/>
      <w:start w:val="1"/>
    </w:lvl>
  </w:abstractNum>
  <w:abstractNum w:abstractNumId="26">
    <w:nsid w:val="805B331"/>
    <w:multiLevelType w:val="hybridMultilevel"/>
    <w:lvl w:ilvl="0">
      <w:lvlJc w:val="left"/>
      <w:lvlText w:val="[***]"/>
      <w:numFmt w:val="bullet"/>
      <w:start w:val="1"/>
    </w:lvl>
  </w:abstractNum>
  <w:abstractNum w:abstractNumId="27">
    <w:nsid w:val="60A1463"/>
    <w:multiLevelType w:val="hybridMultilevel"/>
    <w:lvl w:ilvl="0">
      <w:lvlJc w:val="left"/>
      <w:lvlText w:val="."/>
      <w:numFmt w:val="bullet"/>
      <w:start w:val="1"/>
    </w:lvl>
  </w:abstractNum>
  <w:abstractNum w:abstractNumId="28">
    <w:nsid w:val="43773132"/>
    <w:multiLevelType w:val="hybridMultilevel"/>
    <w:lvl w:ilvl="0">
      <w:lvlJc w:val="left"/>
      <w:lvlText w:val="(%1)"/>
      <w:numFmt w:val="decimal"/>
      <w:start w:val="1"/>
    </w:lvl>
  </w:abstractNum>
  <w:abstractNum w:abstractNumId="29">
    <w:nsid w:val="16AC4B23"/>
    <w:multiLevelType w:val="hybridMultilevel"/>
    <w:lvl w:ilvl="0">
      <w:lvlJc w:val="left"/>
      <w:lvlText w:val="(%1)"/>
      <w:numFmt w:val="decimal"/>
      <w:start w:val="2"/>
    </w:lvl>
  </w:abstractNum>
  <w:abstractNum w:abstractNumId="30">
    <w:nsid w:val="76C44E4E"/>
    <w:multiLevelType w:val="hybridMultilevel"/>
    <w:lvl w:ilvl="0">
      <w:lvlJc w:val="left"/>
      <w:lvlText w:val="(%1)"/>
      <w:numFmt w:val="decimal"/>
      <w:start w:val="1"/>
    </w:lvl>
  </w:abstractNum>
  <w:abstractNum w:abstractNumId="31">
    <w:nsid w:val="E04E6CE"/>
    <w:multiLevelType w:val="hybridMultilevel"/>
    <w:lvl w:ilvl="0">
      <w:lvlJc w:val="left"/>
      <w:lvlText w:val="(%1)"/>
      <w:numFmt w:val="decimal"/>
      <w:start w:val="1"/>
    </w:lvl>
  </w:abstractNum>
  <w:abstractNum w:abstractNumId="32">
    <w:nsid w:val="31A9DB76"/>
    <w:multiLevelType w:val="hybridMultilevel"/>
    <w:lvl w:ilvl="0">
      <w:lvlJc w:val="left"/>
      <w:lvlText w:val="(%1)"/>
      <w:numFmt w:val="decimal"/>
      <w:start w:val="1"/>
    </w:lvl>
  </w:abstractNum>
  <w:abstractNum w:abstractNumId="33">
    <w:nsid w:val="4C4FFF5B"/>
    <w:multiLevelType w:val="hybridMultilevel"/>
    <w:lvl w:ilvl="0">
      <w:lvlJc w:val="left"/>
      <w:lvlText w:val="(%1)"/>
      <w:numFmt w:val="lowerLetter"/>
      <w:start w:val="1"/>
    </w:lvl>
  </w:abstractNum>
  <w:abstractNum w:abstractNumId="34">
    <w:nsid w:val="51B76675"/>
    <w:multiLevelType w:val="hybridMultilevel"/>
    <w:lvl w:ilvl="0">
      <w:lvlJc w:val="left"/>
      <w:lvlText w:val="(%1)"/>
      <w:numFmt w:val="lowerLetter"/>
      <w:start w:val="6"/>
    </w:lvl>
  </w:abstractNum>
  <w:abstractNum w:abstractNumId="35">
    <w:nsid w:val="59A4BA71"/>
    <w:multiLevelType w:val="hybridMultilevel"/>
    <w:lvl w:ilvl="0">
      <w:lvlJc w:val="left"/>
      <w:lvlText w:val="(%1)"/>
      <w:numFmt w:val="lowerLetter"/>
      <w:start w:val="18"/>
    </w:lvl>
  </w:abstractNum>
  <w:abstractNum w:abstractNumId="36">
    <w:nsid w:val="450B7FB6"/>
    <w:multiLevelType w:val="hybridMultilevel"/>
    <w:lvl w:ilvl="0">
      <w:lvlJc w:val="left"/>
      <w:lvlText w:val="(%1)"/>
      <w:numFmt w:val="decimal"/>
      <w:start w:val="18"/>
    </w:lvl>
  </w:abstractNum>
  <w:abstractNum w:abstractNumId="37">
    <w:nsid w:val="340BF64D"/>
    <w:multiLevelType w:val="hybridMultilevel"/>
    <w:lvl w:ilvl="0">
      <w:lvlJc w:val="left"/>
      <w:lvlText w:val="(%1)"/>
      <w:numFmt w:val="lowerLetter"/>
      <w:start w:val="35"/>
    </w:lvl>
  </w:abstractNum>
  <w:abstractNum w:abstractNumId="38">
    <w:nsid w:val="69454021"/>
    <w:multiLevelType w:val="hybridMultilevel"/>
    <w:lvl w:ilvl="0">
      <w:lvlJc w:val="left"/>
      <w:lvlText w:val="(%1)"/>
      <w:numFmt w:val="lowerLetter"/>
      <w:start w:val="2"/>
    </w:lvl>
  </w:abstractNum>
  <w:abstractNum w:abstractNumId="39">
    <w:nsid w:val="49F15C6B"/>
    <w:multiLevelType w:val="hybridMultilevel"/>
    <w:lvl w:ilvl="0">
      <w:lvlJc w:val="left"/>
      <w:lvlText w:val="(%1)"/>
      <w:numFmt w:val="decimal"/>
      <w:start w:val="1"/>
    </w:lvl>
  </w:abstractNum>
  <w:abstractNum w:abstractNumId="40">
    <w:nsid w:val="75F56228"/>
    <w:multiLevelType w:val="hybridMultilevel"/>
    <w:lvl w:ilvl="0">
      <w:lvlJc w:val="left"/>
      <w:lvlText w:val="(%1)"/>
      <w:numFmt w:val="decimal"/>
      <w:start w:val="1"/>
    </w:lvl>
  </w:abstractNum>
  <w:abstractNum w:abstractNumId="41">
    <w:nsid w:val="1C618271"/>
    <w:multiLevelType w:val="hybridMultilevel"/>
    <w:lvl w:ilvl="0">
      <w:lvlJc w:val="left"/>
      <w:lvlText w:val="(%1)"/>
      <w:numFmt w:val="decimal"/>
      <w:start w:val="3"/>
    </w:lvl>
  </w:abstractNum>
  <w:abstractNum w:abstractNumId="42">
    <w:nsid w:val="6505F02E"/>
    <w:multiLevelType w:val="hybridMultilevel"/>
    <w:lvl w:ilvl="0">
      <w:lvlJc w:val="left"/>
      <w:lvlText w:val="%1"/>
      <w:numFmt w:val="lowerRoman"/>
      <w:start w:val="1"/>
    </w:lvl>
    <w:lvl w:ilvl="1">
      <w:lvlJc w:val="left"/>
      <w:lvlText w:val="(%2)"/>
      <w:numFmt w:val="decimal"/>
      <w:start w:val="13"/>
    </w:lvl>
  </w:abstractNum>
  <w:abstractNum w:abstractNumId="43">
    <w:nsid w:val="2FE5D025"/>
    <w:multiLevelType w:val="hybridMultilevel"/>
    <w:lvl w:ilvl="0">
      <w:lvlJc w:val="left"/>
      <w:lvlText w:val="(%1)"/>
      <w:numFmt w:val="lowerRoman"/>
      <w:start w:val="2"/>
    </w:lvl>
    <w:lvl w:ilvl="1">
      <w:lvlJc w:val="left"/>
      <w:lvlText w:val="(%2)"/>
      <w:numFmt w:val="decimal"/>
      <w:start w:val="19"/>
    </w:lvl>
  </w:abstractNum>
  <w:abstractNum w:abstractNumId="44">
    <w:nsid w:val="30E1B1CF"/>
    <w:multiLevelType w:val="hybridMultilevel"/>
    <w:lvl w:ilvl="0">
      <w:lvlJc w:val="left"/>
      <w:lvlText w:val="(%1)"/>
      <w:numFmt w:val="decimal"/>
      <w:start w:val="1"/>
    </w:lvl>
  </w:abstractNum>
  <w:abstractNum w:abstractNumId="45">
    <w:nsid w:val="C7A9237"/>
    <w:multiLevelType w:val="hybridMultilevel"/>
    <w:lvl w:ilvl="0">
      <w:lvlJc w:val="left"/>
      <w:lvlText w:val="(%1)"/>
      <w:numFmt w:val="decimal"/>
      <w:start w:val="1"/>
    </w:lvl>
  </w:abstractNum>
  <w:abstractNum w:abstractNumId="46">
    <w:nsid w:val="676B3580"/>
    <w:multiLevelType w:val="hybridMultilevel"/>
    <w:lvl w:ilvl="0">
      <w:lvlJc w:val="left"/>
      <w:lvlText w:val="(%1)"/>
      <w:numFmt w:val="lowerRoman"/>
      <w:start w:val="3"/>
    </w:lvl>
    <w:lvl w:ilvl="1">
      <w:lvlJc w:val="left"/>
      <w:lvlText w:val="(%2)"/>
      <w:numFmt w:val="decimal"/>
      <w:start w:val="2"/>
    </w:lvl>
  </w:abstractNum>
  <w:abstractNum w:abstractNumId="47">
    <w:nsid w:val="3193C8F9"/>
    <w:multiLevelType w:val="hybridMultilevel"/>
    <w:lvl w:ilvl="0">
      <w:lvlJc w:val="left"/>
      <w:lvlText w:val="(%1)"/>
      <w:numFmt w:val="decimal"/>
      <w:start w:val="1"/>
    </w:lvl>
  </w:abstractNum>
  <w:abstractNum w:abstractNumId="48">
    <w:nsid w:val="5FA6C6DC"/>
    <w:multiLevelType w:val="hybridMultilevel"/>
    <w:lvl w:ilvl="0">
      <w:lvlJc w:val="left"/>
      <w:lvlText w:val="(%1)"/>
      <w:numFmt w:val="decimal"/>
      <w:start w:val="4"/>
    </w:lvl>
  </w:abstractNum>
  <w:abstractNum w:abstractNumId="49">
    <w:nsid w:val="77933F62"/>
    <w:multiLevelType w:val="hybridMultilevel"/>
    <w:lvl w:ilvl="0">
      <w:lvlJc w:val="left"/>
      <w:lvlText w:val="(%1)"/>
      <w:numFmt w:val="decimal"/>
      <w:start w:val="12"/>
    </w:lvl>
    <w:lvl w:ilvl="1">
      <w:lvlJc w:val="left"/>
      <w:lvlText w:val="(%2)"/>
      <w:numFmt w:val="lowerLetter"/>
      <w:start w:val="1"/>
    </w:lvl>
  </w:abstractNum>
  <w:abstractNum w:abstractNumId="50">
    <w:nsid w:val="6CB4EE9C"/>
    <w:multiLevelType w:val="hybridMultilevel"/>
    <w:lvl w:ilvl="0">
      <w:lvlJc w:val="left"/>
      <w:lvlText w:val="%1"/>
      <w:numFmt w:val="decimal"/>
      <w:start w:val="1"/>
    </w:lvl>
    <w:lvl w:ilvl="1">
      <w:lvlJc w:val="left"/>
      <w:lvlText w:val="(%2)"/>
      <w:numFmt w:val="lowerLetter"/>
      <w:start w:val="2"/>
    </w:lvl>
  </w:abstractNum>
  <w:abstractNum w:abstractNumId="51">
    <w:nsid w:val="6A6D56D7"/>
    <w:multiLevelType w:val="hybridMultilevel"/>
    <w:lvl w:ilvl="0">
      <w:lvlJc w:val="left"/>
      <w:lvlText w:val="(%1)"/>
      <w:numFmt w:val="decimal"/>
      <w:start w:val="19"/>
    </w:lvl>
    <w:lvl w:ilvl="1">
      <w:lvlJc w:val="left"/>
      <w:lvlText w:val="%2"/>
      <w:numFmt w:val="lowerLetter"/>
      <w:start w:val="1"/>
    </w:lvl>
  </w:abstractNum>
  <w:abstractNum w:abstractNumId="52">
    <w:nsid w:val="5B727F19"/>
    <w:multiLevelType w:val="hybridMultilevel"/>
    <w:lvl w:ilvl="0">
      <w:lvlJc w:val="left"/>
      <w:lvlText w:val="(%1)"/>
      <w:numFmt w:val="decimal"/>
      <w:start w:val="1"/>
    </w:lvl>
    <w:lvl w:ilvl="1">
      <w:lvlJc w:val="left"/>
      <w:lvlText w:val="(%2)"/>
      <w:numFmt w:val="lowerLetter"/>
      <w:start w:val="1"/>
    </w:lvl>
  </w:abstractNum>
  <w:abstractNum w:abstractNumId="53">
    <w:nsid w:val="514E5CB0"/>
    <w:multiLevelType w:val="hybridMultilevel"/>
    <w:lvl w:ilvl="0">
      <w:lvlJc w:val="left"/>
      <w:lvlText w:val="(%1)"/>
      <w:numFmt w:val="lowerLetter"/>
      <w:start w:val="2"/>
    </w:lvl>
  </w:abstractNum>
  <w:abstractNum w:abstractNumId="54">
    <w:nsid w:val="4210D41E"/>
    <w:multiLevelType w:val="hybridMultilevel"/>
    <w:lvl w:ilvl="0">
      <w:lvlJc w:val="left"/>
      <w:lvlText w:val="(%1)"/>
      <w:numFmt w:val="lowerRoman"/>
      <w:start w:val="4"/>
    </w:lvl>
  </w:abstractNum>
  <w:abstractNum w:abstractNumId="55">
    <w:nsid w:val="4FF4CC6D"/>
    <w:multiLevelType w:val="hybridMultilevel"/>
    <w:lvl w:ilvl="0">
      <w:lvlJc w:val="left"/>
      <w:lvlText w:val="(%1)"/>
      <w:numFmt w:val="decimal"/>
      <w:start w:val="1"/>
    </w:lvl>
    <w:lvl w:ilvl="1">
      <w:lvlJc w:val="left"/>
      <w:lvlText w:val="(%2)"/>
      <w:numFmt w:val="lowerLetter"/>
      <w:start w:val="1"/>
    </w:lvl>
  </w:abstractNum>
  <w:abstractNum w:abstractNumId="56">
    <w:nsid w:val="404EAF4A"/>
    <w:multiLevelType w:val="hybridMultilevel"/>
    <w:lvl w:ilvl="0">
      <w:lvlJc w:val="left"/>
      <w:lvlText w:val="%1"/>
      <w:numFmt w:val="decimal"/>
      <w:start w:val="1"/>
    </w:lvl>
    <w:lvl w:ilvl="1">
      <w:lvlJc w:val="left"/>
      <w:lvlText w:val="(%2)"/>
      <w:numFmt w:val="lowerLetter"/>
      <w:start w:val="2"/>
    </w:lvl>
  </w:abstractNum>
  <w:abstractNum w:abstractNumId="57">
    <w:nsid w:val="4A16874F"/>
    <w:multiLevelType w:val="hybridMultilevel"/>
    <w:lvl w:ilvl="0">
      <w:lvlJc w:val="left"/>
      <w:lvlText w:val="(%1)"/>
      <w:numFmt w:val="decimal"/>
      <w:start w:val="5"/>
    </w:lvl>
    <w:lvl w:ilvl="1">
      <w:lvlJc w:val="left"/>
      <w:lvlText w:val="%2"/>
      <w:numFmt w:val="lowerLetter"/>
      <w:start w:val="1"/>
    </w:lvl>
  </w:abstractNum>
  <w:abstractNum w:abstractNumId="58">
    <w:nsid w:val="55FEE0D1"/>
    <w:multiLevelType w:val="hybridMultilevel"/>
    <w:lvl w:ilvl="0">
      <w:lvlJc w:val="left"/>
      <w:lvlText w:val="(%1)"/>
      <w:numFmt w:val="lowerLetter"/>
      <w:start w:val="4"/>
    </w:lvl>
  </w:abstractNum>
  <w:abstractNum w:abstractNumId="59">
    <w:nsid w:val="3C5E07C"/>
    <w:multiLevelType w:val="hybridMultilevel"/>
    <w:lvl w:ilvl="0">
      <w:lvlJc w:val="left"/>
      <w:lvlText w:val="(%1)"/>
      <w:numFmt w:val="lowerLetter"/>
      <w:start w:val="9"/>
    </w:lvl>
  </w:abstractNum>
  <w:abstractNum w:abstractNumId="60">
    <w:nsid w:val="60C2D273"/>
    <w:multiLevelType w:val="hybridMultilevel"/>
    <w:lvl w:ilvl="0">
      <w:lvlJc w:val="left"/>
      <w:lvlText w:val="%1"/>
      <w:numFmt w:val="decimal"/>
      <w:start w:val="1"/>
    </w:lvl>
    <w:lvl w:ilvl="1">
      <w:lvlJc w:val="left"/>
      <w:lvlText w:val="(%2)"/>
      <w:numFmt w:val="lowerLetter"/>
      <w:start w:val="14"/>
    </w:lvl>
  </w:abstractNum>
  <w:abstractNum w:abstractNumId="61">
    <w:nsid w:val="4CC32F1F"/>
    <w:multiLevelType w:val="hybridMultilevel"/>
    <w:lvl w:ilvl="0">
      <w:lvlJc w:val="left"/>
      <w:lvlText w:val="(%1)"/>
      <w:numFmt w:val="decimal"/>
      <w:start w:val="2"/>
    </w:lvl>
    <w:lvl w:ilvl="1">
      <w:lvlJc w:val="left"/>
      <w:lvlText w:val="(%2)"/>
      <w:numFmt w:val="lowerLetter"/>
      <w:start w:val="1"/>
    </w:lvl>
  </w:abstractNum>
  <w:abstractNum w:abstractNumId="62">
    <w:nsid w:val="11CAC74A"/>
    <w:multiLevelType w:val="hybridMultilevel"/>
    <w:lvl w:ilvl="0">
      <w:lvlJc w:val="left"/>
      <w:lvlText w:val="(%1)"/>
      <w:numFmt w:val="lowerLetter"/>
      <w:start w:val="2"/>
    </w:lvl>
  </w:abstractNum>
  <w:abstractNum w:abstractNumId="63">
    <w:nsid w:val="126CADE9"/>
    <w:multiLevelType w:val="hybridMultilevel"/>
    <w:lvl w:ilvl="0">
      <w:lvlJc w:val="left"/>
      <w:lvlText w:val="%1"/>
      <w:numFmt w:val="decimal"/>
      <w:start w:val="1"/>
    </w:lvl>
    <w:lvl w:ilvl="1">
      <w:lvlJc w:val="left"/>
      <w:lvlText w:val="(%2)"/>
      <w:numFmt w:val="lowerLetter"/>
      <w:start w:val="4"/>
    </w:lvl>
  </w:abstractNum>
  <w:abstractNum w:abstractNumId="64">
    <w:nsid w:val="19132E7B"/>
    <w:multiLevelType w:val="hybridMultilevel"/>
    <w:lvl w:ilvl="0">
      <w:lvlJc w:val="left"/>
      <w:lvlText w:val="(%1)"/>
      <w:numFmt w:val="decimal"/>
      <w:start w:val="3"/>
    </w:lvl>
    <w:lvl w:ilvl="1">
      <w:lvlJc w:val="left"/>
      <w:lvlText w:val="%2"/>
      <w:numFmt w:val="lowerLetter"/>
      <w:start w:val="1"/>
    </w:lvl>
  </w:abstractNum>
  <w:abstractNum w:abstractNumId="65">
    <w:nsid w:val="63822DC0"/>
    <w:multiLevelType w:val="hybridMultilevel"/>
    <w:lvl w:ilvl="0">
      <w:lvlJc w:val="left"/>
      <w:lvlText w:val="(%1)"/>
      <w:numFmt w:val="decimal"/>
      <w:start w:val="3"/>
    </w:lvl>
  </w:abstractNum>
  <w:abstractNum w:abstractNumId="66">
    <w:nsid w:val="6C11685A"/>
    <w:multiLevelType w:val="hybridMultilevel"/>
    <w:lvl w:ilvl="0">
      <w:lvlJc w:val="left"/>
      <w:lvlText w:val="(%1)"/>
      <w:numFmt w:val="lowerRoman"/>
      <w:start w:val="2"/>
    </w:lvl>
  </w:abstractNum>
  <w:abstractNum w:abstractNumId="67">
    <w:nsid w:val="5E1EAE31"/>
    <w:multiLevelType w:val="hybridMultilevel"/>
    <w:lvl w:ilvl="0">
      <w:lvlJc w:val="left"/>
      <w:lvlText w:val="(%1)"/>
      <w:numFmt w:val="decimal"/>
      <w:start w:val="1"/>
    </w:lvl>
  </w:abstractNum>
  <w:abstractNum w:abstractNumId="68">
    <w:nsid w:val="178E240D"/>
    <w:multiLevelType w:val="hybridMultilevel"/>
    <w:lvl w:ilvl="0">
      <w:lvlJc w:val="left"/>
      <w:lvlText w:val="(%1)"/>
      <w:numFmt w:val="decimal"/>
      <w:start w:val="1"/>
    </w:lvl>
  </w:abstractNum>
  <w:abstractNum w:abstractNumId="69">
    <w:nsid w:val="5556A87B"/>
    <w:multiLevelType w:val="hybridMultilevel"/>
    <w:lvl w:ilvl="0">
      <w:lvlJc w:val="left"/>
      <w:lvlText w:val="(%1)"/>
      <w:numFmt w:val="decimal"/>
      <w:start w:val="1"/>
    </w:lvl>
  </w:abstractNum>
  <w:abstractNum w:abstractNumId="70">
    <w:nsid w:val="28100A9C"/>
    <w:multiLevelType w:val="hybridMultilevel"/>
    <w:lvl w:ilvl="0">
      <w:lvlJc w:val="left"/>
      <w:lvlText w:val="(%1)"/>
      <w:numFmt w:val="decimal"/>
      <w:start w:val="3"/>
    </w:lvl>
  </w:abstractNum>
  <w:abstractNum w:abstractNumId="71">
    <w:nsid w:val="D838636"/>
    <w:multiLevelType w:val="hybridMultilevel"/>
    <w:lvl w:ilvl="0">
      <w:lvlJc w:val="left"/>
      <w:lvlText w:val="(%1)"/>
      <w:numFmt w:val="lowerLetter"/>
      <w:start w:val="4"/>
    </w:lvl>
  </w:abstractNum>
  <w:abstractNum w:abstractNumId="72">
    <w:nsid w:val="71B82AED"/>
    <w:multiLevelType w:val="hybridMultilevel"/>
    <w:lvl w:ilvl="0">
      <w:lvlJc w:val="left"/>
      <w:lvlText w:val="(%1)"/>
      <w:numFmt w:val="decimal"/>
      <w:start w:val="1"/>
    </w:lvl>
    <w:lvl w:ilvl="1">
      <w:lvlJc w:val="left"/>
      <w:lvlText w:val="(%2)"/>
      <w:numFmt w:val="lowerLetter"/>
      <w:start w:val="1"/>
    </w:lvl>
  </w:abstractNum>
  <w:abstractNum w:abstractNumId="73">
    <w:nsid w:val="D15FACA"/>
    <w:multiLevelType w:val="hybridMultilevel"/>
    <w:lvl w:ilvl="0">
      <w:lvlJc w:val="left"/>
      <w:lvlText w:val="(%1)"/>
      <w:numFmt w:val="decimal"/>
      <w:start w:val="2"/>
    </w:lvl>
  </w:abstractNum>
  <w:abstractNum w:abstractNumId="74">
    <w:nsid w:val="3D69565B"/>
    <w:multiLevelType w:val="hybridMultilevel"/>
    <w:lvl w:ilvl="0">
      <w:lvlJc w:val="left"/>
      <w:lvlText w:val="(%1)"/>
      <w:numFmt w:val="decimal"/>
      <w:start w:val="1"/>
    </w:lvl>
  </w:abstractNum>
  <w:abstractNum w:abstractNumId="75">
    <w:nsid w:val="2299DCBC"/>
    <w:multiLevelType w:val="hybridMultilevel"/>
    <w:lvl w:ilvl="0">
      <w:lvlJc w:val="left"/>
      <w:lvlText w:val="(%1)"/>
      <w:numFmt w:val="decimal"/>
      <w:start w:val="1"/>
    </w:lvl>
    <w:lvl w:ilvl="1">
      <w:lvlJc w:val="left"/>
      <w:lvlText w:val="(%2)"/>
      <w:numFmt w:val="lowerLetter"/>
      <w:start w:val="1"/>
    </w:lvl>
  </w:abstractNum>
  <w:abstractNum w:abstractNumId="76">
    <w:nsid w:val="19908D02"/>
    <w:multiLevelType w:val="hybridMultilevel"/>
    <w:lvl w:ilvl="0">
      <w:lvlJc w:val="left"/>
      <w:lvlText w:val="(%1)"/>
      <w:numFmt w:val="lowerLetter"/>
      <w:start w:val="2"/>
    </w:lvl>
  </w:abstractNum>
  <w:abstractNum w:abstractNumId="77">
    <w:nsid w:val="24D48BDB"/>
    <w:multiLevelType w:val="hybridMultilevel"/>
    <w:lvl w:ilvl="0">
      <w:lvlJc w:val="left"/>
      <w:lvlText w:val="(%1)"/>
      <w:numFmt w:val="decimal"/>
      <w:start w:val="1"/>
    </w:lvl>
  </w:abstractNum>
  <w:abstractNum w:abstractNumId="78">
    <w:nsid w:val="542DA5B5"/>
    <w:multiLevelType w:val="hybridMultilevel"/>
    <w:lvl w:ilvl="0">
      <w:lvlJc w:val="left"/>
      <w:lvlText w:val="(%1)"/>
      <w:numFmt w:val="lowerLetter"/>
      <w:start w:val="1"/>
    </w:lvl>
  </w:abstractNum>
  <w:abstractNum w:abstractNumId="79">
    <w:nsid w:val="793753DE"/>
    <w:multiLevelType w:val="hybridMultilevel"/>
    <w:lvl w:ilvl="0">
      <w:lvlJc w:val="left"/>
      <w:lvlText w:val="(%1)"/>
      <w:numFmt w:val="decimal"/>
      <w:start w:val="4"/>
    </w:lvl>
    <w:lvl w:ilvl="1">
      <w:lvlJc w:val="left"/>
      <w:lvlText w:val="(%2)"/>
      <w:numFmt w:val="lowerLetter"/>
      <w:start w:val="1"/>
    </w:lvl>
  </w:abstractNum>
  <w:abstractNum w:abstractNumId="80">
    <w:nsid w:val="1C67CB3D"/>
    <w:multiLevelType w:val="hybridMultilevel"/>
    <w:lvl w:ilvl="0">
      <w:lvlJc w:val="left"/>
      <w:lvlText w:val="%1"/>
      <w:numFmt w:val="decimal"/>
      <w:start w:val="1"/>
    </w:lvl>
    <w:lvl w:ilvl="1">
      <w:lvlJc w:val="left"/>
      <w:lvlText w:val="(%2)"/>
      <w:numFmt w:val="lowerLetter"/>
      <w:start w:val="6"/>
    </w:lvl>
  </w:abstractNum>
  <w:abstractNum w:abstractNumId="81">
    <w:nsid w:val="40E29452"/>
    <w:multiLevelType w:val="hybridMultilevel"/>
    <w:lvl w:ilvl="0">
      <w:lvlJc w:val="left"/>
      <w:lvlText w:val="(%1)"/>
      <w:numFmt w:val="decimal"/>
      <w:start w:val="7"/>
    </w:lvl>
    <w:lvl w:ilvl="1">
      <w:lvlJc w:val="left"/>
      <w:lvlText w:val="%2"/>
      <w:numFmt w:val="lowerLetter"/>
      <w:start w:val="1"/>
    </w:lvl>
  </w:abstractNum>
  <w:abstractNum w:abstractNumId="82">
    <w:nsid w:val="63A4AAB6"/>
    <w:multiLevelType w:val="hybridMultilevel"/>
    <w:lvl w:ilvl="0">
      <w:lvlJc w:val="left"/>
      <w:lvlText w:val="(%1)"/>
      <w:numFmt w:val="decimal"/>
      <w:start w:val="14"/>
    </w:lvl>
  </w:abstractNum>
  <w:abstractNum w:abstractNumId="83">
    <w:nsid w:val="77DA4A57"/>
    <w:multiLevelType w:val="hybridMultilevel"/>
    <w:lvl w:ilvl="0">
      <w:lvlJc w:val="left"/>
      <w:lvlText w:val="%1"/>
      <w:numFmt w:val="lowerLetter"/>
      <w:start w:val="1"/>
    </w:lvl>
    <w:lvl w:ilvl="1">
      <w:lvlJc w:val="left"/>
      <w:lvlText w:val="(%2)"/>
      <w:numFmt w:val="decimal"/>
      <w:start w:val="16"/>
    </w:lvl>
  </w:abstractNum>
  <w:abstractNum w:abstractNumId="84">
    <w:nsid w:val="1230F102"/>
    <w:multiLevelType w:val="hybridMultilevel"/>
    <w:lvl w:ilvl="0">
      <w:lvlJc w:val="left"/>
      <w:lvlText w:val="(%1)"/>
      <w:numFmt w:val="lowerLetter"/>
      <w:start w:val="25"/>
    </w:lvl>
    <w:lvl w:ilvl="1">
      <w:lvlJc w:val="left"/>
      <w:lvlText w:val="%2"/>
      <w:numFmt w:val="decimal"/>
      <w:start w:val="1"/>
    </w:lvl>
  </w:abstractNum>
  <w:abstractNum w:abstractNumId="85">
    <w:nsid w:val="25B57ED4"/>
    <w:multiLevelType w:val="hybridMultilevel"/>
    <w:lvl w:ilvl="0">
      <w:lvlJc w:val="left"/>
      <w:lvlText w:val="(%1)"/>
      <w:numFmt w:val="decimal"/>
      <w:start w:val="17"/>
    </w:lvl>
  </w:abstractNum>
  <w:abstractNum w:abstractNumId="86">
    <w:nsid w:val="47CF16C4"/>
    <w:multiLevelType w:val="hybridMultilevel"/>
    <w:lvl w:ilvl="0">
      <w:lvlJc w:val="left"/>
      <w:lvlText w:val="%1"/>
      <w:numFmt w:val="lowerLetter"/>
      <w:start w:val="1"/>
    </w:lvl>
    <w:lvl w:ilvl="1">
      <w:lvlJc w:val="left"/>
      <w:lvlText w:val="(%2)"/>
      <w:numFmt w:val="decimal"/>
      <w:start w:val="26"/>
    </w:lvl>
  </w:abstractNum>
  <w:abstractNum w:abstractNumId="87">
    <w:nsid w:val="527FA04C"/>
    <w:multiLevelType w:val="hybridMultilevel"/>
    <w:lvl w:ilvl="0">
      <w:lvlJc w:val="left"/>
      <w:lvlText w:val="(%1)"/>
      <w:numFmt w:val="lowerLetter"/>
      <w:start w:val="3"/>
    </w:lvl>
    <w:lvl w:ilvl="1">
      <w:lvlJc w:val="left"/>
      <w:lvlText w:val="(%2)"/>
      <w:numFmt w:val="decimal"/>
      <w:start w:val="28"/>
    </w:lvl>
  </w:abstractNum>
  <w:abstractNum w:abstractNumId="88">
    <w:nsid w:val="6FCC0624"/>
    <w:multiLevelType w:val="hybridMultilevel"/>
    <w:lvl w:ilvl="0">
      <w:lvlJc w:val="left"/>
      <w:lvlText w:val="(%1)"/>
      <w:numFmt w:val="decimal"/>
      <w:start w:val="1"/>
    </w:lvl>
  </w:abstractNum>
  <w:abstractNum w:abstractNumId="89">
    <w:nsid w:val="1DCDF795"/>
    <w:multiLevelType w:val="hybridMultilevel"/>
    <w:lvl w:ilvl="0">
      <w:lvlJc w:val="left"/>
      <w:lvlText w:val="(%1)"/>
      <w:numFmt w:val="decimal"/>
      <w:start w:val="2"/>
    </w:lvl>
  </w:abstractNum>
  <w:abstractNum w:abstractNumId="90">
    <w:nsid w:val="564580C8"/>
    <w:multiLevelType w:val="hybridMultilevel"/>
    <w:lvl w:ilvl="0">
      <w:lvlJc w:val="left"/>
      <w:lvlText w:val="%1"/>
      <w:numFmt w:val="lowerLetter"/>
      <w:start w:val="1"/>
    </w:lvl>
    <w:lvl w:ilvl="1">
      <w:lvlJc w:val="left"/>
      <w:lvlText w:val="(%2)"/>
      <w:numFmt w:val="decimal"/>
      <w:start w:val="6"/>
    </w:lvl>
  </w:abstractNum>
  <w:abstractNum w:abstractNumId="91">
    <w:nsid w:val="508ED897"/>
    <w:multiLevelType w:val="hybridMultilevel"/>
    <w:lvl w:ilvl="0">
      <w:lvlJc w:val="left"/>
      <w:lvlText w:val="(%1)"/>
      <w:numFmt w:val="lowerLetter"/>
      <w:start w:val="2"/>
    </w:lvl>
    <w:lvl w:ilvl="1">
      <w:lvlJc w:val="left"/>
      <w:lvlText w:val="%2"/>
      <w:numFmt w:val="decimal"/>
      <w:start w:val="1"/>
    </w:lvl>
  </w:abstractNum>
  <w:abstractNum w:abstractNumId="92">
    <w:nsid w:val="6A9126B5"/>
    <w:multiLevelType w:val="hybridMultilevel"/>
    <w:lvl w:ilvl="0">
      <w:lvlJc w:val="left"/>
      <w:lvlText w:val="%1"/>
      <w:numFmt w:val="lowerLetter"/>
      <w:start w:val="1"/>
    </w:lvl>
    <w:lvl w:ilvl="1">
      <w:lvlJc w:val="left"/>
      <w:lvlText w:val="(%2)"/>
      <w:numFmt w:val="decimal"/>
      <w:start w:val="9"/>
    </w:lvl>
  </w:abstractNum>
  <w:abstractNum w:abstractNumId="93">
    <w:nsid w:val="68104812"/>
    <w:multiLevelType w:val="hybridMultilevel"/>
    <w:lvl w:ilvl="0">
      <w:lvlJc w:val="left"/>
      <w:lvlText w:val="(%1)"/>
      <w:numFmt w:val="lowerLetter"/>
      <w:start w:val="3"/>
    </w:lvl>
    <w:lvl w:ilvl="1">
      <w:lvlJc w:val="left"/>
      <w:lvlText w:val="%2"/>
      <w:numFmt w:val="decimal"/>
      <w:start w:val="1"/>
    </w:lvl>
  </w:abstractNum>
  <w:abstractNum w:abstractNumId="94">
    <w:nsid w:val="62FB8680"/>
    <w:multiLevelType w:val="hybridMultilevel"/>
    <w:lvl w:ilvl="0">
      <w:lvlJc w:val="left"/>
      <w:lvlText w:val="(%1)"/>
      <w:numFmt w:val="decimal"/>
      <w:start w:val="10"/>
    </w:lvl>
  </w:abstractNum>
  <w:abstractNum w:abstractNumId="95">
    <w:nsid w:val="3A45530"/>
    <w:multiLevelType w:val="hybridMultilevel"/>
    <w:lvl w:ilvl="0">
      <w:lvlJc w:val="left"/>
      <w:lvlText w:val="(%1)"/>
      <w:numFmt w:val="decimal"/>
      <w:start w:val="13"/>
    </w:lvl>
  </w:abstractNum>
  <w:abstractNum w:abstractNumId="96">
    <w:nsid w:val="4B9275D2"/>
    <w:multiLevelType w:val="hybridMultilevel"/>
    <w:lvl w:ilvl="0">
      <w:lvlJc w:val="left"/>
      <w:lvlText w:val="(%1)"/>
      <w:numFmt w:val="decimal"/>
      <w:start w:val="18"/>
    </w:lvl>
  </w:abstractNum>
  <w:abstractNum w:abstractNumId="97">
    <w:nsid w:val="4F0CEEDB"/>
    <w:multiLevelType w:val="hybridMultilevel"/>
    <w:lvl w:ilvl="0">
      <w:lvlJc w:val="left"/>
      <w:lvlText w:val="(%1)"/>
      <w:numFmt w:val="decimal"/>
      <w:start w:val="19"/>
    </w:lvl>
  </w:abstractNum>
  <w:abstractNum w:abstractNumId="98">
    <w:nsid w:val="61C30361"/>
    <w:multiLevelType w:val="hybridMultilevel"/>
    <w:lvl w:ilvl="0">
      <w:lvlJc w:val="left"/>
      <w:lvlText w:val="%1"/>
      <w:numFmt w:val="lowerLetter"/>
      <w:start w:val="1"/>
    </w:lvl>
    <w:lvl w:ilvl="1">
      <w:lvlJc w:val="left"/>
      <w:lvlText w:val="(%2)"/>
      <w:numFmt w:val="decimal"/>
      <w:start w:val="24"/>
    </w:lvl>
  </w:abstractNum>
  <w:abstractNum w:abstractNumId="99">
    <w:nsid w:val="632099E0"/>
    <w:multiLevelType w:val="hybridMultilevel"/>
    <w:lvl w:ilvl="0">
      <w:lvlJc w:val="left"/>
      <w:lvlText w:val="(%1)"/>
      <w:numFmt w:val="lowerLetter"/>
      <w:start w:val="26"/>
    </w:lvl>
    <w:lvl w:ilvl="1">
      <w:lvlJc w:val="left"/>
      <w:lvlText w:val="%2"/>
      <w:numFmt w:val="decimal"/>
      <w:start w:val="1"/>
    </w:lvl>
  </w:abstractNum>
  <w:abstractNum w:abstractNumId="100">
    <w:nsid w:val="24639756"/>
    <w:multiLevelType w:val="hybridMultilevel"/>
    <w:lvl w:ilvl="0">
      <w:lvlJc w:val="left"/>
      <w:lvlText w:val="(%1)"/>
      <w:numFmt w:val="decimal"/>
      <w:start w:val="29"/>
    </w:lvl>
  </w:abstractNum>
  <w:abstractNum w:abstractNumId="101">
    <w:nsid w:val="9D30DFD"/>
    <w:multiLevelType w:val="hybridMultilevel"/>
    <w:lvl w:ilvl="0">
      <w:lvlJc w:val="left"/>
      <w:lvlText w:val="(%1)"/>
      <w:numFmt w:val="decimal"/>
      <w:start w:val="30"/>
    </w:lvl>
  </w:abstractNum>
  <w:abstractNum w:abstractNumId="102">
    <w:nsid w:val="70A42016"/>
    <w:multiLevelType w:val="hybridMultilevel"/>
    <w:lvl w:ilvl="0">
      <w:lvlJc w:val="left"/>
      <w:lvlText w:val="(%1)"/>
      <w:numFmt w:val="decimal"/>
      <w:start w:val="41"/>
    </w:lvl>
  </w:abstractNum>
  <w:abstractNum w:abstractNumId="103">
    <w:nsid w:val="161BC243"/>
    <w:multiLevelType w:val="hybridMultilevel"/>
    <w:lvl w:ilvl="0">
      <w:lvlJc w:val="left"/>
      <w:lvlText w:val="(%1)"/>
      <w:numFmt w:val="lowerLetter"/>
      <w:start w:val="1"/>
    </w:lvl>
  </w:abstractNum>
  <w:abstractNum w:abstractNumId="104">
    <w:nsid w:val="16E908C8"/>
    <w:multiLevelType w:val="hybridMultilevel"/>
    <w:lvl w:ilvl="0">
      <w:lvlJc w:val="left"/>
      <w:lvlText w:val="(%1)"/>
      <w:numFmt w:val="lowerLetter"/>
      <w:start w:val="2"/>
    </w:lvl>
  </w:abstractNum>
  <w:abstractNum w:abstractNumId="105">
    <w:nsid w:val="2E0D7671"/>
    <w:multiLevelType w:val="hybridMultilevel"/>
    <w:lvl w:ilvl="0">
      <w:lvlJc w:val="left"/>
      <w:lvlText w:val="(%1)"/>
      <w:numFmt w:val="decimal"/>
      <w:start w:val="1"/>
    </w:lvl>
  </w:abstractNum>
  <w:abstractNum w:abstractNumId="106">
    <w:nsid w:val="38B59EFF"/>
    <w:multiLevelType w:val="hybridMultilevel"/>
    <w:lvl w:ilvl="0">
      <w:lvlJc w:val="left"/>
      <w:lvlText w:val="%1"/>
      <w:numFmt w:val="decimal"/>
      <w:start w:val="1"/>
    </w:lvl>
    <w:lvl w:ilvl="1">
      <w:lvlJc w:val="left"/>
      <w:lvlText w:val="(%2)"/>
      <w:numFmt w:val="lowerLetter"/>
      <w:start w:val="1"/>
    </w:lvl>
  </w:abstractNum>
  <w:abstractNum w:abstractNumId="107">
    <w:nsid w:val="307995CA"/>
    <w:multiLevelType w:val="hybridMultilevel"/>
    <w:lvl w:ilvl="0">
      <w:lvlJc w:val="left"/>
      <w:lvlText w:val="(%1)"/>
      <w:numFmt w:val="decimal"/>
      <w:start w:val="2"/>
    </w:lvl>
    <w:lvl w:ilvl="1">
      <w:lvlJc w:val="left"/>
      <w:lvlText w:val="%2"/>
      <w:numFmt w:val="lowerLetter"/>
      <w:start w:val="1"/>
    </w:lvl>
  </w:abstractNum>
  <w:abstractNum w:abstractNumId="108">
    <w:nsid w:val="52E2024D"/>
    <w:multiLevelType w:val="hybridMultilevel"/>
    <w:lvl w:ilvl="0">
      <w:lvlJc w:val="left"/>
      <w:lvlText w:val="(%1)"/>
      <w:numFmt w:val="decimal"/>
      <w:start w:val="1"/>
    </w:lvl>
  </w:abstractNum>
  <w:abstractNum w:abstractNumId="109">
    <w:nsid w:val="CE344B5"/>
    <w:multiLevelType w:val="hybridMultilevel"/>
    <w:lvl w:ilvl="0">
      <w:lvlJc w:val="left"/>
      <w:lvlText w:val="(%1)"/>
      <w:numFmt w:val="decimal"/>
      <w:start w:val="2"/>
    </w:lvl>
  </w:abstractNum>
  <w:abstractNum w:abstractNumId="110">
    <w:nsid w:val="29B0E9A8"/>
    <w:multiLevelType w:val="hybridMultilevel"/>
    <w:lvl w:ilvl="0">
      <w:lvlJc w:val="left"/>
      <w:lvlText w:val="(%1)"/>
      <w:numFmt w:val="lowerLetter"/>
      <w:start w:val="1"/>
    </w:lvl>
  </w:abstractNum>
  <w:abstractNum w:abstractNumId="111">
    <w:nsid w:val="6F49CD8A"/>
    <w:multiLevelType w:val="hybridMultilevel"/>
    <w:lvl w:ilvl="0">
      <w:lvlJc w:val="left"/>
      <w:lvlText w:val="(%1)"/>
      <w:numFmt w:val="decimal"/>
      <w:start w:val="1"/>
    </w:lvl>
  </w:abstractNum>
  <w:abstractNum w:abstractNumId="112">
    <w:nsid w:val="4DC5D907"/>
    <w:multiLevelType w:val="hybridMultilevel"/>
    <w:lvl w:ilvl="0">
      <w:lvlJc w:val="left"/>
      <w:lvlText w:val="(%1)"/>
      <w:numFmt w:val="decimal"/>
      <w:start w:val="1"/>
    </w:lvl>
    <w:lvl w:ilvl="1">
      <w:lvlJc w:val="left"/>
      <w:lvlText w:val="(%2)"/>
      <w:numFmt w:val="lowerRoman"/>
      <w:start w:val="10"/>
    </w:lvl>
  </w:abstractNum>
  <w:abstractNum w:abstractNumId="113">
    <w:nsid w:val="D55945E"/>
    <w:multiLevelType w:val="hybridMultilevel"/>
    <w:lvl w:ilvl="0">
      <w:lvlJc w:val="left"/>
      <w:lvlText w:val="(%1)"/>
      <w:numFmt w:val="decimal"/>
      <w:start w:val="3"/>
    </w:lvl>
  </w:abstractNum>
  <w:abstractNum w:abstractNumId="114">
    <w:nsid w:val="672417E1"/>
    <w:multiLevelType w:val="hybridMultilevel"/>
    <w:lvl w:ilvl="0">
      <w:lvlJc w:val="left"/>
      <w:lvlText w:val="(%1)"/>
      <w:numFmt w:val="decimal"/>
      <w:start w:val="1"/>
    </w:lvl>
  </w:abstractNum>
  <w:abstractNum w:abstractNumId="115">
    <w:nsid w:val="5FF6CA09"/>
    <w:multiLevelType w:val="hybridMultilevel"/>
    <w:lvl w:ilvl="0">
      <w:lvlJc w:val="left"/>
      <w:lvlText w:val="(%1)"/>
      <w:numFmt w:val="decimal"/>
      <w:start w:val="1"/>
    </w:lvl>
  </w:abstractNum>
  <w:abstractNum w:abstractNumId="116">
    <w:nsid w:val="330B1333"/>
    <w:multiLevelType w:val="hybridMultilevel"/>
    <w:lvl w:ilvl="0">
      <w:lvlJc w:val="left"/>
      <w:lvlText w:val="(%1)"/>
      <w:numFmt w:val="decimal"/>
      <w:start w:val="2"/>
    </w:lvl>
  </w:abstractNum>
  <w:abstractNum w:abstractNumId="117">
    <w:nsid w:val="2EF32EA6"/>
    <w:multiLevelType w:val="hybridMultilevel"/>
    <w:lvl w:ilvl="0">
      <w:lvlJc w:val="left"/>
      <w:lvlText w:val="(%1)"/>
      <w:numFmt w:val="decimal"/>
      <w:start w:val="1"/>
    </w:lvl>
  </w:abstractNum>
  <w:abstractNum w:abstractNumId="118">
    <w:nsid w:val="32766A55"/>
    <w:multiLevelType w:val="hybridMultilevel"/>
    <w:lvl w:ilvl="0">
      <w:lvlJc w:val="left"/>
      <w:lvlText w:val="(%1)"/>
      <w:numFmt w:val="lowerLetter"/>
      <w:start w:val="1"/>
    </w:lvl>
  </w:abstractNum>
  <w:abstractNum w:abstractNumId="119">
    <w:nsid w:val="22D71957"/>
    <w:multiLevelType w:val="hybridMultilevel"/>
    <w:lvl w:ilvl="0">
      <w:lvlJc w:val="left"/>
      <w:lvlText w:val="(%1)"/>
      <w:numFmt w:val="lowerLetter"/>
      <w:start w:val="2"/>
    </w:lvl>
  </w:abstractNum>
  <w:abstractNum w:abstractNumId="120">
    <w:nsid w:val="4CC1263B"/>
    <w:multiLevelType w:val="hybridMultilevel"/>
    <w:lvl w:ilvl="0">
      <w:lvlJc w:val="left"/>
      <w:lvlText w:val="(%1)"/>
      <w:numFmt w:val="lowerLetter"/>
      <w:start w:val="1"/>
    </w:lvl>
  </w:abstractNum>
  <w:abstractNum w:abstractNumId="121">
    <w:nsid w:val="8BBEB1D"/>
    <w:multiLevelType w:val="hybridMultilevel"/>
    <w:lvl w:ilvl="0">
      <w:lvlJc w:val="left"/>
      <w:lvlText w:val="(%1)"/>
      <w:numFmt w:val="lowerLetter"/>
      <w:start w:val="4"/>
    </w:lvl>
  </w:abstractNum>
  <w:abstractNum w:abstractNumId="122">
    <w:nsid w:val="7365F1EE"/>
    <w:multiLevelType w:val="hybridMultilevel"/>
    <w:lvl w:ilvl="0">
      <w:lvlJc w:val="left"/>
      <w:lvlText w:val="(%1)"/>
      <w:numFmt w:val="lowerLetter"/>
      <w:start w:val="1"/>
    </w:lvl>
  </w:abstractNum>
  <w:abstractNum w:abstractNumId="123">
    <w:nsid w:val="37524CF0"/>
    <w:multiLevelType w:val="hybridMultilevel"/>
    <w:lvl w:ilvl="0">
      <w:lvlJc w:val="left"/>
      <w:lvlText w:val="(%1)"/>
      <w:numFmt w:val="lowerLetter"/>
      <w:start w:val="3"/>
    </w:lvl>
  </w:abstractNum>
  <w:abstractNum w:abstractNumId="124">
    <w:nsid w:val="70CC332F"/>
    <w:multiLevelType w:val="hybridMultilevel"/>
    <w:lvl w:ilvl="0">
      <w:lvlJc w:val="left"/>
      <w:lvlText w:val="(%1)"/>
      <w:numFmt w:val="lowerLetter"/>
      <w:start w:val="6"/>
    </w:lvl>
  </w:abstractNum>
  <w:abstractNum w:abstractNumId="125">
    <w:nsid w:val="5661786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6">
    <w:nsid w:val="3AF6A220"/>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2"/>
    </w:lvl>
  </w:abstractNum>
  <w:abstractNum w:abstractNumId="127">
    <w:nsid w:val="3C5EA90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8">
    <w:nsid w:val="256E6749"/>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29">
    <w:nsid w:val="1CB9A581"/>
    <w:multiLevelType w:val="hybridMultilevel"/>
    <w:lvl w:ilvl="0">
      <w:lvlJc w:val="left"/>
      <w:lvlText w:val="(%1)"/>
      <w:numFmt w:val="lowerRoman"/>
      <w:start w:val="3"/>
    </w:lvl>
    <w:lvl w:ilvl="1">
      <w:lvlJc w:val="left"/>
      <w:lvlText w:val="(%2)"/>
      <w:numFmt w:val="upperLetter"/>
      <w:start w:val="1"/>
    </w:lvl>
  </w:abstractNum>
  <w:abstractNum w:abstractNumId="130">
    <w:nsid w:val="1F7F42E2"/>
    <w:multiLevelType w:val="hybridMultilevel"/>
    <w:lvl w:ilvl="0">
      <w:lvlJc w:val="left"/>
      <w:lvlText w:val="(%1)"/>
      <w:numFmt w:val="lowerLetter"/>
      <w:start w:val="3"/>
    </w:lvl>
    <w:lvl w:ilvl="1">
      <w:lvlJc w:val="left"/>
      <w:lvlText w:val="(%2)"/>
      <w:numFmt w:val="upperLetter"/>
    </w:lvl>
    <w:lvl w:ilvl="2">
      <w:lvlJc w:val="left"/>
      <w:lvlText w:val="(%3)"/>
      <w:numFmt w:val="lowerLetter"/>
      <w:start w:val="9"/>
    </w:lvl>
  </w:abstractNum>
  <w:abstractNum w:abstractNumId="131">
    <w:nsid w:val="49D1FEA0"/>
    <w:multiLevelType w:val="hybridMultilevel"/>
    <w:lvl w:ilvl="0">
      <w:lvlJc w:val="left"/>
      <w:lvlText w:val="%1"/>
      <w:numFmt w:val="upperLetter"/>
      <w:start w:val="1"/>
    </w:lvl>
    <w:lvl w:ilvl="1">
      <w:lvlJc w:val="left"/>
      <w:lvlText w:val="(%2)"/>
      <w:numFmt w:val="lowerRoman"/>
      <w:start w:val="2"/>
    </w:lvl>
  </w:abstractNum>
  <w:abstractNum w:abstractNumId="132">
    <w:nsid w:val="268CB37F"/>
    <w:multiLevelType w:val="hybridMultilevel"/>
    <w:lvl w:ilvl="0">
      <w:lvlJc w:val="left"/>
      <w:lvlText w:val="(%1)"/>
      <w:numFmt w:val="upperLetter"/>
      <w:start w:val="1"/>
    </w:lvl>
    <w:lvl w:ilvl="1">
      <w:lvlJc w:val="left"/>
      <w:lvlText w:val="%2"/>
      <w:numFmt w:val="lowerRoman"/>
      <w:start w:val="1"/>
    </w:lvl>
  </w:abstractNum>
  <w:abstractNum w:abstractNumId="133">
    <w:nsid w:val="102362F8"/>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134">
    <w:nsid w:val="5FEDC0E3"/>
    <w:multiLevelType w:val="hybridMultilevel"/>
    <w:lvl w:ilvl="0">
      <w:lvlJc w:val="left"/>
      <w:lvlText w:val="(%1)"/>
      <w:numFmt w:val="lowerLetter"/>
      <w:start w:val="4"/>
    </w:lvl>
    <w:lvl w:ilvl="1">
      <w:lvlJc w:val="left"/>
      <w:lvlText w:val="(%2)"/>
      <w:numFmt w:val="upperLetter"/>
    </w:lvl>
    <w:lvl w:ilvl="2">
      <w:lvlJc w:val="left"/>
      <w:lvlText w:val="(%3)"/>
      <w:numFmt w:val="lowerLetter"/>
      <w:start w:val="9"/>
    </w:lvl>
  </w:abstractNum>
  <w:abstractNum w:abstractNumId="135">
    <w:nsid w:val="3D75BC47"/>
    <w:multiLevelType w:val="hybridMultilevel"/>
    <w:lvl w:ilvl="0">
      <w:lvlJc w:val="left"/>
      <w:lvlText w:val="%1"/>
      <w:numFmt w:val="upperLetter"/>
      <w:start w:val="1"/>
    </w:lvl>
    <w:lvl w:ilvl="1">
      <w:lvlJc w:val="left"/>
      <w:lvlText w:val="(%2)"/>
      <w:numFmt w:val="lowerRoman"/>
      <w:start w:val="2"/>
    </w:lvl>
  </w:abstractNum>
  <w:abstractNum w:abstractNumId="136">
    <w:nsid w:val="3E30D969"/>
    <w:multiLevelType w:val="hybridMultilevel"/>
    <w:lvl w:ilvl="0">
      <w:lvlJc w:val="left"/>
      <w:lvlText w:val="(%1)"/>
      <w:numFmt w:val="upperLetter"/>
      <w:start w:val="1"/>
    </w:lvl>
    <w:lvl w:ilvl="1">
      <w:lvlJc w:val="left"/>
      <w:lvlText w:val="%2"/>
      <w:numFmt w:val="lowerRoman"/>
      <w:start w:val="1"/>
    </w:lvl>
  </w:abstractNum>
  <w:abstractNum w:abstractNumId="137">
    <w:nsid w:val="18A35FE3"/>
    <w:multiLevelType w:val="hybridMultilevel"/>
    <w:lvl w:ilvl="0">
      <w:lvlJc w:val="left"/>
      <w:lvlText w:val="(%1)"/>
      <w:numFmt w:val="lowerRoman"/>
      <w:start w:val="3"/>
    </w:lvl>
  </w:abstractNum>
  <w:abstractNum w:abstractNumId="138">
    <w:nsid w:val="6DEF5211"/>
    <w:multiLevelType w:val="hybridMultilevel"/>
    <w:lvl w:ilvl="0">
      <w:lvlJc w:val="left"/>
      <w:lvlText w:val="(%1)"/>
      <w:numFmt w:val="lowerLetter"/>
      <w:start w:val="5"/>
    </w:lvl>
    <w:lvl w:ilvl="1">
      <w:lvlJc w:val="left"/>
      <w:lvlText w:val="(%2)"/>
      <w:numFmt w:val="lowerLetter"/>
      <w:start w:val="9"/>
    </w:lvl>
  </w:abstractNum>
  <w:abstractNum w:abstractNumId="139">
    <w:nsid w:val="1112DBB6"/>
    <w:multiLevelType w:val="hybridMultilevel"/>
    <w:lvl w:ilvl="0">
      <w:lvlJc w:val="left"/>
      <w:lvlText w:val="%1"/>
      <w:numFmt w:val="lowerRoman"/>
      <w:start w:val="1"/>
    </w:lvl>
    <w:lvl w:ilvl="1">
      <w:lvlJc w:val="left"/>
      <w:lvlText w:val="(%2)"/>
      <w:numFmt w:val="upperLetter"/>
      <w:start w:val="1"/>
    </w:lvl>
  </w:abstractNum>
  <w:abstractNum w:abstractNumId="140">
    <w:nsid w:val="2586A498"/>
    <w:multiLevelType w:val="hybridMultilevel"/>
    <w:lvl w:ilvl="0">
      <w:lvlJc w:val="left"/>
      <w:lvlText w:val="(%1)"/>
      <w:numFmt w:val="lowerRoman"/>
      <w:start w:val="2"/>
    </w:lvl>
    <w:lvl w:ilvl="1">
      <w:lvlJc w:val="left"/>
      <w:lvlText w:val="(%2)"/>
      <w:numFmt w:val="upperLetter"/>
      <w:start w:val="1"/>
    </w:lvl>
  </w:abstractNum>
  <w:abstractNum w:abstractNumId="141">
    <w:nsid w:val="17A03BB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142">
    <w:nsid w:val="5CA941"/>
    <w:multiLevelType w:val="hybridMultilevel"/>
    <w:lvl w:ilvl="0">
      <w:lvlJc w:val="left"/>
      <w:lvlText w:val="(%1)"/>
      <w:numFmt w:val="lowerLetter"/>
      <w:start w:val="6"/>
    </w:lvl>
    <w:lvl w:ilvl="1">
      <w:lvlJc w:val="left"/>
      <w:lvlText w:val="(%2)"/>
      <w:numFmt w:val="upperLetter"/>
    </w:lvl>
    <w:lvl w:ilvl="2">
      <w:lvlJc w:val="left"/>
      <w:lvlText w:val="(%3)"/>
      <w:numFmt w:val="lowerLetter"/>
      <w:start w:val="9"/>
    </w:lvl>
  </w:abstractNum>
  <w:abstractNum w:abstractNumId="143">
    <w:nsid w:val="734C7D9F"/>
    <w:multiLevelType w:val="hybridMultilevel"/>
    <w:lvl w:ilvl="0">
      <w:lvlJc w:val="left"/>
      <w:lvlText w:val="(%1)"/>
      <w:numFmt w:val="upperLetter"/>
      <w:start w:val="2"/>
    </w:lvl>
  </w:abstractNum>
  <w:abstractNum w:abstractNumId="144">
    <w:nsid w:val="24F5D018"/>
    <w:multiLevelType w:val="hybridMultilevel"/>
    <w:lvl w:ilvl="0">
      <w:lvlJc w:val="left"/>
      <w:lvlText w:val="(%1)"/>
      <w:numFmt w:val="lowerRoman"/>
      <w:start w:val="2"/>
    </w:lvl>
  </w:abstractNum>
  <w:abstractNum w:abstractNumId="145">
    <w:nsid w:val="6780C122"/>
    <w:multiLevelType w:val="hybridMultilevel"/>
    <w:lvl w:ilvl="0">
      <w:lvlJc w:val="left"/>
      <w:lvlText w:val="&amp;"/>
      <w:numFmt w:val="bullet"/>
      <w:start w:val="1"/>
    </w:lvl>
  </w:abstractNum>
  <w:abstractNum w:abstractNumId="146">
    <w:nsid w:val="534347A8"/>
    <w:multiLevelType w:val="hybridMultilevel"/>
    <w:lvl w:ilvl="0">
      <w:lvlJc w:val="left"/>
      <w:lvlText w:val="(%1)"/>
      <w:numFmt w:val="lowerRoman"/>
      <w:start w:val="3"/>
    </w:lvl>
  </w:abstractNum>
  <w:abstractNum w:abstractNumId="147">
    <w:nsid w:val="5800E34B"/>
    <w:multiLevelType w:val="hybridMultilevel"/>
    <w:lvl w:ilvl="0">
      <w:lvlJc w:val="left"/>
      <w:lvlText w:val="(%1)"/>
      <w:numFmt w:val="lowerLetter"/>
      <w:start w:val="8"/>
    </w:lvl>
    <w:lvl w:ilvl="1">
      <w:lvlJc w:val="left"/>
      <w:lvlText w:val="(%2)"/>
      <w:numFmt w:val="lowerRoman"/>
      <w:start w:val="1"/>
    </w:lvl>
  </w:abstractNum>
  <w:abstractNum w:abstractNumId="148">
    <w:nsid w:val="1673EFC8"/>
    <w:multiLevelType w:val="hybridMultilevel"/>
    <w:lvl w:ilvl="0">
      <w:lvlJc w:val="left"/>
      <w:lvlText w:val="(%1)"/>
      <w:numFmt w:val="lowerRoman"/>
      <w:start w:val="6"/>
    </w:lvl>
  </w:abstractNum>
  <w:abstractNum w:abstractNumId="149">
    <w:nsid w:val="5B9B1FD"/>
    <w:multiLevelType w:val="hybridMultilevel"/>
    <w:lvl w:ilvl="0">
      <w:lvlJc w:val="left"/>
      <w:lvlText w:val="(%1)"/>
      <w:numFmt w:val="lowerLetter"/>
      <w:start w:val="2"/>
    </w:lvl>
  </w:abstractNum>
  <w:abstractNum w:abstractNumId="150">
    <w:nsid w:val="7AD7FCA2"/>
    <w:multiLevelType w:val="hybridMultilevel"/>
    <w:lvl w:ilvl="0">
      <w:lvlJc w:val="left"/>
      <w:lvlText w:val="(%1)"/>
      <w:numFmt w:val="lowerLetter"/>
      <w:start w:val="4"/>
    </w:lvl>
  </w:abstractNum>
  <w:abstractNum w:abstractNumId="151">
    <w:nsid w:val="63351604"/>
    <w:multiLevelType w:val="hybridMultilevel"/>
    <w:lvl w:ilvl="0">
      <w:lvlJc w:val="left"/>
      <w:lvlText w:val="(%1)"/>
      <w:numFmt w:val="lowerLetter"/>
      <w:start w:val="1"/>
    </w:lvl>
  </w:abstractNum>
  <w:abstractNum w:abstractNumId="152">
    <w:nsid w:val="E759D1A"/>
    <w:multiLevelType w:val="hybridMultilevel"/>
    <w:lvl w:ilvl="0">
      <w:lvlJc w:val="left"/>
      <w:lvlText w:val="(%1)"/>
      <w:numFmt w:val="lowerLetter"/>
      <w:start w:val="3"/>
    </w:lvl>
  </w:abstractNum>
  <w:abstractNum w:abstractNumId="153">
    <w:nsid w:val="6E3DEE90"/>
    <w:multiLevelType w:val="hybridMultilevel"/>
    <w:lvl w:ilvl="0">
      <w:lvlJc w:val="left"/>
      <w:lvlText w:val="(%1)"/>
      <w:numFmt w:val="lowerLetter"/>
      <w:start w:val="1"/>
    </w:lvl>
  </w:abstractNum>
  <w:abstractNum w:abstractNumId="154">
    <w:nsid w:val="1A8762F4"/>
    <w:multiLevelType w:val="hybridMultilevel"/>
    <w:lvl w:ilvl="0">
      <w:lvlJc w:val="left"/>
      <w:lvlText w:val="(%1)"/>
      <w:numFmt w:val="lowerLetter"/>
      <w:start w:val="1"/>
    </w:lvl>
  </w:abstractNum>
  <w:abstractNum w:abstractNumId="155">
    <w:nsid w:val="7F41D049"/>
    <w:multiLevelType w:val="hybridMultilevel"/>
    <w:lvl w:ilvl="0">
      <w:lvlJc w:val="left"/>
      <w:lvlText w:val="(%1)"/>
      <w:numFmt w:val="lowerLetter"/>
      <w:start w:val="3"/>
    </w:lvl>
  </w:abstractNum>
  <w:abstractNum w:abstractNumId="156">
    <w:nsid w:val="449F66FE"/>
    <w:multiLevelType w:val="hybridMultilevel"/>
    <w:lvl w:ilvl="0">
      <w:lvlJc w:val="left"/>
      <w:lvlText w:val="(%1)"/>
      <w:numFmt w:val="lowerLetter"/>
      <w:start w:val="7"/>
    </w:lvl>
  </w:abstractNum>
  <w:abstractNum w:abstractNumId="157">
    <w:nsid w:val="557E051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Roman"/>
      <w:start w:val="3"/>
    </w:lvl>
  </w:abstractNum>
  <w:abstractNum w:abstractNumId="158">
    <w:nsid w:val="3BA0794B"/>
    <w:multiLevelType w:val="hybridMultilevel"/>
    <w:lvl w:ilvl="0">
      <w:lvlJc w:val="left"/>
      <w:lvlText w:val="%1"/>
      <w:numFmt w:val="lowerLetter"/>
      <w:start w:val="1"/>
    </w:lvl>
    <w:lvl w:ilvl="1">
      <w:lvlJc w:val="left"/>
      <w:lvlText w:val="(%2)"/>
      <w:numFmt w:val="lowerRoman"/>
      <w:start w:val="7"/>
    </w:lvl>
  </w:abstractNum>
  <w:abstractNum w:abstractNumId="159">
    <w:nsid w:val="6A0DCE48"/>
    <w:multiLevelType w:val="hybridMultilevel"/>
    <w:lvl w:ilvl="0">
      <w:lvlJc w:val="left"/>
      <w:lvlText w:val="(%1)"/>
      <w:numFmt w:val="lowerLetter"/>
      <w:start w:val="4"/>
    </w:lvl>
    <w:lvl w:ilvl="1">
      <w:lvlJc w:val="left"/>
      <w:lvlText w:val="%2"/>
      <w:numFmt w:val="lowerRoman"/>
      <w:start w:val="1"/>
    </w:lvl>
  </w:abstractNum>
  <w:abstractNum w:abstractNumId="160">
    <w:nsid w:val="7237AA96"/>
    <w:multiLevelType w:val="hybridMultilevel"/>
    <w:lvl w:ilvl="0">
      <w:lvlJc w:val="left"/>
      <w:lvlText w:val="(%1)"/>
      <w:numFmt w:val="lowerLetter"/>
      <w:start w:val="1"/>
    </w:lvl>
    <w:lvl w:ilvl="1">
      <w:lvlJc w:val="left"/>
      <w:lvlText w:val="(%2)"/>
      <w:numFmt w:val="decimal"/>
      <w:start w:val="1"/>
    </w:lvl>
  </w:abstractNum>
  <w:abstractNum w:abstractNumId="161">
    <w:nsid w:val="5B1FBC2D"/>
    <w:multiLevelType w:val="hybridMultilevel"/>
    <w:lvl w:ilvl="0">
      <w:lvlJc w:val="left"/>
      <w:lvlText w:val="(%1)"/>
      <w:numFmt w:val="upperLetter"/>
      <w:start w:val="1"/>
    </w:lvl>
  </w:abstractNum>
  <w:abstractNum w:abstractNumId="162">
    <w:nsid w:val="33DFCCE8"/>
    <w:multiLevelType w:val="hybridMultilevel"/>
    <w:lvl w:ilvl="0">
      <w:lvlJc w:val="left"/>
      <w:lvlText w:val="%1"/>
      <w:numFmt w:val="lowerLetter"/>
      <w:start w:val="1"/>
    </w:lvl>
    <w:lvl w:ilvl="1">
      <w:lvlJc w:val="left"/>
      <w:lvlText w:val="(%2)"/>
      <w:numFmt w:val="lowerLetter"/>
      <w:start w:val="2"/>
    </w:lvl>
  </w:abstractNum>
  <w:abstractNum w:abstractNumId="163">
    <w:nsid w:val="18C45E15"/>
    <w:multiLevelType w:val="hybridMultilevel"/>
    <w:lvl w:ilvl="0">
      <w:lvlJc w:val="left"/>
      <w:lvlText w:val="(%1)"/>
      <w:numFmt w:val="lowerLetter"/>
      <w:start w:val="61"/>
    </w:lvl>
    <w:lvl w:ilvl="1">
      <w:lvlJc w:val="left"/>
      <w:lvlText w:val="(%2)"/>
      <w:numFmt w:val="lowerLetter"/>
      <w:start w:val="3"/>
    </w:lvl>
  </w:abstractNum>
  <w:abstractNum w:abstractNumId="164">
    <w:nsid w:val="6B431F25"/>
    <w:multiLevelType w:val="hybridMultilevel"/>
    <w:lvl w:ilvl="0">
      <w:lvlJc w:val="left"/>
      <w:lvlText w:val="(%1)"/>
      <w:numFmt w:val="lowerLetter"/>
      <w:start w:val="4"/>
    </w:lvl>
  </w:abstractNum>
  <w:abstractNum w:abstractNumId="165">
    <w:nsid w:val="13CD8DCB"/>
    <w:multiLevelType w:val="hybridMultilevel"/>
    <w:lvl w:ilvl="0">
      <w:lvlJc w:val="left"/>
      <w:lvlText w:val="(%1)"/>
      <w:numFmt w:val="lowerLetter"/>
      <w:start w:val="1"/>
    </w:lvl>
  </w:abstractNum>
  <w:abstractNum w:abstractNumId="166">
    <w:nsid w:val="563A1A5C"/>
    <w:multiLevelType w:val="hybridMultilevel"/>
    <w:lvl w:ilvl="0">
      <w:lvlJc w:val="left"/>
      <w:lvlText w:val="(%1)"/>
      <w:numFmt w:val="lowerLetter"/>
      <w:start w:val="1"/>
    </w:lvl>
    <w:lvl w:ilvl="1">
      <w:lvlJc w:val="left"/>
      <w:lvlText w:val="(%2)"/>
      <w:numFmt w:val="upperLetter"/>
      <w:start w:val="9"/>
    </w:lvl>
    <w:lvl w:ilvl="2">
      <w:lvlJc w:val="left"/>
      <w:lvlText w:val="(%3)"/>
      <w:numFmt w:val="upperLetter"/>
      <w:start w:val="34"/>
    </w:lvl>
    <w:lvl w:ilvl="3">
      <w:lvlJc w:val="left"/>
      <w:lvlText w:val="(%4)"/>
      <w:numFmt w:val="upperLetter"/>
      <w:start w:val="1"/>
    </w:lvl>
  </w:abstractNum>
  <w:abstractNum w:abstractNumId="167">
    <w:nsid w:val="2973F88F"/>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61"/>
    </w:lvl>
    <w:lvl w:ilvl="3">
      <w:lvlJc w:val="left"/>
      <w:lvlText w:val="(%4)"/>
      <w:numFmt w:val="upperLetter"/>
      <w:start w:val="1"/>
    </w:lvl>
  </w:abstractNum>
  <w:abstractNum w:abstractNumId="168">
    <w:nsid w:val="2C70EDAE"/>
    <w:multiLevelType w:val="hybridMultilevel"/>
    <w:lvl w:ilvl="0">
      <w:lvlJc w:val="left"/>
      <w:lvlText w:val="(%1)"/>
      <w:numFmt w:val="upperLetter"/>
      <w:start w:val="2"/>
    </w:lvl>
  </w:abstractNum>
  <w:abstractNum w:abstractNumId="169">
    <w:nsid w:val="44296C6D"/>
    <w:multiLevelType w:val="hybridMultilevel"/>
    <w:lvl w:ilvl="0">
      <w:lvlJc w:val="left"/>
      <w:lvlText w:val="(%1)"/>
      <w:numFmt w:val="decimal"/>
      <w:start w:val="1"/>
    </w:lvl>
  </w:abstractNum>
  <w:abstractNum w:abstractNumId="170">
    <w:nsid w:val="3A86D44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4)"/>
      <w:numFmt w:val="lowerLetter"/>
      <w:start w:val="24"/>
    </w:lvl>
  </w:abstractNum>
  <w:abstractNum w:abstractNumId="171">
    <w:nsid w:val="51F79246"/>
    <w:multiLevelType w:val="hybridMultilevel"/>
    <w:lvl w:ilvl="0">
      <w:lvlJc w:val="left"/>
      <w:lvlText w:val="(%1)"/>
      <w:numFmt w:val="upperLetter"/>
      <w:start w:val="2"/>
    </w:lvl>
  </w:abstractNum>
  <w:abstractNum w:abstractNumId="172">
    <w:nsid w:val="5BC9A827"/>
    <w:multiLevelType w:val="hybridMultilevel"/>
    <w:lvl w:ilvl="0">
      <w:lvlJc w:val="left"/>
      <w:lvlText w:val="(%1)"/>
      <w:numFmt w:val="lowerRoman"/>
      <w:start w:val="2"/>
    </w:lvl>
  </w:abstractNum>
  <w:abstractNum w:abstractNumId="173">
    <w:nsid w:val="3AE37D86"/>
    <w:multiLevelType w:val="hybridMultilevel"/>
    <w:lvl w:ilvl="0">
      <w:lvlJc w:val="left"/>
      <w:lvlText w:val="(%1)"/>
      <w:numFmt w:val="lowerLetter"/>
      <w:start w:val="3"/>
    </w:lvl>
  </w:abstractNum>
  <w:abstractNum w:abstractNumId="174">
    <w:nsid w:val="45440F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75">
    <w:nsid w:val="BF783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76">
    <w:nsid w:val="22643EA9"/>
    <w:multiLevelType w:val="hybridMultilevel"/>
    <w:lvl w:ilvl="0">
      <w:lvlJc w:val="left"/>
      <w:lvlText w:val="(%1)"/>
      <w:numFmt w:val="decimal"/>
      <w:start w:val="2"/>
    </w:lvl>
    <w:lvl w:ilvl="1">
      <w:lvlJc w:val="left"/>
      <w:lvlText w:val="(%2)"/>
      <w:numFmt w:val="lowerLetter"/>
      <w:start w:val="1"/>
    </w:lvl>
  </w:abstractNum>
  <w:abstractNum w:abstractNumId="177">
    <w:nsid w:val="1887578D"/>
    <w:multiLevelType w:val="hybridMultilevel"/>
    <w:lvl w:ilvl="0">
      <w:lvlJc w:val="left"/>
      <w:lvlText w:val="(%1)"/>
      <w:numFmt w:val="lowerLetter"/>
      <w:start w:val="2"/>
    </w:lvl>
  </w:abstractNum>
  <w:abstractNum w:abstractNumId="178">
    <w:nsid w:val="58C05B8A"/>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2"/>
    </w:lvl>
  </w:abstractNum>
  <w:abstractNum w:abstractNumId="179">
    <w:nsid w:val="38D82E71"/>
    <w:multiLevelType w:val="hybridMultilevel"/>
    <w:lvl w:ilvl="0">
      <w:lvlJc w:val="left"/>
      <w:lvlText w:val="(%1)"/>
      <w:numFmt w:val="decimal"/>
      <w:start w:val="9"/>
    </w:lvl>
  </w:abstractNum>
  <w:abstractNum w:abstractNumId="180">
    <w:nsid w:val="1E41098A"/>
    <w:multiLevelType w:val="hybridMultilevel"/>
    <w:lvl w:ilvl="0">
      <w:lvlJc w:val="left"/>
      <w:lvlText w:val="(%1)"/>
      <w:numFmt w:val="decimal"/>
      <w:start w:val="15"/>
    </w:lvl>
    <w:lvl w:ilvl="1">
      <w:lvlJc w:val="left"/>
      <w:lvlText w:val="(%2)"/>
      <w:numFmt w:val="lowerLetter"/>
      <w:start w:val="1"/>
    </w:lvl>
  </w:abstractNum>
  <w:abstractNum w:abstractNumId="181">
    <w:nsid w:val="5398582C"/>
    <w:multiLevelType w:val="hybridMultilevel"/>
    <w:lvl w:ilvl="0">
      <w:lvlJc w:val="left"/>
      <w:lvlText w:val="(%1)"/>
      <w:numFmt w:val="lowerLetter"/>
      <w:start w:val="5"/>
    </w:lvl>
  </w:abstractNum>
  <w:abstractNum w:abstractNumId="182">
    <w:nsid w:val="1C0D4475"/>
    <w:multiLevelType w:val="hybridMultilevel"/>
    <w:lvl w:ilvl="0">
      <w:lvlJc w:val="left"/>
      <w:lvlText w:val="(%1)"/>
      <w:numFmt w:val="decimal"/>
      <w:start w:val="16"/>
    </w:lvl>
  </w:abstractNum>
  <w:abstractNum w:abstractNumId="183">
    <w:nsid w:val="2CB6A6A4"/>
    <w:multiLevelType w:val="hybridMultilevel"/>
    <w:lvl w:ilvl="0">
      <w:lvlJc w:val="left"/>
      <w:lvlText w:val="(%1)"/>
      <w:numFmt w:val="decimal"/>
      <w:start w:val="21"/>
    </w:lvl>
  </w:abstractNum>
  <w:abstractNum w:abstractNumId="184">
    <w:nsid w:val="41D646BC"/>
    <w:multiLevelType w:val="hybridMultilevel"/>
    <w:lvl w:ilvl="0">
      <w:lvlJc w:val="left"/>
      <w:lvlText w:val="(%1)"/>
      <w:numFmt w:val="decimal"/>
      <w:start w:val="25"/>
    </w:lvl>
    <w:lvl w:ilvl="1">
      <w:lvlJc w:val="left"/>
      <w:lvlText w:val="(%2)"/>
      <w:numFmt w:val="lowerLetter"/>
      <w:start w:val="4"/>
    </w:lvl>
  </w:abstractNum>
  <w:abstractNum w:abstractNumId="185">
    <w:nsid w:val="3694A76A"/>
    <w:multiLevelType w:val="hybridMultilevel"/>
    <w:lvl w:ilvl="0">
      <w:lvlJc w:val="left"/>
      <w:lvlText w:val="(%1)"/>
      <w:numFmt w:val="lowerLetter"/>
      <w:start w:val="6"/>
    </w:lvl>
  </w:abstractNum>
  <w:abstractNum w:abstractNumId="186">
    <w:nsid w:val="2BF876E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2"/>
    </w:lvl>
  </w:abstractNum>
  <w:abstractNum w:abstractNumId="187">
    <w:nsid w:val="675ADBA"/>
    <w:multiLevelType w:val="hybridMultilevel"/>
    <w:lvl w:ilvl="0">
      <w:lvlJc w:val="left"/>
      <w:lvlText w:val="(%1)"/>
      <w:numFmt w:val="lowerLetter"/>
      <w:start w:val="2"/>
    </w:lvl>
    <w:lvl w:ilvl="1">
      <w:lvlJc w:val="left"/>
      <w:lvlText w:val="(%2)"/>
      <w:numFmt w:val="decimal"/>
      <w:start w:val="1"/>
    </w:lvl>
  </w:abstractNum>
  <w:abstractNum w:abstractNumId="188">
    <w:nsid w:val="C12AC7F"/>
    <w:multiLevelType w:val="hybridMultilevel"/>
    <w:lvl w:ilvl="0">
      <w:lvlJc w:val="left"/>
      <w:lvlText w:val="(%1)"/>
      <w:numFmt w:val="decimal"/>
      <w:start w:val="5"/>
    </w:lvl>
  </w:abstractNum>
  <w:abstractNum w:abstractNumId="189">
    <w:nsid w:val="6798F039"/>
    <w:multiLevelType w:val="hybridMultilevel"/>
    <w:lvl w:ilvl="0">
      <w:lvlJc w:val="left"/>
      <w:lvlText w:val="(%1)"/>
      <w:numFmt w:val="decimal"/>
      <w:start w:val="18"/>
    </w:lvl>
  </w:abstractNum>
  <w:abstractNum w:abstractNumId="190">
    <w:nsid w:val="70837C02"/>
    <w:multiLevelType w:val="hybridMultilevel"/>
    <w:lvl w:ilvl="0">
      <w:lvlJc w:val="left"/>
      <w:lvlText w:val="(%1)"/>
      <w:numFmt w:val="lowerLetter"/>
      <w:start w:val="1"/>
    </w:lvl>
  </w:abstractNum>
  <w:abstractNum w:abstractNumId="191">
    <w:nsid w:val="7E4A5715"/>
    <w:multiLevelType w:val="hybridMultilevel"/>
    <w:lvl w:ilvl="0">
      <w:lvlJc w:val="left"/>
      <w:lvlText w:val="(%1)"/>
      <w:numFmt w:val="lowerLetter"/>
      <w:start w:val="2"/>
    </w:lvl>
    <w:lvl w:ilvl="1">
      <w:lvlJc w:val="left"/>
      <w:lvlText w:val="(%2)"/>
      <w:numFmt w:val="decimal"/>
      <w:start w:val="1"/>
    </w:lvl>
  </w:abstractNum>
  <w:abstractNum w:abstractNumId="192">
    <w:nsid w:val="42B8AC67"/>
    <w:multiLevelType w:val="hybridMultilevel"/>
    <w:lvl w:ilvl="0">
      <w:lvlJc w:val="left"/>
      <w:lvlText w:val="(%1)"/>
      <w:numFmt w:val="decimal"/>
      <w:start w:val="4"/>
    </w:lvl>
  </w:abstractNum>
  <w:abstractNum w:abstractNumId="193">
    <w:nsid w:val="246348EA"/>
    <w:multiLevelType w:val="hybridMultilevel"/>
    <w:lvl w:ilvl="0">
      <w:lvlJc w:val="left"/>
      <w:lvlText w:val="%1"/>
      <w:numFmt w:val="decimal"/>
      <w:start w:val="1"/>
    </w:lvl>
    <w:lvl w:ilvl="1">
      <w:lvlJc w:val="left"/>
      <w:lvlText w:val="(%2)"/>
      <w:numFmt w:val="decimal"/>
      <w:start w:val="11"/>
    </w:lvl>
    <w:lvl w:ilvl="2">
      <w:lvlJc w:val="left"/>
      <w:lvlText w:val="%3"/>
      <w:numFmt w:val="upperLetter"/>
      <w:start w:val="1"/>
    </w:lvl>
  </w:abstractNum>
  <w:abstractNum w:abstractNumId="194">
    <w:nsid w:val="170EB52B"/>
    <w:multiLevelType w:val="hybridMultilevel"/>
    <w:lvl w:ilvl="0">
      <w:lvlJc w:val="left"/>
      <w:lvlText w:val="(%1)"/>
      <w:numFmt w:val="decimal"/>
      <w:start w:val="1"/>
    </w:lvl>
    <w:lvl w:ilvl="1">
      <w:lvlJc w:val="left"/>
      <w:lvlText w:val="(%2)"/>
      <w:numFmt w:val="decimal"/>
      <w:start w:val="13"/>
    </w:lvl>
    <w:lvl w:ilvl="2">
      <w:lvlJc w:val="left"/>
      <w:lvlText w:val="(%3)"/>
      <w:numFmt w:val="upperLetter"/>
      <w:start w:val="1"/>
    </w:lvl>
  </w:abstractNum>
  <w:abstractNum w:abstractNumId="195">
    <w:nsid w:val="2DFBCB8C"/>
    <w:multiLevelType w:val="hybridMultilevel"/>
    <w:lvl w:ilvl="0">
      <w:lvlJc w:val="left"/>
      <w:lvlText w:val="(%1)"/>
      <w:numFmt w:val="upperLetter"/>
      <w:start w:val="3"/>
    </w:lvl>
    <w:lvl w:ilvl="1">
      <w:lvlJc w:val="left"/>
      <w:lvlText w:val="(%2)"/>
      <w:numFmt w:val="lowerRoman"/>
      <w:start w:val="1"/>
    </w:lvl>
  </w:abstractNum>
  <w:abstractNum w:abstractNumId="196">
    <w:nsid w:val="3830D6B6"/>
    <w:multiLevelType w:val="hybridMultilevel"/>
    <w:lvl w:ilvl="0">
      <w:lvlJc w:val="left"/>
      <w:lvlText w:val="(%1)"/>
      <w:numFmt w:val="decimal"/>
      <w:start w:val="14"/>
    </w:lvl>
    <w:lvl w:ilvl="1">
      <w:lvlJc w:val="left"/>
      <w:lvlText w:val="(%2)"/>
      <w:numFmt w:val="lowerLetter"/>
      <w:start w:val="1"/>
    </w:lvl>
  </w:abstractNum>
  <w:abstractNum w:abstractNumId="197">
    <w:nsid w:val="6D48CF87"/>
    <w:multiLevelType w:val="hybridMultilevel"/>
    <w:lvl w:ilvl="0">
      <w:lvlJc w:val="left"/>
      <w:lvlText w:val="%1"/>
      <w:numFmt w:val="lowerLetter"/>
      <w:start w:val="1"/>
    </w:lvl>
    <w:lvl w:ilvl="1">
      <w:lvlJc w:val="left"/>
      <w:lvlText w:val="(%2)"/>
      <w:numFmt w:val="decimal"/>
      <w:start w:val="15"/>
    </w:lvl>
  </w:abstractNum>
  <w:abstractNum w:abstractNumId="198">
    <w:nsid w:val="576FC41B"/>
    <w:multiLevelType w:val="hybridMultilevel"/>
    <w:lvl w:ilvl="0">
      <w:lvlJc w:val="left"/>
      <w:lvlText w:val="(%1)"/>
      <w:numFmt w:val="lowerLetter"/>
      <w:start w:val="2"/>
    </w:lvl>
    <w:lvl w:ilvl="1">
      <w:lvlJc w:val="left"/>
      <w:lvlText w:val="(%2)"/>
      <w:numFmt w:val="decimal"/>
      <w:start w:val="16"/>
    </w:lvl>
  </w:abstractNum>
  <w:abstractNum w:abstractNumId="199">
    <w:nsid w:val="64A1C464"/>
    <w:multiLevelType w:val="hybridMultilevel"/>
    <w:lvl w:ilvl="0">
      <w:lvlJc w:val="left"/>
      <w:lvlText w:val="(%1)"/>
      <w:numFmt w:val="lowerLetter"/>
      <w:start w:val="35"/>
    </w:lvl>
    <w:lvl w:ilvl="1">
      <w:lvlJc w:val="left"/>
      <w:lvlText w:val="(%2)"/>
      <w:numFmt w:val="decimal"/>
      <w:start w:val="19"/>
    </w:lvl>
  </w:abstractNum>
  <w:abstractNum w:abstractNumId="200">
    <w:nsid w:val="31723BF5"/>
    <w:multiLevelType w:val="hybridMultilevel"/>
    <w:lvl w:ilvl="0">
      <w:lvlJc w:val="left"/>
      <w:lvlText w:val="%1"/>
      <w:numFmt w:val="lowerLetter"/>
      <w:start w:val="1"/>
    </w:lvl>
    <w:lvl w:ilvl="1">
      <w:lvlJc w:val="left"/>
      <w:lvlText w:val="(%2)"/>
      <w:numFmt w:val="decimal"/>
      <w:start w:val="25"/>
    </w:lvl>
  </w:abstractNum>
  <w:abstractNum w:abstractNumId="201">
    <w:nsid w:val="11F69861"/>
    <w:multiLevelType w:val="hybridMultilevel"/>
    <w:lvl w:ilvl="0">
      <w:lvlJc w:val="left"/>
      <w:lvlText w:val="(%1)"/>
      <w:numFmt w:val="lowerLetter"/>
      <w:start w:val="4"/>
    </w:lvl>
    <w:lvl w:ilvl="1">
      <w:lvlJc w:val="left"/>
      <w:lvlText w:val="(%2)"/>
      <w:numFmt w:val="decimal"/>
      <w:start w:val="1"/>
    </w:lvl>
  </w:abstractNum>
  <w:abstractNum w:abstractNumId="202">
    <w:nsid w:val="369956AB"/>
    <w:multiLevelType w:val="hybridMultilevel"/>
    <w:lvl w:ilvl="0">
      <w:lvlJc w:val="left"/>
      <w:lvlText w:val="(%1)"/>
      <w:numFmt w:val="decimal"/>
      <w:start w:val="2"/>
    </w:lvl>
  </w:abstractNum>
  <w:abstractNum w:abstractNumId="203">
    <w:nsid w:val="D3BE41C"/>
    <w:multiLevelType w:val="hybridMultilevel"/>
    <w:lvl w:ilvl="0">
      <w:lvlJc w:val="left"/>
      <w:lvlText w:val="(%1)"/>
      <w:numFmt w:val="decimal"/>
      <w:start w:val="5"/>
    </w:lvl>
  </w:abstractNum>
  <w:abstractNum w:abstractNumId="204">
    <w:nsid w:val="4CDA15E7"/>
    <w:multiLevelType w:val="hybridMultilevel"/>
    <w:lvl w:ilvl="0">
      <w:lvlJc w:val="left"/>
      <w:lvlText w:val="(%1)"/>
      <w:numFmt w:val="lowerRoman"/>
      <w:start w:val="1"/>
    </w:lvl>
    <w:lvl w:ilvl="1">
      <w:lvlJc w:val="left"/>
      <w:lvlText w:val="(%2)"/>
      <w:numFmt w:val="decimal"/>
      <w:start w:val="7"/>
    </w:lvl>
  </w:abstractNum>
  <w:abstractNum w:abstractNumId="205">
    <w:nsid w:val="7BDD6690"/>
    <w:multiLevelType w:val="hybridMultilevel"/>
    <w:lvl w:ilvl="0">
      <w:lvlJc w:val="left"/>
      <w:lvlText w:val="%1"/>
      <w:numFmt w:val="lowerLetter"/>
      <w:start w:val="1"/>
    </w:lvl>
    <w:lvl w:ilvl="1">
      <w:lvlJc w:val="left"/>
      <w:lvlText w:val="(%2)"/>
      <w:numFmt w:val="decimal"/>
      <w:start w:val="15"/>
    </w:lvl>
  </w:abstractNum>
  <w:abstractNum w:abstractNumId="206">
    <w:nsid w:val="DFB5C5B"/>
    <w:multiLevelType w:val="hybridMultilevel"/>
    <w:lvl w:ilvl="0">
      <w:lvlJc w:val="left"/>
      <w:lvlText w:val="(%1)"/>
      <w:numFmt w:val="lowerLetter"/>
      <w:start w:val="5"/>
    </w:lvl>
    <w:lvl w:ilvl="1">
      <w:lvlJc w:val="left"/>
      <w:lvlText w:val="%2"/>
      <w:numFmt w:val="decimal"/>
      <w:start w:val="1"/>
    </w:lvl>
  </w:abstractNum>
  <w:abstractNum w:abstractNumId="207">
    <w:nsid w:val="6F3E549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08">
    <w:nsid w:val="1464BE1E"/>
    <w:multiLevelType w:val="hybridMultilevel"/>
    <w:lvl w:ilvl="0">
      <w:lvlJc w:val="left"/>
      <w:lvlText w:val="(%1)"/>
      <w:numFmt w:val="lowerLetter"/>
      <w:start w:val="25"/>
    </w:lvl>
  </w:abstractNum>
  <w:abstractNum w:abstractNumId="209">
    <w:nsid w:val="66BBB7E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2"/>
    </w:lvl>
  </w:abstractNum>
  <w:abstractNum w:abstractNumId="210">
    <w:nsid w:val="2816830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lvl w:ilvl="3">
      <w:lvlJc w:val="left"/>
      <w:lvlText w:val="(%4)"/>
      <w:numFmt w:val="upperLetter"/>
      <w:start w:val="6"/>
    </w:lvl>
  </w:abstractNum>
  <w:abstractNum w:abstractNumId="211">
    <w:nsid w:val="32A5C7A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212">
    <w:nsid w:val="3A541011"/>
    <w:multiLevelType w:val="hybridMultilevel"/>
    <w:lvl w:ilvl="0">
      <w:lvlJc w:val="left"/>
      <w:lvlText w:val="%1"/>
      <w:numFmt w:val="lowerRoman"/>
      <w:start w:val="1"/>
    </w:lvl>
    <w:lvl w:ilvl="1">
      <w:lvlJc w:val="left"/>
      <w:lvlText w:val="(%2)"/>
      <w:numFmt w:val="upperLetter"/>
      <w:start w:val="3"/>
    </w:lvl>
  </w:abstractNum>
  <w:abstractNum w:abstractNumId="213">
    <w:nsid w:val="4423C777"/>
    <w:multiLevelType w:val="hybridMultilevel"/>
    <w:lvl w:ilvl="0">
      <w:lvlJc w:val="left"/>
      <w:lvlText w:val="(%1)"/>
      <w:numFmt w:val="lowerRoman"/>
      <w:start w:val="1"/>
    </w:lvl>
    <w:lvl w:ilvl="1">
      <w:lvlJc w:val="left"/>
      <w:lvlText w:val="%2"/>
      <w:numFmt w:val="upperLetter"/>
      <w:start w:val="1"/>
    </w:lvl>
  </w:abstractNum>
  <w:abstractNum w:abstractNumId="214">
    <w:nsid w:val="5F5C6E4D"/>
    <w:multiLevelType w:val="hybridMultilevel"/>
    <w:lvl w:ilvl="0">
      <w:lvlJc w:val="left"/>
      <w:lvlText w:val="(%1)"/>
      <w:numFmt w:val="upperLetter"/>
      <w:start w:val="4"/>
    </w:lvl>
  </w:abstractNum>
  <w:abstractNum w:abstractNumId="215">
    <w:nsid w:val="7C2A56CD"/>
    <w:multiLevelType w:val="hybridMultilevel"/>
    <w:lvl w:ilvl="0">
      <w:lvlJc w:val="left"/>
      <w:lvlText w:val="(%1)"/>
      <w:numFmt w:val="lowerRoman"/>
      <w:start w:val="2"/>
    </w:lvl>
    <w:lvl w:ilvl="1">
      <w:lvlJc w:val="left"/>
      <w:lvlText w:val="(%2)"/>
      <w:numFmt w:val="decimal"/>
      <w:start w:val="2"/>
    </w:lvl>
  </w:abstractNum>
  <w:abstractNum w:abstractNumId="216">
    <w:nsid w:val="7AB86EE1"/>
    <w:multiLevelType w:val="hybridMultilevel"/>
    <w:lvl w:ilvl="0">
      <w:lvlJc w:val="left"/>
      <w:lvlText w:val="(%1)"/>
      <w:numFmt w:val="lowerLetter"/>
      <w:start w:val="3"/>
    </w:lvl>
  </w:abstractNum>
  <w:abstractNum w:abstractNumId="217">
    <w:nsid w:val="B54E53B"/>
    <w:multiLevelType w:val="hybridMultilevel"/>
    <w:lvl w:ilvl="0">
      <w:lvlJc w:val="left"/>
      <w:lvlText w:val="(%1)"/>
      <w:numFmt w:val="lowerLetter"/>
      <w:start w:val="6"/>
    </w:lvl>
  </w:abstractNum>
  <w:abstractNum w:abstractNumId="218">
    <w:nsid w:val="2A00487"/>
    <w:multiLevelType w:val="hybridMultilevel"/>
    <w:lvl w:ilvl="0">
      <w:lvlJc w:val="left"/>
      <w:lvlText w:val="(%1)"/>
      <w:numFmt w:val="lowerLetter"/>
      <w:start w:val="1"/>
    </w:lvl>
    <w:lvl w:ilvl="1">
      <w:lvlJc w:val="left"/>
      <w:lvlText w:val="(%2)"/>
      <w:numFmt w:val="decimal"/>
      <w:start w:val="1"/>
    </w:lvl>
  </w:abstractNum>
  <w:abstractNum w:abstractNumId="219">
    <w:nsid w:val="6CB1B60"/>
    <w:multiLevelType w:val="hybridMultilevel"/>
    <w:lvl w:ilvl="0">
      <w:lvlJc w:val="left"/>
      <w:lvlText w:val="(%1)"/>
      <w:numFmt w:val="lowerLetter"/>
      <w:start w:val="2"/>
    </w:lvl>
  </w:abstractNum>
  <w:abstractNum w:abstractNumId="220">
    <w:nsid w:val="72EDD574"/>
    <w:multiLevelType w:val="hybridMultilevel"/>
    <w:lvl w:ilvl="0">
      <w:lvlJc w:val="left"/>
      <w:lvlText w:val="%1"/>
      <w:numFmt w:val="lowerLetter"/>
      <w:start w:val="1"/>
    </w:lvl>
    <w:lvl w:ilvl="1">
      <w:lvlJc w:val="left"/>
      <w:lvlText w:val="(%2)"/>
      <w:numFmt w:val="decimal"/>
      <w:start w:val="1"/>
    </w:lvl>
  </w:abstractNum>
  <w:abstractNum w:abstractNumId="221">
    <w:nsid w:val="7323808A"/>
    <w:multiLevelType w:val="hybridMultilevel"/>
    <w:lvl w:ilvl="0">
      <w:lvlJc w:val="left"/>
      <w:lvlText w:val="(%1)"/>
      <w:numFmt w:val="lowerLetter"/>
      <w:start w:val="2"/>
    </w:lvl>
    <w:lvl w:ilvl="1">
      <w:lvlJc w:val="left"/>
      <w:lvlText w:val="(%2)"/>
      <w:numFmt w:val="decimal"/>
      <w:start w:val="2"/>
    </w:lvl>
  </w:abstractNum>
  <w:abstractNum w:abstractNumId="222">
    <w:nsid w:val="5157276"/>
    <w:multiLevelType w:val="hybridMultilevel"/>
    <w:lvl w:ilvl="0">
      <w:lvlJc w:val="left"/>
      <w:lvlText w:val="(%1)"/>
      <w:numFmt w:val="decimal"/>
      <w:start w:val="8"/>
    </w:lvl>
  </w:abstractNum>
  <w:abstractNum w:abstractNumId="223">
    <w:nsid w:val="35A681DB"/>
    <w:multiLevelType w:val="hybridMultilevel"/>
    <w:lvl w:ilvl="0">
      <w:lvlJc w:val="left"/>
      <w:lvlText w:val="(%1)"/>
      <w:numFmt w:val="decimal"/>
      <w:start w:val="16"/>
    </w:lvl>
  </w:abstractNum>
  <w:abstractNum w:abstractNumId="224">
    <w:nsid w:val="1786C974"/>
    <w:multiLevelType w:val="hybridMultilevel"/>
    <w:lvl w:ilvl="0">
      <w:lvlJc w:val="left"/>
      <w:lvlText w:val="%1"/>
      <w:numFmt w:val="lowerLetter"/>
      <w:start w:val="1"/>
    </w:lvl>
    <w:lvl w:ilvl="1">
      <w:lvlJc w:val="left"/>
      <w:lvlText w:val="(%2)"/>
      <w:numFmt w:val="decimal"/>
      <w:start w:val="28"/>
    </w:lvl>
  </w:abstractNum>
  <w:abstractNum w:abstractNumId="225">
    <w:nsid w:val="1C2427A1"/>
    <w:multiLevelType w:val="hybridMultilevel"/>
    <w:lvl w:ilvl="0">
      <w:lvlJc w:val="left"/>
      <w:lvlText w:val="(%1)"/>
      <w:numFmt w:val="lowerLetter"/>
      <w:start w:val="3"/>
    </w:lvl>
    <w:lvl w:ilvl="1">
      <w:lvlJc w:val="left"/>
      <w:lvlText w:val="%2"/>
      <w:numFmt w:val="decimal"/>
      <w:start w:val="1"/>
    </w:lvl>
  </w:abstractNum>
  <w:abstractNum w:abstractNumId="226">
    <w:nsid w:val="63A24D68"/>
    <w:multiLevelType w:val="hybridMultilevel"/>
    <w:lvl w:ilvl="0">
      <w:lvlJc w:val="left"/>
      <w:lvlText w:val="(%1)"/>
      <w:numFmt w:val="decimal"/>
      <w:start w:val="1"/>
    </w:lvl>
  </w:abstractNum>
  <w:abstractNum w:abstractNumId="227">
    <w:nsid w:val="4FB7A02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28">
    <w:nsid w:val="96CF728"/>
    <w:multiLevelType w:val="hybridMultilevel"/>
    <w:lvl w:ilvl="0">
      <w:lvlJc w:val="left"/>
      <w:lvlText w:val="%1"/>
      <w:numFmt w:val="decimal"/>
      <w:start w:val="1"/>
    </w:lvl>
    <w:lvl w:ilvl="1">
      <w:lvlJc w:val="left"/>
      <w:lvlText w:val="(%2)"/>
      <w:numFmt w:val="decimal"/>
      <w:start w:val="3"/>
    </w:lvl>
  </w:abstractNum>
  <w:abstractNum w:abstractNumId="229">
    <w:nsid w:val="3B121183"/>
    <w:multiLevelType w:val="hybridMultilevel"/>
    <w:lvl w:ilvl="0">
      <w:lvlJc w:val="left"/>
      <w:lvlText w:val="(%1)"/>
      <w:numFmt w:val="decimal"/>
      <w:start w:val="4"/>
    </w:lvl>
    <w:lvl w:ilvl="1">
      <w:lvlJc w:val="left"/>
      <w:lvlText w:val="%2"/>
      <w:numFmt w:val="decimal"/>
      <w:start w:val="1"/>
    </w:lvl>
  </w:abstractNum>
  <w:abstractNum w:abstractNumId="230">
    <w:nsid w:val="3459648F"/>
    <w:multiLevelType w:val="hybridMultilevel"/>
    <w:lvl w:ilvl="0">
      <w:lvlJc w:val="left"/>
      <w:lvlText w:val="(%1)"/>
      <w:numFmt w:val="decimal"/>
      <w:start w:val="9"/>
    </w:lvl>
  </w:abstractNum>
  <w:abstractNum w:abstractNumId="231">
    <w:nsid w:val="3ADF331D"/>
    <w:multiLevelType w:val="hybridMultilevel"/>
    <w:lvl w:ilvl="0">
      <w:lvlJc w:val="left"/>
      <w:lvlText w:val="(%1)"/>
      <w:numFmt w:val="lowerLetter"/>
      <w:start w:val="2"/>
    </w:lvl>
    <w:lvl w:ilvl="1">
      <w:lvlJc w:val="left"/>
      <w:lvlText w:val="(%2)"/>
      <w:numFmt w:val="decimal"/>
      <w:start w:val="1"/>
    </w:lvl>
  </w:abstractNum>
  <w:abstractNum w:abstractNumId="232">
    <w:nsid w:val="4D08A9E4"/>
    <w:multiLevelType w:val="hybridMultilevel"/>
    <w:lvl w:ilvl="0">
      <w:lvlJc w:val="left"/>
      <w:lvlText w:val="(%1)"/>
      <w:numFmt w:val="lowerLetter"/>
      <w:start w:val="1"/>
    </w:lvl>
  </w:abstractNum>
  <w:abstractNum w:abstractNumId="233">
    <w:nsid w:val="6AF2BB3A"/>
    <w:multiLevelType w:val="hybridMultilevel"/>
    <w:lvl w:ilvl="0">
      <w:lvlJc w:val="left"/>
      <w:lvlText w:val="(%1)"/>
      <w:numFmt w:val="lowerLetter"/>
      <w:start w:val="2"/>
    </w:lvl>
  </w:abstractNum>
  <w:abstractNum w:abstractNumId="234">
    <w:nsid w:val="481B1739"/>
    <w:multiLevelType w:val="hybridMultilevel"/>
    <w:lvl w:ilvl="0">
      <w:lvlJc w:val="left"/>
      <w:lvlText w:val="(%1)"/>
      <w:numFmt w:val="lowerLetter"/>
      <w:start w:val="1"/>
    </w:lvl>
  </w:abstractNum>
  <w:abstractNum w:abstractNumId="235">
    <w:nsid w:val="19E2BFCC"/>
    <w:multiLevelType w:val="hybridMultilevel"/>
    <w:lvl w:ilvl="0">
      <w:lvlJc w:val="left"/>
      <w:lvlText w:val="(%1)"/>
      <w:numFmt w:val="lowerLetter"/>
      <w:start w:val="3"/>
    </w:lvl>
  </w:abstractNum>
  <w:abstractNum w:abstractNumId="236">
    <w:nsid w:val="66D021C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37">
    <w:nsid w:val="56167394"/>
    <w:multiLevelType w:val="hybridMultilevel"/>
    <w:lvl w:ilvl="0">
      <w:lvlJc w:val="left"/>
      <w:lvlText w:val="%1"/>
      <w:numFmt w:val="lowerLetter"/>
      <w:start w:val="1"/>
    </w:lvl>
    <w:lvl w:ilvl="1">
      <w:lvlJc w:val="left"/>
      <w:lvlText w:val="(%2)"/>
      <w:numFmt w:val="decimal"/>
      <w:start w:val="5"/>
    </w:lvl>
  </w:abstractNum>
  <w:abstractNum w:abstractNumId="238">
    <w:nsid w:val="921145C"/>
    <w:multiLevelType w:val="hybridMultilevel"/>
    <w:lvl w:ilvl="0">
      <w:lvlJc w:val="left"/>
      <w:lvlText w:val="(%1)"/>
      <w:numFmt w:val="lowerLetter"/>
      <w:start w:val="2"/>
    </w:lvl>
    <w:lvl w:ilvl="1">
      <w:lvlJc w:val="left"/>
      <w:lvlText w:val="(%2)"/>
      <w:numFmt w:val="decimal"/>
      <w:start w:val="1"/>
    </w:lvl>
  </w:abstractNum>
  <w:abstractNum w:abstractNumId="239">
    <w:nsid w:val="7B34DFE8"/>
    <w:multiLevelType w:val="hybridMultilevel"/>
    <w:lvl w:ilvl="0">
      <w:lvlJc w:val="left"/>
      <w:lvlText w:val="%1"/>
      <w:numFmt w:val="lowerLetter"/>
      <w:start w:val="1"/>
    </w:lvl>
    <w:lvl w:ilvl="1">
      <w:lvlJc w:val="left"/>
      <w:lvlText w:val="(%2)"/>
      <w:numFmt w:val="decimal"/>
      <w:start w:val="1"/>
    </w:lvl>
  </w:abstractNum>
  <w:abstractNum w:abstractNumId="240">
    <w:nsid w:val="3CD22B79"/>
    <w:multiLevelType w:val="hybridMultilevel"/>
    <w:lvl w:ilvl="0">
      <w:lvlJc w:val="left"/>
      <w:lvlText w:val="(%1)"/>
      <w:numFmt w:val="lowerLetter"/>
      <w:start w:val="9"/>
    </w:lvl>
    <w:lvl w:ilvl="1">
      <w:lvlJc w:val="left"/>
      <w:lvlText w:val="%2"/>
      <w:numFmt w:val="decimal"/>
      <w:start w:val="1"/>
    </w:lvl>
  </w:abstractNum>
  <w:abstractNum w:abstractNumId="241">
    <w:nsid w:val="313797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4"/>
    </w:lvl>
    <w:lvl w:ilvl="3">
      <w:lvlJc w:val="left"/>
      <w:lvlText w:val="(%4)"/>
      <w:numFmt w:val="lowerLetter"/>
      <w:start w:val="1"/>
    </w:lvl>
  </w:abstractNum>
  <w:abstractNum w:abstractNumId="242">
    <w:nsid w:val="2DDAA79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43">
    <w:nsid w:val="77263B8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244">
    <w:nsid w:val="755B5ED6"/>
    <w:multiLevelType w:val="hybridMultilevel"/>
    <w:lvl w:ilvl="0">
      <w:lvlJc w:val="left"/>
      <w:lvlText w:val="(%1)"/>
      <w:numFmt w:val="decimal"/>
      <w:start w:val="6"/>
    </w:lvl>
    <w:lvl w:ilvl="1">
      <w:lvlJc w:val="left"/>
      <w:lvlText w:val="(%2)"/>
      <w:numFmt w:val="lowerRoman"/>
      <w:start w:val="1"/>
    </w:lvl>
  </w:abstractNum>
  <w:abstractNum w:abstractNumId="245">
    <w:nsid w:val="D3715DE"/>
    <w:multiLevelType w:val="hybridMultilevel"/>
    <w:lvl w:ilvl="0">
      <w:lvlJc w:val="left"/>
      <w:lvlText w:val="(%1)"/>
      <w:numFmt w:val="decimal"/>
      <w:start w:val="8"/>
    </w:lvl>
  </w:abstractNum>
  <w:abstractNum w:abstractNumId="246">
    <w:nsid w:val="73509257"/>
    <w:multiLevelType w:val="hybridMultilevel"/>
    <w:lvl w:ilvl="0">
      <w:lvlJc w:val="left"/>
      <w:lvlText w:val="(%1)"/>
      <w:numFmt w:val="lowerLetter"/>
      <w:start w:val="2"/>
    </w:lvl>
  </w:abstractNum>
  <w:abstractNum w:abstractNumId="247">
    <w:nsid w:val="7013CDB7"/>
    <w:multiLevelType w:val="hybridMultilevel"/>
    <w:lvl w:ilvl="0">
      <w:lvlJc w:val="left"/>
      <w:lvlText w:val="(%1)"/>
      <w:numFmt w:val="lowerLetter"/>
      <w:start w:val="5"/>
    </w:lvl>
  </w:abstractNum>
  <w:abstractNum w:abstractNumId="248">
    <w:nsid w:val="188BFB19"/>
    <w:multiLevelType w:val="hybridMultilevel"/>
    <w:lvl w:ilvl="0">
      <w:lvlJc w:val="left"/>
      <w:lvlText w:val="(%1)"/>
      <w:numFmt w:val="lowerLetter"/>
      <w:start w:val="1"/>
    </w:lvl>
  </w:abstractNum>
  <w:abstractNum w:abstractNumId="249">
    <w:nsid w:val="75F096DF"/>
    <w:multiLevelType w:val="hybridMultilevel"/>
    <w:lvl w:ilvl="0">
      <w:lvlJc w:val="left"/>
      <w:lvlText w:val="(%1)"/>
      <w:numFmt w:val="lowerLetter"/>
      <w:start w:val="1"/>
    </w:lvl>
  </w:abstractNum>
  <w:abstractNum w:abstractNumId="250">
    <w:nsid w:val="76DEE918"/>
    <w:multiLevelType w:val="hybridMultilevel"/>
    <w:lvl w:ilvl="0">
      <w:lvlJc w:val="left"/>
      <w:lvlText w:val="(%1)"/>
      <w:numFmt w:val="decimal"/>
      <w:start w:val="1"/>
    </w:lvl>
  </w:abstractNum>
  <w:abstractNum w:abstractNumId="251">
    <w:nsid w:val="B79D08D"/>
    <w:multiLevelType w:val="hybridMultilevel"/>
    <w:lvl w:ilvl="0">
      <w:lvlJc w:val="left"/>
      <w:lvlText w:val="(%1)"/>
      <w:numFmt w:val="decimal"/>
      <w:start w:val="2"/>
    </w:lvl>
  </w:abstractNum>
  <w:abstractNum w:abstractNumId="252">
    <w:nsid w:val="69141769"/>
    <w:multiLevelType w:val="hybridMultilevel"/>
    <w:lvl w:ilvl="0">
      <w:lvlJc w:val="left"/>
      <w:lvlText w:val="(%1)"/>
      <w:numFmt w:val="decimal"/>
      <w:start w:val="1"/>
    </w:lvl>
  </w:abstractNum>
  <w:abstractNum w:abstractNumId="253">
    <w:nsid w:val="7BF45B8E"/>
    <w:multiLevelType w:val="hybridMultilevel"/>
    <w:lvl w:ilvl="0">
      <w:lvlJc w:val="left"/>
      <w:lvlText w:val="(%1)"/>
      <w:numFmt w:val="decimal"/>
      <w:start w:val="5"/>
    </w:lvl>
  </w:abstractNum>
  <w:abstractNum w:abstractNumId="254">
    <w:nsid w:val="41205269"/>
    <w:multiLevelType w:val="hybridMultilevel"/>
    <w:lvl w:ilvl="0">
      <w:lvlJc w:val="left"/>
      <w:lvlText w:val="(%1)"/>
      <w:numFmt w:val="lowerRoman"/>
      <w:start w:val="1"/>
    </w:lvl>
  </w:abstractNum>
  <w:abstractNum w:abstractNumId="255">
    <w:nsid w:val="9AE0DD"/>
    <w:multiLevelType w:val="hybridMultilevel"/>
    <w:lvl w:ilvl="0">
      <w:lvlJc w:val="left"/>
      <w:lvlText w:val="(%1)"/>
      <w:numFmt w:val="lowerLetter"/>
      <w:start w:val="1"/>
    </w:lvl>
    <w:lvl w:ilvl="1">
      <w:lvlJc w:val="left"/>
      <w:lvlText w:val="(%2)"/>
      <w:numFmt w:val="lowerRoman"/>
      <w:start w:val="1"/>
    </w:lvl>
  </w:abstractNum>
  <w:abstractNum w:abstractNumId="256">
    <w:nsid w:val="1818832F"/>
    <w:multiLevelType w:val="hybridMultilevel"/>
    <w:lvl w:ilvl="0">
      <w:lvlJc w:val="left"/>
      <w:lvlText w:val="(%1)"/>
      <w:numFmt w:val="lowerLetter"/>
      <w:start w:val="1"/>
    </w:lvl>
  </w:abstractNum>
  <w:abstractNum w:abstractNumId="257">
    <w:nsid w:val="24C29FD1"/>
    <w:multiLevelType w:val="hybridMultilevel"/>
    <w:lvl w:ilvl="0">
      <w:lvlJc w:val="left"/>
      <w:lvlText w:val="(%1)"/>
      <w:numFmt w:val="lowerLetter"/>
      <w:start w:val="2"/>
    </w:lvl>
  </w:abstractNum>
  <w:abstractNum w:abstractNumId="258">
    <w:nsid w:val="50528108"/>
    <w:multiLevelType w:val="hybridMultilevel"/>
    <w:lvl w:ilvl="0">
      <w:lvlJc w:val="left"/>
      <w:lvlText w:val="(%1)"/>
      <w:numFmt w:val="lowerLetter"/>
      <w:start w:val="1"/>
    </w:lvl>
  </w:abstractNum>
  <w:abstractNum w:abstractNumId="259">
    <w:nsid w:val="21857A57"/>
    <w:multiLevelType w:val="hybridMultilevel"/>
    <w:lvl w:ilvl="0">
      <w:lvlJc w:val="left"/>
      <w:lvlText w:val="(%1)"/>
      <w:numFmt w:val="lowerLetter"/>
      <w:start w:val="1"/>
    </w:lvl>
  </w:abstractNum>
  <w:abstractNum w:abstractNumId="260">
    <w:nsid w:val="5FD4B154"/>
    <w:multiLevelType w:val="hybridMultilevel"/>
    <w:lvl w:ilvl="0">
      <w:lvlJc w:val="left"/>
      <w:lvlText w:val="(%1)"/>
      <w:numFmt w:val="decimal"/>
      <w:start w:val="1"/>
    </w:lvl>
    <w:lvl w:ilvl="1">
      <w:lvlJc w:val="left"/>
      <w:lvlText w:val="(%2)"/>
      <w:numFmt w:val="lowerLetter"/>
      <w:start w:val="1"/>
    </w:lvl>
  </w:abstractNum>
  <w:abstractNum w:abstractNumId="261">
    <w:nsid w:val="4ABE597"/>
    <w:multiLevelType w:val="hybridMultilevel"/>
    <w:lvl w:ilvl="0">
      <w:lvlJc w:val="left"/>
      <w:lvlText w:val="(%1)"/>
      <w:numFmt w:val="decimal"/>
      <w:start w:val="3"/>
    </w:lvl>
  </w:abstractNum>
  <w:abstractNum w:abstractNumId="262">
    <w:nsid w:val="5C64AD75"/>
    <w:multiLevelType w:val="hybridMultilevel"/>
    <w:lvl w:ilvl="0">
      <w:lvlJc w:val="left"/>
      <w:lvlText w:val="(%1)"/>
      <w:numFmt w:val="lowerLetter"/>
      <w:start w:val="1"/>
    </w:lvl>
    <w:lvl w:ilvl="1">
      <w:lvlJc w:val="left"/>
      <w:lvlText w:val="(%2)"/>
      <w:numFmt w:val="decimal"/>
      <w:start w:val="1"/>
    </w:lvl>
  </w:abstractNum>
  <w:abstractNum w:abstractNumId="263">
    <w:nsid w:val="2CDD5B39"/>
    <w:multiLevelType w:val="hybridMultilevel"/>
    <w:lvl w:ilvl="0">
      <w:lvlJc w:val="left"/>
      <w:lvlText w:val="%1"/>
      <w:numFmt w:val="lowerLetter"/>
      <w:start w:val="1"/>
    </w:lvl>
    <w:lvl w:ilvl="1">
      <w:lvlJc w:val="left"/>
      <w:lvlText w:val="(%2)"/>
      <w:numFmt w:val="decimal"/>
      <w:start w:val="12"/>
    </w:lvl>
  </w:abstractNum>
  <w:abstractNum w:abstractNumId="264">
    <w:nsid w:val="6F9EA0D1"/>
    <w:multiLevelType w:val="hybridMultilevel"/>
    <w:lvl w:ilvl="0">
      <w:lvlJc w:val="left"/>
      <w:lvlText w:val="(%1)"/>
      <w:numFmt w:val="lowerLetter"/>
      <w:start w:val="2"/>
    </w:lvl>
    <w:lvl w:ilvl="1">
      <w:lvlJc w:val="left"/>
      <w:lvlText w:val="(%2)"/>
      <w:numFmt w:val="decimal"/>
      <w:start w:val="1"/>
    </w:lvl>
  </w:abstractNum>
  <w:abstractNum w:abstractNumId="265">
    <w:nsid w:val="247FC4AE"/>
    <w:multiLevelType w:val="hybridMultilevel"/>
    <w:lvl w:ilvl="0">
      <w:lvlJc w:val="left"/>
      <w:lvlText w:val="%1"/>
      <w:numFmt w:val="lowerLetter"/>
      <w:start w:val="1"/>
    </w:lvl>
    <w:lvl w:ilvl="1">
      <w:lvlJc w:val="left"/>
      <w:lvlText w:val="(%2)"/>
      <w:numFmt w:val="decimal"/>
      <w:start w:val="2"/>
    </w:lvl>
  </w:abstractNum>
  <w:abstractNum w:abstractNumId="266">
    <w:nsid w:val="46C01B05"/>
    <w:multiLevelType w:val="hybridMultilevel"/>
    <w:lvl w:ilvl="0">
      <w:lvlJc w:val="left"/>
      <w:lvlText w:val="(%1)"/>
      <w:numFmt w:val="lowerLetter"/>
      <w:start w:val="3"/>
    </w:lvl>
    <w:lvl w:ilvl="1">
      <w:lvlJc w:val="left"/>
      <w:lvlText w:val="%2"/>
      <w:numFmt w:val="decimal"/>
      <w:start w:val="1"/>
    </w:lvl>
  </w:abstractNum>
  <w:abstractNum w:abstractNumId="267">
    <w:nsid w:val="566EC29B"/>
    <w:multiLevelType w:val="hybridMultilevel"/>
    <w:lvl w:ilvl="0">
      <w:lvlJc w:val="left"/>
      <w:lvlText w:val="(%1)"/>
      <w:numFmt w:val="decimal"/>
      <w:start w:val="1"/>
    </w:lvl>
  </w:abstractNum>
  <w:abstractNum w:abstractNumId="268">
    <w:nsid w:val="7A963843"/>
    <w:multiLevelType w:val="hybridMultilevel"/>
    <w:lvl w:ilvl="0">
      <w:lvlJc w:val="left"/>
      <w:lvlText w:val="(%1)"/>
      <w:numFmt w:val="decimal"/>
      <w:start w:val="3"/>
    </w:lvl>
  </w:abstractNum>
  <w:abstractNum w:abstractNumId="269">
    <w:nsid w:val="4FE12F61"/>
    <w:multiLevelType w:val="hybridMultilevel"/>
    <w:lvl w:ilvl="0">
      <w:lvlJc w:val="left"/>
      <w:lvlText w:val="(%1)"/>
      <w:numFmt w:val="lowerRoman"/>
      <w:start w:val="10"/>
    </w:lvl>
  </w:abstractNum>
  <w:abstractNum w:abstractNumId="270">
    <w:nsid w:val="51A3A284"/>
    <w:multiLevelType w:val="hybridMultilevel"/>
    <w:lvl w:ilvl="0">
      <w:lvlJc w:val="left"/>
      <w:lvlText w:val="(%1)"/>
      <w:numFmt w:val="upperLetter"/>
      <w:start w:val="1"/>
    </w:lvl>
    <w:lvl w:ilvl="1">
      <w:lvlJc w:val="left"/>
      <w:lvlText w:val="(%2)"/>
      <w:numFmt w:val="lowerLetter"/>
      <w:start w:val="1"/>
    </w:lvl>
  </w:abstractNum>
  <w:abstractNum w:abstractNumId="271">
    <w:nsid w:val="376863BC"/>
    <w:multiLevelType w:val="hybridMultilevel"/>
    <w:lvl w:ilvl="0">
      <w:lvlJc w:val="left"/>
      <w:lvlText w:val="(%1)"/>
      <w:numFmt w:val="upperLetter"/>
      <w:start w:val="3"/>
    </w:lvl>
  </w:abstractNum>
  <w:abstractNum w:abstractNumId="272">
    <w:nsid w:val="118C6C0"/>
    <w:multiLevelType w:val="hybridMultilevel"/>
    <w:lvl w:ilvl="0">
      <w:lvlJc w:val="left"/>
      <w:lvlText w:val="(%1)"/>
      <w:numFmt w:val="lowerLetter"/>
      <w:start w:val="2"/>
    </w:lvl>
    <w:lvl w:ilvl="1">
      <w:lvlJc w:val="left"/>
      <w:lvlText w:val="(%2)"/>
      <w:numFmt w:val="upperLetter"/>
      <w:start w:val="6"/>
    </w:lvl>
  </w:abstractNum>
  <w:abstractNum w:abstractNumId="273">
    <w:nsid w:val="7F7E4A15"/>
    <w:multiLevelType w:val="hybridMultilevel"/>
    <w:lvl w:ilvl="0">
      <w:lvlJc w:val="left"/>
      <w:lvlText w:val="(%1)"/>
      <w:numFmt w:val="decimal"/>
      <w:start w:val="1"/>
    </w:lvl>
    <w:lvl w:ilvl="1">
      <w:lvlJc w:val="left"/>
      <w:lvlText w:val="(%2)"/>
      <w:numFmt w:val="upperLetter"/>
      <w:start w:val="2"/>
    </w:lvl>
  </w:abstractNum>
  <w:abstractNum w:abstractNumId="274">
    <w:nsid w:val="2E8E9F47"/>
    <w:multiLevelType w:val="hybridMultilevel"/>
    <w:lvl w:ilvl="0">
      <w:lvlJc w:val="left"/>
      <w:lvlText w:val="(%1)"/>
      <w:numFmt w:val="lowerLetter"/>
      <w:start w:val="1"/>
    </w:lvl>
  </w:abstractNum>
  <w:abstractNum w:abstractNumId="275">
    <w:nsid w:val="76742596"/>
    <w:multiLevelType w:val="hybridMultilevel"/>
    <w:lvl w:ilvl="0">
      <w:lvlJc w:val="left"/>
      <w:lvlText w:val="(%1)"/>
      <w:numFmt w:val="lowerLetter"/>
      <w:start w:val="1"/>
    </w:lvl>
  </w:abstractNum>
  <w:abstractNum w:abstractNumId="276">
    <w:nsid w:val="CB55FF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7">
    <w:nsid w:val="21DF319E"/>
    <w:multiLevelType w:val="hybridMultilevel"/>
    <w:lvl w:ilvl="0">
      <w:lvlJc w:val="left"/>
      <w:lvlText w:val="%1"/>
      <w:numFmt w:val="decimal"/>
      <w:start w:val="1"/>
    </w:lvl>
    <w:lvl w:ilvl="1">
      <w:lvlJc w:val="left"/>
      <w:lvlText w:val="(%2)"/>
      <w:numFmt w:val="lowerRoman"/>
      <w:start w:val="4"/>
    </w:lvl>
  </w:abstractNum>
  <w:abstractNum w:abstractNumId="278">
    <w:nsid w:val="6687F34D"/>
    <w:multiLevelType w:val="hybridMultilevel"/>
    <w:lvl w:ilvl="0">
      <w:lvlJc w:val="left"/>
      <w:lvlText w:val="(%1)"/>
      <w:numFmt w:val="decimal"/>
      <w:start w:val="2"/>
    </w:lvl>
    <w:lvl w:ilvl="1">
      <w:lvlJc w:val="left"/>
      <w:lvlText w:val="(%2)"/>
      <w:numFmt w:val="lowerRoman"/>
      <w:start w:val="1"/>
    </w:lvl>
  </w:abstractNum>
  <w:abstractNum w:abstractNumId="279">
    <w:nsid w:val="25415B0C"/>
    <w:multiLevelType w:val="hybridMultilevel"/>
    <w:lvl w:ilvl="0">
      <w:lvlJc w:val="left"/>
      <w:lvlText w:val="(%1)"/>
      <w:numFmt w:val="lowerLetter"/>
      <w:start w:val="2"/>
    </w:lvl>
  </w:abstractNum>
  <w:abstractNum w:abstractNumId="280">
    <w:nsid w:val="17CFC87D"/>
    <w:multiLevelType w:val="hybridMultilevel"/>
    <w:lvl w:ilvl="0">
      <w:lvlJc w:val="left"/>
      <w:lvlText w:val="(%1)"/>
      <w:numFmt w:val="lowerLetter"/>
      <w:start w:val="1"/>
    </w:lvl>
  </w:abstractNum>
  <w:abstractNum w:abstractNumId="281">
    <w:nsid w:val="5D66DC65"/>
    <w:multiLevelType w:val="hybridMultilevel"/>
    <w:lvl w:ilvl="0">
      <w:lvlJc w:val="left"/>
      <w:lvlText w:val="(%1)"/>
      <w:numFmt w:val="lowerLetter"/>
      <w:start w:val="1"/>
    </w:lvl>
  </w:abstractNum>
  <w:abstractNum w:abstractNumId="282">
    <w:nsid w:val="30BB2B99"/>
    <w:multiLevelType w:val="hybridMultilevel"/>
    <w:lvl w:ilvl="0">
      <w:lvlJc w:val="left"/>
      <w:lvlText w:val="(%1)"/>
      <w:numFmt w:val="lowerLetter"/>
      <w:start w:val="4"/>
    </w:lvl>
  </w:abstractNum>
  <w:abstractNum w:abstractNumId="283">
    <w:nsid w:val="E3DFE6"/>
    <w:multiLevelType w:val="hybridMultilevel"/>
    <w:lvl w:ilvl="0">
      <w:lvlJc w:val="left"/>
      <w:lvlText w:val="(%1)"/>
      <w:numFmt w:val="lowerLetter"/>
      <w:start w:val="8"/>
    </w:lvl>
  </w:abstractNum>
  <w:abstractNum w:abstractNumId="284">
    <w:nsid w:val="595B37F3"/>
    <w:multiLevelType w:val="hybridMultilevel"/>
    <w:lvl w:ilvl="0">
      <w:lvlJc w:val="left"/>
      <w:lvlText w:val="%1"/>
      <w:numFmt w:val="lowerLetter"/>
      <w:start w:val="1"/>
    </w:lvl>
    <w:lvl w:ilvl="1">
      <w:lvlJc w:val="left"/>
      <w:lvlText w:val="(%2)"/>
      <w:numFmt w:val="lowerLetter"/>
      <w:start w:val="13"/>
    </w:lvl>
  </w:abstractNum>
  <w:abstractNum w:abstractNumId="285">
    <w:nsid w:val="71DB7E02"/>
    <w:multiLevelType w:val="hybridMultilevel"/>
    <w:lvl w:ilvl="0">
      <w:lvlJc w:val="left"/>
      <w:lvlText w:val="(%1)"/>
      <w:numFmt w:val="lowerLetter"/>
      <w:start w:val="35"/>
    </w:lvl>
    <w:lvl w:ilvl="1">
      <w:lvlJc w:val="left"/>
      <w:lvlText w:val="(%2)"/>
      <w:numFmt w:val="lowerLetter"/>
      <w:start w:val="14"/>
    </w:lvl>
  </w:abstractNum>
  <w:abstractNum w:abstractNumId="286">
    <w:nsid w:val="17EC0C4"/>
    <w:multiLevelType w:val="hybridMultilevel"/>
    <w:lvl w:ilvl="0">
      <w:lvlJc w:val="left"/>
      <w:lvlText w:val="(%1)"/>
      <w:numFmt w:val="lowerLetter"/>
      <w:start w:val="16"/>
    </w:lvl>
  </w:abstractNum>
  <w:abstractNum w:abstractNumId="287">
    <w:nsid w:val="7173BB22"/>
    <w:multiLevelType w:val="hybridMultilevel"/>
    <w:lvl w:ilvl="0">
      <w:lvlJc w:val="left"/>
      <w:lvlText w:val="(%1)"/>
      <w:numFmt w:val="lowerLetter"/>
      <w:start w:val="19"/>
    </w:lvl>
  </w:abstractNum>
  <w:abstractNum w:abstractNumId="288">
    <w:nsid w:val="169E1DD3"/>
    <w:multiLevelType w:val="hybridMultilevel"/>
    <w:lvl w:ilvl="0">
      <w:lvlJc w:val="left"/>
      <w:lvlText w:val="(%1)"/>
      <w:numFmt w:val="lowerLetter"/>
      <w:start w:val="24"/>
    </w:lvl>
  </w:abstractNum>
  <w:abstractNum w:abstractNumId="289">
    <w:nsid w:val="51D141CC"/>
    <w:multiLevelType w:val="hybridMultilevel"/>
    <w:lvl w:ilvl="0">
      <w:lvlJc w:val="left"/>
      <w:lvlText w:val="(%1)"/>
      <w:numFmt w:val="lowerLetter"/>
      <w:start w:val="27"/>
    </w:lvl>
  </w:abstractNum>
  <w:abstractNum w:abstractNumId="290">
    <w:nsid w:val="12F9357A"/>
    <w:multiLevelType w:val="hybridMultilevel"/>
    <w:lvl w:ilvl="0">
      <w:lvlJc w:val="left"/>
      <w:lvlText w:val="(%1)"/>
      <w:numFmt w:val="lowerLetter"/>
      <w:start w:val="29"/>
    </w:lvl>
  </w:abstractNum>
  <w:abstractNum w:abstractNumId="291">
    <w:nsid w:val="7672CF28"/>
    <w:multiLevelType w:val="hybridMultilevel"/>
    <w:lvl w:ilvl="0">
      <w:lvlJc w:val="left"/>
      <w:lvlText w:val="%1."/>
      <w:numFmt w:val="decimal"/>
      <w:start w:val="1"/>
    </w:lvl>
  </w:abstractNum>
  <w:abstractNum w:abstractNumId="292">
    <w:nsid w:val="567D2763"/>
    <w:multiLevelType w:val="hybridMultilevel"/>
    <w:lvl w:ilvl="0">
      <w:lvlJc w:val="left"/>
      <w:lvlText w:val="%1."/>
      <w:numFmt w:val="decimal"/>
      <w:start w:val="2"/>
    </w:lvl>
  </w:abstractNum>
  <w:abstractNum w:abstractNumId="293">
    <w:nsid w:val="6F5DE2EF"/>
    <w:multiLevelType w:val="hybridMultilevel"/>
    <w:lvl w:ilvl="0">
      <w:lvlJc w:val="left"/>
      <w:lvlText w:val="1"/>
      <w:numFmt w:val="bullet"/>
      <w:start w:val="1"/>
    </w:lvl>
  </w:abstractNum>
  <w:abstractNum w:abstractNumId="294">
    <w:nsid w:val="23502A61"/>
    <w:multiLevelType w:val="hybridMultilevel"/>
    <w:lvl w:ilvl="0">
      <w:lvlJc w:val="left"/>
      <w:lvlText w:val="2"/>
      <w:numFmt w:val="bullet"/>
      <w:start w:val="1"/>
    </w:lvl>
  </w:abstractNum>
  <w:abstractNum w:abstractNumId="295">
    <w:nsid w:val="461BC834"/>
    <w:multiLevelType w:val="hybridMultilevel"/>
    <w:lvl w:ilvl="0">
      <w:lvlJc w:val="left"/>
      <w:lvlText w:val="%1."/>
      <w:numFmt w:val="decimal"/>
      <w:start w:val="7"/>
    </w:lvl>
  </w:abstractNum>
  <w:abstractNum w:abstractNumId="296">
    <w:nsid w:val="13DDA79D"/>
    <w:multiLevelType w:val="hybridMultilevel"/>
    <w:lvl w:ilvl="0">
      <w:lvlJc w:val="left"/>
      <w:lvlText w:val="*"/>
      <w:numFmt w:val="bullet"/>
      <w:start w:val="1"/>
    </w:lvl>
  </w:abstractNum>
  <w:abstractNum w:abstractNumId="297">
    <w:nsid w:val="6A104566"/>
    <w:multiLevelType w:val="hybridMultilevel"/>
    <w:lvl w:ilvl="0">
      <w:lvlJc w:val="left"/>
      <w:lvlText w:val="*"/>
      <w:numFmt w:val="bullet"/>
      <w:start w:val="1"/>
    </w:lvl>
  </w:abstractNum>
  <w:abstractNum w:abstractNumId="298">
    <w:nsid w:val="1C8A8ACF"/>
    <w:multiLevelType w:val="hybridMultilevel"/>
    <w:lvl w:ilvl="0">
      <w:lvlJc w:val="left"/>
      <w:lvlText w:val="%1."/>
      <w:numFmt w:val="decimal"/>
      <w:start w:val="1"/>
    </w:lvl>
  </w:abstractNum>
  <w:abstractNum w:abstractNumId="299">
    <w:nsid w:val="E73DFE0"/>
    <w:multiLevelType w:val="hybridMultilevel"/>
    <w:lvl w:ilvl="0">
      <w:lvlJc w:val="left"/>
      <w:lvlText w:val="%1."/>
      <w:numFmt w:val="decimal"/>
      <w:start w:val="2"/>
    </w:lvl>
  </w:abstractNum>
  <w:abstractNum w:abstractNumId="300">
    <w:nsid w:val="39F174C7"/>
    <w:multiLevelType w:val="hybridMultilevel"/>
    <w:lvl w:ilvl="0">
      <w:lvlJc w:val="left"/>
      <w:lvlText w:val="%1."/>
      <w:numFmt w:val="decimal"/>
      <w:start w:val="3"/>
    </w:lvl>
    <w:lvl w:ilvl="1">
      <w:lvlJc w:val="left"/>
      <w:lvlText w:val="(%2)"/>
      <w:numFmt w:val="lowerLetter"/>
      <w:start w:val="1"/>
    </w:lvl>
  </w:abstractNum>
  <w:abstractNum w:abstractNumId="301">
    <w:nsid w:val="6E2E2D53"/>
    <w:multiLevelType w:val="hybridMultilevel"/>
    <w:lvl w:ilvl="0">
      <w:lvlJc w:val="left"/>
      <w:lvlText w:val="%1"/>
      <w:numFmt w:val="decimal"/>
      <w:start w:val="1"/>
    </w:lvl>
    <w:lvl w:ilvl="1">
      <w:lvlJc w:val="left"/>
      <w:lvlText w:val="(%2)"/>
      <w:numFmt w:val="lowerLetter"/>
      <w:start w:val="2"/>
    </w:lvl>
  </w:abstractNum>
  <w:abstractNum w:abstractNumId="302">
    <w:nsid w:val="45DC439D"/>
    <w:multiLevelType w:val="hybridMultilevel"/>
    <w:lvl w:ilvl="0">
      <w:lvlJc w:val="left"/>
      <w:lvlText w:val="%1."/>
      <w:numFmt w:val="decimal"/>
      <w:start w:val="4"/>
    </w:lvl>
    <w:lvl w:ilvl="1">
      <w:lvlJc w:val="left"/>
      <w:lvlText w:val="%2"/>
      <w:numFmt w:val="lowerLetter"/>
      <w:start w:val="1"/>
    </w:lvl>
  </w:abstractNum>
  <w:abstractNum w:abstractNumId="303">
    <w:nsid w:val="3B0A3B87"/>
    <w:multiLevelType w:val="hybridMultilevel"/>
    <w:lvl w:ilvl="0">
      <w:lvlJc w:val="left"/>
      <w:lvlText w:val="(%1)"/>
      <w:numFmt w:val="lowerLetter"/>
      <w:start w:val="1"/>
    </w:lvl>
  </w:abstractNum>
  <w:abstractNum w:abstractNumId="304">
    <w:nsid w:val="6DAC7768"/>
    <w:multiLevelType w:val="hybridMultilevel"/>
    <w:lvl w:ilvl="0">
      <w:lvlJc w:val="left"/>
      <w:lvlText w:val="(%1)"/>
      <w:numFmt w:val="lowerLetter"/>
      <w:start w:val="3"/>
    </w:lvl>
  </w:abstractNum>
  <w:abstractNum w:abstractNumId="305">
    <w:nsid w:val="746AE2E4"/>
    <w:multiLevelType w:val="hybridMultilevel"/>
    <w:lvl w:ilvl="0">
      <w:lvlJc w:val="left"/>
      <w:lvlText w:val="%1."/>
      <w:numFmt w:val="decimal"/>
      <w:start w:val="1"/>
    </w:lvl>
  </w:abstractNum>
  <w:abstractNum w:abstractNumId="306">
    <w:nsid w:val="317E611D"/>
    <w:multiLevelType w:val="hybridMultilevel"/>
    <w:lvl w:ilvl="0">
      <w:lvlJc w:val="left"/>
      <w:lvlText w:val="(%1)"/>
      <w:numFmt w:val="lowerLetter"/>
      <w:start w:val="1"/>
    </w:lvl>
    <w:lvl w:ilvl="1">
      <w:lvlJc w:val="left"/>
      <w:lvlText w:val="(%2)"/>
      <w:numFmt w:val="lowerRoman"/>
      <w:start w:val="1"/>
    </w:lvl>
  </w:abstractNum>
  <w:abstractNum w:abstractNumId="307">
    <w:nsid w:val="7A61D75B"/>
    <w:multiLevelType w:val="hybridMultilevel"/>
    <w:lvl w:ilvl="0">
      <w:lvlJc w:val="left"/>
      <w:lvlText w:val="%1."/>
      <w:numFmt w:val="decimal"/>
      <w:start w:val="2"/>
    </w:lvl>
  </w:abstractNum>
  <w:abstractNum w:abstractNumId="308">
    <w:nsid w:val="164A1482"/>
    <w:multiLevelType w:val="hybridMultilevel"/>
    <w:lvl w:ilvl="0">
      <w:lvlJc w:val="left"/>
      <w:lvlText w:val="(%1)"/>
      <w:numFmt w:val="lowerLetter"/>
      <w:start w:val="1"/>
    </w:lvl>
    <w:lvl w:ilvl="1">
      <w:lvlJc w:val="left"/>
      <w:lvlText w:val="(%2)"/>
      <w:numFmt w:val="lowerRoman"/>
      <w:start w:val="1"/>
    </w:lvl>
  </w:abstractNum>
  <w:abstractNum w:abstractNumId="309">
    <w:nsid w:val="1806546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10">
    <w:nsid w:val="1FA33267"/>
    <w:multiLevelType w:val="hybridMultilevel"/>
    <w:lvl w:ilvl="0">
      <w:lvlJc w:val="left"/>
      <w:lvlText w:val="%1)"/>
      <w:numFmt w:val="lowerLetter"/>
      <w:start w:val="3"/>
    </w:lvl>
  </w:abstractNum>
  <w:abstractNum w:abstractNumId="311">
    <w:nsid w:val="2E19DD00"/>
    <w:multiLevelType w:val="hybridMultilevel"/>
    <w:lvl w:ilvl="0">
      <w:lvlJc w:val="left"/>
      <w:lvlText w:val="%1)"/>
      <w:numFmt w:val="lowerLetter"/>
      <w:start w:val="4"/>
    </w:lvl>
  </w:abstractNum>
  <w:abstractNum w:abstractNumId="312">
    <w:nsid w:val="756D30D0"/>
    <w:multiLevelType w:val="hybridMultilevel"/>
    <w:lvl w:ilvl="0">
      <w:lvlJc w:val="left"/>
      <w:lvlText w:val="%1)"/>
      <w:numFmt w:val="decimal"/>
      <w:start w:val="2"/>
    </w:lvl>
  </w:abstractNum>
  <w:abstractNum w:abstractNumId="313">
    <w:nsid w:val="505E5E01"/>
    <w:multiLevelType w:val="hybridMultilevel"/>
    <w:lvl w:ilvl="0">
      <w:lvlJc w:val="left"/>
      <w:lvlText w:val="%1)"/>
      <w:numFmt w:val="lowerLetter"/>
      <w:start w:val="1"/>
    </w:lvl>
  </w:abstractNum>
  <w:abstractNum w:abstractNumId="314">
    <w:nsid w:val="2EFDBCE6"/>
    <w:multiLevelType w:val="hybridMultilevel"/>
    <w:lvl w:ilvl="0">
      <w:lvlJc w:val="left"/>
      <w:lvlText w:val="%1)"/>
      <w:numFmt w:val="lowerLetter"/>
      <w:start w:val="2"/>
    </w:lvl>
  </w:abstractNum>
  <w:abstractNum w:abstractNumId="315">
    <w:nsid w:val="4EC868C4"/>
    <w:multiLevelType w:val="hybridMultilevel"/>
    <w:lvl w:ilvl="0">
      <w:lvlJc w:val="left"/>
      <w:lvlText w:val="(%1)"/>
      <w:numFmt w:val="decimal"/>
      <w:start w:val="1"/>
    </w:lvl>
  </w:abstractNum>
  <w:abstractNum w:abstractNumId="316">
    <w:nsid w:val="4239DC03"/>
    <w:multiLevelType w:val="hybridMultilevel"/>
    <w:lvl w:ilvl="0">
      <w:lvlJc w:val="left"/>
      <w:lvlText w:val="%1"/>
      <w:numFmt w:val="lowerRoman"/>
      <w:start w:val="1"/>
    </w:lvl>
    <w:lvl w:ilvl="1">
      <w:lvlJc w:val="left"/>
      <w:lvlText w:val="(%2)"/>
      <w:numFmt w:val="decimal"/>
      <w:start w:val="6"/>
    </w:lvl>
  </w:abstractNum>
  <w:abstractNum w:abstractNumId="317">
    <w:nsid w:val="307C7DAA"/>
    <w:multiLevelType w:val="hybridMultilevel"/>
    <w:lvl w:ilvl="0">
      <w:lvlJc w:val="left"/>
      <w:lvlText w:val="(%1)"/>
      <w:numFmt w:val="lowerRoman"/>
      <w:start w:val="1"/>
    </w:lvl>
    <w:lvl w:ilvl="1">
      <w:lvlJc w:val="left"/>
      <w:lvlText w:val="(%2)"/>
      <w:numFmt w:val="decimal"/>
      <w:start w:val="8"/>
    </w:lvl>
  </w:abstractNum>
  <w:abstractNum w:abstractNumId="318">
    <w:nsid w:val="403C23E6"/>
    <w:multiLevelType w:val="hybridMultilevel"/>
    <w:lvl w:ilvl="0">
      <w:lvlJc w:val="left"/>
      <w:lvlText w:val="(%1)"/>
      <w:numFmt w:val="lowerLetter"/>
      <w:start w:val="25"/>
    </w:lvl>
  </w:abstractNum>
  <w:abstractNum w:abstractNumId="319">
    <w:nsid w:val="58D7F9D7"/>
    <w:multiLevelType w:val="hybridMultilevel"/>
    <w:lvl w:ilvl="0">
      <w:lvlJc w:val="left"/>
      <w:lvlText w:val="(%1)"/>
      <w:numFmt w:val="lowerLetter"/>
      <w:start w:val="25"/>
    </w:lvl>
  </w:abstractNum>
  <w:abstractNum w:abstractNumId="320">
    <w:nsid w:val="24DBF76"/>
    <w:multiLevelType w:val="hybridMultilevel"/>
    <w:lvl w:ilvl="0">
      <w:lvlJc w:val="left"/>
      <w:lvlText w:val="(%1)"/>
      <w:numFmt w:val="lowerRoman"/>
      <w:start w:val="3"/>
    </w:lvl>
  </w:abstractNum>
  <w:abstractNum w:abstractNumId="321">
    <w:nsid w:val="53355960"/>
    <w:multiLevelType w:val="hybridMultilevel"/>
    <w:lvl w:ilvl="0">
      <w:lvlJc w:val="left"/>
      <w:lvlText w:val="(%1)"/>
      <w:numFmt w:val="decimal"/>
      <w:start w:val="1"/>
    </w:lvl>
  </w:abstractNum>
  <w:abstractNum w:abstractNumId="322">
    <w:nsid w:val="4F4AC8FF"/>
    <w:multiLevelType w:val="hybridMultilevel"/>
    <w:lvl w:ilvl="0">
      <w:lvlJc w:val="left"/>
      <w:lvlText w:val="(%1)"/>
      <w:numFmt w:val="decimal"/>
      <w:start w:val="2"/>
    </w:lvl>
  </w:abstractNum>
  <w:abstractNum w:abstractNumId="323">
    <w:nsid w:val="58CAE6D9"/>
    <w:multiLevelType w:val="hybridMultilevel"/>
    <w:lvl w:ilvl="0">
      <w:lvlJc w:val="left"/>
      <w:lvlText w:val="(%1)"/>
      <w:numFmt w:val="lowerRoman"/>
      <w:start w:val="2"/>
    </w:lvl>
  </w:abstractNum>
  <w:abstractNum w:abstractNumId="324">
    <w:nsid w:val="42933C4F"/>
    <w:multiLevelType w:val="hybridMultilevel"/>
    <w:lvl w:ilvl="0">
      <w:lvlJc w:val="left"/>
      <w:lvlText w:val="(%1)"/>
      <w:numFmt w:val="lowerLetter"/>
      <w:start w:val="1"/>
    </w:lvl>
  </w:abstractNum>
  <w:abstractNum w:abstractNumId="325">
    <w:nsid w:val="729AF360"/>
    <w:multiLevelType w:val="hybridMultilevel"/>
    <w:lvl w:ilvl="0">
      <w:lvlJc w:val="left"/>
      <w:lvlText w:val="(%1)"/>
      <w:numFmt w:val="lowerLetter"/>
      <w:start w:val="2"/>
    </w:lvl>
    <w:lvl w:ilvl="1">
      <w:lvlJc w:val="left"/>
      <w:lvlText w:val="(%2)"/>
      <w:numFmt w:val="lowerLetter"/>
      <w:start w:val="4"/>
    </w:lvl>
  </w:abstractNum>
  <w:abstractNum w:abstractNumId="326">
    <w:nsid w:val="1EE6AF0D"/>
    <w:multiLevelType w:val="hybridMultilevel"/>
    <w:lvl w:ilvl="0">
      <w:lvlJc w:val="left"/>
      <w:lvlText w:val="(%1)"/>
      <w:numFmt w:val="lowerLetter"/>
      <w:start w:val="1"/>
    </w:lvl>
  </w:abstractNum>
  <w:abstractNum w:abstractNumId="327">
    <w:nsid w:val="5670E3ED"/>
    <w:multiLevelType w:val="hybridMultilevel"/>
    <w:lvl w:ilvl="0">
      <w:lvlJc w:val="left"/>
      <w:lvlText w:val="%1"/>
      <w:numFmt w:val="lowerLetter"/>
      <w:start w:val="1"/>
    </w:lvl>
    <w:lvl w:ilvl="1">
      <w:lvlJc w:val="left"/>
      <w:lvlText w:val="(%2)"/>
      <w:numFmt w:val="lowerLetter"/>
      <w:start w:val="2"/>
    </w:lvl>
  </w:abstractNum>
  <w:abstractNum w:abstractNumId="328">
    <w:nsid w:val="5CAB38C6"/>
    <w:multiLevelType w:val="hybridMultilevel"/>
    <w:lvl w:ilvl="0">
      <w:lvlJc w:val="left"/>
      <w:lvlText w:val="(%1)"/>
      <w:numFmt w:val="lowerLetter"/>
      <w:start w:val="3"/>
    </w:lvl>
    <w:lvl w:ilvl="1">
      <w:lvlJc w:val="left"/>
      <w:lvlText w:val="%2"/>
      <w:numFmt w:val="lowerLetter"/>
      <w:start w:val="1"/>
    </w:lvl>
  </w:abstractNum>
  <w:abstractNum w:abstractNumId="329">
    <w:nsid w:val="3B7139DD"/>
    <w:multiLevelType w:val="hybridMultilevel"/>
    <w:lvl w:ilvl="0">
      <w:lvlJc w:val="left"/>
      <w:lvlText w:val="(%1)"/>
      <w:numFmt w:val="lowerLetter"/>
      <w:start w:val="1"/>
    </w:lvl>
  </w:abstractNum>
  <w:abstractNum w:abstractNumId="330">
    <w:nsid w:val="64E4C3CD"/>
    <w:multiLevelType w:val="hybridMultilevel"/>
    <w:lvl w:ilvl="0">
      <w:lvlJc w:val="left"/>
      <w:lvlText w:val="(%1)"/>
      <w:numFmt w:val="lowerLetter"/>
      <w:start w:val="1"/>
    </w:lvl>
  </w:abstractNum>
  <w:abstractNum w:abstractNumId="331">
    <w:nsid w:val="169CAD8D"/>
    <w:multiLevelType w:val="hybridMultilevel"/>
    <w:lvl w:ilvl="0">
      <w:lvlJc w:val="left"/>
      <w:lvlText w:val="(%1)"/>
      <w:numFmt w:val="lowerLetter"/>
      <w:start w:val="2"/>
    </w:lvl>
  </w:abstractNum>
  <w:abstractNum w:abstractNumId="332">
    <w:nsid w:val="299F6730"/>
    <w:multiLevelType w:val="hybridMultilevel"/>
    <w:lvl w:ilvl="0">
      <w:lvlJc w:val="left"/>
      <w:lvlText w:val="(%1)"/>
      <w:numFmt w:val="lowerLetter"/>
      <w:start w:val="1"/>
    </w:lvl>
  </w:abstractNum>
  <w:abstractNum w:abstractNumId="333">
    <w:nsid w:val="2AC1076A"/>
    <w:multiLevelType w:val="hybridMultilevel"/>
    <w:lvl w:ilvl="0">
      <w:lvlJc w:val="left"/>
      <w:lvlText w:val="(%1)"/>
      <w:numFmt w:val="lowerLetter"/>
      <w:start w:val="3"/>
    </w:lvl>
  </w:abstractNum>
  <w:abstractNum w:abstractNumId="334">
    <w:nsid w:val="51A6E915"/>
    <w:multiLevelType w:val="hybridMultilevel"/>
    <w:lvl w:ilvl="0">
      <w:lvlJc w:val="left"/>
      <w:lvlText w:val="(%1)"/>
      <w:numFmt w:val="lowerLetter"/>
      <w:start w:val="1"/>
    </w:lvl>
  </w:abstractNum>
  <w:abstractNum w:abstractNumId="335">
    <w:nsid w:val="174BDE99"/>
    <w:multiLevelType w:val="hybridMultilevel"/>
    <w:lvl w:ilvl="0">
      <w:lvlJc w:val="left"/>
      <w:lvlText w:val="(%1)"/>
      <w:numFmt w:val="lowerLetter"/>
      <w:start w:val="2"/>
    </w:lvl>
  </w:abstractNum>
  <w:abstractNum w:abstractNumId="336">
    <w:nsid w:val="1F2BEA4E"/>
    <w:multiLevelType w:val="hybridMultilevel"/>
    <w:lvl w:ilvl="0">
      <w:lvlJc w:val="left"/>
      <w:lvlText w:val="%1"/>
      <w:numFmt w:val="lowerLetter"/>
      <w:start w:val="1"/>
    </w:lvl>
    <w:lvl w:ilvl="1">
      <w:lvlJc w:val="left"/>
      <w:lvlText w:val="(%2)"/>
      <w:numFmt w:val="lowerLetter"/>
      <w:start w:val="1"/>
    </w:lvl>
  </w:abstractNum>
  <w:abstractNum w:abstractNumId="337">
    <w:nsid w:val="3254A32"/>
    <w:multiLevelType w:val="hybridMultilevel"/>
    <w:lvl w:ilvl="0">
      <w:lvlJc w:val="left"/>
      <w:lvlText w:val="(%1)"/>
      <w:numFmt w:val="lowerLetter"/>
      <w:start w:val="3"/>
    </w:lvl>
    <w:lvl w:ilvl="1">
      <w:lvlJc w:val="left"/>
      <w:lvlText w:val="%2"/>
      <w:numFmt w:val="lowerLetter"/>
      <w:start w:val="1"/>
    </w:lvl>
  </w:abstractNum>
  <w:abstractNum w:abstractNumId="338">
    <w:nsid w:val="11ADB5F4"/>
    <w:multiLevelType w:val="hybridMultilevel"/>
    <w:lvl w:ilvl="0">
      <w:lvlJc w:val="left"/>
      <w:lvlText w:val="(%1)"/>
      <w:numFmt w:val="lowerLetter"/>
      <w:start w:val="1"/>
    </w:lvl>
  </w:abstractNum>
  <w:abstractNum w:abstractNumId="339">
    <w:nsid w:val="3575FED1"/>
    <w:multiLevelType w:val="hybridMultilevel"/>
    <w:lvl w:ilvl="0">
      <w:lvlJc w:val="left"/>
      <w:lvlText w:val="(%1)"/>
      <w:numFmt w:val="lowerLetter"/>
      <w:start w:val="1"/>
    </w:lvl>
  </w:abstractNum>
  <w:abstractNum w:abstractNumId="340">
    <w:nsid w:val="1B2B9E9D"/>
    <w:multiLevelType w:val="hybridMultilevel"/>
    <w:lvl w:ilvl="0">
      <w:lvlJc w:val="left"/>
      <w:lvlText w:val="(%1)"/>
      <w:numFmt w:val="lowerLetter"/>
      <w:start w:val="2"/>
    </w:lvl>
  </w:abstractNum>
  <w:abstractNum w:abstractNumId="341">
    <w:nsid w:val="3150E85C"/>
    <w:multiLevelType w:val="hybridMultilevel"/>
    <w:lvl w:ilvl="0">
      <w:lvlJc w:val="left"/>
      <w:lvlText w:val="(%1)"/>
      <w:numFmt w:val="lowerLetter"/>
      <w:start w:val="1"/>
    </w:lvl>
  </w:abstractNum>
  <w:abstractNum w:abstractNumId="342">
    <w:nsid w:val="638FDBD1"/>
    <w:multiLevelType w:val="hybridMultilevel"/>
    <w:lvl w:ilvl="0">
      <w:lvlJc w:val="left"/>
      <w:lvlText w:val="(%1)"/>
      <w:numFmt w:val="lowerLetter"/>
      <w:start w:val="3"/>
    </w:lvl>
  </w:abstractNum>
  <w:abstractNum w:abstractNumId="343">
    <w:nsid w:val="1098CF6E"/>
    <w:multiLevelType w:val="hybridMultilevel"/>
    <w:lvl w:ilvl="0">
      <w:lvlJc w:val="left"/>
      <w:lvlText w:val="(%1)"/>
      <w:numFmt w:val="lowerLetter"/>
      <w:start w:val="1"/>
    </w:lvl>
    <w:lvl w:ilvl="1">
      <w:lvlJc w:val="left"/>
      <w:lvlText w:val="(%2)"/>
      <w:numFmt w:val="lowerLetter"/>
      <w:start w:val="2"/>
    </w:lvl>
  </w:abstractNum>
  <w:abstractNum w:abstractNumId="344">
    <w:nsid w:val="1AF465D"/>
    <w:multiLevelType w:val="hybridMultilevel"/>
    <w:lvl w:ilvl="0">
      <w:lvlJc w:val="left"/>
      <w:lvlText w:val="(%1)"/>
      <w:numFmt w:val="lowerLetter"/>
      <w:start w:val="3"/>
    </w:lvl>
  </w:abstractNum>
  <w:abstractNum w:abstractNumId="345">
    <w:nsid w:val="128D98B7"/>
    <w:multiLevelType w:val="hybridMultilevel"/>
    <w:lvl w:ilvl="0">
      <w:lvlJc w:val="left"/>
      <w:lvlText w:val="(%1)"/>
      <w:numFmt w:val="lowerLetter"/>
      <w:start w:val="1"/>
    </w:lvl>
  </w:abstractNum>
  <w:abstractNum w:abstractNumId="346">
    <w:nsid w:val="5F613832"/>
    <w:multiLevelType w:val="hybridMultilevel"/>
    <w:lvl w:ilvl="0">
      <w:lvlJc w:val="left"/>
      <w:lvlText w:val="(%1)"/>
      <w:numFmt w:val="lowerRoman"/>
      <w:start w:val="1"/>
    </w:lvl>
  </w:abstractNum>
  <w:abstractNum w:abstractNumId="347">
    <w:nsid w:val="43E92260"/>
    <w:multiLevelType w:val="hybridMultilevel"/>
    <w:lvl w:ilvl="0">
      <w:lvlJc w:val="left"/>
      <w:lvlText w:val="(%1)"/>
      <w:numFmt w:val="lowerRoman"/>
      <w:start w:val="2"/>
    </w:lvl>
  </w:abstractNum>
  <w:abstractNum w:abstractNumId="348">
    <w:nsid w:val="430A1662"/>
    <w:multiLevelType w:val="hybridMultilevel"/>
    <w:lvl w:ilvl="0">
      <w:lvlJc w:val="left"/>
      <w:lvlText w:val="%1."/>
      <w:numFmt w:val="decimal"/>
      <w:start w:val="1"/>
    </w:lvl>
  </w:abstractNum>
  <w:abstractNum w:abstractNumId="349">
    <w:nsid w:val="1F9D5C18"/>
    <w:multiLevelType w:val="hybridMultilevel"/>
    <w:lvl w:ilvl="0">
      <w:lvlJc w:val="left"/>
      <w:lvlText w:val="%1."/>
      <w:numFmt w:val="decimal"/>
      <w:start w:val="1"/>
    </w:lvl>
  </w:abstractNum>
  <w:abstractNum w:abstractNumId="350">
    <w:nsid w:val="1CC11C37"/>
    <w:multiLevelType w:val="hybridMultilevel"/>
    <w:lvl w:ilvl="0">
      <w:lvlJc w:val="left"/>
      <w:lvlText w:val="%1"/>
      <w:numFmt w:val="upperLetter"/>
      <w:start w:val="1"/>
    </w:lvl>
    <w:lvl w:ilvl="1">
      <w:lvlJc w:val="left"/>
      <w:lvlText w:val="%2."/>
      <w:numFmt w:val="upperLetter"/>
      <w:start w:val="1"/>
    </w:lvl>
  </w:abstractNum>
  <w:abstractNum w:abstractNumId="351">
    <w:nsid w:val="4557D5D8"/>
    <w:multiLevelType w:val="hybridMultilevel"/>
    <w:lvl w:ilvl="0">
      <w:lvlJc w:val="left"/>
      <w:lvlText w:val="%1."/>
      <w:numFmt w:val="upperLetter"/>
      <w:start w:val="2"/>
    </w:lvl>
    <w:lvl w:ilvl="1">
      <w:lvlJc w:val="left"/>
      <w:lvlText w:val="%2"/>
      <w:numFmt w:val="upperLetter"/>
      <w:start w:val="1"/>
    </w:lvl>
  </w:abstractNum>
  <w:abstractNum w:abstractNumId="352">
    <w:nsid w:val="72D2B579"/>
    <w:multiLevelType w:val="hybridMultilevel"/>
    <w:lvl w:ilvl="0">
      <w:lvlJc w:val="left"/>
      <w:lvlText w:val="["/>
      <w:numFmt w:val="bullet"/>
      <w:start w:val="1"/>
    </w:lvl>
  </w:abstractNum>
  <w:abstractNum w:abstractNumId="353">
    <w:nsid w:val="6C0BE536"/>
    <w:multiLevelType w:val="hybridMultilevel"/>
    <w:lvl w:ilvl="0">
      <w:lvlJc w:val="left"/>
      <w:lvlText w:val="%1"/>
      <w:numFmt w:val="upperLetter"/>
      <w:start w:val="1"/>
    </w:lvl>
    <w:lvl w:ilvl="1">
      <w:lvlJc w:val="left"/>
      <w:lvlText w:val="%2."/>
      <w:numFmt w:val="upperLetter"/>
      <w:start w:val="1"/>
    </w:lvl>
  </w:abstractNum>
  <w:abstractNum w:abstractNumId="354">
    <w:nsid w:val="1E22BCB2"/>
    <w:multiLevelType w:val="hybridMultilevel"/>
    <w:lvl w:ilvl="0">
      <w:lvlJc w:val="left"/>
      <w:lvlText w:val="%1."/>
      <w:numFmt w:val="upperLetter"/>
      <w:start w:val="2"/>
    </w:lvl>
    <w:lvl w:ilvl="1">
      <w:lvlJc w:val="left"/>
      <w:lvlText w:val="%2"/>
      <w:numFmt w:val="upperLetter"/>
      <w:start w:val="1"/>
    </w:lvl>
  </w:abstractNum>
  <w:abstractNum w:abstractNumId="355">
    <w:nsid w:val="3565F1C8"/>
    <w:multiLevelType w:val="hybridMultilevel"/>
    <w:lvl w:ilvl="0">
      <w:lvlJc w:val="left"/>
      <w:lvlText w:val="%1."/>
      <w:numFmt w:val="upperLetter"/>
      <w:start w:val="4"/>
    </w:lvl>
  </w:abstractNum>
  <w:abstractNum w:abstractNumId="356">
    <w:nsid w:val="5EA6D896"/>
    <w:multiLevelType w:val="hybridMultilevel"/>
    <w:lvl w:ilvl="0">
      <w:lvlJc w:val="left"/>
      <w:lvlText w:val="%1."/>
      <w:numFmt w:val="upperLetter"/>
      <w:start w:val="5"/>
    </w:lvl>
  </w:abstractNum>
  <w:abstractNum w:abstractNumId="357">
    <w:nsid w:val="3D096BBF"/>
    <w:multiLevelType w:val="hybridMultilevel"/>
    <w:lvl w:ilvl="0">
      <w:lvlJc w:val="left"/>
      <w:lvlText w:val="(%1)"/>
      <w:numFmt w:val="lowerLetter"/>
      <w:start w:val="1"/>
    </w:lvl>
  </w:abstractNum>
  <w:abstractNum w:abstractNumId="358">
    <w:nsid w:val="BD6D5B5"/>
    <w:multiLevelType w:val="hybridMultilevel"/>
    <w:lvl w:ilvl="0">
      <w:lvlJc w:val="left"/>
      <w:lvlText w:val="(%1)"/>
      <w:numFmt w:val="lowerLetter"/>
      <w:start w:val="2"/>
    </w:lvl>
  </w:abstractNum>
  <w:abstractNum w:abstractNumId="359">
    <w:nsid w:val="3B52115C"/>
    <w:multiLevelType w:val="hybridMultilevel"/>
    <w:lvl w:ilvl="0">
      <w:lvlJc w:val="left"/>
      <w:lvlText w:val="%1"/>
      <w:numFmt w:val="lowerLetter"/>
      <w:start w:val="1"/>
    </w:lvl>
    <w:lvl w:ilvl="1">
      <w:lvlJc w:val="left"/>
      <w:lvlText w:val="(%2)"/>
      <w:numFmt w:val="lowerLetter"/>
      <w:start w:val="1"/>
    </w:lvl>
  </w:abstractNum>
  <w:abstractNum w:abstractNumId="360">
    <w:nsid w:val="787AA59C"/>
    <w:multiLevelType w:val="hybridMultilevel"/>
    <w:lvl w:ilvl="0">
      <w:lvlJc w:val="left"/>
      <w:lvlText w:val="(%1)"/>
      <w:numFmt w:val="lowerLetter"/>
      <w:start w:val="35"/>
    </w:lvl>
    <w:lvl w:ilvl="1">
      <w:lvlJc w:val="left"/>
      <w:lvlText w:val="(%2)"/>
      <w:numFmt w:val="lowerLetter"/>
      <w:start w:val="4"/>
    </w:lvl>
  </w:abstractNum>
  <w:abstractNum w:abstractNumId="361">
    <w:nsid w:val="70BB9983"/>
    <w:multiLevelType w:val="hybridMultilevel"/>
    <w:lvl w:ilvl="0">
      <w:lvlJc w:val="left"/>
      <w:lvlText w:val="(%1)"/>
      <w:numFmt w:val="lowerLetter"/>
      <w:start w:val="6"/>
    </w:lvl>
  </w:abstractNum>
  <w:abstractNum w:abstractNumId="362">
    <w:nsid w:val="51EEBEEA"/>
    <w:multiLevelType w:val="hybridMultilevel"/>
    <w:lvl w:ilvl="0">
      <w:lvlJc w:val="left"/>
      <w:lvlText w:val="(%1)"/>
      <w:numFmt w:val="lowerLetter"/>
      <w:start w:val="3"/>
    </w:lvl>
  </w:abstractNum>
  <w:abstractNum w:abstractNumId="363">
    <w:nsid w:val="221A0CCD"/>
    <w:multiLevelType w:val="hybridMultilevel"/>
    <w:lvl w:ilvl="0">
      <w:lvlJc w:val="left"/>
      <w:lvlText w:val="(%1)"/>
      <w:numFmt w:val="lowerLetter"/>
      <w:start w:val="61"/>
    </w:lvl>
  </w:abstractNum>
  <w:abstractNum w:abstractNumId="364">
    <w:nsid w:val="1B7CA0ED"/>
    <w:multiLevelType w:val="hybridMultilevel"/>
    <w:lvl w:ilvl="0">
      <w:lvlJc w:val="left"/>
      <w:lvlText w:val="(%1)"/>
      <w:numFmt w:val="lowerLetter"/>
      <w:start w:val="1"/>
    </w:lvl>
  </w:abstractNum>
  <w:abstractNum w:abstractNumId="365">
    <w:nsid w:val="2395A7FF"/>
    <w:multiLevelType w:val="hybridMultilevel"/>
    <w:lvl w:ilvl="0">
      <w:lvlJc w:val="left"/>
      <w:lvlText w:val="[%1]"/>
      <w:numFmt w:val="lowerLetter"/>
      <w:start w:val="39"/>
    </w:lvl>
  </w:abstractNum>
  <w:abstractNum w:abstractNumId="366">
    <w:nsid w:val="3965EB66"/>
    <w:multiLevelType w:val="hybridMultilevel"/>
    <w:lvl w:ilvl="0">
      <w:lvlJc w:val="left"/>
      <w:lvlText w:val="(%1)"/>
      <w:numFmt w:val="lowerRoman"/>
      <w:start w:val="2"/>
    </w:lvl>
  </w:abstractNum>
  <w:abstractNum w:abstractNumId="367">
    <w:nsid w:val="3AA88B3C"/>
    <w:multiLevelType w:val="hybridMultilevel"/>
    <w:lvl w:ilvl="0">
      <w:lvlJc w:val="left"/>
      <w:lvlText w:val="(%1)"/>
      <w:numFmt w:val="lowerLetter"/>
      <w:start w:val="1"/>
    </w:lvl>
  </w:abstractNum>
  <w:abstractNum w:abstractNumId="368">
    <w:nsid w:val="26BAF231"/>
    <w:multiLevelType w:val="hybridMultilevel"/>
    <w:lvl w:ilvl="0">
      <w:lvlJc w:val="left"/>
      <w:lvlText w:val="%1"/>
      <w:numFmt w:val="lowerLetter"/>
      <w:start w:val="1"/>
    </w:lvl>
    <w:lvl w:ilvl="1">
      <w:lvlJc w:val="left"/>
      <w:lvlText w:val="(%2)"/>
      <w:numFmt w:val="lowerLetter"/>
      <w:start w:val="35"/>
    </w:lvl>
  </w:abstractNum>
  <w:abstractNum w:abstractNumId="369">
    <w:nsid w:val="4B13A15A"/>
    <w:multiLevelType w:val="hybridMultilevel"/>
    <w:lvl w:ilvl="0">
      <w:lvlJc w:val="left"/>
      <w:lvlText w:val="(%1)"/>
      <w:numFmt w:val="lowerLetter"/>
      <w:start w:val="2"/>
    </w:lvl>
    <w:lvl w:ilvl="1">
      <w:lvlJc w:val="left"/>
      <w:lvlText w:val="%2"/>
      <w:numFmt w:val="lowerLetter"/>
      <w:start w:val="1"/>
    </w:lvl>
  </w:abstractNum>
  <w:abstractNum w:abstractNumId="370">
    <w:nsid w:val="701E8A0D"/>
    <w:multiLevelType w:val="hybridMultilevel"/>
    <w:lvl w:ilvl="0">
      <w:lvlJc w:val="left"/>
      <w:lvlText w:val="(%1)"/>
      <w:numFmt w:val="lowerRoman"/>
      <w:start w:val="1"/>
    </w:lvl>
  </w:abstractNum>
  <w:abstractNum w:abstractNumId="371">
    <w:nsid w:val="41E690CF"/>
    <w:multiLevelType w:val="hybridMultilevel"/>
    <w:lvl w:ilvl="0">
      <w:lvlJc w:val="left"/>
      <w:lvlText w:val="(%1)"/>
      <w:numFmt w:val="lowerRoman"/>
      <w:start w:val="2"/>
    </w:lvl>
  </w:abstractNum>
  <w:abstractNum w:abstractNumId="372">
    <w:nsid w:val="7C6489B6"/>
    <w:multiLevelType w:val="hybridMultilevel"/>
    <w:lvl w:ilvl="0">
      <w:lvlJc w:val="left"/>
      <w:lvlText w:val="(%1)"/>
      <w:numFmt w:val="lowerLetter"/>
      <w:start w:val="4"/>
    </w:lvl>
  </w:abstractNum>
  <w:abstractNum w:abstractNumId="373">
    <w:nsid w:val="53AE65DE"/>
    <w:multiLevelType w:val="hybridMultilevel"/>
    <w:lvl w:ilvl="0">
      <w:lvlJc w:val="left"/>
      <w:lvlText w:val="(%1)"/>
      <w:numFmt w:val="lowerLetter"/>
      <w:start w:val="1"/>
    </w:lvl>
  </w:abstractNum>
  <w:abstractNum w:abstractNumId="374">
    <w:nsid w:val="527F603D"/>
    <w:multiLevelType w:val="hybridMultilevel"/>
    <w:lvl w:ilvl="0">
      <w:lvlJc w:val="left"/>
      <w:lvlText w:val="(%1)"/>
      <w:numFmt w:val="lowerLetter"/>
      <w:start w:val="2"/>
    </w:lvl>
    <w:lvl w:ilvl="1">
      <w:lvlJc w:val="left"/>
      <w:lvlText w:val="(%2)"/>
      <w:numFmt w:val="lowerLetter"/>
      <w:start w:val="35"/>
    </w:lvl>
  </w:abstractNum>
  <w:abstractNum w:abstractNumId="375">
    <w:nsid w:val="7E13D013"/>
    <w:multiLevelType w:val="hybridMultilevel"/>
    <w:lvl w:ilvl="0">
      <w:lvlJc w:val="left"/>
      <w:lvlText w:val="(%1)"/>
      <w:numFmt w:val="lowerLetter"/>
      <w:start w:val="3"/>
    </w:lvl>
  </w:abstractNum>
  <w:abstractNum w:abstractNumId="376">
    <w:nsid w:val="663BFE95"/>
    <w:multiLevelType w:val="hybridMultilevel"/>
    <w:lvl w:ilvl="0">
      <w:lvlJc w:val="left"/>
      <w:lvlText w:val="(%1)"/>
      <w:numFmt w:val="lowerLetter"/>
      <w:start w:val="1"/>
    </w:lvl>
    <w:lvl w:ilvl="1">
      <w:lvlJc w:val="left"/>
      <w:lvlText w:val="(%2)"/>
      <w:numFmt w:val="lowerRoman"/>
      <w:start w:val="1"/>
    </w:lvl>
  </w:abstractNum>
  <w:abstractNum w:abstractNumId="377">
    <w:nsid w:val="31E0986F"/>
    <w:multiLevelType w:val="hybridMultilevel"/>
    <w:lvl w:ilvl="0">
      <w:lvlJc w:val="left"/>
      <w:lvlText w:val="(%1)"/>
      <w:numFmt w:val="lowerLetter"/>
      <w:start w:val="2"/>
    </w:lvl>
  </w:abstractNum>
  <w:abstractNum w:abstractNumId="378">
    <w:nsid w:val="41FCF274"/>
    <w:multiLevelType w:val="hybridMultilevel"/>
    <w:lvl w:ilvl="0">
      <w:lvlJc w:val="left"/>
      <w:lvlText w:val="(%1)"/>
      <w:numFmt w:val="lowerRoman"/>
      <w:start w:val="1"/>
    </w:lvl>
  </w:abstractNum>
  <w:abstractNum w:abstractNumId="379">
    <w:nsid w:val="294614F7"/>
    <w:multiLevelType w:val="hybridMultilevel"/>
    <w:lvl w:ilvl="0">
      <w:lvlJc w:val="left"/>
      <w:lvlText w:val="(%1)"/>
      <w:numFmt w:val="lowerRoman"/>
      <w:start w:val="2"/>
    </w:lvl>
  </w:abstractNum>
  <w:abstractNum w:abstractNumId="380">
    <w:nsid w:val="517DF487"/>
    <w:multiLevelType w:val="hybridMultilevel"/>
    <w:lvl w:ilvl="0">
      <w:lvlJc w:val="left"/>
      <w:lvlText w:val="%1"/>
      <w:numFmt w:val="lowerLetter"/>
      <w:start w:val="1"/>
    </w:lvl>
    <w:lvl w:ilvl="1">
      <w:lvlJc w:val="left"/>
      <w:lvlText w:val="(%2)"/>
      <w:numFmt w:val="lowerRoman"/>
      <w:start w:val="3"/>
    </w:lvl>
  </w:abstractNum>
  <w:abstractNum w:abstractNumId="381">
    <w:nsid w:val="5EBE0EAB"/>
    <w:multiLevelType w:val="hybridMultilevel"/>
    <w:lvl w:ilvl="0">
      <w:lvlJc w:val="left"/>
      <w:lvlText w:val="(%1)"/>
      <w:numFmt w:val="lowerLetter"/>
      <w:start w:val="2"/>
    </w:lvl>
    <w:lvl w:ilvl="1">
      <w:lvlJc w:val="left"/>
      <w:lvlText w:val="%2"/>
      <w:numFmt w:val="lowerRoman"/>
      <w:start w:val="1"/>
    </w:lvl>
  </w:abstractNum>
  <w:abstractNum w:abstractNumId="382">
    <w:nsid w:val="6E9DEAD0"/>
    <w:multiLevelType w:val="hybridMultilevel"/>
    <w:lvl w:ilvl="0">
      <w:lvlJc w:val="left"/>
      <w:lvlText w:val="(%1)"/>
      <w:numFmt w:val="lowerLetter"/>
      <w:start w:val="3"/>
    </w:lvl>
  </w:abstractNum>
  <w:abstractNum w:abstractNumId="383">
    <w:nsid w:val="4450AA00"/>
    <w:multiLevelType w:val="hybridMultilevel"/>
    <w:lvl w:ilvl="0">
      <w:lvlJc w:val="left"/>
      <w:lvlText w:val="(%1)"/>
      <w:numFmt w:val="lowerLetter"/>
      <w:start w:val="1"/>
    </w:lvl>
    <w:lvl w:ilvl="1">
      <w:lvlJc w:val="left"/>
      <w:lvlText w:val="(%2)"/>
      <w:numFmt w:val="lowerLetter"/>
      <w:start w:val="1"/>
    </w:lvl>
  </w:abstractNum>
  <w:abstractNum w:abstractNumId="384">
    <w:nsid w:val="4AC9F3E2"/>
    <w:multiLevelType w:val="hybridMultilevel"/>
    <w:lvl w:ilvl="0">
      <w:lvlJc w:val="left"/>
      <w:lvlText w:val="(%1)"/>
      <w:numFmt w:val="lowerLetter"/>
      <w:start w:val="2"/>
    </w:lvl>
  </w:abstractNum>
  <w:abstractNum w:abstractNumId="385">
    <w:nsid w:val="CC0A782"/>
    <w:multiLevelType w:val="hybridMultilevel"/>
    <w:lvl w:ilvl="0">
      <w:lvlJc w:val="left"/>
      <w:lvlText w:val="(%1)"/>
      <w:numFmt w:val="lowerLetter"/>
      <w:start w:val="1"/>
    </w:lvl>
  </w:abstractNum>
  <w:abstractNum w:abstractNumId="386">
    <w:nsid w:val="79B69BC9"/>
    <w:multiLevelType w:val="hybridMultilevel"/>
    <w:lvl w:ilvl="0">
      <w:lvlJc w:val="left"/>
      <w:lvlText w:val="(%1)"/>
      <w:numFmt w:val="lowerLetter"/>
      <w:start w:val="2"/>
    </w:lvl>
  </w:abstractNum>
  <w:abstractNum w:abstractNumId="387">
    <w:nsid w:val="2970CC7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88">
    <w:nsid w:val="49CA134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89">
    <w:nsid w:val="58D717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90">
    <w:nsid w:val="64C2DDD5"/>
    <w:multiLevelType w:val="hybridMultilevel"/>
    <w:lvl w:ilvl="0">
      <w:lvlJc w:val="left"/>
      <w:lvlText w:val="(%1)"/>
      <w:numFmt w:val="lowerLetter"/>
      <w:start w:val="4"/>
    </w:lvl>
    <w:lvl w:ilvl="1">
      <w:lvlJc w:val="left"/>
      <w:lvlText w:val="(%2)"/>
      <w:numFmt w:val="lowerRoman"/>
      <w:start w:val="1"/>
    </w:lvl>
  </w:abstractNum>
  <w:abstractNum w:abstractNumId="391">
    <w:nsid w:val="4244B8DE"/>
    <w:multiLevelType w:val="hybridMultilevel"/>
    <w:lvl w:ilvl="0">
      <w:lvlJc w:val="left"/>
      <w:lvlText w:val="(%1)"/>
      <w:numFmt w:val="lowerLetter"/>
      <w:start w:val="6"/>
    </w:lvl>
  </w:abstractNum>
  <w:abstractNum w:abstractNumId="392">
    <w:nsid w:val="76490B01"/>
    <w:multiLevelType w:val="hybridMultilevel"/>
    <w:lvl w:ilvl="0">
      <w:lvlJc w:val="left"/>
      <w:lvlText w:val="(%1)"/>
      <w:numFmt w:val="lowerLetter"/>
      <w:start w:val="7"/>
    </w:lvl>
  </w:abstractNum>
  <w:abstractNum w:abstractNumId="393">
    <w:nsid w:val="36B19CBF"/>
    <w:multiLevelType w:val="hybridMultilevel"/>
    <w:lvl w:ilvl="0">
      <w:lvlJc w:val="left"/>
      <w:lvlText w:val="(%1)"/>
      <w:numFmt w:val="lowerLetter"/>
      <w:start w:val="2"/>
    </w:lvl>
  </w:abstractNum>
  <w:abstractNum w:abstractNumId="394">
    <w:nsid w:val="645EC5AB"/>
    <w:multiLevelType w:val="hybridMultilevel"/>
    <w:lvl w:ilvl="0">
      <w:lvlJc w:val="left"/>
      <w:lvlText w:val="(%1)"/>
      <w:numFmt w:val="lowerLetter"/>
      <w:start w:val="2"/>
    </w:lvl>
    <w:lvl w:ilvl="1">
      <w:lvlJc w:val="left"/>
      <w:lvlText w:val="(%2)"/>
      <w:numFmt w:val="lowerLetter"/>
      <w:start w:val="4"/>
    </w:lvl>
  </w:abstractNum>
  <w:abstractNum w:abstractNumId="395">
    <w:nsid w:val="11C5ABEF"/>
    <w:multiLevelType w:val="hybridMultilevel"/>
    <w:lvl w:ilvl="0">
      <w:lvlJc w:val="left"/>
      <w:lvlText w:val="(%1)"/>
      <w:numFmt w:val="lowerLetter"/>
      <w:start w:val="1"/>
    </w:lvl>
  </w:abstractNum>
  <w:abstractNum w:abstractNumId="396">
    <w:nsid w:val="5A4744BE"/>
    <w:multiLevelType w:val="hybridMultilevel"/>
    <w:lvl w:ilvl="0">
      <w:lvlJc w:val="left"/>
      <w:lvlText w:val="(%1)"/>
      <w:numFmt w:val="lowerLetter"/>
      <w:start w:val="2"/>
    </w:lvl>
  </w:abstractNum>
  <w:abstractNum w:abstractNumId="397">
    <w:nsid w:val="1DC4B111"/>
    <w:multiLevelType w:val="hybridMultilevel"/>
    <w:lvl w:ilvl="0">
      <w:lvlJc w:val="left"/>
      <w:lvlText w:val="(%1)"/>
      <w:numFmt w:val="lowerLetter"/>
      <w:start w:val="2"/>
    </w:lvl>
  </w:abstractNum>
  <w:abstractNum w:abstractNumId="398">
    <w:nsid w:val="4C6E372B"/>
    <w:multiLevelType w:val="hybridMultilevel"/>
    <w:lvl w:ilvl="0">
      <w:lvlJc w:val="left"/>
      <w:lvlText w:val="(%1)"/>
      <w:numFmt w:val="lowerLetter"/>
      <w:start w:val="3"/>
    </w:lvl>
  </w:abstractNum>
  <w:abstractNum w:abstractNumId="399">
    <w:nsid w:val="10236EF"/>
    <w:multiLevelType w:val="hybridMultilevel"/>
    <w:lvl w:ilvl="0">
      <w:lvlJc w:val="left"/>
      <w:lvlText w:val="(%1)"/>
      <w:numFmt w:val="lowerLetter"/>
      <w:start w:val="4"/>
    </w:lvl>
  </w:abstractNum>
  <w:abstractNum w:abstractNumId="400">
    <w:nsid w:val="68D8526B"/>
    <w:multiLevelType w:val="hybridMultilevel"/>
    <w:lvl w:ilvl="0">
      <w:lvlJc w:val="left"/>
      <w:lvlText w:val="(%1)"/>
      <w:numFmt w:val="lowerLetter"/>
      <w:start w:val="6"/>
    </w:lvl>
  </w:abstractNum>
  <w:abstractNum w:abstractNumId="401">
    <w:nsid w:val="3C8CC138"/>
    <w:multiLevelType w:val="hybridMultilevel"/>
    <w:lvl w:ilvl="0">
      <w:lvlJc w:val="left"/>
      <w:lvlText w:val="(%1)"/>
      <w:numFmt w:val="lowerLetter"/>
      <w:start w:val="2"/>
    </w:lvl>
  </w:abstractNum>
  <w:abstractNum w:abstractNumId="402">
    <w:nsid w:val="42E8C7BE"/>
    <w:multiLevelType w:val="hybridMultilevel"/>
    <w:lvl w:ilvl="0">
      <w:lvlJc w:val="left"/>
      <w:lvlText w:val="(%1)"/>
      <w:numFmt w:val="lowerLetter"/>
      <w:start w:val="1"/>
    </w:lvl>
  </w:abstractNum>
  <w:abstractNum w:abstractNumId="403">
    <w:nsid w:val="653CDC22"/>
    <w:multiLevelType w:val="hybridMultilevel"/>
    <w:lvl w:ilvl="0">
      <w:lvlJc w:val="left"/>
      <w:lvlText w:val="(%1)"/>
      <w:numFmt w:val="lowerLetter"/>
      <w:start w:val="3"/>
    </w:lvl>
  </w:abstractNum>
  <w:abstractNum w:abstractNumId="404">
    <w:nsid w:val="103B2716"/>
    <w:multiLevelType w:val="hybridMultilevel"/>
    <w:lvl w:ilvl="0">
      <w:lvlJc w:val="left"/>
      <w:lvlText w:val="(%1)"/>
      <w:numFmt w:val="lowerLetter"/>
      <w:start w:val="2"/>
    </w:lvl>
    <w:lvl w:ilvl="1">
      <w:lvlJc w:val="left"/>
      <w:lvlText w:val="(%2)"/>
      <w:numFmt w:val="lowerLetter"/>
      <w:start w:val="4"/>
    </w:lvl>
  </w:abstractNum>
  <w:abstractNum w:abstractNumId="405">
    <w:nsid w:val="156827FB"/>
    <w:multiLevelType w:val="hybridMultilevel"/>
    <w:lvl w:ilvl="0">
      <w:lvlJc w:val="left"/>
      <w:lvlText w:val="(%1)"/>
      <w:numFmt w:val="lowerRoman"/>
      <w:start w:val="2"/>
    </w:lvl>
  </w:abstractNum>
  <w:abstractNum w:abstractNumId="406">
    <w:nsid w:val="6350AC35"/>
    <w:multiLevelType w:val="hybridMultilevel"/>
    <w:lvl w:ilvl="0">
      <w:lvlJc w:val="left"/>
      <w:lvlText w:val="%1"/>
      <w:numFmt w:val="lowerLetter"/>
      <w:start w:val="1"/>
    </w:lvl>
    <w:lvl w:ilvl="1">
      <w:lvlJc w:val="left"/>
      <w:lvlText w:val="(%2)"/>
      <w:numFmt w:val="lowerLetter"/>
      <w:start w:val="1"/>
    </w:lvl>
  </w:abstractNum>
  <w:abstractNum w:abstractNumId="407">
    <w:nsid w:val="767725AB"/>
    <w:multiLevelType w:val="hybridMultilevel"/>
    <w:lvl w:ilvl="0">
      <w:lvlJc w:val="left"/>
      <w:lvlText w:val="(%1)"/>
      <w:numFmt w:val="lowerLetter"/>
      <w:start w:val="35"/>
    </w:lvl>
    <w:lvl w:ilvl="1">
      <w:lvlJc w:val="left"/>
      <w:lvlText w:val="%2"/>
      <w:numFmt w:val="lowerLetter"/>
      <w:start w:val="1"/>
    </w:lvl>
  </w:abstractNum>
  <w:abstractNum w:abstractNumId="408">
    <w:nsid w:val="4748C06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4)"/>
      <w:numFmt w:val="lowerLetter"/>
      <w:start w:val="61"/>
    </w:lvl>
  </w:abstractNum>
  <w:abstractNum w:abstractNumId="409">
    <w:nsid w:val="254D9EA9"/>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410">
    <w:nsid w:val="1FBD3AA3"/>
    <w:multiLevelType w:val="hybridMultilevel"/>
    <w:lvl w:ilvl="0">
      <w:lvlJc w:val="left"/>
      <w:lvlText w:val="(%1)"/>
      <w:numFmt w:val="lowerRoman"/>
      <w:start w:val="1"/>
    </w:lvl>
  </w:abstractNum>
  <w:abstractNum w:abstractNumId="411">
    <w:nsid w:val="18C6B4F2"/>
    <w:multiLevelType w:val="hybridMultilevel"/>
    <w:lvl w:ilvl="0">
      <w:lvlJc w:val="left"/>
      <w:lvlText w:val="["/>
      <w:numFmt w:val="bullet"/>
      <w:start w:val="1"/>
    </w:lvl>
  </w:abstractNum>
  <w:abstractNum w:abstractNumId="412">
    <w:nsid w:val="40BAD55"/>
    <w:multiLevelType w:val="hybridMultilevel"/>
    <w:lvl w:ilvl="0">
      <w:lvlJc w:val="left"/>
      <w:lvlText w:val="["/>
      <w:numFmt w:val="bullet"/>
      <w:start w:val="1"/>
    </w:lvl>
  </w:abstractNum>
  <w:abstractNum w:abstractNumId="413">
    <w:nsid w:val="E5B2573"/>
    <w:multiLevelType w:val="hybridMultilevel"/>
    <w:lvl w:ilvl="0">
      <w:lvlJc w:val="left"/>
      <w:lvlText w:val="%1."/>
      <w:numFmt w:val="decimal"/>
      <w:start w:val="1"/>
    </w:lvl>
    <w:lvl w:ilvl="1">
      <w:lvlJc w:val="left"/>
      <w:lvlText w:val="%2."/>
      <w:numFmt w:val="decimal"/>
      <w:start w:val="2"/>
    </w:lvl>
  </w:abstractNum>
  <w:abstractNum w:abstractNumId="414">
    <w:nsid w:val="5D175EF2"/>
    <w:multiLevelType w:val="hybridMultilevel"/>
    <w:lvl w:ilvl="0">
      <w:lvlJc w:val="left"/>
      <w:lvlText w:val="%1."/>
      <w:numFmt w:val="decimal"/>
      <w:start w:val="3"/>
    </w:lvl>
  </w:abstractNum>
  <w:abstractNum w:abstractNumId="415">
    <w:nsid w:val="4ED5A137"/>
    <w:multiLevelType w:val="hybridMultilevel"/>
    <w:lvl w:ilvl="0">
      <w:lvlJc w:val="left"/>
      <w:lvlText w:val="]"/>
      <w:numFmt w:val="bullet"/>
      <w:start w:val="1"/>
    </w:lvl>
  </w:abstractNum>
  <w:abstractNum w:abstractNumId="416">
    <w:nsid w:val="1B1BCCF5"/>
    <w:multiLevelType w:val="hybridMultilevel"/>
    <w:lvl w:ilvl="0">
      <w:lvlJc w:val="left"/>
      <w:lvlText w:val="]"/>
      <w:numFmt w:val="bullet"/>
      <w:start w:val="1"/>
    </w:lvl>
  </w:abstractNum>
  <w:abstractNum w:abstractNumId="417">
    <w:nsid w:val="56CDFABB"/>
    <w:multiLevelType w:val="hybridMultilevel"/>
    <w:lvl w:ilvl="0">
      <w:lvlJc w:val="left"/>
      <w:lvlText w:val="(%1)"/>
      <w:numFmt w:val="lowerLetter"/>
      <w:start w:val="3"/>
    </w:lvl>
  </w:abstractNum>
  <w:abstractNum w:abstractNumId="418">
    <w:nsid w:val="78466DAF"/>
    <w:multiLevelType w:val="hybridMultilevel"/>
    <w:lvl w:ilvl="0">
      <w:lvlJc w:val="left"/>
      <w:lvlText w:val="(%1)"/>
      <w:numFmt w:val="lowerLetter"/>
      <w:start w:val="3"/>
    </w:lvl>
  </w:abstractNum>
  <w:abstractNum w:abstractNumId="419">
    <w:nsid w:val="64E5E036"/>
    <w:multiLevelType w:val="hybridMultilevel"/>
    <w:lvl w:ilvl="0">
      <w:lvlJc w:val="left"/>
      <w:lvlText w:val="[%1]"/>
      <w:numFmt w:val="lowerLetter"/>
      <w:start w:val="103"/>
    </w:lvl>
  </w:abstractNum>
  <w:abstractNum w:abstractNumId="420">
    <w:nsid w:val="5C5B6C3A"/>
    <w:multiLevelType w:val="hybridMultilevel"/>
    <w:lvl w:ilvl="0">
      <w:lvlJc w:val="left"/>
      <w:lvlText w:val="(%1)"/>
      <w:numFmt w:val="lowerRoman"/>
      <w:start w:val="2"/>
    </w:lvl>
  </w:abstractNum>
  <w:abstractNum w:abstractNumId="421">
    <w:nsid w:val="5D094B84"/>
    <w:multiLevelType w:val="hybridMultilevel"/>
    <w:lvl w:ilvl="0">
      <w:lvlJc w:val="left"/>
      <w:lvlText w:val="(%1)"/>
      <w:numFmt w:val="decimal"/>
      <w:start w:val="1"/>
    </w:lvl>
  </w:abstractNum>
  <w:abstractNum w:abstractNumId="422">
    <w:nsid w:val="272A9914"/>
    <w:multiLevelType w:val="hybridMultilevel"/>
    <w:lvl w:ilvl="0">
      <w:lvlJc w:val="left"/>
      <w:lvlText w:val="(%1)"/>
      <w:numFmt w:val="lowerRoman"/>
      <w:start w:val="2"/>
    </w:lvl>
  </w:abstractNum>
  <w:abstractNum w:abstractNumId="423">
    <w:nsid w:val="52A4773B"/>
    <w:multiLevelType w:val="hybridMultilevel"/>
    <w:lvl w:ilvl="0">
      <w:lvlJc w:val="left"/>
      <w:lvlText w:val="2"/>
      <w:numFmt w:val="bullet"/>
      <w:start w:val="1"/>
    </w:lvl>
  </w:abstractNum>
  <w:abstractNum w:abstractNumId="424">
    <w:nsid w:val="13BAE843"/>
    <w:multiLevelType w:val="hybridMultilevel"/>
    <w:lvl w:ilvl="0">
      <w:lvlJc w:val="left"/>
      <w:lvlText w:val="(%1)"/>
      <w:numFmt w:val="lowerLetter"/>
      <w:start w:val="1"/>
    </w:lvl>
  </w:abstractNum>
  <w:abstractNum w:abstractNumId="425">
    <w:nsid w:val="B895EBF"/>
    <w:multiLevelType w:val="hybridMultilevel"/>
    <w:lvl w:ilvl="0">
      <w:lvlJc w:val="left"/>
      <w:lvlText w:val="(%1)"/>
      <w:numFmt w:val="lowerLetter"/>
      <w:start w:val="2"/>
    </w:lvl>
  </w:abstractNum>
  <w:abstractNum w:abstractNumId="426">
    <w:nsid w:val="646A232A"/>
    <w:multiLevelType w:val="hybridMultilevel"/>
    <w:lvl w:ilvl="0">
      <w:lvlJc w:val="left"/>
      <w:lvlText w:val="(%1)"/>
      <w:numFmt w:val="lowerLetter"/>
      <w:start w:val="1"/>
    </w:lvl>
  </w:abstractNum>
  <w:abstractNum w:abstractNumId="427">
    <w:nsid w:val="6E022D01"/>
    <w:multiLevelType w:val="hybridMultilevel"/>
    <w:lvl w:ilvl="0">
      <w:lvlJc w:val="left"/>
      <w:lvlText w:val="(%1)"/>
      <w:numFmt w:val="upperLetter"/>
      <w:start w:val="3"/>
    </w:lvl>
  </w:abstractNum>
  <w:abstractNum w:abstractNumId="428">
    <w:nsid w:val="294E0FD0"/>
    <w:multiLevelType w:val="hybridMultilevel"/>
    <w:lvl w:ilvl="0">
      <w:lvlJc w:val="left"/>
      <w:lvlText w:val="(%1)"/>
      <w:numFmt w:val="lowerLetter"/>
      <w:start w:val="2"/>
    </w:lvl>
  </w:abstractNum>
  <w:abstractNum w:abstractNumId="429">
    <w:nsid w:val="30D85A55"/>
    <w:multiLevelType w:val="hybridMultilevel"/>
    <w:lvl w:ilvl="0">
      <w:lvlJc w:val="left"/>
      <w:lvlText w:val="(%1)"/>
      <w:numFmt w:val="lowerLetter"/>
      <w:start w:val="4"/>
    </w:lvl>
  </w:abstractNum>
  <w:abstractNum w:abstractNumId="430">
    <w:nsid w:val="6F0463F1"/>
    <w:multiLevelType w:val="hybridMultilevel"/>
    <w:lvl w:ilvl="0">
      <w:lvlJc w:val="left"/>
      <w:lvlText w:val="(%1)"/>
      <w:numFmt w:val="lowerLetter"/>
      <w:start w:val="1"/>
    </w:lvl>
  </w:abstractNum>
  <w:abstractNum w:abstractNumId="431">
    <w:nsid w:val="1226623C"/>
    <w:multiLevelType w:val="hybridMultilevel"/>
    <w:lvl w:ilvl="0">
      <w:lvlJc w:val="left"/>
      <w:lvlText w:val="%1"/>
      <w:numFmt w:val="lowerLetter"/>
      <w:start w:val="1"/>
    </w:lvl>
    <w:lvl w:ilvl="1">
      <w:lvlJc w:val="left"/>
      <w:lvlText w:val="(%2)"/>
      <w:numFmt w:val="lowerLetter"/>
      <w:start w:val="2"/>
    </w:lvl>
  </w:abstractNum>
  <w:abstractNum w:abstractNumId="432">
    <w:nsid w:val="6D651B8D"/>
    <w:multiLevelType w:val="hybridMultilevel"/>
    <w:lvl w:ilvl="0">
      <w:lvlJc w:val="left"/>
      <w:lvlText w:val="(%1)"/>
      <w:numFmt w:val="lowerLetter"/>
      <w:start w:val="22"/>
    </w:lvl>
    <w:lvl w:ilvl="1">
      <w:lvlJc w:val="left"/>
      <w:lvlText w:val="%2"/>
      <w:numFmt w:val="lowerLetter"/>
      <w:start w:val="1"/>
    </w:lvl>
  </w:abstractNum>
  <w:abstractNum w:abstractNumId="433">
    <w:nsid w:val="31ED2BA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434">
    <w:nsid w:val="77633E5E"/>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435">
    <w:nsid w:val="7DA042A3"/>
    <w:multiLevelType w:val="hybridMultilevel"/>
    <w:lvl w:ilvl="0">
      <w:lvlJc w:val="left"/>
      <w:lvlText w:val="(%1)"/>
      <w:numFmt w:val="lowerLetter"/>
      <w:start w:val="1"/>
    </w:lvl>
  </w:abstractNum>
  <w:abstractNum w:abstractNumId="436">
    <w:nsid w:val="475553AB"/>
    <w:multiLevelType w:val="hybridMultilevel"/>
    <w:lvl w:ilvl="0">
      <w:lvlJc w:val="left"/>
      <w:lvlText w:val="%1"/>
      <w:numFmt w:val="upperLetter"/>
      <w:start w:val="1"/>
    </w:lvl>
    <w:lvl w:ilvl="1">
      <w:lvlJc w:val="left"/>
      <w:lvlText w:val="(%2)"/>
      <w:numFmt w:val="lowerLetter"/>
      <w:start w:val="2"/>
    </w:lvl>
  </w:abstractNum>
  <w:abstractNum w:abstractNumId="437">
    <w:nsid w:val="5AB3EA93"/>
    <w:multiLevelType w:val="hybridMultilevel"/>
    <w:lvl w:ilvl="0">
      <w:lvlJc w:val="left"/>
      <w:lvlText w:val="(%1)"/>
      <w:numFmt w:val="upperLetter"/>
      <w:start w:val="1"/>
    </w:lvl>
    <w:lvl w:ilvl="1">
      <w:lvlJc w:val="left"/>
      <w:lvlText w:val="%2"/>
      <w:numFmt w:val="lowerLetter"/>
      <w:start w:val="1"/>
    </w:lvl>
  </w:abstractNum>
  <w:abstractNum w:abstractNumId="438">
    <w:nsid w:val="7417684F"/>
    <w:multiLevelType w:val="hybridMultilevel"/>
    <w:lvl w:ilvl="0">
      <w:lvlJc w:val="left"/>
      <w:lvlText w:val="(%1)"/>
      <w:numFmt w:val="lowerLetter"/>
      <w:start w:val="1"/>
    </w:lvl>
  </w:abstractNum>
  <w:abstractNum w:abstractNumId="439">
    <w:nsid w:val="E9E1415"/>
    <w:multiLevelType w:val="hybridMultilevel"/>
    <w:lvl w:ilvl="0">
      <w:lvlJc w:val="left"/>
      <w:lvlText w:val="%1"/>
      <w:numFmt w:val="lowerLetter"/>
      <w:start w:val="1"/>
    </w:lvl>
    <w:lvl w:ilvl="1">
      <w:lvlJc w:val="left"/>
      <w:lvlText w:val="(%2)"/>
      <w:numFmt w:val="lowerLetter"/>
      <w:start w:val="2"/>
    </w:lvl>
  </w:abstractNum>
  <w:abstractNum w:abstractNumId="440">
    <w:nsid w:val="1893D"/>
    <w:multiLevelType w:val="hybridMultilevel"/>
    <w:lvl w:ilvl="0">
      <w:lvlJc w:val="left"/>
      <w:lvlText w:val="(%1)"/>
      <w:numFmt w:val="lowerLetter"/>
      <w:start w:val="5"/>
    </w:lvl>
    <w:lvl w:ilvl="1">
      <w:lvlJc w:val="left"/>
      <w:lvlText w:val="%2"/>
      <w:numFmt w:val="lowerLetter"/>
      <w:start w:val="1"/>
    </w:lvl>
  </w:abstractNum>
  <w:abstractNum w:abstractNumId="441">
    <w:nsid w:val="13D4A2F2"/>
    <w:multiLevelType w:val="hybridMultilevel"/>
    <w:lvl w:ilvl="0">
      <w:lvlJc w:val="left"/>
      <w:lvlText w:val="(%1)"/>
      <w:numFmt w:val="lowerLetter"/>
      <w:start w:val="6"/>
    </w:lvl>
  </w:abstractNum>
  <w:abstractNum w:abstractNumId="442">
    <w:nsid w:val="2764C907"/>
    <w:multiLevelType w:val="hybridMultilevel"/>
    <w:lvl w:ilvl="0">
      <w:lvlJc w:val="left"/>
      <w:lvlText w:val="(%1)"/>
      <w:numFmt w:val="lowerLetter"/>
      <w:start w:val="1"/>
    </w:lvl>
  </w:abstractNum>
  <w:abstractNum w:abstractNumId="443">
    <w:nsid w:val="40D3692"/>
    <w:multiLevelType w:val="hybridMultilevel"/>
    <w:lvl w:ilvl="0">
      <w:lvlJc w:val="left"/>
      <w:lvlText w:val="(%1)"/>
      <w:numFmt w:val="lowerLetter"/>
      <w:start w:val="1"/>
    </w:lvl>
    <w:lvl w:ilvl="1">
      <w:lvlJc w:val="left"/>
      <w:lvlText w:val="(%2)"/>
      <w:numFmt w:val="lowerLetter"/>
      <w:start w:val="2"/>
    </w:lvl>
  </w:abstractNum>
  <w:abstractNum w:abstractNumId="444">
    <w:nsid w:val="222FC865"/>
    <w:multiLevelType w:val="hybridMultilevel"/>
    <w:lvl w:ilvl="0">
      <w:lvlJc w:val="left"/>
      <w:lvlText w:val="(%1)"/>
      <w:numFmt w:val="lowerLetter"/>
      <w:start w:val="1"/>
    </w:lvl>
  </w:abstractNum>
  <w:abstractNum w:abstractNumId="445">
    <w:nsid w:val="47C27FA"/>
    <w:multiLevelType w:val="hybridMultilevel"/>
    <w:lvl w:ilvl="0">
      <w:lvlJc w:val="left"/>
      <w:lvlText w:val="(%1)"/>
      <w:numFmt w:val="lowerLetter"/>
      <w:start w:val="1"/>
    </w:lvl>
  </w:abstractNum>
  <w:abstractNum w:abstractNumId="446">
    <w:nsid w:val="52E2D7C9"/>
    <w:multiLevelType w:val="hybridMultilevel"/>
    <w:lvl w:ilvl="0">
      <w:lvlJc w:val="left"/>
      <w:lvlText w:val="(%1)"/>
      <w:numFmt w:val="lowerLetter"/>
      <w:start w:val="1"/>
    </w:lvl>
  </w:abstractNum>
  <w:abstractNum w:abstractNumId="447">
    <w:nsid w:val="3D4B955A"/>
    <w:multiLevelType w:val="hybridMultilevel"/>
    <w:lvl w:ilvl="0">
      <w:lvlJc w:val="left"/>
      <w:lvlText w:val="(%1)"/>
      <w:numFmt w:val="lowerLetter"/>
      <w:start w:val="3"/>
    </w:lvl>
    <w:lvl w:ilvl="1">
      <w:lvlJc w:val="left"/>
      <w:lvlText w:val="(%2)"/>
      <w:numFmt w:val="lowerLetter"/>
      <w:start w:val="9"/>
    </w:lvl>
  </w:abstractNum>
  <w:abstractNum w:abstractNumId="448">
    <w:nsid w:val="5B4A22B5"/>
    <w:multiLevelType w:val="hybridMultilevel"/>
    <w:lvl w:ilvl="0">
      <w:lvlJc w:val="left"/>
      <w:lvlText w:val="%1"/>
      <w:numFmt w:val="lowerLetter"/>
      <w:start w:val="1"/>
    </w:lvl>
    <w:lvl w:ilvl="1">
      <w:lvlJc w:val="left"/>
      <w:lvlText w:val="(%2)"/>
      <w:numFmt w:val="lowerLetter"/>
      <w:start w:val="1"/>
    </w:lvl>
  </w:abstractNum>
  <w:abstractNum w:abstractNumId="449">
    <w:nsid w:val="4B294578"/>
    <w:multiLevelType w:val="hybridMultilevel"/>
    <w:lvl w:ilvl="0">
      <w:lvlJc w:val="left"/>
      <w:lvlText w:val="(%1)"/>
      <w:numFmt w:val="lowerLetter"/>
      <w:start w:val="3"/>
    </w:lvl>
    <w:lvl w:ilvl="1">
      <w:lvlJc w:val="left"/>
      <w:lvlText w:val="%2"/>
      <w:numFmt w:val="lowerLetter"/>
      <w:start w:val="1"/>
    </w:lvl>
  </w:abstractNum>
  <w:abstractNum w:abstractNumId="450">
    <w:nsid w:val="22317590"/>
    <w:multiLevelType w:val="hybridMultilevel"/>
    <w:lvl w:ilvl="0">
      <w:lvlJc w:val="left"/>
      <w:lvlText w:val="(%1)"/>
      <w:numFmt w:val="lowerRoman"/>
      <w:start w:val="1"/>
    </w:lvl>
    <w:lvl w:ilvl="1">
      <w:lvlJc w:val="left"/>
      <w:lvlText w:val="(%2)"/>
      <w:numFmt w:val="lowerRoman"/>
      <w:start w:val="2"/>
    </w:lvl>
  </w:abstractNum>
  <w:abstractNum w:abstractNumId="451">
    <w:nsid w:val="37A58EEF"/>
    <w:multiLevelType w:val="hybridMultilevel"/>
    <w:lvl w:ilvl="0">
      <w:lvlJc w:val="left"/>
      <w:lvlText w:val="(%1)"/>
      <w:numFmt w:val="lowerLetter"/>
      <w:start w:val="1"/>
    </w:lvl>
  </w:abstractNum>
  <w:abstractNum w:abstractNumId="452">
    <w:nsid w:val="283290FD"/>
    <w:multiLevelType w:val="hybridMultilevel"/>
    <w:lvl w:ilvl="0">
      <w:lvlJc w:val="left"/>
      <w:lvlText w:val="(%1)"/>
      <w:numFmt w:val="lowerLetter"/>
      <w:start w:val="2"/>
    </w:lvl>
  </w:abstractNum>
  <w:abstractNum w:abstractNumId="453">
    <w:nsid w:val="495C0EA5"/>
    <w:multiLevelType w:val="hybridMultilevel"/>
    <w:lvl w:ilvl="0">
      <w:lvlJc w:val="left"/>
      <w:lvlText w:val="(%1)"/>
      <w:numFmt w:val="lowerLetter"/>
      <w:start w:val="4"/>
    </w:lvl>
  </w:abstractNum>
  <w:abstractNum w:abstractNumId="454">
    <w:nsid w:val="A4A062B"/>
    <w:multiLevelType w:val="hybridMultilevel"/>
    <w:lvl w:ilvl="0">
      <w:lvlJc w:val="left"/>
      <w:lvlText w:val="(%1)"/>
      <w:numFmt w:val="lowerRoman"/>
      <w:start w:val="1"/>
    </w:lvl>
    <w:lvl w:ilvl="1">
      <w:lvlJc w:val="left"/>
      <w:lvlText w:val="(%2)"/>
      <w:numFmt w:val="lowerRoman"/>
      <w:start w:val="3"/>
    </w:lvl>
  </w:abstractNum>
  <w:abstractNum w:abstractNumId="455">
    <w:nsid w:val="3BED7940"/>
    <w:multiLevelType w:val="hybridMultilevel"/>
    <w:lvl w:ilvl="0">
      <w:lvlJc w:val="left"/>
      <w:lvlText w:val="%1"/>
      <w:numFmt w:val="upperLetter"/>
      <w:start w:val="1"/>
    </w:lvl>
    <w:lvl w:ilvl="1">
      <w:lvlJc w:val="left"/>
      <w:lvlText w:val="(%2)"/>
      <w:numFmt w:val="lowerLetter"/>
      <w:start w:val="2"/>
    </w:lvl>
  </w:abstractNum>
  <w:abstractNum w:abstractNumId="456">
    <w:nsid w:val="54E56D64"/>
    <w:multiLevelType w:val="hybridMultilevel"/>
    <w:lvl w:ilvl="0">
      <w:lvlJc w:val="left"/>
      <w:lvlText w:val="(%1)"/>
      <w:numFmt w:val="upperLetter"/>
      <w:start w:val="1"/>
    </w:lvl>
    <w:lvl w:ilvl="1">
      <w:lvlJc w:val="left"/>
      <w:lvlText w:val="%2"/>
      <w:numFmt w:val="lowerLetter"/>
      <w:start w:val="1"/>
    </w:lvl>
  </w:abstractNum>
  <w:abstractNum w:abstractNumId="457">
    <w:nsid w:val="6EB42955"/>
    <w:multiLevelType w:val="hybridMultilevel"/>
    <w:lvl w:ilvl="0">
      <w:lvlJc w:val="left"/>
      <w:lvlText w:val="%1"/>
      <w:numFmt w:val="upperLetter"/>
      <w:start w:val="1"/>
    </w:lvl>
    <w:lvl w:ilvl="1">
      <w:lvlJc w:val="left"/>
      <w:lvlText w:val="%2."/>
      <w:numFmt w:val="upperLetter"/>
      <w:start w:val="1"/>
    </w:lvl>
  </w:abstractNum>
  <w:abstractNum w:abstractNumId="458">
    <w:nsid w:val="29EFA642"/>
    <w:multiLevelType w:val="hybridMultilevel"/>
    <w:lvl w:ilvl="0">
      <w:lvlJc w:val="left"/>
      <w:lvlText w:val="%1."/>
      <w:numFmt w:val="upperLetter"/>
      <w:start w:val="2"/>
    </w:lvl>
    <w:lvl w:ilvl="1">
      <w:lvlJc w:val="left"/>
      <w:lvlText w:val="%2"/>
      <w:numFmt w:val="upperLetter"/>
      <w:start w:val="1"/>
    </w:lvl>
  </w:abstractNum>
  <w:abstractNum w:abstractNumId="459">
    <w:nsid w:val="7E337D35"/>
    <w:multiLevelType w:val="hybridMultilevel"/>
    <w:lvl w:ilvl="0">
      <w:lvlJc w:val="left"/>
      <w:lvlText w:val="["/>
      <w:numFmt w:val="bullet"/>
      <w:start w:val="1"/>
    </w:lvl>
  </w:abstractNum>
  <w:abstractNum w:abstractNumId="460">
    <w:nsid w:val="1F8C83AB"/>
    <w:multiLevelType w:val="hybridMultilevel"/>
    <w:lvl w:ilvl="0">
      <w:lvlJc w:val="left"/>
      <w:lvlText w:val="["/>
      <w:numFmt w:val="bullet"/>
      <w:start w:val="1"/>
    </w:lvl>
  </w:abstractNum>
  <w:abstractNum w:abstractNumId="461">
    <w:nsid w:val="18F40A33"/>
    <w:multiLevelType w:val="hybridMultilevel"/>
    <w:lvl w:ilvl="0">
      <w:lvlJc w:val="left"/>
      <w:lvlText w:val="%1."/>
      <w:numFmt w:val="upperLetter"/>
      <w:start w:val="1"/>
    </w:lvl>
  </w:abstractNum>
  <w:abstractNum w:abstractNumId="462">
    <w:nsid w:val="1059DF71"/>
    <w:multiLevelType w:val="hybridMultilevel"/>
    <w:lvl w:ilvl="0">
      <w:lvlJc w:val="left"/>
      <w:lvlText w:val="["/>
      <w:numFmt w:val="bullet"/>
      <w:start w:val="1"/>
    </w:lvl>
  </w:abstractNum>
  <w:abstractNum w:abstractNumId="463">
    <w:nsid w:val="CF19F38"/>
    <w:multiLevelType w:val="hybridMultilevel"/>
    <w:lvl w:ilvl="0">
      <w:lvlJc w:val="left"/>
      <w:lvlText w:val="%1."/>
      <w:numFmt w:val="upperLetter"/>
      <w:start w:val="1"/>
    </w:lvl>
  </w:abstractNum>
  <w:abstractNum w:abstractNumId="464">
    <w:nsid w:val="4AE135E2"/>
    <w:multiLevelType w:val="hybridMultilevel"/>
    <w:lvl w:ilvl="0">
      <w:lvlJc w:val="left"/>
      <w:lvlText w:val="["/>
      <w:numFmt w:val="bullet"/>
      <w:start w:val="1"/>
    </w:lvl>
  </w:abstractNum>
  <w:abstractNum w:abstractNumId="465">
    <w:nsid w:val="7BD1DCF"/>
    <w:multiLevelType w:val="hybridMultilevel"/>
    <w:lvl w:ilvl="0">
      <w:lvlJc w:val="left"/>
      <w:lvlText w:val="["/>
      <w:numFmt w:val="bullet"/>
      <w:start w:val="1"/>
    </w:lvl>
  </w:abstractNum>
  <w:abstractNum w:abstractNumId="466">
    <w:nsid w:val="A91E1DC"/>
    <w:multiLevelType w:val="hybridMultilevel"/>
    <w:lvl w:ilvl="0">
      <w:lvlJc w:val="left"/>
      <w:lvlText w:val="(%1)"/>
      <w:numFmt w:val="lowerLetter"/>
      <w:start w:val="2"/>
    </w:lvl>
  </w:abstractNum>
  <w:abstractNum w:abstractNumId="467">
    <w:nsid w:val="1236898D"/>
    <w:multiLevelType w:val="hybridMultilevel"/>
    <w:lvl w:ilvl="0">
      <w:lvlJc w:val="left"/>
      <w:lvlText w:val="(%1)"/>
      <w:numFmt w:val="lowerLetter"/>
      <w:start w:val="4"/>
    </w:lvl>
  </w:abstractNum>
  <w:abstractNum w:abstractNumId="468">
    <w:nsid w:val="62710862"/>
    <w:multiLevelType w:val="hybridMultilevel"/>
    <w:lvl w:ilvl="0">
      <w:lvlJc w:val="left"/>
      <w:lvlText w:val="(%1)"/>
      <w:numFmt w:val="lowerLetter"/>
      <w:start w:val="1"/>
    </w:lvl>
  </w:abstractNum>
  <w:abstractNum w:abstractNumId="469">
    <w:nsid w:val="7EA94A2B"/>
    <w:multiLevelType w:val="hybridMultilevel"/>
    <w:lvl w:ilvl="0">
      <w:lvlJc w:val="left"/>
      <w:lvlText w:val="(%1)"/>
      <w:numFmt w:val="lowerLetter"/>
      <w:start w:val="2"/>
    </w:lvl>
  </w:abstractNum>
  <w:abstractNum w:abstractNumId="470">
    <w:nsid w:val="20D49DA3"/>
    <w:multiLevelType w:val="hybridMultilevel"/>
    <w:lvl w:ilvl="0">
      <w:lvlJc w:val="left"/>
      <w:lvlText w:val="(%1)"/>
      <w:numFmt w:val="lowerLetter"/>
      <w:start w:val="3"/>
    </w:lvl>
  </w:abstractNum>
  <w:abstractNum w:abstractNumId="471">
    <w:nsid w:val="6272919F"/>
    <w:multiLevelType w:val="hybridMultilevel"/>
    <w:lvl w:ilvl="0">
      <w:lvlJc w:val="left"/>
      <w:lvlText w:val="%1"/>
      <w:numFmt w:val="lowerLetter"/>
      <w:start w:val="1"/>
    </w:lvl>
    <w:lvl w:ilvl="1">
      <w:lvlJc w:val="left"/>
      <w:lvlText w:val="(%2)"/>
      <w:numFmt w:val="lowerLetter"/>
      <w:start w:val="1"/>
    </w:lvl>
  </w:abstractNum>
  <w:abstractNum w:abstractNumId="472">
    <w:nsid w:val="127DED1D"/>
    <w:multiLevelType w:val="hybridMultilevel"/>
    <w:lvl w:ilvl="0">
      <w:lvlJc w:val="left"/>
      <w:lvlText w:val="(%1)"/>
      <w:numFmt w:val="lowerLetter"/>
      <w:start w:val="9"/>
    </w:lvl>
    <w:lvl w:ilvl="1">
      <w:lvlJc w:val="left"/>
      <w:lvlText w:val="(%2)"/>
      <w:numFmt w:val="lowerLetter"/>
      <w:start w:val="2"/>
    </w:lvl>
  </w:abstractNum>
  <w:abstractNum w:abstractNumId="473">
    <w:nsid w:val="483966AA"/>
    <w:multiLevelType w:val="hybridMultilevel"/>
    <w:lvl w:ilvl="0">
      <w:lvlJc w:val="left"/>
      <w:lvlText w:val="(%1)"/>
      <w:numFmt w:val="lowerLetter"/>
      <w:start w:val="4"/>
    </w:lvl>
  </w:abstractNum>
  <w:abstractNum w:abstractNumId="474">
    <w:nsid w:val="667FC831"/>
    <w:multiLevelType w:val="hybridMultilevel"/>
    <w:lvl w:ilvl="0">
      <w:lvlJc w:val="left"/>
      <w:lvlText w:val="(%1)"/>
      <w:numFmt w:val="lowerRoman"/>
      <w:start w:val="1"/>
    </w:lvl>
  </w:abstractNum>
  <w:abstractNum w:abstractNumId="475">
    <w:nsid w:val="34ADB582"/>
    <w:multiLevelType w:val="hybridMultilevel"/>
    <w:lvl w:ilvl="0">
      <w:lvlJc w:val="left"/>
      <w:lvlText w:val="(%1)"/>
      <w:numFmt w:val="lowerLetter"/>
      <w:start w:val="2"/>
    </w:lvl>
  </w:abstractNum>
  <w:abstractNum w:abstractNumId="476">
    <w:nsid w:val="4CB58EA4"/>
    <w:multiLevelType w:val="hybridMultilevel"/>
    <w:lvl w:ilvl="0">
      <w:lvlJc w:val="left"/>
      <w:lvlText w:val="(%1)"/>
      <w:numFmt w:val="lowerLetter"/>
      <w:start w:val="4"/>
    </w:lvl>
  </w:abstractNum>
  <w:abstractNum w:abstractNumId="477">
    <w:nsid w:val="39629FFA"/>
    <w:multiLevelType w:val="hybridMultilevel"/>
    <w:lvl w:ilvl="0">
      <w:lvlJc w:val="left"/>
      <w:lvlText w:val="(%1)"/>
      <w:numFmt w:val="lowerRoman"/>
      <w:start w:val="1"/>
    </w:lvl>
  </w:abstractNum>
  <w:abstractNum w:abstractNumId="478">
    <w:nsid w:val="71F94ADC"/>
    <w:multiLevelType w:val="hybridMultilevel"/>
    <w:lvl w:ilvl="0">
      <w:lvlJc w:val="left"/>
      <w:lvlText w:val="(%1)"/>
      <w:numFmt w:val="lowerRoman"/>
      <w:start w:val="8"/>
    </w:lvl>
  </w:abstractNum>
  <w:abstractNum w:abstractNumId="479">
    <w:nsid w:val="27FFB15A"/>
    <w:multiLevelType w:val="hybridMultilevel"/>
    <w:lvl w:ilvl="0">
      <w:lvlJc w:val="left"/>
      <w:lvlText w:val="(%1)"/>
      <w:numFmt w:val="lowerRoman"/>
      <w:start w:val="13"/>
    </w:lvl>
  </w:abstractNum>
  <w:abstractNum w:abstractNumId="480">
    <w:nsid w:val="48BE573"/>
    <w:multiLevelType w:val="hybridMultilevel"/>
    <w:lvl w:ilvl="0">
      <w:lvlJc w:val="left"/>
      <w:lvlText w:val="(%1)"/>
      <w:numFmt w:val="upperLetter"/>
      <w:start w:val="2"/>
    </w:lvl>
    <w:lvl w:ilvl="1">
      <w:lvlJc w:val="left"/>
      <w:lvlText w:val="(%2)"/>
      <w:numFmt w:val="lowerLetter"/>
      <w:start w:val="2"/>
    </w:lvl>
  </w:abstractNum>
  <w:abstractNum w:abstractNumId="481">
    <w:nsid w:val="142AC06C"/>
    <w:multiLevelType w:val="hybridMultilevel"/>
    <w:lvl w:ilvl="0">
      <w:lvlJc w:val="left"/>
      <w:lvlText w:val="(%1)"/>
      <w:numFmt w:val="lowerLetter"/>
      <w:start w:val="1"/>
    </w:lvl>
  </w:abstractNum>
  <w:abstractNum w:abstractNumId="482">
    <w:nsid w:val="5FA54049"/>
    <w:multiLevelType w:val="hybridMultilevel"/>
    <w:lvl w:ilvl="0">
      <w:lvlJc w:val="left"/>
      <w:lvlText w:val="(%1)"/>
      <w:numFmt w:val="lowerLetter"/>
      <w:start w:val="3"/>
    </w:lvl>
  </w:abstractNum>
  <w:abstractNum w:abstractNumId="483">
    <w:nsid w:val="2CBE7670"/>
    <w:multiLevelType w:val="hybridMultilevel"/>
    <w:lvl w:ilvl="0">
      <w:lvlJc w:val="left"/>
      <w:lvlText w:val="%1"/>
      <w:numFmt w:val="lowerLetter"/>
      <w:start w:val="1"/>
    </w:lvl>
    <w:lvl w:ilvl="1">
      <w:lvlJc w:val="left"/>
      <w:lvlText w:val="(%2)"/>
      <w:numFmt w:val="lowerLetter"/>
      <w:start w:val="4"/>
    </w:lvl>
  </w:abstractNum>
  <w:abstractNum w:abstractNumId="484">
    <w:nsid w:val="5D86CF11"/>
    <w:multiLevelType w:val="hybridMultilevel"/>
    <w:lvl w:ilvl="0">
      <w:lvlJc w:val="left"/>
      <w:lvlText w:val="(%1)"/>
      <w:numFmt w:val="lowerLetter"/>
      <w:start w:val="9"/>
    </w:lvl>
    <w:lvl w:ilvl="1">
      <w:lvlJc w:val="left"/>
      <w:lvlText w:val="(%2)"/>
      <w:numFmt w:val="lowerLetter"/>
      <w:start w:val="5"/>
    </w:lvl>
  </w:abstractNum>
  <w:abstractNum w:abstractNumId="485">
    <w:nsid w:val="69EF4674"/>
    <w:multiLevelType w:val="hybridMultilevel"/>
    <w:lvl w:ilvl="0">
      <w:lvlJc w:val="left"/>
      <w:lvlText w:val="(%1)"/>
      <w:numFmt w:val="lowerLetter"/>
      <w:start w:val="35"/>
    </w:lvl>
    <w:lvl w:ilvl="1">
      <w:lvlJc w:val="left"/>
      <w:lvlText w:val="%2"/>
      <w:numFmt w:val="lowerLetter"/>
      <w:start w:val="1"/>
    </w:lvl>
  </w:abstractNum>
  <w:abstractNum w:abstractNumId="486">
    <w:nsid w:val="68ABEFB0"/>
    <w:multiLevelType w:val="hybridMultilevel"/>
    <w:lvl w:ilvl="0">
      <w:lvlJc w:val="left"/>
      <w:lvlText w:val="(%1)"/>
      <w:numFmt w:val="lowerLetter"/>
      <w:start w:val="23"/>
    </w:lvl>
    <w:lvl w:ilvl="1">
      <w:lvlJc w:val="left"/>
      <w:lvlText w:val="(%2)"/>
      <w:numFmt w:val="lowerLetter"/>
      <w:start w:val="2"/>
    </w:lvl>
  </w:abstractNum>
  <w:abstractNum w:abstractNumId="487">
    <w:nsid w:val="326C3C76"/>
    <w:multiLevelType w:val="hybridMultilevel"/>
    <w:lvl w:ilvl="0">
      <w:lvlJc w:val="left"/>
      <w:lvlText w:val="(%1)"/>
      <w:numFmt w:val="lowerLetter"/>
      <w:start w:val="3"/>
    </w:lvl>
  </w:abstractNum>
  <w:abstractNum w:abstractNumId="488">
    <w:nsid w:val="58A36FCA"/>
    <w:multiLevelType w:val="hybridMultilevel"/>
    <w:lvl w:ilvl="0">
      <w:lvlJc w:val="left"/>
      <w:lvlText w:val="(%1)"/>
      <w:numFmt w:val="lowerLetter"/>
      <w:start w:val="1"/>
    </w:lvl>
  </w:abstractNum>
  <w:abstractNum w:abstractNumId="489">
    <w:nsid w:val="129B95F2"/>
    <w:multiLevelType w:val="hybridMultilevel"/>
    <w:lvl w:ilvl="0">
      <w:lvlJc w:val="left"/>
      <w:lvlText w:val="(%1)"/>
      <w:numFmt w:val="lowerLetter"/>
      <w:start w:val="1"/>
    </w:lvl>
  </w:abstractNum>
  <w:abstractNum w:abstractNumId="490">
    <w:nsid w:val="309FB9AB"/>
    <w:multiLevelType w:val="hybridMultilevel"/>
    <w:lvl w:ilvl="0">
      <w:lvlJc w:val="left"/>
      <w:lvlText w:val="%1"/>
      <w:numFmt w:val="lowerLetter"/>
      <w:start w:val="1"/>
    </w:lvl>
    <w:lvl w:ilvl="1">
      <w:lvlJc w:val="left"/>
      <w:lvlText w:val="(%2)"/>
      <w:numFmt w:val="lowerLetter"/>
      <w:start w:val="2"/>
    </w:lvl>
  </w:abstractNum>
  <w:abstractNum w:abstractNumId="491">
    <w:nsid w:val="782FF375"/>
    <w:multiLevelType w:val="hybridMultilevel"/>
    <w:lvl w:ilvl="0">
      <w:lvlJc w:val="left"/>
      <w:lvlText w:val="(%1)"/>
      <w:numFmt w:val="lowerLetter"/>
      <w:start w:val="9"/>
    </w:lvl>
    <w:lvl w:ilvl="1">
      <w:lvlJc w:val="left"/>
      <w:lvlText w:val="(%2)"/>
      <w:numFmt w:val="lowerLetter"/>
      <w:start w:val="3"/>
    </w:lvl>
  </w:abstractNum>
  <w:abstractNum w:abstractNumId="492">
    <w:nsid w:val="2B8FA025"/>
    <w:multiLevelType w:val="hybridMultilevel"/>
    <w:lvl w:ilvl="0">
      <w:lvlJc w:val="left"/>
      <w:lvlText w:val="(%1)"/>
      <w:numFmt w:val="lowerLetter"/>
      <w:start w:val="2"/>
    </w:lvl>
  </w:abstractNum>
  <w:abstractNum w:abstractNumId="493">
    <w:nsid w:val="40F9991C"/>
    <w:multiLevelType w:val="hybridMultilevel"/>
    <w:lvl w:ilvl="0">
      <w:lvlJc w:val="left"/>
      <w:lvlText w:val="(%1)"/>
      <w:numFmt w:val="lowerLetter"/>
      <w:start w:val="2"/>
    </w:lvl>
  </w:abstractNum>
  <w:abstractNum w:abstractNumId="494">
    <w:nsid w:val="52192AD"/>
    <w:multiLevelType w:val="hybridMultilevel"/>
    <w:lvl w:ilvl="0">
      <w:lvlJc w:val="left"/>
      <w:lvlText w:val="(%1)"/>
      <w:numFmt w:val="upperLetter"/>
      <w:start w:val="1"/>
    </w:lvl>
  </w:abstractNum>
  <w:abstractNum w:abstractNumId="495">
    <w:nsid w:val="7670D608"/>
    <w:multiLevelType w:val="hybridMultilevel"/>
    <w:lvl w:ilvl="0">
      <w:lvlJc w:val="left"/>
      <w:lvlText w:val="(%1)"/>
      <w:numFmt w:val="lowerLetter"/>
      <w:start w:val="2"/>
    </w:lvl>
  </w:abstractNum>
  <w:abstractNum w:abstractNumId="496">
    <w:nsid w:val="48B6B6EB"/>
    <w:multiLevelType w:val="hybridMultilevel"/>
    <w:lvl w:ilvl="0">
      <w:lvlJc w:val="left"/>
      <w:lvlText w:val="(%1)"/>
      <w:numFmt w:val="lowerLetter"/>
      <w:start w:val="2"/>
    </w:lvl>
  </w:abstractNum>
  <w:abstractNum w:abstractNumId="497">
    <w:nsid w:val="FB37489"/>
    <w:multiLevelType w:val="hybridMultilevel"/>
    <w:lvl w:ilvl="0">
      <w:lvlJc w:val="left"/>
      <w:lvlText w:val="%1."/>
      <w:numFmt w:val="decimal"/>
      <w:start w:val="1"/>
    </w:lvl>
  </w:abstractNum>
  <w:abstractNum w:abstractNumId="498">
    <w:nsid w:val="8A75F95"/>
    <w:multiLevelType w:val="hybridMultilevel"/>
    <w:lvl w:ilvl="0">
      <w:lvlJc w:val="left"/>
      <w:lvlText w:val="1"/>
      <w:numFmt w:val="bullet"/>
      <w:start w:val="1"/>
    </w:lvl>
  </w:abstractNum>
  <w:abstractNum w:abstractNumId="499">
    <w:nsid w:val="2B27BF4D"/>
    <w:multiLevelType w:val="hybridMultilevel"/>
    <w:lvl w:ilvl="0">
      <w:lvlJc w:val="left"/>
      <w:lvlText w:val="2"/>
      <w:numFmt w:val="bullet"/>
      <w:start w:val="1"/>
    </w:lvl>
  </w:abstractNum>
  <w:abstractNum w:abstractNumId="500">
    <w:nsid w:val="E5CBEB4"/>
    <w:multiLevelType w:val="hybridMultilevel"/>
    <w:lvl w:ilvl="0">
      <w:lvlJc w:val="left"/>
      <w:lvlText w:val="3"/>
      <w:numFmt w:val="bullet"/>
      <w:start w:val="1"/>
    </w:lvl>
  </w:abstractNum>
  <w:abstractNum w:abstractNumId="501">
    <w:nsid w:val="297BFD38"/>
    <w:multiLevelType w:val="hybridMultilevel"/>
    <w:lvl w:ilvl="0">
      <w:lvlJc w:val="left"/>
      <w:lvlText w:val="4"/>
      <w:numFmt w:val="bullet"/>
      <w:start w:val="1"/>
    </w:lvl>
  </w:abstractNum>
  <w:abstractNum w:abstractNumId="502">
    <w:nsid w:val="D9A50ED"/>
    <w:multiLevelType w:val="hybridMultilevel"/>
    <w:lvl w:ilvl="0">
      <w:lvlJc w:val="left"/>
      <w:lvlText w:val="%1."/>
      <w:numFmt w:val="upperLetter"/>
      <w:start w:val="1"/>
    </w:lvl>
  </w:abstractNum>
  <w:abstractNum w:abstractNumId="503">
    <w:nsid w:val="20DAABD1"/>
    <w:multiLevelType w:val="hybridMultilevel"/>
    <w:lvl w:ilvl="0">
      <w:lvlJc w:val="left"/>
      <w:lvlText w:val="[***]"/>
      <w:numFmt w:val="bullet"/>
      <w:start w:val="1"/>
    </w:lvl>
  </w:abstractNum>
  <w:abstractNum w:abstractNumId="504">
    <w:nsid w:val="71B563E3"/>
    <w:multiLevelType w:val="hybridMultilevel"/>
    <w:lvl w:ilvl="0">
      <w:lvlJc w:val="left"/>
      <w:lvlText w:val="(%1)"/>
      <w:numFmt w:val="lowerLetter"/>
      <w:start w:val="1"/>
    </w:lvl>
  </w:abstractNum>
  <w:abstractNum w:abstractNumId="505">
    <w:nsid w:val="741A191E"/>
    <w:multiLevelType w:val="hybridMultilevel"/>
    <w:lvl w:ilvl="0">
      <w:lvlJc w:val="left"/>
      <w:lvlText w:val="1"/>
      <w:numFmt w:val="bullet"/>
      <w:start w:val="1"/>
    </w:lvl>
  </w:abstractNum>
  <w:abstractNum w:abstractNumId="506">
    <w:nsid w:val="55886153"/>
    <w:multiLevelType w:val="hybridMultilevel"/>
    <w:lvl w:ilvl="0">
      <w:lvlJc w:val="left"/>
      <w:lvlText w:val="(%1)"/>
      <w:numFmt w:val="lowerLetter"/>
      <w:start w:val="3"/>
    </w:lvl>
  </w:abstractNum>
  <w:abstractNum w:abstractNumId="507">
    <w:nsid w:val="3E6AF287"/>
    <w:multiLevelType w:val="hybridMultilevel"/>
    <w:lvl w:ilvl="0">
      <w:lvlJc w:val="left"/>
      <w:lvlText w:val="(%1)"/>
      <w:numFmt w:val="lowerLetter"/>
      <w:start w:val="1"/>
    </w:lvl>
  </w:abstractNum>
  <w:abstractNum w:abstractNumId="508">
    <w:nsid w:val="2D7CB91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509">
    <w:nsid w:val="4781AC2F"/>
    <w:multiLevelType w:val="hybridMultilevel"/>
    <w:lvl w:ilvl="0">
      <w:lvlJc w:val="left"/>
      <w:lvlText w:val="(%1)"/>
      <w:numFmt w:val="lowerLetter"/>
      <w:start w:val="4"/>
    </w:lvl>
    <w:lvl w:ilvl="1">
      <w:lvlJc w:val="left"/>
      <w:lvlText w:val="(%2)"/>
      <w:numFmt w:val="lowerRoman"/>
      <w:start w:val="9"/>
    </w:lvl>
    <w:lvl w:ilvl="2">
      <w:lvlJc w:val="left"/>
      <w:lvlText w:val="(%3)"/>
      <w:numFmt w:val="lowerLetter"/>
      <w:start w:val="4"/>
    </w:lvl>
  </w:abstractNum>
  <w:abstractNum w:abstractNumId="510">
    <w:nsid w:val="666AA3E1"/>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5"/>
    </w:lvl>
  </w:abstractNum>
  <w:abstractNum w:abstractNumId="511">
    <w:nsid w:val="32089E8C"/>
    <w:multiLevelType w:val="hybridMultilevel"/>
    <w:lvl w:ilvl="0">
      <w:lvlJc w:val="left"/>
      <w:lvlText w:val="(%1)"/>
      <w:numFmt w:val="lowerLetter"/>
      <w:start w:val="10"/>
    </w:lvl>
  </w:abstractNum>
  <w:abstractNum w:abstractNumId="512">
    <w:nsid w:val="5BAC6C9C"/>
    <w:multiLevelType w:val="hybridMultilevel"/>
    <w:lvl w:ilvl="0">
      <w:lvlJc w:val="left"/>
      <w:lvlText w:val="(%1)"/>
      <w:numFmt w:val="lowerLetter"/>
      <w:start w:val="1"/>
    </w:lvl>
    <w:lvl w:ilvl="1">
      <w:lvlJc w:val="left"/>
      <w:lvlText w:val="(%2)"/>
      <w:numFmt w:val="lowerLetter"/>
      <w:start w:val="2"/>
    </w:lvl>
  </w:abstractNum>
  <w:abstractNum w:abstractNumId="513">
    <w:nsid w:val="460FE42B"/>
    <w:multiLevelType w:val="hybridMultilevel"/>
    <w:lvl w:ilvl="0">
      <w:lvlJc w:val="left"/>
      <w:lvlText w:val="(%1)"/>
      <w:numFmt w:val="lowerLetter"/>
      <w:start w:val="3"/>
    </w:lvl>
  </w:abstractNum>
  <w:abstractNum w:abstractNumId="514">
    <w:nsid w:val="5EC714FC"/>
    <w:multiLevelType w:val="hybridMultilevel"/>
    <w:lvl w:ilvl="0">
      <w:lvlJc w:val="left"/>
      <w:lvlText w:val="(%1)"/>
      <w:numFmt w:val="lowerLetter"/>
      <w:start w:val="10"/>
    </w:lvl>
  </w:abstractNum>
  <w:abstractNum w:abstractNumId="515">
    <w:nsid w:val="39333BAD"/>
    <w:multiLevelType w:val="hybridMultilevel"/>
    <w:lvl w:ilvl="0">
      <w:lvlJc w:val="left"/>
      <w:lvlText w:val="1"/>
      <w:numFmt w:val="bullet"/>
      <w:start w:val="1"/>
    </w:lvl>
  </w:abstractNum>
  <w:abstractNum w:abstractNumId="516">
    <w:nsid w:val="2FFF2A9F"/>
    <w:multiLevelType w:val="hybridMultilevel"/>
    <w:lvl w:ilvl="0">
      <w:lvlJc w:val="left"/>
      <w:lvlText w:val="J"/>
      <w:numFmt w:val="bullet"/>
      <w:start w:val="1"/>
    </w:lvl>
  </w:abstractNum>
  <w:abstractNum w:abstractNumId="517">
    <w:nsid w:val="477304AC"/>
    <w:multiLevelType w:val="hybridMultilevel"/>
    <w:lvl w:ilvl="0">
      <w:lvlJc w:val="left"/>
      <w:lvlText w:val="(%1)"/>
      <w:numFmt w:val="upperLetter"/>
      <w:start w:val="1"/>
    </w:lvl>
  </w:abstractNum>
  <w:abstractNum w:abstractNumId="518">
    <w:nsid w:val="6B9F7823"/>
    <w:multiLevelType w:val="hybridMultilevel"/>
    <w:lvl w:ilvl="0">
      <w:lvlJc w:val="left"/>
      <w:lvlText w:val="(%1)"/>
      <w:numFmt w:val="lowerLetter"/>
      <w:start w:val="1"/>
    </w:lvl>
  </w:abstractNum>
  <w:abstractNum w:abstractNumId="519">
    <w:nsid w:val="8A29A69"/>
    <w:multiLevelType w:val="hybridMultilevel"/>
    <w:lvl w:ilvl="0">
      <w:lvlJc w:val="left"/>
      <w:lvlText w:val="(%1)"/>
      <w:numFmt w:val="lowerLetter"/>
      <w:start w:val="3"/>
    </w:lvl>
  </w:abstractNum>
  <w:abstractNum w:abstractNumId="520">
    <w:nsid w:val="5A0E9A9F"/>
    <w:multiLevelType w:val="hybridMultilevel"/>
    <w:lvl w:ilvl="0">
      <w:lvlJc w:val="left"/>
      <w:lvlText w:val="(%1)"/>
      <w:numFmt w:val="lowerRoman"/>
      <w:start w:val="2"/>
    </w:lvl>
  </w:abstractNum>
  <w:abstractNum w:abstractNumId="521">
    <w:nsid w:val="1C3F31CE"/>
    <w:multiLevelType w:val="hybridMultilevel"/>
    <w:lvl w:ilvl="0">
      <w:lvlJc w:val="left"/>
      <w:lvlText w:val="(%1)"/>
      <w:numFmt w:val="lowerLetter"/>
      <w:start w:val="1"/>
    </w:lvl>
  </w:abstractNum>
  <w:abstractNum w:abstractNumId="522">
    <w:nsid w:val="D28DDE"/>
    <w:multiLevelType w:val="hybridMultilevel"/>
    <w:lvl w:ilvl="0">
      <w:lvlJc w:val="left"/>
      <w:lvlText w:val="(%1)"/>
      <w:numFmt w:val="lowerLetter"/>
      <w:start w:val="5"/>
    </w:lvl>
  </w:abstractNum>
  <w:abstractNum w:abstractNumId="523">
    <w:nsid w:val="59E3AC4"/>
    <w:multiLevelType w:val="hybridMultilevel"/>
    <w:lvl w:ilvl="0">
      <w:lvlJc w:val="left"/>
      <w:lvlText w:val="(%1)"/>
      <w:numFmt w:val="lowerLetter"/>
      <w:start w:val="1"/>
    </w:lvl>
  </w:abstractNum>
  <w:abstractNum w:abstractNumId="524">
    <w:nsid w:val="5D38CAEA"/>
    <w:multiLevelType w:val="hybridMultilevel"/>
    <w:lvl w:ilvl="0">
      <w:lvlJc w:val="left"/>
      <w:lvlText w:val="(%1)"/>
      <w:numFmt w:val="decimal"/>
      <w:start w:val="1"/>
    </w:lvl>
  </w:abstractNum>
  <w:abstractNum w:abstractNumId="525">
    <w:nsid w:val="5F4208C"/>
    <w:multiLevelType w:val="hybridMultilevel"/>
    <w:lvl w:ilvl="0">
      <w:lvlJc w:val="left"/>
      <w:lvlText w:val="%1"/>
      <w:numFmt w:val="lowerLetter"/>
      <w:start w:val="1"/>
    </w:lvl>
    <w:lvl w:ilvl="1">
      <w:lvlJc w:val="left"/>
      <w:lvlText w:val="(%2)"/>
      <w:numFmt w:val="decimal"/>
      <w:start w:val="1"/>
    </w:lvl>
  </w:abstractNum>
  <w:abstractNum w:abstractNumId="526">
    <w:nsid w:val="7C0F10CC"/>
    <w:multiLevelType w:val="hybridMultilevel"/>
    <w:lvl w:ilvl="0">
      <w:lvlJc w:val="left"/>
      <w:lvlText w:val="(%1)"/>
      <w:numFmt w:val="lowerLetter"/>
      <w:start w:val="1"/>
    </w:lvl>
    <w:lvl w:ilvl="1">
      <w:lvlJc w:val="left"/>
      <w:lvlText w:val="(%2)"/>
      <w:numFmt w:val="decimal"/>
      <w:start w:val="2"/>
    </w:lvl>
  </w:abstractNum>
  <w:abstractNum w:abstractNumId="527">
    <w:nsid w:val="25EF81D5"/>
    <w:multiLevelType w:val="hybridMultilevel"/>
    <w:lvl w:ilvl="0">
      <w:lvlJc w:val="left"/>
      <w:lvlText w:val="(%1)"/>
      <w:numFmt w:val="decimal"/>
      <w:start w:val="1"/>
    </w:lvl>
  </w:abstractNum>
  <w:abstractNum w:abstractNumId="528">
    <w:nsid w:val="15A79515"/>
    <w:multiLevelType w:val="hybridMultilevel"/>
    <w:lvl w:ilvl="0">
      <w:lvlJc w:val="left"/>
      <w:lvlText w:val="(%1)"/>
      <w:numFmt w:val="decimal"/>
      <w:start w:val="3"/>
    </w:lvl>
  </w:abstractNum>
  <w:abstractNum w:abstractNumId="529">
    <w:nsid w:val="4B67062"/>
    <w:multiLevelType w:val="hybridMultilevel"/>
    <w:lvl w:ilvl="0">
      <w:lvlJc w:val="left"/>
      <w:lvlText w:val="(%1)"/>
      <w:numFmt w:val="lowerLetter"/>
      <w:start w:val="2"/>
    </w:lvl>
  </w:abstractNum>
  <w:abstractNum w:abstractNumId="530">
    <w:nsid w:val="51174123"/>
    <w:multiLevelType w:val="hybridMultilevel"/>
    <w:lvl w:ilvl="0">
      <w:lvlJc w:val="left"/>
      <w:lvlText w:val="(%1)"/>
      <w:numFmt w:val="lowerRoman"/>
      <w:start w:val="4"/>
    </w:lvl>
  </w:abstractNum>
  <w:abstractNum w:abstractNumId="531">
    <w:nsid w:val="240453CA"/>
    <w:multiLevelType w:val="hybridMultilevel"/>
    <w:lvl w:ilvl="0">
      <w:lvlJc w:val="left"/>
      <w:lvlText w:val="(%1)"/>
      <w:numFmt w:val="lowerLetter"/>
      <w:start w:val="2"/>
    </w:lvl>
  </w:abstractNum>
  <w:abstractNum w:abstractNumId="532">
    <w:nsid w:val="2E326D9A"/>
    <w:multiLevelType w:val="hybridMultilevel"/>
    <w:lvl w:ilvl="0">
      <w:lvlJc w:val="left"/>
      <w:lvlText w:val="(%1)"/>
      <w:numFmt w:val="lowerLetter"/>
      <w:start w:val="2"/>
    </w:lvl>
  </w:abstractNum>
  <w:abstractNum w:abstractNumId="533">
    <w:nsid w:val="5EB1921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34">
    <w:nsid w:val="44DEFF9B"/>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535">
    <w:nsid w:val="1FE7D17D"/>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2"/>
    </w:lvl>
  </w:abstractNum>
  <w:abstractNum w:abstractNumId="536">
    <w:nsid w:val="52CBAB2E"/>
    <w:multiLevelType w:val="hybridMultilevel"/>
    <w:lvl w:ilvl="0">
      <w:lvlJc w:val="left"/>
      <w:lvlText w:val="(%1)"/>
      <w:numFmt w:val="lowerLetter"/>
      <w:start w:val="4"/>
    </w:lvl>
  </w:abstractNum>
  <w:abstractNum w:abstractNumId="537">
    <w:nsid w:val="1A6760EF"/>
    <w:multiLevelType w:val="hybridMultilevel"/>
    <w:lvl w:ilvl="0">
      <w:lvlJc w:val="left"/>
      <w:lvlText w:val="(%1)"/>
      <w:numFmt w:val="lowerLetter"/>
      <w:start w:val="5"/>
    </w:lvl>
  </w:abstractNum>
  <w:abstractNum w:abstractNumId="538">
    <w:nsid w:val="5E52C405"/>
    <w:multiLevelType w:val="hybridMultilevel"/>
    <w:lvl w:ilvl="0">
      <w:lvlJc w:val="left"/>
      <w:lvlText w:val="(%1)"/>
      <w:numFmt w:val="lowerLetter"/>
      <w:start w:val="1"/>
    </w:lvl>
    <w:lvl w:ilvl="1">
      <w:lvlJc w:val="left"/>
      <w:lvlText w:val="(%2)"/>
      <w:numFmt w:val="lowerRoman"/>
      <w:start w:val="1"/>
    </w:lvl>
  </w:abstractNum>
  <w:abstractNum w:abstractNumId="539">
    <w:nsid w:val="486447"/>
    <w:multiLevelType w:val="hybridMultilevel"/>
    <w:lvl w:ilvl="0">
      <w:lvlJc w:val="left"/>
      <w:lvlText w:val="(%1)"/>
      <w:numFmt w:val="lowerRoman"/>
      <w:start w:val="5"/>
    </w:lvl>
  </w:abstractNum>
  <w:abstractNum w:abstractNumId="540">
    <w:nsid w:val="61E90D1E"/>
    <w:multiLevelType w:val="hybridMultilevel"/>
    <w:lvl w:ilvl="0">
      <w:lvlJc w:val="left"/>
      <w:lvlText w:val="%1"/>
      <w:numFmt w:val="lowerLetter"/>
      <w:start w:val="1"/>
    </w:lvl>
    <w:lvl w:ilvl="1">
      <w:lvlJc w:val="left"/>
      <w:lvlText w:val="(%2)"/>
      <w:numFmt w:val="lowerRoman"/>
      <w:start w:val="15"/>
    </w:lvl>
    <w:lvl w:ilvl="2">
      <w:lvlJc w:val="left"/>
      <w:lvlText w:val="(%3)"/>
      <w:numFmt w:val="lowerRoman"/>
      <w:start w:val="19"/>
    </w:lvl>
    <w:lvl w:ilvl="3">
      <w:lvlJc w:val="left"/>
      <w:lvlText w:val="(%4)"/>
      <w:numFmt w:val="lowerRoman"/>
      <w:start w:val="19"/>
    </w:lvl>
  </w:abstractNum>
  <w:abstractNum w:abstractNumId="541">
    <w:nsid w:val="44BD67E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21"/>
    </w:lvl>
  </w:abstractNum>
  <w:abstractNum w:abstractNumId="542">
    <w:nsid w:val="325102D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543">
    <w:nsid w:val="3D9579B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44">
    <w:nsid w:val="ACD4C11"/>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545">
    <w:nsid w:val="111817CF"/>
    <w:multiLevelType w:val="hybridMultilevel"/>
    <w:lvl w:ilvl="0">
      <w:lvlJc w:val="left"/>
      <w:lvlText w:val="(%1)"/>
      <w:numFmt w:val="upperLetter"/>
      <w:start w:val="9"/>
    </w:lvl>
  </w:abstractNum>
  <w:abstractNum w:abstractNumId="546">
    <w:nsid w:val="76C8B568"/>
    <w:multiLevelType w:val="hybridMultilevel"/>
    <w:lvl w:ilvl="0">
      <w:lvlJc w:val="left"/>
      <w:lvlText w:val="(%1)"/>
      <w:numFmt w:val="upperLetter"/>
      <w:start w:val="35"/>
    </w:lvl>
  </w:abstractNum>
  <w:abstractNum w:abstractNumId="547">
    <w:nsid w:val="3ACC76B1"/>
    <w:multiLevelType w:val="hybridMultilevel"/>
    <w:lvl w:ilvl="0">
      <w:lvlJc w:val="left"/>
      <w:lvlText w:val="(%1)"/>
      <w:numFmt w:val="upperLetter"/>
      <w:start w:val="61"/>
    </w:lvl>
  </w:abstractNum>
  <w:abstractNum w:abstractNumId="548">
    <w:nsid w:val="588B1C7C"/>
    <w:multiLevelType w:val="hybridMultilevel"/>
    <w:lvl w:ilvl="0">
      <w:lvlJc w:val="left"/>
      <w:lvlText w:val="(%1)"/>
      <w:numFmt w:val="lowerRoman"/>
      <w:start w:val="10"/>
    </w:lvl>
    <w:lvl w:ilvl="1">
      <w:lvlJc w:val="left"/>
      <w:lvlText w:val="(%2)"/>
      <w:numFmt w:val="upperLetter"/>
      <w:start w:val="22"/>
    </w:lvl>
  </w:abstractNum>
  <w:abstractNum w:abstractNumId="549">
    <w:nsid w:val="62682D8B"/>
    <w:multiLevelType w:val="hybridMultilevel"/>
    <w:lvl w:ilvl="0">
      <w:lvlJc w:val="left"/>
      <w:lvlText w:val="(%1)"/>
      <w:numFmt w:val="lowerLetter"/>
      <w:start w:val="1"/>
    </w:lvl>
    <w:lvl w:ilvl="1">
      <w:lvlJc w:val="left"/>
      <w:lvlText w:val="%2"/>
      <w:numFmt w:val="lowerLetter"/>
      <w:start w:val="1"/>
    </w:lvl>
  </w:abstractNum>
  <w:abstractNum w:abstractNumId="550">
    <w:nsid w:val="436F111A"/>
    <w:multiLevelType w:val="hybridMultilevel"/>
    <w:lvl w:ilvl="0">
      <w:lvlJc w:val="left"/>
      <w:lvlText w:val="(%1)"/>
      <w:numFmt w:val="lowerLetter"/>
      <w:start w:val="1"/>
    </w:lvl>
    <w:lvl w:ilvl="1">
      <w:lvlJc w:val="left"/>
      <w:lvlText w:val="%2"/>
      <w:numFmt w:val="lowerLetter"/>
      <w:start w:val="1"/>
    </w:lvl>
  </w:abstractNum>
  <w:abstractNum w:abstractNumId="551">
    <w:nsid w:val="3299B71B"/>
    <w:multiLevelType w:val="hybridMultilevel"/>
    <w:lvl w:ilvl="0">
      <w:lvlJc w:val="left"/>
      <w:lvlText w:val="(%1)"/>
      <w:numFmt w:val="lowerLetter"/>
      <w:start w:val="3"/>
    </w:lvl>
  </w:abstractNum>
  <w:abstractNum w:abstractNumId="552">
    <w:nsid w:val="7EA75F5A"/>
    <w:multiLevelType w:val="hybridMultilevel"/>
    <w:lvl w:ilvl="0">
      <w:lvlJc w:val="left"/>
      <w:lvlText w:val="(%1)"/>
      <w:numFmt w:val="lowerRoman"/>
      <w:start w:val="3"/>
    </w:lvl>
  </w:abstractNum>
  <w:abstractNum w:abstractNumId="553">
    <w:nsid w:val="44419EF9"/>
    <w:multiLevelType w:val="hybridMultilevel"/>
    <w:lvl w:ilvl="0">
      <w:lvlJc w:val="left"/>
      <w:lvlText w:val="(%1)"/>
      <w:numFmt w:val="decimal"/>
      <w:start w:val="5"/>
    </w:lvl>
  </w:abstractNum>
  <w:abstractNum w:abstractNumId="554">
    <w:nsid w:val="3837F1DF"/>
    <w:multiLevelType w:val="hybridMultilevel"/>
    <w:lvl w:ilvl="0">
      <w:lvlJc w:val="left"/>
      <w:lvlText w:val="(%1)"/>
      <w:numFmt w:val="lowerLetter"/>
      <w:start w:val="1"/>
    </w:lvl>
  </w:abstractNum>
  <w:abstractNum w:abstractNumId="555">
    <w:nsid w:val="5BE02A44"/>
    <w:multiLevelType w:val="hybridMultilevel"/>
    <w:lvl w:ilvl="0">
      <w:lvlJc w:val="left"/>
      <w:lvlText w:val="(%1)"/>
      <w:numFmt w:val="lowerRoman"/>
      <w:start w:val="1"/>
    </w:lvl>
  </w:abstractNum>
  <w:abstractNum w:abstractNumId="556">
    <w:nsid w:val="4A35BF85"/>
    <w:multiLevelType w:val="hybridMultilevel"/>
    <w:lvl w:ilvl="0">
      <w:lvlJc w:val="left"/>
      <w:lvlText w:val="(%1)"/>
      <w:numFmt w:val="lowerLetter"/>
      <w:start w:val="1"/>
    </w:lvl>
  </w:abstractNum>
  <w:abstractNum w:abstractNumId="557">
    <w:nsid w:val="344702AC"/>
    <w:multiLevelType w:val="hybridMultilevel"/>
    <w:lvl w:ilvl="0">
      <w:lvlJc w:val="left"/>
      <w:lvlText w:val="(%1)"/>
      <w:numFmt w:val="lowerRoman"/>
      <w:start w:val="1"/>
    </w:lvl>
  </w:abstractNum>
  <w:abstractNum w:abstractNumId="558">
    <w:nsid w:val="1CFAC1A"/>
    <w:multiLevelType w:val="hybridMultilevel"/>
    <w:lvl w:ilvl="0">
      <w:lvlJc w:val="left"/>
      <w:lvlText w:val="(%1)"/>
      <w:numFmt w:val="lowerLetter"/>
      <w:start w:val="4"/>
    </w:lvl>
  </w:abstractNum>
  <w:abstractNum w:abstractNumId="559">
    <w:nsid w:val="5FDD549A"/>
    <w:multiLevelType w:val="hybridMultilevel"/>
    <w:lvl w:ilvl="0">
      <w:lvlJc w:val="left"/>
      <w:lvlText w:val="(%1)"/>
      <w:numFmt w:val="lowerLetter"/>
      <w:start w:val="1"/>
    </w:lvl>
    <w:lvl w:ilvl="1">
      <w:lvlJc w:val="left"/>
      <w:lvlText w:val="(%2)"/>
      <w:numFmt w:val="lowerRoman"/>
      <w:start w:val="1"/>
    </w:lvl>
  </w:abstractNum>
  <w:abstractNum w:abstractNumId="560">
    <w:nsid w:val="38FD730E"/>
    <w:multiLevelType w:val="hybridMultilevel"/>
    <w:lvl w:ilvl="0">
      <w:lvlJc w:val="left"/>
      <w:lvlText w:val="%1"/>
      <w:numFmt w:val="upperLetter"/>
      <w:start w:val="1"/>
    </w:lvl>
    <w:lvl w:ilvl="1">
      <w:lvlJc w:val="left"/>
      <w:lvlText w:val="(%2)"/>
      <w:numFmt w:val="lowerRoman"/>
      <w:start w:val="2"/>
    </w:lvl>
  </w:abstractNum>
  <w:abstractNum w:abstractNumId="561">
    <w:nsid w:val="52E6ED3D"/>
    <w:multiLevelType w:val="hybridMultilevel"/>
    <w:lvl w:ilvl="0">
      <w:lvlJc w:val="left"/>
      <w:lvlText w:val="(%1)"/>
      <w:numFmt w:val="upperLetter"/>
      <w:start w:val="2"/>
    </w:lvl>
    <w:lvl w:ilvl="1">
      <w:lvlJc w:val="left"/>
      <w:lvlText w:val="(%2)"/>
      <w:numFmt w:val="lowerRoman"/>
      <w:start w:val="3"/>
    </w:lvl>
  </w:abstractNum>
  <w:abstractNum w:abstractNumId="562">
    <w:nsid w:val="3E1A864"/>
    <w:multiLevelType w:val="hybridMultilevel"/>
    <w:lvl w:ilvl="0">
      <w:lvlJc w:val="left"/>
      <w:lvlText w:val="(%1)"/>
      <w:numFmt w:val="lowerLetter"/>
      <w:start w:val="2"/>
    </w:lvl>
  </w:abstractNum>
  <w:abstractNum w:abstractNumId="563">
    <w:nsid w:val="672FE0A8"/>
    <w:multiLevelType w:val="hybridMultilevel"/>
    <w:lvl w:ilvl="0">
      <w:lvlJc w:val="left"/>
      <w:lvlText w:val="(%1)"/>
      <w:numFmt w:val="lowerRoman"/>
      <w:start w:val="1"/>
    </w:lvl>
  </w:abstractNum>
  <w:abstractNum w:abstractNumId="564">
    <w:nsid w:val="31987F4D"/>
    <w:multiLevelType w:val="hybridMultilevel"/>
    <w:lvl w:ilvl="0">
      <w:lvlJc w:val="left"/>
      <w:lvlText w:val="(%1)"/>
      <w:numFmt w:val="lowerRoman"/>
      <w:start w:val="3"/>
    </w:lvl>
  </w:abstractNum>
  <w:abstractNum w:abstractNumId="565">
    <w:nsid w:val="48C0A800"/>
    <w:multiLevelType w:val="hybridMultilevel"/>
    <w:lvl w:ilvl="0">
      <w:lvlJc w:val="left"/>
      <w:lvlText w:val="2"/>
      <w:numFmt w:val="bullet"/>
      <w:start w:val="1"/>
    </w:lvl>
  </w:abstractNum>
  <w:abstractNum w:abstractNumId="566">
    <w:nsid w:val="717B226"/>
    <w:multiLevelType w:val="hybridMultilevel"/>
    <w:lvl w:ilvl="0">
      <w:lvlJc w:val="left"/>
      <w:lvlText w:val="(%1)"/>
      <w:numFmt w:val="lowerLetter"/>
      <w:start w:val="3"/>
    </w:lvl>
  </w:abstractNum>
  <w:abstractNum w:abstractNumId="567">
    <w:nsid w:val="4642A7B"/>
    <w:multiLevelType w:val="hybridMultilevel"/>
    <w:lvl w:ilvl="0">
      <w:lvlJc w:val="left"/>
      <w:lvlText w:val="(%1)"/>
      <w:numFmt w:val="lowerLetter"/>
      <w:start w:val="5"/>
    </w:lvl>
  </w:abstractNum>
  <w:abstractNum w:abstractNumId="568">
    <w:nsid w:val="632808EF"/>
    <w:multiLevelType w:val="hybridMultilevel"/>
    <w:lvl w:ilvl="0">
      <w:lvlJc w:val="left"/>
      <w:lvlText w:val="(%1)"/>
      <w:numFmt w:val="lowerLetter"/>
      <w:start w:val="2"/>
    </w:lvl>
  </w:abstractNum>
  <w:abstractNum w:abstractNumId="569">
    <w:nsid w:val="656A762B"/>
    <w:multiLevelType w:val="hybridMultilevel"/>
    <w:lvl w:ilvl="0">
      <w:lvlJc w:val="left"/>
      <w:lvlText w:val="(%1)"/>
      <w:numFmt w:val="lowerLetter"/>
      <w:start w:val="4"/>
    </w:lvl>
  </w:abstractNum>
  <w:abstractNum w:abstractNumId="570">
    <w:nsid w:val="4AC8EC3"/>
    <w:multiLevelType w:val="hybridMultilevel"/>
    <w:lvl w:ilvl="0">
      <w:lvlJc w:val="left"/>
      <w:lvlText w:val="(%1)"/>
      <w:numFmt w:val="lowerLetter"/>
      <w:start w:val="6"/>
    </w:lvl>
  </w:abstractNum>
  <w:abstractNum w:abstractNumId="571">
    <w:nsid w:val="4511160D"/>
    <w:multiLevelType w:val="hybridMultilevel"/>
    <w:lvl w:ilvl="0">
      <w:lvlJc w:val="left"/>
      <w:lvlText w:val="(%1)"/>
      <w:numFmt w:val="lowerLetter"/>
      <w:start w:val="2"/>
    </w:lvl>
  </w:abstractNum>
  <w:abstractNum w:abstractNumId="572">
    <w:nsid w:val="2A27DE11"/>
    <w:multiLevelType w:val="hybridMultilevel"/>
    <w:lvl w:ilvl="0">
      <w:lvlJc w:val="left"/>
      <w:lvlText w:val="(%1)"/>
      <w:numFmt w:val="lowerLetter"/>
      <w:start w:val="5"/>
    </w:lvl>
  </w:abstractNum>
  <w:abstractNum w:abstractNumId="573">
    <w:nsid w:val="36FD9196"/>
    <w:multiLevelType w:val="hybridMultilevel"/>
    <w:lvl w:ilvl="0">
      <w:lvlJc w:val="left"/>
      <w:lvlText w:val="(%1)"/>
      <w:numFmt w:val="lowerRoman"/>
      <w:start w:val="1"/>
    </w:lvl>
  </w:abstractNum>
  <w:abstractNum w:abstractNumId="574">
    <w:nsid w:val="2A68FC8"/>
    <w:multiLevelType w:val="hybridMultilevel"/>
    <w:lvl w:ilvl="0">
      <w:lvlJc w:val="left"/>
      <w:lvlText w:val="(%1)"/>
      <w:numFmt w:val="lowerLetter"/>
      <w:start w:val="1"/>
    </w:lvl>
  </w:abstractNum>
  <w:abstractNum w:abstractNumId="575">
    <w:nsid w:val="34F52A23"/>
    <w:multiLevelType w:val="hybridMultilevel"/>
    <w:lvl w:ilvl="0">
      <w:lvlJc w:val="left"/>
      <w:lvlText w:val="(%1)"/>
      <w:numFmt w:val="lowerLetter"/>
      <w:start w:val="3"/>
    </w:lvl>
  </w:abstractNum>
  <w:abstractNum w:abstractNumId="576">
    <w:nsid w:val="4815A966"/>
    <w:multiLevelType w:val="hybridMultilevel"/>
    <w:lvl w:ilvl="0">
      <w:lvlJc w:val="left"/>
      <w:lvlText w:val="%1"/>
      <w:numFmt w:val="upperLetter"/>
      <w:start w:val="1"/>
    </w:lvl>
    <w:lvl w:ilvl="1">
      <w:lvlJc w:val="left"/>
      <w:lvlText w:val="(%2)"/>
      <w:numFmt w:val="lowerLetter"/>
      <w:start w:val="13"/>
    </w:lvl>
    <w:lvl w:ilvl="2">
      <w:lvlJc w:val="left"/>
      <w:lvlText w:val="(%3)"/>
      <w:numFmt w:val="lowerLetter"/>
      <w:start w:val="14"/>
    </w:lvl>
  </w:abstractNum>
  <w:abstractNum w:abstractNumId="577">
    <w:nsid w:val="796F4530"/>
    <w:multiLevelType w:val="hybridMultilevel"/>
    <w:lvl w:ilvl="0">
      <w:lvlJc w:val="left"/>
      <w:lvlText w:val="%1"/>
      <w:numFmt w:val="upperLetter"/>
      <w:start w:val="1"/>
    </w:lvl>
    <w:lvl w:ilvl="1">
      <w:lvlJc w:val="left"/>
      <w:lvlText w:val="(%2)"/>
      <w:numFmt w:val="lowerLetter"/>
      <w:start w:val="15"/>
    </w:lvl>
    <w:lvl w:ilvl="2">
      <w:lvlJc w:val="left"/>
      <w:lvlText w:val="%3"/>
      <w:numFmt w:val="lowerLetter"/>
      <w:start w:val="1"/>
    </w:lvl>
  </w:abstractNum>
  <w:abstractNum w:abstractNumId="578">
    <w:nsid w:val="6FC1A0D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579">
    <w:nsid w:val="20A0C5E2"/>
    <w:multiLevelType w:val="hybridMultilevel"/>
    <w:lvl w:ilvl="0">
      <w:lvlJc w:val="left"/>
      <w:lvlText w:val="%1"/>
      <w:numFmt w:val="lowerLetter"/>
      <w:start w:val="1"/>
    </w:lvl>
    <w:lvl w:ilvl="1">
      <w:lvlJc w:val="left"/>
      <w:lvlText w:val="(%2)"/>
      <w:numFmt w:val="lowerLetter"/>
      <w:start w:val="1"/>
    </w:lvl>
  </w:abstractNum>
  <w:abstractNum w:abstractNumId="580">
    <w:nsid w:val="5BD772BB"/>
    <w:multiLevelType w:val="hybridMultilevel"/>
    <w:lvl w:ilvl="0">
      <w:lvlJc w:val="left"/>
      <w:lvlText w:val="(%1)"/>
      <w:numFmt w:val="lowerLetter"/>
      <w:start w:val="9"/>
    </w:lvl>
    <w:lvl w:ilvl="1">
      <w:lvlJc w:val="left"/>
      <w:lvlText w:val="(%2)"/>
      <w:numFmt w:val="lowerLetter"/>
      <w:start w:val="6"/>
    </w:lvl>
  </w:abstractNum>
  <w:abstractNum w:abstractNumId="581">
    <w:nsid w:val="3330B1EE"/>
    <w:multiLevelType w:val="hybridMultilevel"/>
    <w:lvl w:ilvl="0">
      <w:lvlJc w:val="left"/>
      <w:lvlText w:val="%1"/>
      <w:numFmt w:val="lowerLetter"/>
      <w:start w:val="1"/>
    </w:lvl>
    <w:lvl w:ilvl="1">
      <w:lvlJc w:val="left"/>
      <w:lvlText w:val="(%2)"/>
      <w:numFmt w:val="lowerLetter"/>
      <w:start w:val="8"/>
    </w:lvl>
  </w:abstractNum>
  <w:abstractNum w:abstractNumId="582">
    <w:nsid w:val="533A7CFD"/>
    <w:multiLevelType w:val="hybridMultilevel"/>
    <w:lvl w:ilvl="0">
      <w:lvlJc w:val="left"/>
      <w:lvlText w:val="(%1)"/>
      <w:numFmt w:val="lowerLetter"/>
      <w:start w:val="12"/>
    </w:lvl>
    <w:lvl w:ilvl="1">
      <w:lvlJc w:val="left"/>
      <w:lvlText w:val="%2"/>
      <w:numFmt w:val="lowerLetter"/>
      <w:start w:val="1"/>
    </w:lvl>
  </w:abstractNum>
  <w:abstractNum w:abstractNumId="583">
    <w:nsid w:val="5A7ED215"/>
    <w:multiLevelType w:val="hybridMultilevel"/>
    <w:lvl w:ilvl="0">
      <w:lvlJc w:val="left"/>
      <w:lvlText w:val="(%1)"/>
      <w:numFmt w:val="lowerRoman"/>
      <w:start w:val="2"/>
    </w:lvl>
  </w:abstractNum>
  <w:abstractNum w:abstractNumId="584">
    <w:nsid w:val="777250E7"/>
    <w:multiLevelType w:val="hybridMultilevel"/>
    <w:lvl w:ilvl="0">
      <w:lvlJc w:val="left"/>
      <w:lvlText w:val="(%1)"/>
      <w:numFmt w:val="lowerLetter"/>
      <w:start w:val="1"/>
    </w:lvl>
  </w:abstractNum>
  <w:abstractNum w:abstractNumId="585">
    <w:nsid w:val="B726EDC"/>
    <w:multiLevelType w:val="hybridMultilevel"/>
    <w:lvl w:ilvl="0">
      <w:lvlJc w:val="left"/>
      <w:lvlText w:val="(%1)"/>
      <w:numFmt w:val="lowerLetter"/>
      <w:start w:val="2"/>
    </w:lvl>
  </w:abstractNum>
  <w:abstractNum w:abstractNumId="586">
    <w:nsid w:val="365EFC5A"/>
    <w:multiLevelType w:val="hybridMultilevel"/>
    <w:lvl w:ilvl="0">
      <w:lvlJc w:val="left"/>
      <w:lvlText w:val="(%1)"/>
      <w:numFmt w:val="lowerLetter"/>
      <w:start w:val="1"/>
    </w:lvl>
  </w:abstractNum>
  <w:abstractNum w:abstractNumId="587">
    <w:nsid w:val="41A8106C"/>
    <w:multiLevelType w:val="hybridMultilevel"/>
    <w:lvl w:ilvl="0">
      <w:lvlJc w:val="left"/>
      <w:lvlText w:val="(%1)"/>
      <w:numFmt w:val="lowerLetter"/>
      <w:start w:val="1"/>
    </w:lvl>
  </w:abstractNum>
  <w:abstractNum w:abstractNumId="588">
    <w:nsid w:val="3FB97188"/>
    <w:multiLevelType w:val="hybridMultilevel"/>
    <w:lvl w:ilvl="0">
      <w:lvlJc w:val="left"/>
      <w:lvlText w:val="(%1)"/>
      <w:numFmt w:val="lowerLetter"/>
      <w:start w:val="2"/>
    </w:lvl>
  </w:abstractNum>
  <w:abstractNum w:abstractNumId="589">
    <w:nsid w:val="382EA874"/>
    <w:multiLevelType w:val="hybridMultilevel"/>
    <w:lvl w:ilvl="0">
      <w:lvlJc w:val="left"/>
      <w:lvlText w:val="(%1)"/>
      <w:numFmt w:val="lowerLetter"/>
      <w:start w:val="1"/>
    </w:lvl>
  </w:abstractNum>
  <w:abstractNum w:abstractNumId="590">
    <w:nsid w:val="21856507"/>
    <w:multiLevelType w:val="hybridMultilevel"/>
    <w:lvl w:ilvl="0">
      <w:lvlJc w:val="left"/>
      <w:lvlText w:val="(%1)"/>
      <w:numFmt w:val="lowerLetter"/>
      <w:start w:val="1"/>
    </w:lvl>
  </w:abstractNum>
  <w:abstractNum w:abstractNumId="591">
    <w:nsid w:val="78B6E496"/>
    <w:multiLevelType w:val="hybridMultilevel"/>
    <w:lvl w:ilvl="0">
      <w:lvlJc w:val="left"/>
      <w:lvlText w:val="(%1)"/>
      <w:numFmt w:val="lowerLetter"/>
      <w:start w:val="2"/>
    </w:lvl>
  </w:abstractNum>
  <w:abstractNum w:abstractNumId="592">
    <w:nsid w:val="B1595B1"/>
    <w:multiLevelType w:val="hybridMultilevel"/>
    <w:lvl w:ilvl="0">
      <w:lvlJc w:val="left"/>
      <w:lvlText w:val="(%1)"/>
      <w:numFmt w:val="lowerLetter"/>
      <w:start w:val="1"/>
    </w:lvl>
  </w:abstractNum>
  <w:abstractNum w:abstractNumId="593">
    <w:nsid w:val="25670D6B"/>
    <w:multiLevelType w:val="hybridMultilevel"/>
    <w:lvl w:ilvl="0">
      <w:lvlJc w:val="left"/>
      <w:lvlText w:val="(%1)"/>
      <w:numFmt w:val="lowerLetter"/>
      <w:start w:val="1"/>
    </w:lvl>
  </w:abstractNum>
  <w:abstractNum w:abstractNumId="594">
    <w:nsid w:val="5FE6C53F"/>
    <w:multiLevelType w:val="hybridMultilevel"/>
    <w:lvl w:ilvl="0">
      <w:lvlJc w:val="left"/>
      <w:lvlText w:val="(%1)"/>
      <w:numFmt w:val="lowerLetter"/>
      <w:start w:val="2"/>
    </w:lvl>
  </w:abstractNum>
  <w:abstractNum w:abstractNumId="595">
    <w:nsid w:val="3CAE14FE"/>
    <w:multiLevelType w:val="hybridMultilevel"/>
    <w:lvl w:ilvl="0">
      <w:lvlJc w:val="left"/>
      <w:lvlText w:val="(%1)"/>
      <w:numFmt w:val="lowerLetter"/>
      <w:start w:val="1"/>
    </w:lvl>
  </w:abstractNum>
  <w:abstractNum w:abstractNumId="596">
    <w:nsid w:val="6E27B56B"/>
    <w:multiLevelType w:val="hybridMultilevel"/>
    <w:lvl w:ilvl="0">
      <w:lvlJc w:val="left"/>
      <w:lvlText w:val="(%1)"/>
      <w:numFmt w:val="lowerRoman"/>
      <w:start w:val="1"/>
    </w:lvl>
  </w:abstractNum>
  <w:abstractNum w:abstractNumId="597">
    <w:nsid w:val="66FE7765"/>
    <w:multiLevelType w:val="hybridMultilevel"/>
    <w:lvl w:ilvl="0">
      <w:lvlJc w:val="left"/>
      <w:lvlText w:val="(%1)"/>
      <w:numFmt w:val="lowerLetter"/>
      <w:start w:val="1"/>
    </w:lvl>
  </w:abstractNum>
  <w:abstractNum w:abstractNumId="598">
    <w:nsid w:val="41123F79"/>
    <w:multiLevelType w:val="hybridMultilevel"/>
    <w:lvl w:ilvl="0">
      <w:lvlJc w:val="left"/>
      <w:lvlText w:val="(%1)"/>
      <w:numFmt w:val="lowerLetter"/>
      <w:start w:val="2"/>
    </w:lvl>
  </w:abstractNum>
  <w:abstractNum w:abstractNumId="599">
    <w:nsid w:val="514FBE5A"/>
    <w:multiLevelType w:val="hybridMultilevel"/>
    <w:lvl w:ilvl="0">
      <w:lvlJc w:val="left"/>
      <w:lvlText w:val="(%1)"/>
      <w:numFmt w:val="lowerLetter"/>
      <w:start w:val="4"/>
    </w:lvl>
  </w:abstractNum>
  <w:abstractNum w:abstractNumId="600">
    <w:nsid w:val="4C68ED90"/>
    <w:multiLevelType w:val="hybridMultilevel"/>
    <w:lvl w:ilvl="0">
      <w:lvlJc w:val="left"/>
      <w:lvlText w:val="(%1)"/>
      <w:numFmt w:val="lowerLetter"/>
      <w:start w:val="5"/>
    </w:lvl>
  </w:abstractNum>
  <w:abstractNum w:abstractNumId="601">
    <w:nsid w:val="45BECE3C"/>
    <w:multiLevelType w:val="hybridMultilevel"/>
    <w:lvl w:ilvl="0">
      <w:lvlJc w:val="left"/>
      <w:lvlText w:val="(%1)"/>
      <w:numFmt w:val="lowerLetter"/>
      <w:start w:val="1"/>
    </w:lvl>
  </w:abstractNum>
  <w:abstractNum w:abstractNumId="602">
    <w:nsid w:val="1660D468"/>
    <w:multiLevelType w:val="hybridMultilevel"/>
    <w:lvl w:ilvl="0">
      <w:lvlJc w:val="left"/>
      <w:lvlText w:val="(%1)"/>
      <w:numFmt w:val="lowerLetter"/>
      <w:start w:val="3"/>
    </w:lvl>
  </w:abstractNum>
  <w:abstractNum w:abstractNumId="603">
    <w:nsid w:val="7690CBA1"/>
    <w:multiLevelType w:val="hybridMultilevel"/>
    <w:lvl w:ilvl="0">
      <w:lvlJc w:val="left"/>
      <w:lvlText w:val="(%1)"/>
      <w:numFmt w:val="lowerLetter"/>
      <w:start w:val="5"/>
    </w:lvl>
  </w:abstractNum>
  <w:abstractNum w:abstractNumId="604">
    <w:nsid w:val="7CBC5FD3"/>
    <w:multiLevelType w:val="hybridMultilevel"/>
    <w:lvl w:ilvl="0">
      <w:lvlJc w:val="left"/>
      <w:lvlText w:val="(%1)"/>
      <w:numFmt w:val="lowerLetter"/>
      <w:start w:val="8"/>
    </w:lvl>
  </w:abstractNum>
  <w:abstractNum w:abstractNumId="605">
    <w:nsid w:val="19076430"/>
    <w:multiLevelType w:val="hybridMultilevel"/>
    <w:lvl w:ilvl="0">
      <w:lvlJc w:val="left"/>
      <w:lvlText w:val="%1"/>
      <w:numFmt w:val="lowerLetter"/>
      <w:start w:val="1"/>
    </w:lvl>
    <w:lvl w:ilvl="1">
      <w:lvlJc w:val="left"/>
      <w:lvlText w:val="(%2)"/>
      <w:numFmt w:val="lowerLetter"/>
      <w:start w:val="11"/>
    </w:lvl>
  </w:abstractNum>
  <w:abstractNum w:abstractNumId="606">
    <w:nsid w:val="2B85F5C4"/>
    <w:multiLevelType w:val="hybridMultilevel"/>
    <w:lvl w:ilvl="0">
      <w:lvlJc w:val="left"/>
      <w:lvlText w:val="(%1)"/>
      <w:numFmt w:val="lowerLetter"/>
      <w:start w:val="35"/>
    </w:lvl>
    <w:lvl w:ilvl="1">
      <w:lvlJc w:val="left"/>
      <w:lvlText w:val="(%2)"/>
      <w:numFmt w:val="lowerLetter"/>
      <w:start w:val="13"/>
    </w:lvl>
  </w:abstractNum>
  <w:abstractNum w:abstractNumId="607">
    <w:nsid w:val="44D20939"/>
    <w:multiLevelType w:val="hybridMultilevel"/>
    <w:lvl w:ilvl="0">
      <w:lvlJc w:val="left"/>
      <w:lvlText w:val="(%1)"/>
      <w:numFmt w:val="lowerLetter"/>
      <w:start w:val="14"/>
    </w:lvl>
  </w:abstractNum>
  <w:abstractNum w:abstractNumId="608">
    <w:nsid w:val="1276A960"/>
    <w:multiLevelType w:val="hybridMultilevel"/>
    <w:lvl w:ilvl="0">
      <w:lvlJc w:val="left"/>
      <w:lvlText w:val="(%1)"/>
      <w:numFmt w:val="lowerLetter"/>
      <w:start w:val="1"/>
    </w:lvl>
  </w:abstractNum>
  <w:abstractNum w:abstractNumId="609">
    <w:nsid w:val="1B479698"/>
    <w:multiLevelType w:val="hybridMultilevel"/>
    <w:lvl w:ilvl="0">
      <w:lvlJc w:val="left"/>
      <w:lvlText w:val="(%1)"/>
      <w:numFmt w:val="lowerLetter"/>
      <w:start w:val="3"/>
    </w:lvl>
  </w:abstractNum>
  <w:abstractNum w:abstractNumId="610">
    <w:nsid w:val="6572CF1B"/>
    <w:multiLevelType w:val="hybridMultilevel"/>
    <w:lvl w:ilvl="0">
      <w:lvlJc w:val="left"/>
      <w:lvlText w:val="%1"/>
      <w:numFmt w:val="lowerRoman"/>
      <w:start w:val="1"/>
    </w:lvl>
    <w:lvl w:ilvl="1">
      <w:lvlJc w:val="left"/>
      <w:lvlText w:val="(%2)"/>
      <w:numFmt w:val="lowerLetter"/>
      <w:start w:val="1"/>
    </w:lvl>
  </w:abstractNum>
  <w:abstractNum w:abstractNumId="611">
    <w:nsid w:val="6E4E1C1B"/>
    <w:multiLevelType w:val="hybridMultilevel"/>
    <w:lvl w:ilvl="0">
      <w:lvlJc w:val="left"/>
      <w:lvlText w:val="(%1)"/>
      <w:numFmt w:val="lowerRoman"/>
      <w:start w:val="1"/>
    </w:lvl>
    <w:lvl w:ilvl="1">
      <w:lvlJc w:val="left"/>
      <w:lvlText w:val="%2"/>
      <w:numFmt w:val="lowerLetter"/>
      <w:start w:val="1"/>
    </w:lvl>
  </w:abstractNum>
  <w:abstractNum w:abstractNumId="612">
    <w:nsid w:val="4E784887"/>
    <w:multiLevelType w:val="hybridMultilevel"/>
    <w:lvl w:ilvl="0">
      <w:lvlJc w:val="left"/>
      <w:lvlText w:val="(%1)"/>
      <w:numFmt w:val="lowerLetter"/>
      <w:start w:val="4"/>
    </w:lvl>
  </w:abstractNum>
  <w:abstractNum w:abstractNumId="613">
    <w:nsid w:val="38AD4C18"/>
    <w:multiLevelType w:val="hybridMultilevel"/>
    <w:lvl w:ilvl="0">
      <w:lvlJc w:val="left"/>
      <w:lvlText w:val="(%1)"/>
      <w:numFmt w:val="lowerLetter"/>
      <w:start w:val="1"/>
    </w:lvl>
  </w:abstractNum>
  <w:abstractNum w:abstractNumId="614">
    <w:nsid w:val="48CCEE31"/>
    <w:multiLevelType w:val="hybridMultilevel"/>
    <w:lvl w:ilvl="0">
      <w:lvlJc w:val="left"/>
      <w:lvlText w:val="(%1)"/>
      <w:numFmt w:val="lowerLetter"/>
      <w:start w:val="1"/>
    </w:lvl>
  </w:abstractNum>
  <w:abstractNum w:abstractNumId="615">
    <w:nsid w:val="45EA996E"/>
    <w:multiLevelType w:val="hybridMultilevel"/>
    <w:lvl w:ilvl="0">
      <w:lvlJc w:val="left"/>
      <w:lvlText w:val="(%1)"/>
      <w:numFmt w:val="lowerLetter"/>
      <w:start w:val="2"/>
    </w:lvl>
  </w:abstractNum>
  <w:abstractNum w:abstractNumId="616">
    <w:nsid w:val="441FBAF4"/>
    <w:multiLevelType w:val="hybridMultilevel"/>
    <w:lvl w:ilvl="0">
      <w:lvlJc w:val="left"/>
      <w:lvlText w:val="(%1)"/>
      <w:numFmt w:val="lowerLetter"/>
      <w:start w:val="1"/>
    </w:lvl>
  </w:abstractNum>
  <w:abstractNum w:abstractNumId="617">
    <w:nsid w:val="7F2BEA8B"/>
    <w:multiLevelType w:val="hybridMultilevel"/>
    <w:lvl w:ilvl="0">
      <w:lvlJc w:val="left"/>
      <w:lvlText w:val="3"/>
      <w:numFmt w:val="bullet"/>
      <w:start w:val="1"/>
    </w:lvl>
  </w:abstractNum>
  <w:abstractNum w:abstractNumId="618">
    <w:nsid w:val="792A9DB"/>
    <w:multiLevelType w:val="hybridMultilevel"/>
    <w:lvl w:ilvl="0">
      <w:lvlJc w:val="left"/>
      <w:lvlText w:val="(%1)"/>
      <w:numFmt w:val="lowerLetter"/>
      <w:start w:val="2"/>
    </w:lvl>
  </w:abstractNum>
  <w:abstractNum w:abstractNumId="619">
    <w:nsid w:val="3D92C7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620">
    <w:nsid w:val="375A92FF"/>
    <w:multiLevelType w:val="hybridMultilevel"/>
    <w:lvl w:ilvl="0">
      <w:lvlJc w:val="left"/>
      <w:lvlText w:val="(%1)"/>
      <w:numFmt w:val="lowerLetter"/>
      <w:start w:val="2"/>
    </w:lvl>
    <w:lvl w:ilvl="1">
      <w:lvlJc w:val="left"/>
      <w:lvlText w:val="(%2)"/>
      <w:numFmt w:val="lowerLetter"/>
      <w:start w:val="35"/>
    </w:lvl>
    <w:lvl w:ilvl="2">
      <w:lvlJc w:val="left"/>
      <w:lvlText w:val="(%3)"/>
      <w:numFmt w:val="upperLetter"/>
      <w:start w:val="1"/>
    </w:lvl>
  </w:abstractNum>
  <w:abstractNum w:abstractNumId="621">
    <w:nsid w:val="29180EE2"/>
    <w:multiLevelType w:val="hybridMultilevel"/>
    <w:lvl w:ilvl="0">
      <w:lvlJc w:val="left"/>
      <w:lvlText w:val="(%1)"/>
      <w:numFmt w:val="upperLetter"/>
      <w:start w:val="2"/>
    </w:lvl>
  </w:abstractNum>
  <w:abstractNum w:abstractNumId="622">
    <w:nsid w:val="7C901113"/>
    <w:multiLevelType w:val="hybridMultilevel"/>
    <w:lvl w:ilvl="0">
      <w:lvlJc w:val="left"/>
      <w:lvlText w:val="(%1)"/>
      <w:numFmt w:val="decimal"/>
      <w:start w:val="2"/>
    </w:lvl>
  </w:abstractNum>
  <w:abstractNum w:abstractNumId="623">
    <w:nsid w:val="427028B0"/>
    <w:multiLevelType w:val="hybridMultilevel"/>
    <w:lvl w:ilvl="0">
      <w:lvlJc w:val="left"/>
      <w:lvlText w:val="%1"/>
      <w:numFmt w:val="upperLetter"/>
      <w:start w:val="1"/>
    </w:lvl>
    <w:lvl w:ilvl="1">
      <w:lvlJc w:val="left"/>
      <w:lvlText w:val="(%2)"/>
      <w:numFmt w:val="upperLetter"/>
      <w:start w:val="3"/>
    </w:lvl>
  </w:abstractNum>
  <w:abstractNum w:abstractNumId="624">
    <w:nsid w:val="4E7F1C4D"/>
    <w:multiLevelType w:val="hybridMultilevel"/>
    <w:lvl w:ilvl="0">
      <w:lvlJc w:val="left"/>
      <w:lvlText w:val="(%1)"/>
      <w:numFmt w:val="upperLetter"/>
      <w:start w:val="35"/>
    </w:lvl>
    <w:lvl w:ilvl="1">
      <w:lvlJc w:val="left"/>
      <w:lvlText w:val="%2"/>
      <w:numFmt w:val="upperLetter"/>
      <w:start w:val="1"/>
    </w:lvl>
  </w:abstractNum>
  <w:abstractNum w:abstractNumId="625">
    <w:nsid w:val="5C76D652"/>
    <w:multiLevelType w:val="hybridMultilevel"/>
    <w:lvl w:ilvl="0">
      <w:lvlJc w:val="left"/>
      <w:lvlText w:val="%1"/>
      <w:numFmt w:val="upperLetter"/>
      <w:start w:val="1"/>
    </w:lvl>
    <w:lvl w:ilvl="1">
      <w:lvlJc w:val="left"/>
      <w:lvlText w:val="(%2)"/>
      <w:numFmt w:val="decimal"/>
      <w:start w:val="2"/>
    </w:lvl>
  </w:abstractNum>
  <w:abstractNum w:abstractNumId="626">
    <w:nsid w:val="7F1E3DAE"/>
    <w:multiLevelType w:val="hybridMultilevel"/>
    <w:lvl w:ilvl="0">
      <w:lvlJc w:val="left"/>
      <w:lvlText w:val="(%1)."/>
      <w:numFmt w:val="upperLetter"/>
      <w:start w:val="3"/>
    </w:lvl>
    <w:lvl w:ilvl="1">
      <w:lvlJc w:val="left"/>
      <w:lvlText w:val="%2"/>
      <w:numFmt w:val="decimal"/>
      <w:start w:val="1"/>
    </w:lvl>
  </w:abstractNum>
  <w:abstractNum w:abstractNumId="627">
    <w:nsid w:val="3CA6D1B9"/>
    <w:multiLevelType w:val="hybridMultilevel"/>
    <w:lvl w:ilvl="0">
      <w:lvlJc w:val="left"/>
      <w:lvlText w:val="(%1)"/>
      <w:numFmt w:val="upperLetter"/>
      <w:start w:val="9"/>
    </w:lvl>
    <w:lvl w:ilvl="1">
      <w:lvlJc w:val="left"/>
      <w:lvlText w:val="%2"/>
      <w:numFmt w:val="decimal"/>
      <w:start w:val="1"/>
    </w:lvl>
  </w:abstractNum>
  <w:abstractNum w:abstractNumId="628">
    <w:nsid w:val="43754DB7"/>
    <w:multiLevelType w:val="hybridMultilevel"/>
    <w:lvl w:ilvl="0">
      <w:lvlJc w:val="left"/>
      <w:lvlText w:val="(%1)"/>
      <w:numFmt w:val="decimal"/>
      <w:start w:val="3"/>
    </w:lvl>
  </w:abstractNum>
  <w:abstractNum w:abstractNumId="629">
    <w:nsid w:val="40307D27"/>
    <w:multiLevelType w:val="hybridMultilevel"/>
    <w:lvl w:ilvl="0">
      <w:lvlJc w:val="left"/>
      <w:lvlText w:val="(%1)"/>
      <w:numFmt w:val="upperLetter"/>
      <w:start w:val="4"/>
    </w:lvl>
  </w:abstractNum>
  <w:abstractNum w:abstractNumId="630">
    <w:nsid w:val="DF69013"/>
    <w:multiLevelType w:val="hybridMultilevel"/>
    <w:lvl w:ilvl="0">
      <w:lvlJc w:val="left"/>
      <w:lvlText w:val="(%1)"/>
      <w:numFmt w:val="decimal"/>
      <w:start w:val="2"/>
    </w:lvl>
  </w:abstractNum>
  <w:abstractNum w:abstractNumId="631">
    <w:nsid w:val="FDE3B47"/>
    <w:multiLevelType w:val="hybridMultilevel"/>
    <w:lvl w:ilvl="0">
      <w:lvlJc w:val="left"/>
      <w:lvlText w:val="(%1)"/>
      <w:numFmt w:val="upperLetter"/>
      <w:start w:val="5"/>
    </w:lvl>
  </w:abstractNum>
  <w:abstractNum w:abstractNumId="632">
    <w:nsid w:val="5EF4B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33">
    <w:nsid w:val="2457647B"/>
    <w:multiLevelType w:val="hybridMultilevel"/>
    <w:lvl w:ilvl="0">
      <w:lvlJc w:val="left"/>
      <w:lvlText w:val="(%1)"/>
      <w:numFmt w:val="decimal"/>
      <w:start w:val="5"/>
    </w:lvl>
    <w:lvl w:ilvl="1">
      <w:lvlJc w:val="left"/>
      <w:lvlText w:val="(%2)"/>
      <w:numFmt w:val="lowerLetter"/>
      <w:start w:val="8"/>
    </w:lvl>
    <w:lvl w:ilvl="2">
      <w:lvlJc w:val="left"/>
      <w:lvlText w:val="(%3)"/>
      <w:numFmt w:val="lowerLetter"/>
      <w:start w:val="4"/>
    </w:lvl>
  </w:abstractNum>
  <w:abstractNum w:abstractNumId="634">
    <w:nsid w:val="66F06E9"/>
    <w:multiLevelType w:val="hybridMultilevel"/>
    <w:lvl w:ilvl="0">
      <w:lvlJc w:val="left"/>
      <w:lvlText w:val="(%1)"/>
      <w:numFmt w:val="lowerRoman"/>
      <w:start w:val="2"/>
    </w:lvl>
  </w:abstractNum>
  <w:abstractNum w:abstractNumId="635">
    <w:nsid w:val="2ABAB37"/>
    <w:multiLevelType w:val="hybridMultilevel"/>
    <w:lvl w:ilvl="0">
      <w:lvlJc w:val="left"/>
      <w:lvlText w:val="(%1)"/>
      <w:numFmt w:val="lowerLetter"/>
      <w:start w:val="5"/>
    </w:lvl>
  </w:abstractNum>
  <w:abstractNum w:abstractNumId="636">
    <w:nsid w:val="3D5EC8AB"/>
    <w:multiLevelType w:val="hybridMultilevel"/>
    <w:lvl w:ilvl="0">
      <w:lvlJc w:val="left"/>
      <w:lvlText w:val="%1"/>
      <w:numFmt w:val="lowerRoman"/>
      <w:start w:val="1"/>
    </w:lvl>
    <w:lvl w:ilvl="1">
      <w:lvlJc w:val="left"/>
      <w:lvlText w:val="(%2)"/>
      <w:numFmt w:val="lowerLetter"/>
      <w:start w:val="6"/>
    </w:lvl>
  </w:abstractNum>
  <w:abstractNum w:abstractNumId="637">
    <w:nsid w:val="31F4FCAD"/>
    <w:multiLevelType w:val="hybridMultilevel"/>
    <w:lvl w:ilvl="0">
      <w:lvlJc w:val="left"/>
      <w:lvlText w:val="(%1)"/>
      <w:numFmt w:val="lowerRoman"/>
      <w:start w:val="4"/>
    </w:lvl>
    <w:lvl w:ilvl="1">
      <w:lvlJc w:val="left"/>
      <w:lvlText w:val="%2"/>
      <w:numFmt w:val="lowerLetter"/>
      <w:start w:val="1"/>
    </w:lvl>
  </w:abstractNum>
  <w:abstractNum w:abstractNumId="638">
    <w:nsid w:val="477DB470"/>
    <w:multiLevelType w:val="hybridMultilevel"/>
    <w:lvl w:ilvl="0">
      <w:lvlJc w:val="left"/>
      <w:lvlText w:val="(%1)"/>
      <w:numFmt w:val="lowerLetter"/>
      <w:start w:val="7"/>
    </w:lvl>
  </w:abstractNum>
  <w:abstractNum w:abstractNumId="639">
    <w:nsid w:val="4FD5720B"/>
    <w:multiLevelType w:val="hybridMultilevel"/>
    <w:lvl w:ilvl="0">
      <w:lvlJc w:val="left"/>
      <w:lvlText w:val="(%1)"/>
      <w:numFmt w:val="lowerLetter"/>
      <w:start w:val="1"/>
    </w:lvl>
  </w:abstractNum>
  <w:abstractNum w:abstractNumId="640">
    <w:nsid w:val="4D3C9346"/>
    <w:multiLevelType w:val="hybridMultilevel"/>
    <w:lvl w:ilvl="0">
      <w:lvlJc w:val="left"/>
      <w:lvlText w:val="(%1)"/>
      <w:numFmt w:val="lowerLetter"/>
      <w:start w:val="3"/>
    </w:lvl>
  </w:abstractNum>
  <w:abstractNum w:abstractNumId="641">
    <w:nsid w:val="2CF0838B"/>
    <w:multiLevelType w:val="hybridMultilevel"/>
    <w:lvl w:ilvl="0">
      <w:lvlJc w:val="left"/>
      <w:lvlText w:val="(%1)"/>
      <w:numFmt w:val="lowerLetter"/>
      <w:start w:val="1"/>
    </w:lvl>
  </w:abstractNum>
  <w:abstractNum w:abstractNumId="642">
    <w:nsid w:val="3E238E27"/>
    <w:multiLevelType w:val="hybridMultilevel"/>
    <w:lvl w:ilvl="0">
      <w:lvlJc w:val="left"/>
      <w:lvlText w:val="%1"/>
      <w:numFmt w:val="lowerLetter"/>
      <w:start w:val="1"/>
    </w:lvl>
    <w:lvl w:ilvl="1">
      <w:lvlJc w:val="left"/>
      <w:lvlText w:val="(%2)"/>
      <w:numFmt w:val="lowerLetter"/>
      <w:start w:val="4"/>
    </w:lvl>
  </w:abstractNum>
  <w:abstractNum w:abstractNumId="643">
    <w:nsid w:val="1BB4DBCD"/>
    <w:multiLevelType w:val="hybridMultilevel"/>
    <w:lvl w:ilvl="0">
      <w:lvlJc w:val="left"/>
      <w:lvlText w:val="(%1)"/>
      <w:numFmt w:val="lowerLetter"/>
      <w:start w:val="9"/>
    </w:lvl>
    <w:lvl w:ilvl="1">
      <w:lvlJc w:val="left"/>
      <w:lvlText w:val="(%2)"/>
      <w:numFmt w:val="lowerLetter"/>
      <w:start w:val="5"/>
    </w:lvl>
  </w:abstractNum>
  <w:abstractNum w:abstractNumId="644">
    <w:nsid w:val="659DCFA3"/>
    <w:multiLevelType w:val="hybridMultilevel"/>
    <w:lvl w:ilvl="0">
      <w:lvlJc w:val="left"/>
      <w:lvlText w:val="%1"/>
      <w:numFmt w:val="lowerRoman"/>
      <w:start w:val="1"/>
    </w:lvl>
    <w:lvl w:ilvl="1">
      <w:lvlJc w:val="left"/>
      <w:lvlText w:val="(%2)"/>
      <w:numFmt w:val="lowerLetter"/>
      <w:start w:val="1"/>
    </w:lvl>
  </w:abstractNum>
  <w:abstractNum w:abstractNumId="645">
    <w:nsid w:val="6F07C58"/>
    <w:multiLevelType w:val="hybridMultilevel"/>
    <w:lvl w:ilvl="0">
      <w:lvlJc w:val="left"/>
      <w:lvlText w:val="(%1)"/>
      <w:numFmt w:val="lowerRoman"/>
      <w:start w:val="1"/>
    </w:lvl>
    <w:lvl w:ilvl="1">
      <w:lvlJc w:val="left"/>
      <w:lvlText w:val="%2"/>
      <w:numFmt w:val="lowerLetter"/>
      <w:start w:val="1"/>
    </w:lvl>
  </w:abstractNum>
  <w:abstractNum w:abstractNumId="646">
    <w:nsid w:val="619F753B"/>
    <w:multiLevelType w:val="hybridMultilevel"/>
    <w:lvl w:ilvl="0">
      <w:lvlJc w:val="left"/>
      <w:lvlText w:val="%1"/>
      <w:numFmt w:val="lowerLetter"/>
      <w:start w:val="1"/>
    </w:lvl>
    <w:lvl w:ilvl="1">
      <w:lvlJc w:val="left"/>
      <w:lvlText w:val="(%2)"/>
      <w:numFmt w:val="lowerLetter"/>
      <w:start w:val="2"/>
    </w:lvl>
  </w:abstractNum>
  <w:abstractNum w:abstractNumId="647">
    <w:nsid w:val="29BD8A97"/>
    <w:multiLevelType w:val="hybridMultilevel"/>
    <w:lvl w:ilvl="0">
      <w:lvlJc w:val="left"/>
      <w:lvlText w:val="(%1)"/>
      <w:numFmt w:val="lowerLetter"/>
      <w:start w:val="25"/>
    </w:lvl>
    <w:lvl w:ilvl="1">
      <w:lvlJc w:val="left"/>
      <w:lvlText w:val="(%2)"/>
      <w:numFmt w:val="lowerLetter"/>
      <w:start w:val="3"/>
    </w:lvl>
  </w:abstractNum>
  <w:abstractNum w:abstractNumId="648">
    <w:nsid w:val="61C66E3"/>
    <w:multiLevelType w:val="hybridMultilevel"/>
    <w:lvl w:ilvl="0">
      <w:lvlJc w:val="left"/>
      <w:lvlText w:val="(%1)"/>
      <w:numFmt w:val="lowerLetter"/>
      <w:start w:val="6"/>
    </w:lvl>
  </w:abstractNum>
  <w:abstractNum w:abstractNumId="649">
    <w:nsid w:val="69321F16"/>
    <w:multiLevelType w:val="hybridMultilevel"/>
    <w:lvl w:ilvl="0">
      <w:lvlJc w:val="left"/>
      <w:lvlText w:val="%1"/>
      <w:numFmt w:val="lowerRoman"/>
      <w:start w:val="1"/>
    </w:lvl>
    <w:lvl w:ilvl="1">
      <w:lvlJc w:val="left"/>
      <w:lvlText w:val="(%2)"/>
      <w:numFmt w:val="lowerLetter"/>
      <w:start w:val="1"/>
    </w:lvl>
  </w:abstractNum>
  <w:abstractNum w:abstractNumId="650">
    <w:nsid w:val="2D96B714"/>
    <w:multiLevelType w:val="hybridMultilevel"/>
    <w:lvl w:ilvl="0">
      <w:lvlJc w:val="left"/>
      <w:lvlText w:val="(%1)"/>
      <w:numFmt w:val="lowerRoman"/>
      <w:start w:val="1"/>
    </w:lvl>
    <w:lvl w:ilvl="1">
      <w:lvlJc w:val="left"/>
      <w:lvlText w:val="%2"/>
      <w:numFmt w:val="lowerLetter"/>
      <w:start w:val="1"/>
    </w:lvl>
  </w:abstractNum>
  <w:abstractNum w:abstractNumId="651">
    <w:nsid w:val="3D76F9E2"/>
    <w:multiLevelType w:val="hybridMultilevel"/>
    <w:lvl w:ilvl="0">
      <w:lvlJc w:val="left"/>
      <w:lvlText w:val="(%1)"/>
      <w:numFmt w:val="lowerLetter"/>
      <w:start w:val="2"/>
    </w:lvl>
  </w:abstractNum>
  <w:abstractNum w:abstractNumId="652">
    <w:nsid w:val="124A2DF8"/>
    <w:multiLevelType w:val="hybridMultilevel"/>
    <w:lvl w:ilvl="0">
      <w:lvlJc w:val="left"/>
      <w:lvlText w:val="(%1)"/>
      <w:numFmt w:val="lowerLetter"/>
      <w:start w:val="1"/>
    </w:lvl>
  </w:abstractNum>
  <w:abstractNum w:abstractNumId="653">
    <w:nsid w:val="2A26C828"/>
    <w:multiLevelType w:val="hybridMultilevel"/>
    <w:lvl w:ilvl="0">
      <w:lvlJc w:val="left"/>
      <w:lvlText w:val="(%1)"/>
      <w:numFmt w:val="lowerLetter"/>
      <w:start w:val="5"/>
    </w:lvl>
  </w:abstractNum>
  <w:abstractNum w:abstractNumId="654">
    <w:nsid w:val="7FE72292"/>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655">
    <w:nsid w:val="60C94A46"/>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656">
    <w:nsid w:val="69D9E7A"/>
    <w:multiLevelType w:val="hybridMultilevel"/>
    <w:lvl w:ilvl="0">
      <w:lvlJc w:val="left"/>
      <w:lvlText w:val="%1"/>
      <w:numFmt w:val="lowerRoman"/>
      <w:start w:val="1"/>
    </w:lvl>
    <w:lvl w:ilvl="1">
      <w:lvlJc w:val="left"/>
      <w:lvlText w:val="(%2)"/>
      <w:numFmt w:val="upperLetter"/>
      <w:start w:val="1"/>
    </w:lvl>
  </w:abstractNum>
  <w:abstractNum w:abstractNumId="657">
    <w:nsid w:val="7F056040"/>
    <w:multiLevelType w:val="hybridMultilevel"/>
    <w:lvl w:ilvl="0">
      <w:lvlJc w:val="left"/>
      <w:lvlText w:val="(%1)"/>
      <w:numFmt w:val="lowerRoman"/>
      <w:start w:val="3"/>
    </w:lvl>
    <w:lvl w:ilvl="1">
      <w:lvlJc w:val="left"/>
      <w:lvlText w:val="%2"/>
      <w:numFmt w:val="upperLetter"/>
      <w:start w:val="1"/>
    </w:lvl>
  </w:abstractNum>
  <w:abstractNum w:abstractNumId="658">
    <w:nsid w:val="1D701BFF"/>
    <w:multiLevelType w:val="hybridMultilevel"/>
    <w:lvl w:ilvl="0">
      <w:lvlJc w:val="left"/>
      <w:lvlText w:val="(%1)"/>
      <w:numFmt w:val="decimal"/>
      <w:start w:val="3"/>
    </w:lvl>
  </w:abstractNum>
  <w:abstractNum w:abstractNumId="659">
    <w:nsid w:val="4A12EC32"/>
    <w:multiLevelType w:val="hybridMultilevel"/>
    <w:lvl w:ilvl="0">
      <w:lvlJc w:val="left"/>
      <w:lvlText w:val="(%1)"/>
      <w:numFmt w:val="lowerLetter"/>
      <w:start w:val="7"/>
    </w:lvl>
  </w:abstractNum>
  <w:abstractNum w:abstractNumId="660">
    <w:nsid w:val="3F35DD67"/>
    <w:multiLevelType w:val="hybridMultilevel"/>
    <w:lvl w:ilvl="0">
      <w:lvlJc w:val="left"/>
      <w:lvlText w:val="(%1)"/>
      <w:numFmt w:val="lowerLetter"/>
      <w:start w:val="8"/>
    </w:lvl>
  </w:abstractNum>
  <w:abstractNum w:abstractNumId="661">
    <w:nsid w:val="2B66AC12"/>
    <w:multiLevelType w:val="hybridMultilevel"/>
    <w:lvl w:ilvl="0">
      <w:lvlJc w:val="left"/>
      <w:lvlText w:val="(%1)"/>
      <w:numFmt w:val="lowerLetter"/>
      <w:start w:val="1"/>
    </w:lvl>
  </w:abstractNum>
  <w:abstractNum w:abstractNumId="662">
    <w:nsid w:val="59F12779"/>
    <w:multiLevelType w:val="hybridMultilevel"/>
    <w:lvl w:ilvl="0">
      <w:lvlJc w:val="left"/>
      <w:lvlText w:val="%1"/>
      <w:numFmt w:val="lowerLetter"/>
      <w:start w:val="1"/>
    </w:lvl>
    <w:lvl w:ilvl="1">
      <w:lvlJc w:val="left"/>
      <w:lvlText w:val="(%2)"/>
      <w:numFmt w:val="lowerLetter"/>
      <w:start w:val="2"/>
    </w:lvl>
  </w:abstractNum>
  <w:abstractNum w:abstractNumId="663">
    <w:nsid w:val="452528CB"/>
    <w:multiLevelType w:val="hybridMultilevel"/>
    <w:lvl w:ilvl="0">
      <w:lvlJc w:val="left"/>
      <w:lvlText w:val="(%1)"/>
      <w:numFmt w:val="lowerLetter"/>
      <w:start w:val="35"/>
    </w:lvl>
    <w:lvl w:ilvl="1">
      <w:lvlJc w:val="left"/>
      <w:lvlText w:val="(%2)"/>
      <w:numFmt w:val="lowerLetter"/>
      <w:start w:val="3"/>
    </w:lvl>
  </w:abstractNum>
  <w:abstractNum w:abstractNumId="664">
    <w:nsid w:val="4FBE108E"/>
    <w:multiLevelType w:val="hybridMultilevel"/>
    <w:lvl w:ilvl="0">
      <w:lvlJc w:val="left"/>
      <w:lvlText w:val="%1"/>
      <w:numFmt w:val="lowerLetter"/>
      <w:start w:val="1"/>
    </w:lvl>
    <w:lvl w:ilvl="1">
      <w:lvlJc w:val="left"/>
      <w:lvlText w:val="(%2)"/>
      <w:numFmt w:val="lowerLetter"/>
      <w:start w:val="5"/>
    </w:lvl>
  </w:abstractNum>
  <w:abstractNum w:abstractNumId="665">
    <w:nsid w:val="60602E62"/>
    <w:multiLevelType w:val="hybridMultilevel"/>
    <w:lvl w:ilvl="0">
      <w:lvlJc w:val="left"/>
      <w:lvlText w:val="(%1)"/>
      <w:numFmt w:val="lowerLetter"/>
      <w:start w:val="9"/>
    </w:lvl>
    <w:lvl w:ilvl="1">
      <w:lvlJc w:val="left"/>
      <w:lvlText w:val="%2"/>
      <w:numFmt w:val="lowerLetter"/>
      <w:start w:val="1"/>
    </w:lvl>
  </w:abstractNum>
  <w:abstractNum w:abstractNumId="666">
    <w:nsid w:val="47D0D402"/>
    <w:multiLevelType w:val="hybridMultilevel"/>
    <w:lvl w:ilvl="0">
      <w:lvlJc w:val="left"/>
      <w:lvlText w:val="%1"/>
      <w:numFmt w:val="lowerLetter"/>
      <w:start w:val="1"/>
    </w:lvl>
    <w:lvl w:ilvl="1">
      <w:lvlJc w:val="left"/>
      <w:lvlText w:val="(%2)"/>
      <w:numFmt w:val="lowerLetter"/>
      <w:start w:val="1"/>
    </w:lvl>
  </w:abstractNum>
  <w:abstractNum w:abstractNumId="667">
    <w:nsid w:val="D1CD939"/>
    <w:multiLevelType w:val="hybridMultilevel"/>
    <w:lvl w:ilvl="0">
      <w:lvlJc w:val="left"/>
      <w:lvlText w:val="(%1)"/>
      <w:numFmt w:val="lowerLetter"/>
      <w:start w:val="9"/>
    </w:lvl>
    <w:lvl w:ilvl="1">
      <w:lvlJc w:val="left"/>
      <w:lvlText w:val="(%2)"/>
      <w:numFmt w:val="lowerLetter"/>
      <w:start w:val="2"/>
    </w:lvl>
  </w:abstractNum>
  <w:abstractNum w:abstractNumId="668">
    <w:nsid w:val="12552B10"/>
    <w:multiLevelType w:val="hybridMultilevel"/>
    <w:lvl w:ilvl="0">
      <w:lvlJc w:val="left"/>
      <w:lvlText w:val="(%1)"/>
      <w:numFmt w:val="lowerLetter"/>
      <w:start w:val="1"/>
    </w:lvl>
  </w:abstractNum>
  <w:abstractNum w:abstractNumId="669">
    <w:nsid w:val="F4E8872"/>
    <w:multiLevelType w:val="hybridMultilevel"/>
    <w:lvl w:ilvl="0">
      <w:lvlJc w:val="left"/>
      <w:lvlText w:val="(%1)"/>
      <w:numFmt w:val="lowerLetter"/>
      <w:start w:val="2"/>
    </w:lvl>
  </w:abstractNum>
  <w:abstractNum w:abstractNumId="670">
    <w:nsid w:val="5CF24B45"/>
    <w:multiLevelType w:val="hybridMultilevel"/>
    <w:lvl w:ilvl="0">
      <w:lvlJc w:val="left"/>
      <w:lvlText w:val="(%1)"/>
      <w:numFmt w:val="lowerRoman"/>
      <w:start w:val="2"/>
    </w:lvl>
  </w:abstractNum>
  <w:abstractNum w:abstractNumId="671">
    <w:nsid w:val="5F91BE56"/>
    <w:multiLevelType w:val="hybridMultilevel"/>
    <w:lvl w:ilvl="0">
      <w:lvlJc w:val="left"/>
      <w:lvlText w:val="(%1)"/>
      <w:numFmt w:val="lowerRoman"/>
      <w:start w:val="4"/>
    </w:lvl>
  </w:abstractNum>
  <w:abstractNum w:abstractNumId="672">
    <w:nsid w:val="3C3F0BFD"/>
    <w:multiLevelType w:val="hybridMultilevel"/>
    <w:lvl w:ilvl="0">
      <w:lvlJc w:val="left"/>
      <w:lvlText w:val="(%1)"/>
      <w:numFmt w:val="lowerLetter"/>
      <w:start w:val="3"/>
    </w:lvl>
  </w:abstractNum>
  <w:abstractNum w:abstractNumId="673">
    <w:nsid w:val="1B15D96C"/>
    <w:multiLevelType w:val="hybridMultilevel"/>
    <w:lvl w:ilvl="0">
      <w:lvlJc w:val="left"/>
      <w:lvlText w:val="(%1)"/>
      <w:numFmt w:val="lowerLetter"/>
      <w:start w:val="1"/>
    </w:lvl>
  </w:abstractNum>
  <w:abstractNum w:abstractNumId="674">
    <w:nsid w:val="7B469A23"/>
    <w:multiLevelType w:val="hybridMultilevel"/>
    <w:lvl w:ilvl="0">
      <w:lvlJc w:val="left"/>
      <w:lvlText w:val="(%1)"/>
      <w:numFmt w:val="lowerLetter"/>
      <w:start w:val="2"/>
    </w:lvl>
  </w:abstractNum>
  <w:abstractNum w:abstractNumId="675">
    <w:nsid w:val="21DCDBA0"/>
    <w:multiLevelType w:val="hybridMultilevel"/>
    <w:lvl w:ilvl="0">
      <w:lvlJc w:val="left"/>
      <w:lvlText w:val="%1"/>
      <w:numFmt w:val="lowerLetter"/>
      <w:start w:val="1"/>
    </w:lvl>
    <w:lvl w:ilvl="1">
      <w:lvlJc w:val="left"/>
      <w:lvlText w:val="(%2)"/>
      <w:numFmt w:val="lowerLetter"/>
      <w:start w:val="1"/>
    </w:lvl>
  </w:abstractNum>
  <w:abstractNum w:abstractNumId="676">
    <w:nsid w:val="220655C4"/>
    <w:multiLevelType w:val="hybridMultilevel"/>
    <w:lvl w:ilvl="0">
      <w:lvlJc w:val="left"/>
      <w:lvlText w:val="(%1)"/>
      <w:numFmt w:val="lowerLetter"/>
      <w:start w:val="9"/>
    </w:lvl>
    <w:lvl w:ilvl="1">
      <w:lvlJc w:val="left"/>
      <w:lvlText w:val="%2"/>
      <w:numFmt w:val="lowerLetter"/>
      <w:start w:val="1"/>
    </w:lvl>
  </w:abstractNum>
  <w:abstractNum w:abstractNumId="677">
    <w:nsid w:val="5CE60F5E"/>
    <w:multiLevelType w:val="hybridMultilevel"/>
    <w:lvl w:ilvl="0">
      <w:lvlJc w:val="left"/>
      <w:lvlText w:val="(%1)"/>
      <w:numFmt w:val="lowerRoman"/>
      <w:start w:val="2"/>
    </w:lvl>
    <w:lvl w:ilvl="1">
      <w:lvlJc w:val="left"/>
      <w:lvlText w:val="(%2)"/>
      <w:numFmt w:val="lowerLetter"/>
      <w:start w:val="2"/>
    </w:lvl>
  </w:abstractNum>
  <w:abstractNum w:abstractNumId="678">
    <w:nsid w:val="4B9A6638"/>
    <w:multiLevelType w:val="hybridMultilevel"/>
    <w:lvl w:ilvl="0">
      <w:lvlJc w:val="left"/>
      <w:lvlText w:val="(%1)"/>
      <w:numFmt w:val="lowerLetter"/>
      <w:start w:val="1"/>
    </w:lvl>
  </w:abstractNum>
  <w:abstractNum w:abstractNumId="679">
    <w:nsid w:val="2822BCA7"/>
    <w:multiLevelType w:val="hybridMultilevel"/>
    <w:lvl w:ilvl="0">
      <w:lvlJc w:val="left"/>
      <w:lvlText w:val="(%1)"/>
      <w:numFmt w:val="lowerLetter"/>
      <w:start w:val="5"/>
    </w:lvl>
  </w:abstractNum>
  <w:abstractNum w:abstractNumId="680">
    <w:nsid w:val="46182E75"/>
    <w:multiLevelType w:val="hybridMultilevel"/>
    <w:lvl w:ilvl="0">
      <w:lvlJc w:val="left"/>
      <w:lvlText w:val="(%1)"/>
      <w:numFmt w:val="lowerLetter"/>
      <w:start w:val="1"/>
    </w:lvl>
  </w:abstractNum>
  <w:abstractNum w:abstractNumId="681">
    <w:nsid w:val="79311D4C"/>
    <w:multiLevelType w:val="hybridMultilevel"/>
    <w:lvl w:ilvl="0">
      <w:lvlJc w:val="left"/>
      <w:lvlText w:val="(%1)"/>
      <w:numFmt w:val="lowerLetter"/>
      <w:start w:val="1"/>
    </w:lvl>
  </w:abstractNum>
  <w:abstractNum w:abstractNumId="682">
    <w:nsid w:val="6599B689"/>
    <w:multiLevelType w:val="hybridMultilevel"/>
    <w:lvl w:ilvl="0">
      <w:lvlJc w:val="left"/>
      <w:lvlText w:val="(%1)"/>
      <w:numFmt w:val="lowerLetter"/>
      <w:start w:val="2"/>
    </w:lvl>
  </w:abstractNum>
  <w:abstractNum w:abstractNumId="683">
    <w:nsid w:val="58625C6D"/>
    <w:multiLevelType w:val="hybridMultilevel"/>
    <w:lvl w:ilvl="0">
      <w:lvlJc w:val="left"/>
      <w:lvlText w:val="%1"/>
      <w:numFmt w:val="lowerLetter"/>
      <w:start w:val="1"/>
    </w:lvl>
    <w:lvl w:ilvl="1">
      <w:lvlJc w:val="left"/>
      <w:lvlText w:val="(%2)"/>
      <w:numFmt w:val="lowerLetter"/>
      <w:start w:val="1"/>
    </w:lvl>
  </w:abstractNum>
  <w:abstractNum w:abstractNumId="684">
    <w:nsid w:val="2357E574"/>
    <w:multiLevelType w:val="hybridMultilevel"/>
    <w:lvl w:ilvl="0">
      <w:lvlJc w:val="left"/>
      <w:lvlText w:val="(%1)"/>
      <w:numFmt w:val="lowerLetter"/>
      <w:start w:val="61"/>
    </w:lvl>
    <w:lvl w:ilvl="1">
      <w:lvlJc w:val="left"/>
      <w:lvlText w:val="%2"/>
      <w:numFmt w:val="lowerLetter"/>
      <w:start w:val="1"/>
    </w:lvl>
  </w:abstractNum>
  <w:abstractNum w:abstractNumId="685">
    <w:nsid w:val="6580D91B"/>
    <w:multiLevelType w:val="hybridMultilevel"/>
    <w:lvl w:ilvl="0">
      <w:lvlJc w:val="left"/>
      <w:lvlText w:val="(%1)"/>
      <w:numFmt w:val="lowerLetter"/>
      <w:start w:val="1"/>
    </w:lvl>
  </w:abstractNum>
  <w:abstractNum w:abstractNumId="686">
    <w:nsid w:val="392BA6B3"/>
    <w:multiLevelType w:val="hybridMultilevel"/>
    <w:lvl w:ilvl="0">
      <w:lvlJc w:val="left"/>
      <w:lvlText w:val="(%1)"/>
      <w:numFmt w:val="lowerLetter"/>
      <w:start w:val="2"/>
    </w:lvl>
  </w:abstractNum>
  <w:abstractNum w:abstractNumId="687">
    <w:nsid w:val="29F583EF"/>
    <w:multiLevelType w:val="hybridMultilevel"/>
    <w:lvl w:ilvl="0">
      <w:lvlJc w:val="left"/>
      <w:lvlText w:val="%1"/>
      <w:numFmt w:val="lowerRoman"/>
      <w:start w:val="1"/>
    </w:lvl>
    <w:lvl w:ilvl="1">
      <w:lvlJc w:val="left"/>
      <w:lvlText w:val="(%2)"/>
      <w:numFmt w:val="lowerLetter"/>
      <w:start w:val="1"/>
    </w:lvl>
  </w:abstractNum>
  <w:abstractNum w:abstractNumId="688">
    <w:nsid w:val="6486395B"/>
    <w:multiLevelType w:val="hybridMultilevel"/>
    <w:lvl w:ilvl="0">
      <w:lvlJc w:val="left"/>
      <w:lvlText w:val="(%1)"/>
      <w:numFmt w:val="lowerRoman"/>
      <w:start w:val="4"/>
    </w:lvl>
    <w:lvl w:ilvl="1">
      <w:lvlJc w:val="left"/>
      <w:lvlText w:val="(%2)"/>
      <w:numFmt w:val="lowerLetter"/>
      <w:start w:val="5"/>
    </w:lvl>
  </w:abstractNum>
  <w:abstractNum w:abstractNumId="689">
    <w:nsid w:val="569BC2B2"/>
    <w:multiLevelType w:val="hybridMultilevel"/>
    <w:lvl w:ilvl="0">
      <w:lvlJc w:val="left"/>
      <w:lvlText w:val="(%1)"/>
      <w:numFmt w:val="lowerLetter"/>
      <w:start w:val="6"/>
    </w:lvl>
  </w:abstractNum>
  <w:abstractNum w:abstractNumId="690">
    <w:nsid w:val="74087021"/>
    <w:multiLevelType w:val="hybridMultilevel"/>
    <w:lvl w:ilvl="0">
      <w:lvlJc w:val="left"/>
      <w:lvlText w:val="(%1)"/>
      <w:numFmt w:val="lowerLetter"/>
      <w:start w:val="1"/>
    </w:lvl>
  </w:abstractNum>
  <w:abstractNum w:abstractNumId="691">
    <w:nsid w:val="23BC16C2"/>
    <w:multiLevelType w:val="hybridMultilevel"/>
    <w:lvl w:ilvl="0">
      <w:lvlJc w:val="left"/>
      <w:lvlText w:val="%1"/>
      <w:numFmt w:val="upperLetter"/>
      <w:start w:val="1"/>
    </w:lvl>
    <w:lvl w:ilvl="1">
      <w:lvlJc w:val="left"/>
      <w:lvlText w:val="(%2)"/>
      <w:numFmt w:val="lowerLetter"/>
      <w:start w:val="1"/>
    </w:lvl>
  </w:abstractNum>
  <w:abstractNum w:abstractNumId="692">
    <w:nsid w:val="2026EC5"/>
    <w:multiLevelType w:val="hybridMultilevel"/>
    <w:lvl w:ilvl="0">
      <w:lvlJc w:val="left"/>
      <w:lvlText w:val="(%1)"/>
      <w:numFmt w:val="upperLetter"/>
      <w:start w:val="1"/>
    </w:lvl>
    <w:lvl w:ilvl="1">
      <w:lvlJc w:val="left"/>
      <w:lvlText w:val="%2"/>
      <w:numFmt w:val="lowerLetter"/>
      <w:start w:val="1"/>
    </w:lvl>
  </w:abstractNum>
  <w:abstractNum w:abstractNumId="693">
    <w:nsid w:val="4DF9979A"/>
    <w:multiLevelType w:val="hybridMultilevel"/>
    <w:lvl w:ilvl="0">
      <w:lvlJc w:val="left"/>
      <w:lvlText w:val="%1"/>
      <w:numFmt w:val="lowerLetter"/>
      <w:start w:val="1"/>
    </w:lvl>
    <w:lvl w:ilvl="1">
      <w:lvlJc w:val="left"/>
      <w:lvlText w:val="(%2)"/>
      <w:numFmt w:val="lowerLetter"/>
      <w:start w:val="2"/>
    </w:lvl>
  </w:abstractNum>
  <w:abstractNum w:abstractNumId="694">
    <w:nsid w:val="68E13F8E"/>
    <w:multiLevelType w:val="hybridMultilevel"/>
    <w:lvl w:ilvl="0">
      <w:lvlJc w:val="left"/>
      <w:lvlText w:val="(%1)"/>
      <w:numFmt w:val="lowerLetter"/>
      <w:start w:val="2"/>
    </w:lvl>
    <w:lvl w:ilvl="1">
      <w:lvlJc w:val="left"/>
      <w:lvlText w:val="(%2)"/>
      <w:numFmt w:val="lowerLetter"/>
      <w:start w:val="4"/>
    </w:lvl>
  </w:abstractNum>
  <w:abstractNum w:abstractNumId="695">
    <w:nsid w:val="51C07F53"/>
    <w:multiLevelType w:val="hybridMultilevel"/>
    <w:lvl w:ilvl="0">
      <w:lvlJc w:val="left"/>
      <w:lvlText w:val="(%1)"/>
      <w:numFmt w:val="lowerLetter"/>
      <w:start w:val="2"/>
    </w:lvl>
    <w:lvl w:ilvl="1">
      <w:lvlJc w:val="left"/>
      <w:lvlText w:val="(%2)"/>
      <w:numFmt w:val="lowerLetter"/>
      <w:start w:val="5"/>
    </w:lvl>
  </w:abstractNum>
  <w:abstractNum w:abstractNumId="696">
    <w:nsid w:val="2E59C5FD"/>
    <w:multiLevelType w:val="hybridMultilevel"/>
    <w:lvl w:ilvl="0">
      <w:lvlJc w:val="left"/>
      <w:lvlText w:val="%1"/>
      <w:numFmt w:val="lowerLetter"/>
      <w:start w:val="1"/>
    </w:lvl>
    <w:lvl w:ilvl="1">
      <w:lvlJc w:val="left"/>
      <w:lvlText w:val="(%2)"/>
      <w:numFmt w:val="lowerLetter"/>
      <w:start w:val="8"/>
    </w:lvl>
  </w:abstractNum>
  <w:abstractNum w:abstractNumId="697">
    <w:nsid w:val="30B21390"/>
    <w:multiLevelType w:val="hybridMultilevel"/>
    <w:lvl w:ilvl="0">
      <w:lvlJc w:val="left"/>
      <w:lvlText w:val="(%1)"/>
      <w:numFmt w:val="lowerLetter"/>
      <w:start w:val="1"/>
    </w:lvl>
    <w:lvl w:ilvl="1">
      <w:lvlJc w:val="left"/>
      <w:lvlText w:val="%2"/>
      <w:numFmt w:val="lowerLetter"/>
      <w:start w:val="1"/>
    </w:lvl>
  </w:abstractNum>
  <w:abstractNum w:abstractNumId="698">
    <w:nsid w:val="5EDD588C"/>
    <w:multiLevelType w:val="hybridMultilevel"/>
    <w:lvl w:ilvl="0">
      <w:lvlJc w:val="left"/>
      <w:lvlText w:val="(%1)"/>
      <w:numFmt w:val="lowerLetter"/>
      <w:start w:val="6"/>
    </w:lvl>
  </w:abstractNum>
  <w:abstractNum w:abstractNumId="699">
    <w:nsid w:val="40AEF10D"/>
    <w:multiLevelType w:val="hybridMultilevel"/>
    <w:lvl w:ilvl="0">
      <w:lvlJc w:val="left"/>
      <w:lvlText w:val="(%1)"/>
      <w:numFmt w:val="lowerLetter"/>
      <w:start w:val="24"/>
    </w:lvl>
  </w:abstractNum>
  <w:abstractNum w:abstractNumId="700">
    <w:nsid w:val="40009C03"/>
    <w:multiLevelType w:val="hybridMultilevel"/>
    <w:lvl w:ilvl="0">
      <w:lvlJc w:val="left"/>
      <w:lvlText w:val="(%1)"/>
      <w:numFmt w:val="lowerLetter"/>
      <w:start w:val="3"/>
    </w:lvl>
  </w:abstractNum>
  <w:abstractNum w:abstractNumId="701">
    <w:nsid w:val="3BCFA3D1"/>
    <w:multiLevelType w:val="hybridMultilevel"/>
    <w:lvl w:ilvl="0">
      <w:lvlJc w:val="left"/>
      <w:lvlText w:val="(%1)"/>
      <w:numFmt w:val="lowerLetter"/>
      <w:start w:val="1"/>
    </w:lvl>
  </w:abstractNum>
  <w:abstractNum w:abstractNumId="702">
    <w:nsid w:val="2040AF63"/>
    <w:multiLevelType w:val="hybridMultilevel"/>
    <w:lvl w:ilvl="0">
      <w:lvlJc w:val="left"/>
      <w:lvlText w:val="(%1)"/>
      <w:numFmt w:val="lowerLetter"/>
      <w:start w:val="1"/>
    </w:lvl>
  </w:abstractNum>
  <w:abstractNum w:abstractNumId="703">
    <w:nsid w:val="7C3FA800"/>
    <w:multiLevelType w:val="hybridMultilevel"/>
    <w:lvl w:ilvl="0">
      <w:lvlJc w:val="left"/>
      <w:lvlText w:val="(%1)"/>
      <w:numFmt w:val="lowerLetter"/>
      <w:start w:val="2"/>
    </w:lvl>
  </w:abstractNum>
  <w:abstractNum w:abstractNumId="704">
    <w:nsid w:val="56E57D3D"/>
    <w:multiLevelType w:val="hybridMultilevel"/>
    <w:lvl w:ilvl="0">
      <w:lvlJc w:val="left"/>
      <w:lvlText w:val="(%1)"/>
      <w:numFmt w:val="lowerLetter"/>
      <w:start w:val="1"/>
    </w:lvl>
  </w:abstractNum>
  <w:abstractNum w:abstractNumId="705">
    <w:nsid w:val="1B874986"/>
    <w:multiLevelType w:val="hybridMultilevel"/>
    <w:lvl w:ilvl="0">
      <w:lvlJc w:val="left"/>
      <w:lvlText w:val="(%1)"/>
      <w:numFmt w:val="lowerLetter"/>
      <w:start w:val="2"/>
    </w:lvl>
  </w:abstractNum>
  <w:abstractNum w:abstractNumId="706">
    <w:nsid w:val="1E1C83A1"/>
    <w:multiLevelType w:val="hybridMultilevel"/>
    <w:lvl w:ilvl="0">
      <w:lvlJc w:val="left"/>
      <w:lvlText w:val="%1"/>
      <w:numFmt w:val="lowerLetter"/>
      <w:start w:val="1"/>
    </w:lvl>
    <w:lvl w:ilvl="1">
      <w:lvlJc w:val="left"/>
      <w:lvlText w:val="(%2)"/>
      <w:numFmt w:val="lowerLetter"/>
      <w:start w:val="1"/>
    </w:lvl>
  </w:abstractNum>
  <w:abstractNum w:abstractNumId="707">
    <w:nsid w:val="78EBD301"/>
    <w:multiLevelType w:val="hybridMultilevel"/>
    <w:lvl w:ilvl="0">
      <w:lvlJc w:val="left"/>
      <w:lvlText w:val="(%1)"/>
      <w:numFmt w:val="lowerLetter"/>
      <w:start w:val="24"/>
    </w:lvl>
    <w:lvl w:ilvl="1">
      <w:lvlJc w:val="left"/>
      <w:lvlText w:val="(%2)"/>
      <w:numFmt w:val="lowerLetter"/>
      <w:start w:val="2"/>
    </w:lvl>
  </w:abstractNum>
  <w:abstractNum w:abstractNumId="708">
    <w:nsid w:val="786D58E4"/>
    <w:multiLevelType w:val="hybridMultilevel"/>
    <w:lvl w:ilvl="0">
      <w:lvlJc w:val="left"/>
      <w:lvlText w:val="(%1)"/>
      <w:numFmt w:val="lowerLetter"/>
      <w:start w:val="1"/>
    </w:lvl>
  </w:abstractNum>
  <w:abstractNum w:abstractNumId="709">
    <w:nsid w:val="69B6E9D9"/>
    <w:multiLevelType w:val="hybridMultilevel"/>
    <w:lvl w:ilvl="0">
      <w:lvlJc w:val="left"/>
      <w:lvlText w:val="%1"/>
      <w:numFmt w:val="lowerRoman"/>
      <w:start w:val="1"/>
    </w:lvl>
    <w:lvl w:ilvl="1">
      <w:lvlJc w:val="left"/>
      <w:lvlText w:val="(%2)"/>
      <w:numFmt w:val="lowerLetter"/>
      <w:start w:val="1"/>
    </w:lvl>
  </w:abstractNum>
  <w:abstractNum w:abstractNumId="710">
    <w:nsid w:val="210E8FA8"/>
    <w:multiLevelType w:val="hybridMultilevel"/>
    <w:lvl w:ilvl="0">
      <w:lvlJc w:val="left"/>
      <w:lvlText w:val="(%1)"/>
      <w:numFmt w:val="lowerRoman"/>
      <w:start w:val="1"/>
    </w:lvl>
    <w:lvl w:ilvl="1">
      <w:lvlJc w:val="left"/>
      <w:lvlText w:val="%2"/>
      <w:numFmt w:val="lowerLetter"/>
      <w:start w:val="1"/>
    </w:lvl>
  </w:abstractNum>
  <w:abstractNum w:abstractNumId="711">
    <w:nsid w:val="3E858759"/>
    <w:multiLevelType w:val="hybridMultilevel"/>
    <w:lvl w:ilvl="0">
      <w:lvlJc w:val="left"/>
      <w:lvlText w:val="(%1)"/>
      <w:numFmt w:val="upperLetter"/>
      <w:start w:val="9"/>
    </w:lvl>
    <w:lvl w:ilvl="1">
      <w:lvlJc w:val="left"/>
      <w:lvlText w:val="(%2)"/>
      <w:numFmt w:val="lowerRoman"/>
      <w:start w:val="8"/>
    </w:lvl>
  </w:abstractNum>
  <w:abstractNum w:abstractNumId="712">
    <w:nsid w:val="62E80725"/>
    <w:multiLevelType w:val="hybridMultilevel"/>
    <w:lvl w:ilvl="0">
      <w:lvlJc w:val="left"/>
      <w:lvlText w:val="(%1)"/>
      <w:numFmt w:val="lowerRoman"/>
      <w:start w:val="2"/>
    </w:lvl>
    <w:lvl w:ilvl="1">
      <w:lvlJc w:val="left"/>
      <w:lvlText w:val="(%2)"/>
      <w:numFmt w:val="lowerRoman"/>
      <w:start w:val="9"/>
    </w:lvl>
  </w:abstractNum>
  <w:abstractNum w:abstractNumId="713">
    <w:nsid w:val="6A84631"/>
    <w:multiLevelType w:val="hybridMultilevel"/>
    <w:lvl w:ilvl="0">
      <w:lvlJc w:val="left"/>
      <w:lvlText w:val="%1"/>
      <w:numFmt w:val="lowerRoman"/>
      <w:start w:val="1"/>
    </w:lvl>
    <w:lvl w:ilvl="1">
      <w:lvlJc w:val="left"/>
      <w:lvlText w:val="(%2)"/>
      <w:numFmt w:val="lowerRoman"/>
      <w:start w:val="10"/>
    </w:lvl>
  </w:abstractNum>
  <w:abstractNum w:abstractNumId="714">
    <w:nsid w:val="16E7E3C7"/>
    <w:multiLevelType w:val="hybridMultilevel"/>
    <w:lvl w:ilvl="0">
      <w:lvlJc w:val="left"/>
      <w:lvlText w:val="(%1)"/>
      <w:numFmt w:val="lowerRoman"/>
      <w:start w:val="14"/>
    </w:lvl>
    <w:lvl w:ilvl="1">
      <w:lvlJc w:val="left"/>
      <w:lvlText w:val="%2"/>
      <w:numFmt w:val="lowerRoman"/>
      <w:start w:val="1"/>
    </w:lvl>
  </w:abstractNum>
  <w:abstractNum w:abstractNumId="715">
    <w:nsid w:val="63FEC9A"/>
    <w:multiLevelType w:val="hybridMultilevel"/>
    <w:lvl w:ilvl="0">
      <w:lvlJc w:val="left"/>
      <w:lvlText w:val="(%1)"/>
      <w:numFmt w:val="lowerRoman"/>
      <w:start w:val="15"/>
    </w:lvl>
  </w:abstractNum>
  <w:abstractNum w:abstractNumId="716">
    <w:nsid w:val="6C291F4C"/>
    <w:multiLevelType w:val="hybridMultilevel"/>
    <w:lvl w:ilvl="0">
      <w:lvlJc w:val="left"/>
      <w:lvlText w:val="(%1)"/>
      <w:numFmt w:val="lowerRoman"/>
      <w:start w:val="10"/>
    </w:lvl>
  </w:abstractNum>
  <w:abstractNum w:abstractNumId="717">
    <w:nsid w:val="50138A7A"/>
    <w:multiLevelType w:val="hybridMultilevel"/>
    <w:lvl w:ilvl="0">
      <w:lvlJc w:val="left"/>
      <w:lvlText w:val="%1"/>
      <w:numFmt w:val="lowerLetter"/>
      <w:start w:val="1"/>
    </w:lvl>
    <w:lvl w:ilvl="1">
      <w:lvlJc w:val="left"/>
      <w:lvlText w:val="(%2)"/>
      <w:numFmt w:val="upperLetter"/>
      <w:start w:val="35"/>
    </w:lvl>
    <w:lvl w:ilvl="2">
      <w:lvlJc w:val="left"/>
      <w:lvlText w:val="%3"/>
      <w:numFmt w:val="lowerRoman"/>
      <w:start w:val="1"/>
    </w:lvl>
  </w:abstractNum>
  <w:abstractNum w:abstractNumId="718">
    <w:nsid w:val="30357089"/>
    <w:multiLevelType w:val="hybridMultilevel"/>
    <w:lvl w:ilvl="0">
      <w:lvlJc w:val="left"/>
      <w:lvlText w:val="(%1)"/>
      <w:numFmt w:val="lowerLetter"/>
      <w:start w:val="25"/>
    </w:lvl>
    <w:lvl w:ilvl="1">
      <w:lvlJc w:val="left"/>
      <w:lvlText w:val="%2"/>
      <w:numFmt w:val="upperLetter"/>
      <w:start w:val="1"/>
    </w:lvl>
    <w:lvl w:ilvl="2">
      <w:lvlJc w:val="left"/>
      <w:lvlText w:val="(%3)"/>
      <w:numFmt w:val="lowerRoman"/>
      <w:start w:val="16"/>
    </w:lvl>
  </w:abstractNum>
  <w:abstractNum w:abstractNumId="719">
    <w:nsid w:val="50AF58A7"/>
    <w:multiLevelType w:val="hybridMultilevel"/>
    <w:lvl w:ilvl="0">
      <w:lvlJc w:val="left"/>
      <w:lvlText w:val="(%1)"/>
      <w:numFmt w:val="lowerRoman"/>
      <w:start w:val="17"/>
    </w:lvl>
    <w:lvl w:ilvl="1">
      <w:lvlJc w:val="left"/>
      <w:lvlText w:val="(%2)"/>
      <w:numFmt w:val="lowerRoman"/>
      <w:start w:val="20"/>
    </w:lvl>
    <w:lvl w:ilvl="2">
      <w:lvlJc w:val="left"/>
      <w:lvlText w:val="(%3)"/>
      <w:numFmt w:val="lowerRoman"/>
      <w:start w:val="19"/>
    </w:lvl>
  </w:abstractNum>
  <w:abstractNum w:abstractNumId="720">
    <w:nsid w:val="26AF4D2D"/>
    <w:multiLevelType w:val="hybridMultilevel"/>
    <w:lvl w:ilvl="0">
      <w:lvlJc w:val="left"/>
      <w:lvlText w:val="(%1)"/>
      <w:numFmt w:val="lowerRoman"/>
      <w:start w:val="25"/>
    </w:lvl>
  </w:abstractNum>
  <w:abstractNum w:abstractNumId="721">
    <w:nsid w:val="243DE0AA"/>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6"/>
    </w:lvl>
    <w:lvl w:ilvl="3">
      <w:lvlJc w:val="left"/>
      <w:lvlText w:val="%4"/>
      <w:numFmt w:val="lowerLetter"/>
      <w:start w:val="1"/>
    </w:lvl>
  </w:abstractNum>
  <w:abstractNum w:abstractNumId="722">
    <w:nsid w:val="746B6F6A"/>
    <w:multiLevelType w:val="hybridMultilevel"/>
    <w:lvl w:ilvl="0">
      <w:lvlJc w:val="left"/>
      <w:lvlText w:val="%1"/>
      <w:numFmt w:val="upperLetter"/>
      <w:start w:val="1"/>
    </w:lvl>
    <w:lvl w:ilvl="1">
      <w:lvlJc w:val="left"/>
      <w:lvlText w:val="(%2)"/>
      <w:numFmt w:val="lowerRoman"/>
      <w:start w:val="28"/>
    </w:lvl>
    <w:lvl w:ilvl="2">
      <w:lvlJc w:val="left"/>
      <w:lvlText w:val="%3"/>
      <w:numFmt w:val="lowerRoman"/>
      <w:start w:val="1"/>
    </w:lvl>
    <w:lvl w:ilvl="3">
      <w:lvlJc w:val="left"/>
      <w:lvlText w:val="(%4)"/>
      <w:numFmt w:val="lowerLetter"/>
      <w:start w:val="2"/>
    </w:lvl>
  </w:abstractNum>
  <w:abstractNum w:abstractNumId="723">
    <w:nsid w:val="28B1BBF2"/>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724">
    <w:nsid w:val="72377844"/>
    <w:multiLevelType w:val="hybridMultilevel"/>
    <w:lvl w:ilvl="0">
      <w:lvlJc w:val="left"/>
      <w:lvlText w:val="(%1)"/>
      <w:numFmt w:val="lowerRoman"/>
      <w:start w:val="1"/>
    </w:lvl>
  </w:abstractNum>
  <w:abstractNum w:abstractNumId="725">
    <w:nsid w:val="5D4CAEF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726">
    <w:nsid w:val="7A723B45"/>
    <w:multiLevelType w:val="hybridMultilevel"/>
    <w:lvl w:ilvl="0">
      <w:lvlJc w:val="left"/>
      <w:lvlText w:val="(%1)"/>
      <w:numFmt w:val="decimal"/>
      <w:start w:val="2"/>
    </w:lvl>
    <w:lvl w:ilvl="1">
      <w:lvlJc w:val="left"/>
      <w:lvlText w:val="(%2)"/>
      <w:numFmt w:val="upperLetter"/>
      <w:start w:val="2"/>
    </w:lvl>
    <w:lvl w:ilvl="2">
      <w:lvlJc w:val="left"/>
      <w:lvlText w:val="(%3)"/>
      <w:numFmt w:val="lowerRoman"/>
      <w:start w:val="4"/>
    </w:lvl>
  </w:abstractNum>
  <w:abstractNum w:abstractNumId="727">
    <w:nsid w:val="20913E4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8"/>
    </w:lvl>
  </w:abstractNum>
  <w:abstractNum w:abstractNumId="728">
    <w:nsid w:val="DFEC288"/>
    <w:multiLevelType w:val="hybridMultilevel"/>
    <w:lvl w:ilvl="0">
      <w:lvlJc w:val="left"/>
      <w:lvlText w:val="%1"/>
      <w:numFmt w:val="lowerRoman"/>
      <w:start w:val="1"/>
    </w:lvl>
    <w:lvl w:ilvl="1">
      <w:lvlJc w:val="left"/>
      <w:lvlText w:val="(%2)"/>
      <w:numFmt w:val="lowerRoman"/>
      <w:start w:val="12"/>
    </w:lvl>
  </w:abstractNum>
  <w:abstractNum w:abstractNumId="729">
    <w:nsid w:val="594F93D1"/>
    <w:multiLevelType w:val="hybridMultilevel"/>
    <w:lvl w:ilvl="0">
      <w:lvlJc w:val="left"/>
      <w:lvlText w:val="(%1)"/>
      <w:numFmt w:val="lowerRoman"/>
      <w:start w:val="19"/>
    </w:lvl>
    <w:lvl w:ilvl="1">
      <w:lvlJc w:val="left"/>
      <w:lvlText w:val="(%2)"/>
      <w:numFmt w:val="lowerRoman"/>
      <w:start w:val="20"/>
    </w:lvl>
  </w:abstractNum>
  <w:abstractNum w:abstractNumId="730">
    <w:nsid w:val="61402F4E"/>
    <w:multiLevelType w:val="hybridMultilevel"/>
    <w:lvl w:ilvl="0">
      <w:lvlJc w:val="left"/>
      <w:lvlText w:val="%1"/>
      <w:numFmt w:val="lowerRoman"/>
      <w:start w:val="1"/>
    </w:lvl>
    <w:lvl w:ilvl="1">
      <w:lvlJc w:val="left"/>
      <w:lvlText w:val="(%2)"/>
      <w:numFmt w:val="lowerRoman"/>
      <w:start w:val="21"/>
    </w:lvl>
  </w:abstractNum>
  <w:abstractNum w:abstractNumId="731">
    <w:nsid w:val="4DFF5E8B"/>
    <w:multiLevelType w:val="hybridMultilevel"/>
    <w:lvl w:ilvl="0">
      <w:lvlJc w:val="left"/>
      <w:lvlText w:val="(%1)"/>
      <w:numFmt w:val="lowerRoman"/>
      <w:start w:val="28"/>
    </w:lvl>
    <w:lvl w:ilvl="1">
      <w:lvlJc w:val="left"/>
      <w:lvlText w:val="(%2)"/>
      <w:numFmt w:val="lowerRoman"/>
      <w:start w:val="23"/>
    </w:lvl>
  </w:abstractNum>
  <w:abstractNum w:abstractNumId="732">
    <w:nsid w:val="151F37A3"/>
    <w:multiLevelType w:val="hybridMultilevel"/>
    <w:lvl w:ilvl="0">
      <w:lvlJc w:val="left"/>
      <w:lvlText w:val="(%1)"/>
      <w:numFmt w:val="lowerRoman"/>
      <w:start w:val="25"/>
    </w:lvl>
  </w:abstractNum>
  <w:abstractNum w:abstractNumId="733">
    <w:nsid w:val="180DEB1"/>
    <w:multiLevelType w:val="hybridMultilevel"/>
    <w:lvl w:ilvl="0">
      <w:lvlJc w:val="left"/>
      <w:lvlText w:val="%1"/>
      <w:numFmt w:val="lowerRoman"/>
      <w:start w:val="1"/>
    </w:lvl>
    <w:lvl w:ilvl="1">
      <w:lvlJc w:val="left"/>
      <w:lvlText w:val="(%2)"/>
      <w:numFmt w:val="lowerLetter"/>
      <w:start w:val="1"/>
    </w:lvl>
  </w:abstractNum>
  <w:abstractNum w:abstractNumId="734">
    <w:nsid w:val="4A3F068C"/>
    <w:multiLevelType w:val="hybridMultilevel"/>
    <w:lvl w:ilvl="0">
      <w:lvlJc w:val="left"/>
      <w:lvlText w:val="(%1)"/>
      <w:numFmt w:val="lowerRoman"/>
      <w:start w:val="1"/>
    </w:lvl>
    <w:lvl w:ilvl="1">
      <w:lvlJc w:val="left"/>
      <w:lvlText w:val="%2"/>
      <w:numFmt w:val="lowerLetter"/>
      <w:start w:val="1"/>
    </w:lvl>
  </w:abstractNum>
  <w:abstractNum w:abstractNumId="735">
    <w:nsid w:val="6C04B4E0"/>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736">
    <w:nsid w:val="1D082837"/>
    <w:multiLevelType w:val="hybridMultilevel"/>
    <w:lvl w:ilvl="0">
      <w:lvlJc w:val="left"/>
      <w:lvlText w:val="(%1)"/>
      <w:numFmt w:val="upperLetter"/>
      <w:start w:val="2"/>
    </w:lvl>
    <w:lvl w:ilvl="1">
      <w:lvlJc w:val="left"/>
      <w:lvlText w:val="(%2)"/>
      <w:numFmt w:val="lowerRoman"/>
      <w:start w:val="5"/>
    </w:lvl>
    <w:lvl w:ilvl="2">
      <w:lvlJc w:val="left"/>
      <w:lvlText w:val="(%3)"/>
      <w:numFmt w:val="lowerLetter"/>
      <w:start w:val="2"/>
    </w:lvl>
  </w:abstractNum>
  <w:abstractNum w:abstractNumId="737">
    <w:nsid w:val="685B8A2D"/>
    <w:multiLevelType w:val="hybridMultilevel"/>
    <w:lvl w:ilvl="0">
      <w:lvlJc w:val="left"/>
      <w:lvlText w:val="(%1)"/>
      <w:numFmt w:val="lowerLetter"/>
      <w:start w:val="3"/>
    </w:lvl>
  </w:abstractNum>
  <w:abstractNum w:abstractNumId="738">
    <w:nsid w:val="64F087E2"/>
    <w:multiLevelType w:val="hybridMultilevel"/>
    <w:lvl w:ilvl="0">
      <w:lvlJc w:val="left"/>
      <w:lvlText w:val="%1"/>
      <w:numFmt w:val="lowerLetter"/>
      <w:start w:val="1"/>
    </w:lvl>
    <w:lvl w:ilvl="1">
      <w:lvlJc w:val="left"/>
      <w:lvlText w:val="(%2)"/>
      <w:numFmt w:val="lowerLetter"/>
      <w:start w:val="1"/>
    </w:lvl>
  </w:abstractNum>
  <w:abstractNum w:abstractNumId="739">
    <w:nsid w:val="1575811C"/>
    <w:multiLevelType w:val="hybridMultilevel"/>
    <w:lvl w:ilvl="0">
      <w:lvlJc w:val="left"/>
      <w:lvlText w:val="(%1)"/>
      <w:numFmt w:val="lowerLetter"/>
      <w:start w:val="9"/>
    </w:lvl>
    <w:lvl w:ilvl="1">
      <w:lvlJc w:val="left"/>
      <w:lvlText w:val="(%2)"/>
      <w:numFmt w:val="lowerLetter"/>
      <w:start w:val="3"/>
    </w:lvl>
  </w:abstractNum>
  <w:abstractNum w:abstractNumId="740">
    <w:nsid w:val="52127406"/>
    <w:multiLevelType w:val="hybridMultilevel"/>
    <w:lvl w:ilvl="0">
      <w:lvlJc w:val="left"/>
      <w:lvlText w:val="(%1)"/>
      <w:numFmt w:val="lowerLetter"/>
      <w:start w:val="35"/>
    </w:lvl>
    <w:lvl w:ilvl="1">
      <w:lvlJc w:val="left"/>
      <w:lvlText w:val="(%2)"/>
      <w:numFmt w:val="lowerLetter"/>
      <w:start w:val="6"/>
    </w:lvl>
  </w:abstractNum>
  <w:abstractNum w:abstractNumId="741">
    <w:nsid w:val="5FF178A"/>
    <w:multiLevelType w:val="hybridMultilevel"/>
    <w:lvl w:ilvl="0">
      <w:lvlJc w:val="left"/>
      <w:lvlText w:val="(%1)"/>
      <w:numFmt w:val="lowerLetter"/>
      <w:start w:val="11"/>
    </w:lvl>
  </w:abstractNum>
  <w:abstractNum w:abstractNumId="742">
    <w:nsid w:val="53FB0875"/>
    <w:multiLevelType w:val="hybridMultilevel"/>
    <w:lvl w:ilvl="0">
      <w:lvlJc w:val="left"/>
      <w:lvlText w:val="(%1)"/>
      <w:numFmt w:val="lowerLetter"/>
      <w:start w:val="21"/>
    </w:lvl>
    <w:lvl w:ilvl="1">
      <w:lvlJc w:val="left"/>
      <w:lvlText w:val="%2"/>
      <w:numFmt w:val="lowerLetter"/>
      <w:start w:val="1"/>
    </w:lvl>
  </w:abstractNum>
  <w:abstractNum w:abstractNumId="743">
    <w:nsid w:val="34FA7B2B"/>
    <w:multiLevelType w:val="hybridMultilevel"/>
    <w:lvl w:ilvl="0">
      <w:lvlJc w:val="left"/>
      <w:lvlText w:val="(%1)"/>
      <w:numFmt w:val="lowerLetter"/>
      <w:start w:val="1"/>
    </w:lvl>
  </w:abstractNum>
  <w:abstractNum w:abstractNumId="744">
    <w:nsid w:val="CA75DBC"/>
    <w:multiLevelType w:val="hybridMultilevel"/>
    <w:lvl w:ilvl="0">
      <w:lvlJc w:val="left"/>
      <w:lvlText w:val="%1"/>
      <w:numFmt w:val="lowerLetter"/>
      <w:start w:val="1"/>
    </w:lvl>
    <w:lvl w:ilvl="1">
      <w:lvlJc w:val="left"/>
      <w:lvlText w:val="(%2)"/>
      <w:numFmt w:val="lowerLetter"/>
      <w:start w:val="2"/>
    </w:lvl>
  </w:abstractNum>
  <w:abstractNum w:abstractNumId="745">
    <w:nsid w:val="6AE2EC3C"/>
    <w:multiLevelType w:val="hybridMultilevel"/>
    <w:lvl w:ilvl="0">
      <w:lvlJc w:val="left"/>
      <w:lvlText w:val="(%1)"/>
      <w:numFmt w:val="lowerLetter"/>
      <w:start w:val="35"/>
    </w:lvl>
    <w:lvl w:ilvl="1">
      <w:lvlJc w:val="left"/>
      <w:lvlText w:val="(%2)"/>
      <w:numFmt w:val="lowerLetter"/>
      <w:start w:val="5"/>
    </w:lvl>
  </w:abstractNum>
  <w:abstractNum w:abstractNumId="746">
    <w:nsid w:val="3B3A67C5"/>
    <w:multiLevelType w:val="hybridMultilevel"/>
    <w:lvl w:ilvl="0">
      <w:lvlJc w:val="left"/>
      <w:lvlText w:val="(%1)"/>
      <w:numFmt w:val="upperLetter"/>
      <w:start w:val="4"/>
    </w:lvl>
    <w:lvl w:ilvl="1">
      <w:lvlJc w:val="left"/>
      <w:lvlText w:val="(%2)"/>
      <w:numFmt w:val="lowerLetter"/>
      <w:start w:val="12"/>
    </w:lvl>
  </w:abstractNum>
  <w:abstractNum w:abstractNumId="747">
    <w:nsid w:val="78D07D08"/>
    <w:multiLevelType w:val="hybridMultilevel"/>
    <w:lvl w:ilvl="0">
      <w:lvlJc w:val="left"/>
      <w:lvlText w:val="%1"/>
      <w:numFmt w:val="lowerLetter"/>
      <w:start w:val="1"/>
    </w:lvl>
    <w:lvl w:ilvl="1">
      <w:lvlJc w:val="left"/>
      <w:lvlText w:val="(%2)"/>
      <w:numFmt w:val="lowerLetter"/>
      <w:start w:val="1"/>
    </w:lvl>
  </w:abstractNum>
  <w:abstractNum w:abstractNumId="748">
    <w:nsid w:val="3AF676B7"/>
    <w:multiLevelType w:val="hybridMultilevel"/>
    <w:lvl w:ilvl="0">
      <w:lvlJc w:val="left"/>
      <w:lvlText w:val="(%1)"/>
      <w:numFmt w:val="lowerLetter"/>
      <w:start w:val="9"/>
    </w:lvl>
    <w:lvl w:ilvl="1">
      <w:lvlJc w:val="left"/>
      <w:lvlText w:val="%2"/>
      <w:numFmt w:val="lowerLetter"/>
      <w:start w:val="1"/>
    </w:lvl>
  </w:abstractNum>
  <w:abstractNum w:abstractNumId="749">
    <w:nsid w:val="6B6FD8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50">
    <w:nsid w:val="497FD5B0"/>
    <w:multiLevelType w:val="hybridMultilevel"/>
    <w:lvl w:ilvl="0">
      <w:lvlJc w:val="left"/>
      <w:lvlText w:val="(%1)"/>
      <w:numFmt w:val="decimal"/>
      <w:start w:val="2"/>
    </w:lvl>
    <w:lvl w:ilvl="1">
      <w:lvlJc w:val="left"/>
      <w:lvlText w:val="(%2)"/>
      <w:numFmt w:val="lowerLetter"/>
      <w:start w:val="24"/>
    </w:lvl>
    <w:lvl w:ilvl="2">
      <w:lvlJc w:val="left"/>
      <w:lvlText w:val="(%3)"/>
      <w:numFmt w:val="lowerRoman"/>
      <w:start w:val="6"/>
    </w:lvl>
  </w:abstractNum>
  <w:abstractNum w:abstractNumId="751">
    <w:nsid w:val="61A5C3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752">
    <w:nsid w:val="FADB8F8"/>
    <w:multiLevelType w:val="hybridMultilevel"/>
    <w:lvl w:ilvl="0">
      <w:lvlJc w:val="left"/>
      <w:lvlText w:val="%1"/>
      <w:numFmt w:val="decimal"/>
      <w:start w:val="1"/>
    </w:lvl>
    <w:lvl w:ilvl="1">
      <w:lvlJc w:val="left"/>
      <w:lvlText w:val="(%2)"/>
      <w:numFmt w:val="upperLetter"/>
      <w:start w:val="1"/>
    </w:lvl>
  </w:abstractNum>
  <w:abstractNum w:abstractNumId="753">
    <w:nsid w:val="3DEB451A"/>
    <w:multiLevelType w:val="hybridMultilevel"/>
    <w:lvl w:ilvl="0">
      <w:lvlJc w:val="left"/>
      <w:lvlText w:val="(%1)"/>
      <w:numFmt w:val="decimal"/>
      <w:start w:val="2"/>
    </w:lvl>
    <w:lvl w:ilvl="1">
      <w:lvlJc w:val="left"/>
      <w:lvlText w:val="(%2)"/>
      <w:numFmt w:val="upperLetter"/>
      <w:start w:val="3"/>
    </w:lvl>
  </w:abstractNum>
  <w:abstractNum w:abstractNumId="754">
    <w:nsid w:val="A577FD6"/>
    <w:multiLevelType w:val="hybridMultilevel"/>
    <w:lvl w:ilvl="0">
      <w:lvlJc w:val="left"/>
      <w:lvlText w:val="(%1)"/>
      <w:numFmt w:val="upperLetter"/>
      <w:start w:val="7"/>
    </w:lvl>
  </w:abstractNum>
  <w:abstractNum w:abstractNumId="755">
    <w:nsid w:val="1E5313D"/>
    <w:multiLevelType w:val="hybridMultilevel"/>
    <w:lvl w:ilvl="0">
      <w:lvlJc w:val="left"/>
      <w:lvlText w:val="%1"/>
      <w:numFmt w:val="upperLetter"/>
      <w:start w:val="1"/>
    </w:lvl>
    <w:lvl w:ilvl="1">
      <w:lvlJc w:val="left"/>
      <w:lvlText w:val="(%2)"/>
      <w:numFmt w:val="lowerRoman"/>
      <w:start w:val="8"/>
    </w:lvl>
    <w:lvl w:ilvl="2">
      <w:lvlJc w:val="left"/>
      <w:lvlText w:val="%3"/>
      <w:numFmt w:val="lowerLetter"/>
      <w:start w:val="1"/>
    </w:lvl>
  </w:abstractNum>
  <w:abstractNum w:abstractNumId="756">
    <w:nsid w:val="1B37F412"/>
    <w:multiLevelType w:val="hybridMultilevel"/>
    <w:lvl w:ilvl="0">
      <w:lvlJc w:val="left"/>
      <w:lvlText w:val="(%1)"/>
      <w:numFmt w:val="upperLetter"/>
      <w:start w:val="2"/>
    </w:lvl>
    <w:lvl w:ilvl="1">
      <w:lvlJc w:val="left"/>
      <w:lvlText w:val="(%2)"/>
      <w:numFmt w:val="lowerRoman"/>
      <w:start w:val="9"/>
    </w:lvl>
    <w:lvl w:ilvl="2">
      <w:lvlJc w:val="left"/>
      <w:lvlText w:val="(%3)"/>
      <w:numFmt w:val="lowerLetter"/>
      <w:start w:val="2"/>
    </w:lvl>
  </w:abstractNum>
  <w:abstractNum w:abstractNumId="757">
    <w:nsid w:val="4C9BB1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758">
    <w:nsid w:val="22766F7E"/>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759">
    <w:nsid w:val="2936B69A"/>
    <w:multiLevelType w:val="hybridMultilevel"/>
    <w:lvl w:ilvl="0">
      <w:lvlJc w:val="left"/>
      <w:lvlText w:val="(%1)"/>
      <w:numFmt w:val="lowerRoman"/>
      <w:start w:val="10"/>
    </w:lvl>
    <w:lvl w:ilvl="1">
      <w:lvlJc w:val="left"/>
      <w:lvlText w:val="(%2)"/>
      <w:numFmt w:val="lowerRoman"/>
      <w:start w:val="5"/>
    </w:lvl>
    <w:lvl w:ilvl="2">
      <w:lvlJc w:val="left"/>
      <w:lvlText w:val="%3"/>
      <w:numFmt w:val="lowerRoman"/>
      <w:start w:val="1"/>
    </w:lvl>
  </w:abstractNum>
  <w:abstractNum w:abstractNumId="760">
    <w:nsid w:val="5E194EEC"/>
    <w:multiLevelType w:val="hybridMultilevel"/>
    <w:lvl w:ilvl="0">
      <w:lvlJc w:val="left"/>
      <w:lvlText w:val="(%1)"/>
      <w:numFmt w:val="lowerRoman"/>
      <w:start w:val="2"/>
    </w:lvl>
  </w:abstractNum>
  <w:abstractNum w:abstractNumId="761">
    <w:nsid w:val="3B69ECD"/>
    <w:multiLevelType w:val="hybridMultilevel"/>
    <w:lvl w:ilvl="0">
      <w:lvlJc w:val="left"/>
      <w:lvlText w:val="(%1)"/>
      <w:numFmt w:val="upperLetter"/>
      <w:start w:val="2"/>
    </w:lvl>
  </w:abstractNum>
  <w:abstractNum w:abstractNumId="762">
    <w:nsid w:val="77361526"/>
    <w:multiLevelType w:val="hybridMultilevel"/>
    <w:lvl w:ilvl="0">
      <w:lvlJc w:val="left"/>
      <w:lvlText w:val="(%1)"/>
      <w:numFmt w:val="lowerLetter"/>
      <w:start w:val="1"/>
    </w:lvl>
  </w:abstractNum>
  <w:abstractNum w:abstractNumId="763">
    <w:nsid w:val="7338868F"/>
    <w:multiLevelType w:val="hybridMultilevel"/>
    <w:lvl w:ilvl="0">
      <w:lvlJc w:val="left"/>
      <w:lvlText w:val="(%1)"/>
      <w:numFmt w:val="lowerLetter"/>
      <w:start w:val="4"/>
    </w:lvl>
  </w:abstractNum>
  <w:abstractNum w:abstractNumId="764">
    <w:nsid w:val="5377D7E"/>
    <w:multiLevelType w:val="hybridMultilevel"/>
    <w:lvl w:ilvl="0">
      <w:lvlJc w:val="left"/>
      <w:lvlText w:val="%1"/>
      <w:numFmt w:val="lowerLetter"/>
      <w:start w:val="1"/>
    </w:lvl>
    <w:lvl w:ilvl="1">
      <w:lvlJc w:val="left"/>
      <w:lvlText w:val="(%2)"/>
      <w:numFmt w:val="lowerLetter"/>
      <w:start w:val="1"/>
    </w:lvl>
  </w:abstractNum>
  <w:abstractNum w:abstractNumId="765">
    <w:nsid w:val="41751BB2"/>
    <w:multiLevelType w:val="hybridMultilevel"/>
    <w:lvl w:ilvl="0">
      <w:lvlJc w:val="left"/>
      <w:lvlText w:val="(%1)"/>
      <w:numFmt w:val="lowerLetter"/>
      <w:start w:val="9"/>
    </w:lvl>
    <w:lvl w:ilvl="1">
      <w:lvlJc w:val="left"/>
      <w:lvlText w:val="%2"/>
      <w:numFmt w:val="lowerLetter"/>
      <w:start w:val="1"/>
    </w:lvl>
  </w:abstractNum>
  <w:abstractNum w:abstractNumId="766">
    <w:nsid w:val="5F3D3B70"/>
    <w:multiLevelType w:val="hybridMultilevel"/>
    <w:lvl w:ilvl="0">
      <w:lvlJc w:val="left"/>
      <w:lvlText w:val="%1"/>
      <w:numFmt w:val="lowerLetter"/>
      <w:start w:val="1"/>
    </w:lvl>
    <w:lvl w:ilvl="1">
      <w:lvlJc w:val="left"/>
      <w:lvlText w:val="(%2)"/>
      <w:numFmt w:val="lowerLetter"/>
      <w:start w:val="5"/>
    </w:lvl>
  </w:abstractNum>
  <w:abstractNum w:abstractNumId="767">
    <w:nsid w:val="223FA5B6"/>
    <w:multiLevelType w:val="hybridMultilevel"/>
    <w:lvl w:ilvl="0">
      <w:lvlJc w:val="left"/>
      <w:lvlText w:val="(%1)"/>
      <w:numFmt w:val="lowerLetter"/>
      <w:start w:val="35"/>
    </w:lvl>
    <w:lvl w:ilvl="1">
      <w:lvlJc w:val="left"/>
      <w:lvlText w:val="%2"/>
      <w:numFmt w:val="lowerLetter"/>
      <w:start w:val="1"/>
    </w:lvl>
  </w:abstractNum>
  <w:abstractNum w:abstractNumId="768">
    <w:nsid w:val="29D0A5DF"/>
    <w:multiLevelType w:val="hybridMultilevel"/>
    <w:lvl w:ilvl="0">
      <w:lvlJc w:val="left"/>
      <w:lvlText w:val="%1"/>
      <w:numFmt w:val="upperLetter"/>
      <w:start w:val="1"/>
    </w:lvl>
    <w:lvl w:ilvl="1">
      <w:lvlJc w:val="left"/>
      <w:lvlText w:val="(%2)"/>
      <w:numFmt w:val="lowerLetter"/>
      <w:start w:val="10"/>
    </w:lvl>
  </w:abstractNum>
  <w:abstractNum w:abstractNumId="769">
    <w:nsid w:val="442DC352"/>
    <w:multiLevelType w:val="hybridMultilevel"/>
    <w:lvl w:ilvl="0">
      <w:lvlJc w:val="left"/>
      <w:lvlText w:val="(%1)"/>
      <w:numFmt w:val="upperLetter"/>
      <w:start w:val="1"/>
    </w:lvl>
    <w:lvl w:ilvl="1">
      <w:lvlJc w:val="left"/>
      <w:lvlText w:val="(%2)"/>
      <w:numFmt w:val="lowerLetter"/>
      <w:start w:val="11"/>
    </w:lvl>
  </w:abstractNum>
  <w:abstractNum w:abstractNumId="770">
    <w:nsid w:val="37B526D2"/>
    <w:multiLevelType w:val="hybridMultilevel"/>
    <w:lvl w:ilvl="0">
      <w:lvlJc w:val="left"/>
      <w:lvlText w:val="%1"/>
      <w:numFmt w:val="lowerRoman"/>
      <w:start w:val="1"/>
    </w:lvl>
    <w:lvl w:ilvl="1">
      <w:lvlJc w:val="left"/>
      <w:lvlText w:val="(%2)"/>
      <w:numFmt w:val="lowerLetter"/>
      <w:start w:val="1"/>
    </w:lvl>
  </w:abstractNum>
  <w:abstractNum w:abstractNumId="771">
    <w:nsid w:val="7BE319E5"/>
    <w:multiLevelType w:val="hybridMultilevel"/>
    <w:lvl w:ilvl="0">
      <w:lvlJc w:val="left"/>
      <w:lvlText w:val="(%1)"/>
      <w:numFmt w:val="lowerRoman"/>
      <w:start w:val="1"/>
    </w:lvl>
    <w:lvl w:ilvl="1">
      <w:lvlJc w:val="left"/>
      <w:lvlText w:val="%2"/>
      <w:numFmt w:val="lowerLetter"/>
      <w:start w:val="1"/>
    </w:lvl>
  </w:abstractNum>
  <w:abstractNum w:abstractNumId="772">
    <w:nsid w:val="4A2CDADC"/>
    <w:multiLevelType w:val="hybridMultilevel"/>
    <w:lvl w:ilvl="0">
      <w:lvlJc w:val="left"/>
      <w:lvlText w:val="%1"/>
      <w:numFmt w:val="lowerLetter"/>
      <w:start w:val="1"/>
    </w:lvl>
    <w:lvl w:ilvl="1">
      <w:lvlJc w:val="left"/>
      <w:lvlText w:val="(%2)"/>
      <w:numFmt w:val="lowerLetter"/>
      <w:start w:val="2"/>
    </w:lvl>
  </w:abstractNum>
  <w:abstractNum w:abstractNumId="773">
    <w:nsid w:val="BB02F47"/>
    <w:multiLevelType w:val="hybridMultilevel"/>
    <w:lvl w:ilvl="0">
      <w:lvlJc w:val="left"/>
      <w:lvlText w:val="(%1)"/>
      <w:numFmt w:val="lowerLetter"/>
      <w:start w:val="35"/>
    </w:lvl>
    <w:lvl w:ilvl="1">
      <w:lvlJc w:val="left"/>
      <w:lvlText w:val="%2"/>
      <w:numFmt w:val="lowerLetter"/>
      <w:start w:val="1"/>
    </w:lvl>
  </w:abstractNum>
  <w:abstractNum w:abstractNumId="774">
    <w:nsid w:val="30DD9510"/>
    <w:multiLevelType w:val="hybridMultilevel"/>
    <w:lvl w:ilvl="0">
      <w:lvlJc w:val="left"/>
      <w:lvlText w:val="(%1)"/>
      <w:numFmt w:val="lowerLetter"/>
      <w:start w:val="1"/>
    </w:lvl>
  </w:abstractNum>
  <w:abstractNum w:abstractNumId="775">
    <w:nsid w:val="56D43898"/>
    <w:multiLevelType w:val="hybridMultilevel"/>
    <w:lvl w:ilvl="0">
      <w:lvlJc w:val="left"/>
      <w:lvlText w:val="(%1)"/>
      <w:numFmt w:val="lowerLetter"/>
      <w:start w:val="1"/>
    </w:lvl>
  </w:abstractNum>
  <w:abstractNum w:abstractNumId="776">
    <w:nsid w:val="76931B84"/>
    <w:multiLevelType w:val="hybridMultilevel"/>
    <w:lvl w:ilvl="0">
      <w:lvlJc w:val="left"/>
      <w:lvlText w:val="(%1)"/>
      <w:numFmt w:val="lowerLetter"/>
      <w:start w:val="1"/>
    </w:lvl>
  </w:abstractNum>
  <w:abstractNum w:abstractNumId="777">
    <w:nsid w:val="6C17FCD6"/>
    <w:multiLevelType w:val="hybridMultilevel"/>
    <w:lvl w:ilvl="0">
      <w:lvlJc w:val="left"/>
      <w:lvlText w:val="(%1)"/>
      <w:numFmt w:val="lowerLetter"/>
      <w:start w:val="3"/>
    </w:lvl>
  </w:abstractNum>
  <w:abstractNum w:abstractNumId="778">
    <w:nsid w:val="4FA4B5A1"/>
    <w:multiLevelType w:val="hybridMultilevel"/>
    <w:lvl w:ilvl="0">
      <w:lvlJc w:val="left"/>
      <w:lvlText w:val="(%1)"/>
      <w:numFmt w:val="lowerLetter"/>
      <w:start w:val="1"/>
    </w:lvl>
  </w:abstractNum>
  <w:abstractNum w:abstractNumId="779">
    <w:nsid w:val="3189923B"/>
    <w:multiLevelType w:val="hybridMultilevel"/>
    <w:lvl w:ilvl="0">
      <w:lvlJc w:val="left"/>
      <w:lvlText w:val="(%1)"/>
      <w:numFmt w:val="lowerRoman"/>
      <w:start w:val="1"/>
    </w:lvl>
  </w:abstractNum>
  <w:abstractNum w:abstractNumId="780">
    <w:nsid w:val="5787D524"/>
    <w:multiLevelType w:val="hybridMultilevel"/>
    <w:lvl w:ilvl="0">
      <w:lvlJc w:val="left"/>
      <w:lvlText w:val="(%1)"/>
      <w:numFmt w:val="lowerRoman"/>
      <w:start w:val="4"/>
    </w:lvl>
  </w:abstractNum>
  <w:abstractNum w:abstractNumId="781">
    <w:nsid w:val="19248B51"/>
    <w:multiLevelType w:val="hybridMultilevel"/>
    <w:lvl w:ilvl="0">
      <w:lvlJc w:val="left"/>
      <w:lvlText w:val="(%1)"/>
      <w:numFmt w:val="lowerLetter"/>
      <w:start w:val="2"/>
    </w:lvl>
  </w:abstractNum>
  <w:abstractNum w:abstractNumId="782">
    <w:nsid w:val="132F561F"/>
    <w:multiLevelType w:val="hybridMultilevel"/>
    <w:lvl w:ilvl="0">
      <w:lvlJc w:val="left"/>
      <w:lvlText w:val="%1"/>
      <w:numFmt w:val="lowerRoman"/>
      <w:start w:val="1"/>
    </w:lvl>
    <w:lvl w:ilvl="1">
      <w:lvlJc w:val="left"/>
      <w:lvlText w:val="(%2)"/>
      <w:numFmt w:val="lowerLetter"/>
      <w:start w:val="1"/>
    </w:lvl>
  </w:abstractNum>
  <w:abstractNum w:abstractNumId="783">
    <w:nsid w:val="67358E1D"/>
    <w:multiLevelType w:val="hybridMultilevel"/>
    <w:lvl w:ilvl="0">
      <w:lvlJc w:val="left"/>
      <w:lvlText w:val="(%1)"/>
      <w:numFmt w:val="lowerRoman"/>
      <w:start w:val="1"/>
    </w:lvl>
    <w:lvl w:ilvl="1">
      <w:lvlJc w:val="left"/>
      <w:lvlText w:val="%2"/>
      <w:numFmt w:val="lowerLetter"/>
      <w:start w:val="1"/>
    </w:lvl>
  </w:abstractNum>
  <w:abstractNum w:abstractNumId="784">
    <w:nsid w:val="570FD06B"/>
    <w:multiLevelType w:val="hybridMultilevel"/>
    <w:lvl w:ilvl="0">
      <w:lvlJc w:val="left"/>
      <w:lvlText w:val="(%1)"/>
      <w:numFmt w:val="lowerLetter"/>
      <w:start w:val="2"/>
    </w:lvl>
  </w:abstractNum>
  <w:abstractNum w:abstractNumId="785">
    <w:nsid w:val="1D86D5F5"/>
    <w:multiLevelType w:val="hybridMultilevel"/>
    <w:lvl w:ilvl="0">
      <w:lvlJc w:val="left"/>
      <w:lvlText w:val="(%1)"/>
      <w:numFmt w:val="lowerLetter"/>
      <w:start w:val="3"/>
    </w:lvl>
  </w:abstractNum>
  <w:abstractNum w:abstractNumId="786">
    <w:nsid w:val="691ABF5A"/>
    <w:multiLevelType w:val="hybridMultilevel"/>
    <w:lvl w:ilvl="0">
      <w:lvlJc w:val="left"/>
      <w:lvlText w:val="(%1)"/>
      <w:numFmt w:val="lowerLetter"/>
      <w:start w:val="1"/>
    </w:lvl>
  </w:abstractNum>
  <w:abstractNum w:abstractNumId="787">
    <w:nsid w:val="7247C47D"/>
    <w:multiLevelType w:val="hybridMultilevel"/>
    <w:lvl w:ilvl="0">
      <w:lvlJc w:val="left"/>
      <w:lvlText w:val="(%1)"/>
      <w:numFmt w:val="lowerLetter"/>
      <w:start w:val="2"/>
    </w:lvl>
  </w:abstractNum>
  <w:abstractNum w:abstractNumId="788">
    <w:nsid w:val="22509110"/>
    <w:multiLevelType w:val="hybridMultilevel"/>
    <w:lvl w:ilvl="0">
      <w:lvlJc w:val="left"/>
      <w:lvlText w:val="(%1)"/>
      <w:numFmt w:val="lowerLetter"/>
      <w:start w:val="3"/>
    </w:lvl>
  </w:abstractNum>
  <w:abstractNum w:abstractNumId="789">
    <w:nsid w:val="B912ED8"/>
    <w:multiLevelType w:val="hybridMultilevel"/>
    <w:lvl w:ilvl="0">
      <w:lvlJc w:val="left"/>
      <w:lvlText w:val="(%1)"/>
      <w:numFmt w:val="lowerLetter"/>
      <w:start w:val="4"/>
    </w:lvl>
  </w:abstractNum>
  <w:abstractNum w:abstractNumId="790">
    <w:nsid w:val="1B7E7B1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abstractNum>
  <w:abstractNum w:abstractNumId="791">
    <w:nsid w:val="69DFFC"/>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1"/>
    </w:lvl>
  </w:abstractNum>
  <w:abstractNum w:abstractNumId="792">
    <w:nsid w:val="F47CDA5"/>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1"/>
    </w:lvl>
  </w:abstractNum>
  <w:abstractNum w:abstractNumId="793">
    <w:nsid w:val="12B4903D"/>
    <w:multiLevelType w:val="hybridMultilevel"/>
    <w:lvl w:ilvl="0">
      <w:lvlJc w:val="left"/>
      <w:lvlText w:val="(%1)"/>
      <w:numFmt w:val="lowerLetter"/>
      <w:start w:val="1"/>
    </w:lvl>
  </w:abstractNum>
  <w:abstractNum w:abstractNumId="794">
    <w:nsid w:val="73A2668C"/>
    <w:multiLevelType w:val="hybridMultilevel"/>
    <w:lvl w:ilvl="0">
      <w:lvlJc w:val="left"/>
      <w:lvlText w:val="(%1)"/>
      <w:numFmt w:val="lowerLetter"/>
      <w:start w:val="2"/>
    </w:lvl>
  </w:abstractNum>
  <w:abstractNum w:abstractNumId="795">
    <w:nsid w:val="147F4B24"/>
    <w:multiLevelType w:val="hybridMultilevel"/>
    <w:lvl w:ilvl="0">
      <w:lvlJc w:val="left"/>
      <w:lvlText w:val="(%1)"/>
      <w:numFmt w:val="lowerLetter"/>
      <w:start w:val="3"/>
    </w:lvl>
  </w:abstractNum>
  <w:abstractNum w:abstractNumId="796">
    <w:nsid w:val="5429ABEF"/>
    <w:multiLevelType w:val="hybridMultilevel"/>
    <w:lvl w:ilvl="0">
      <w:lvlJc w:val="left"/>
      <w:lvlText w:val="(%1)"/>
      <w:numFmt w:val="lowerLetter"/>
      <w:start w:val="6"/>
    </w:lvl>
  </w:abstractNum>
  <w:abstractNum w:abstractNumId="797">
    <w:nsid w:val="52DFA1FC"/>
    <w:multiLevelType w:val="hybridMultilevel"/>
    <w:lvl w:ilvl="0">
      <w:lvlJc w:val="left"/>
      <w:lvlText w:val="(%1)"/>
      <w:numFmt w:val="lowerLetter"/>
      <w:start w:val="1"/>
    </w:lvl>
  </w:abstractNum>
  <w:abstractNum w:abstractNumId="798">
    <w:nsid w:val="36BEF0DA"/>
    <w:multiLevelType w:val="hybridMultilevel"/>
    <w:lvl w:ilvl="0">
      <w:lvlJc w:val="left"/>
      <w:lvlText w:val="(%1)"/>
      <w:numFmt w:val="lowerLetter"/>
      <w:start w:val="25"/>
    </w:lvl>
    <w:lvl w:ilvl="1">
      <w:lvlJc w:val="left"/>
      <w:lvlText w:val="(%2)"/>
      <w:numFmt w:val="lowerRoman"/>
      <w:start w:val="2"/>
    </w:lvl>
  </w:abstractNum>
  <w:abstractNum w:abstractNumId="799">
    <w:nsid w:val="7DFA51CE"/>
    <w:multiLevelType w:val="hybridMultilevel"/>
    <w:lvl w:ilvl="0">
      <w:lvlJc w:val="left"/>
      <w:lvlText w:val="(%1)"/>
      <w:numFmt w:val="lowerRoman"/>
      <w:start w:val="4"/>
    </w:lvl>
  </w:abstractNum>
  <w:abstractNum w:abstractNumId="800">
    <w:nsid w:val="170D654E"/>
    <w:multiLevelType w:val="hybridMultilevel"/>
    <w:lvl w:ilvl="0">
      <w:lvlJc w:val="left"/>
      <w:lvlText w:val="(%1)"/>
      <w:numFmt w:val="lowerLetter"/>
      <w:start w:val="3"/>
    </w:lvl>
  </w:abstractNum>
  <w:abstractNum w:abstractNumId="801">
    <w:nsid w:val="6E7417AC"/>
    <w:multiLevelType w:val="hybridMultilevel"/>
    <w:lvl w:ilvl="0">
      <w:lvlJc w:val="left"/>
      <w:lvlText w:val="(%1)"/>
      <w:numFmt w:val="lowerRoman"/>
      <w:start w:val="2"/>
    </w:lvl>
  </w:abstractNum>
  <w:abstractNum w:abstractNumId="802">
    <w:nsid w:val="79DD6BB3"/>
    <w:multiLevelType w:val="hybridMultilevel"/>
    <w:lvl w:ilvl="0">
      <w:lvlJc w:val="left"/>
      <w:lvlText w:val="(%1)"/>
      <w:numFmt w:val="lowerLetter"/>
      <w:start w:val="4"/>
    </w:lvl>
  </w:abstractNum>
  <w:abstractNum w:abstractNumId="803">
    <w:nsid w:val="613A402A"/>
    <w:multiLevelType w:val="hybridMultilevel"/>
    <w:lvl w:ilvl="0">
      <w:lvlJc w:val="left"/>
      <w:lvlText w:val="(%1)"/>
      <w:numFmt w:val="lowerRoman"/>
      <w:start w:val="1"/>
    </w:lvl>
  </w:abstractNum>
  <w:abstractNum w:abstractNumId="804">
    <w:nsid w:val="7A2446F3"/>
    <w:multiLevelType w:val="hybridMultilevel"/>
    <w:lvl w:ilvl="0">
      <w:lvlJc w:val="left"/>
      <w:lvlText w:val="(%1)"/>
      <w:numFmt w:val="lowerRoman"/>
      <w:start w:val="4"/>
    </w:lvl>
    <w:lvl w:ilvl="1">
      <w:lvlJc w:val="left"/>
      <w:lvlText w:val="(%2)"/>
      <w:numFmt w:val="lowerRoman"/>
      <w:start w:val="1"/>
    </w:lvl>
  </w:abstractNum>
  <w:abstractNum w:abstractNumId="805">
    <w:nsid w:val="2ABB00C4"/>
    <w:multiLevelType w:val="hybridMultilevel"/>
    <w:lvl w:ilvl="0">
      <w:lvlJc w:val="left"/>
      <w:lvlText w:val="%1"/>
      <w:numFmt w:val="upperLetter"/>
      <w:start w:val="1"/>
    </w:lvl>
    <w:lvl w:ilvl="1">
      <w:lvlJc w:val="left"/>
      <w:lvlText w:val="(%2)"/>
      <w:numFmt w:val="lowerLetter"/>
      <w:start w:val="7"/>
    </w:lvl>
  </w:abstractNum>
  <w:abstractNum w:abstractNumId="806">
    <w:nsid w:val="380E78C3"/>
    <w:multiLevelType w:val="hybridMultilevel"/>
    <w:lvl w:ilvl="0">
      <w:lvlJc w:val="left"/>
      <w:lvlText w:val="(%1)"/>
      <w:numFmt w:val="upperLetter"/>
      <w:start w:val="3"/>
    </w:lvl>
    <w:lvl w:ilvl="1">
      <w:lvlJc w:val="left"/>
      <w:lvlText w:val="%2"/>
      <w:numFmt w:val="lowerLetter"/>
      <w:start w:val="1"/>
    </w:lvl>
  </w:abstractNum>
  <w:abstractNum w:abstractNumId="807">
    <w:nsid w:val="70B76277"/>
    <w:multiLevelType w:val="hybridMultilevel"/>
    <w:lvl w:ilvl="0">
      <w:lvlJc w:val="left"/>
      <w:lvlText w:val="(%1)"/>
      <w:numFmt w:val="lowerRoman"/>
      <w:start w:val="1"/>
    </w:lvl>
  </w:abstractNum>
  <w:abstractNum w:abstractNumId="808">
    <w:nsid w:val="16D2FD9A"/>
    <w:multiLevelType w:val="hybridMultilevel"/>
    <w:lvl w:ilvl="0">
      <w:lvlJc w:val="left"/>
      <w:lvlText w:val="(%1)"/>
      <w:numFmt w:val="lowerLetter"/>
      <w:start w:val="1"/>
    </w:lvl>
  </w:abstractNum>
  <w:abstractNum w:abstractNumId="809">
    <w:nsid w:val="7B32E64"/>
    <w:multiLevelType w:val="hybridMultilevel"/>
    <w:lvl w:ilvl="0">
      <w:lvlJc w:val="left"/>
      <w:lvlText w:val="(%1)"/>
      <w:numFmt w:val="lowerLetter"/>
      <w:start w:val="2"/>
    </w:lvl>
    <w:lvl w:ilvl="1">
      <w:lvlJc w:val="left"/>
      <w:lvlText w:val="(%2)"/>
      <w:numFmt w:val="lowerLetter"/>
      <w:start w:val="4"/>
    </w:lvl>
  </w:abstractNum>
  <w:abstractNum w:abstractNumId="810">
    <w:nsid w:val="2240F4B2"/>
    <w:multiLevelType w:val="hybridMultilevel"/>
    <w:lvl w:ilvl="0">
      <w:lvlJc w:val="left"/>
      <w:lvlText w:val="%1"/>
      <w:numFmt w:val="upperLetter"/>
      <w:start w:val="1"/>
    </w:lvl>
    <w:lvl w:ilvl="1">
      <w:lvlJc w:val="left"/>
      <w:lvlText w:val="(%2)"/>
      <w:numFmt w:val="lowerLetter"/>
      <w:start w:val="1"/>
    </w:lvl>
  </w:abstractNum>
  <w:abstractNum w:abstractNumId="811">
    <w:nsid w:val="6E5AD2BE"/>
    <w:multiLevelType w:val="hybridMultilevel"/>
    <w:lvl w:ilvl="0">
      <w:lvlJc w:val="left"/>
      <w:lvlText w:val="(%1)"/>
      <w:numFmt w:val="upperLetter"/>
      <w:start w:val="2"/>
    </w:lvl>
    <w:lvl w:ilvl="1">
      <w:lvlJc w:val="left"/>
      <w:lvlText w:val="%2"/>
      <w:numFmt w:val="lowerLetter"/>
      <w:start w:val="1"/>
    </w:lvl>
  </w:abstractNum>
  <w:abstractNum w:abstractNumId="812">
    <w:nsid w:val="20D7B9B5"/>
    <w:multiLevelType w:val="hybridMultilevel"/>
    <w:lvl w:ilvl="0">
      <w:lvlJc w:val="left"/>
      <w:lvlText w:val="(%1)"/>
      <w:numFmt w:val="lowerLetter"/>
      <w:start w:val="2"/>
    </w:lvl>
  </w:abstractNum>
  <w:abstractNum w:abstractNumId="813">
    <w:nsid w:val="35704AD1"/>
    <w:multiLevelType w:val="hybridMultilevel"/>
    <w:lvl w:ilvl="0">
      <w:lvlJc w:val="left"/>
      <w:lvlText w:val="(%1)"/>
      <w:numFmt w:val="lowerLetter"/>
      <w:start w:val="1"/>
    </w:lvl>
  </w:abstractNum>
  <w:abstractNum w:abstractNumId="814">
    <w:nsid w:val="559060DB"/>
    <w:multiLevelType w:val="hybridMultilevel"/>
    <w:lvl w:ilvl="0">
      <w:lvlJc w:val="left"/>
      <w:lvlText w:val="(%1)"/>
      <w:numFmt w:val="lowerLetter"/>
      <w:start w:val="2"/>
    </w:lvl>
  </w:abstractNum>
  <w:abstractNum w:abstractNumId="815">
    <w:nsid w:val="77E78A20"/>
    <w:multiLevelType w:val="hybridMultilevel"/>
    <w:lvl w:ilvl="0">
      <w:lvlJc w:val="left"/>
      <w:lvlText w:val="(%1)"/>
      <w:numFmt w:val="lowerLetter"/>
      <w:start w:val="1"/>
    </w:lvl>
    <w:lvl w:ilvl="1">
      <w:lvlJc w:val="left"/>
      <w:lvlText w:val="(%2)"/>
      <w:numFmt w:val="lowerRoman"/>
      <w:start w:val="1"/>
    </w:lvl>
  </w:abstractNum>
  <w:abstractNum w:abstractNumId="816">
    <w:nsid w:val="52F720C6"/>
    <w:multiLevelType w:val="hybridMultilevel"/>
    <w:lvl w:ilvl="0">
      <w:lvlJc w:val="left"/>
      <w:lvlText w:val="%1"/>
      <w:numFmt w:val="lowerLetter"/>
      <w:start w:val="1"/>
    </w:lvl>
    <w:lvl w:ilvl="1">
      <w:lvlJc w:val="left"/>
      <w:lvlText w:val="(%2)"/>
      <w:numFmt w:val="lowerLetter"/>
      <w:start w:val="1"/>
    </w:lvl>
  </w:abstractNum>
  <w:abstractNum w:abstractNumId="817">
    <w:nsid w:val="3EAB2035"/>
    <w:multiLevelType w:val="hybridMultilevel"/>
    <w:lvl w:ilvl="0">
      <w:lvlJc w:val="left"/>
      <w:lvlText w:val="(%1)"/>
      <w:numFmt w:val="lowerLetter"/>
      <w:start w:val="2"/>
    </w:lvl>
    <w:lvl w:ilvl="1">
      <w:lvlJc w:val="left"/>
      <w:lvlText w:val="(%2)"/>
      <w:numFmt w:val="lowerLetter"/>
      <w:start w:val="3"/>
    </w:lvl>
  </w:abstractNum>
  <w:abstractNum w:abstractNumId="818">
    <w:nsid w:val="6A2F4E9D"/>
    <w:multiLevelType w:val="hybridMultilevel"/>
    <w:lvl w:ilvl="0">
      <w:lvlJc w:val="left"/>
      <w:lvlText w:val="(%1)"/>
      <w:numFmt w:val="lowerLetter"/>
      <w:start w:val="1"/>
    </w:lvl>
  </w:abstractNum>
  <w:abstractNum w:abstractNumId="819">
    <w:nsid w:val="7547B1D6"/>
    <w:multiLevelType w:val="hybridMultilevel"/>
    <w:lvl w:ilvl="0">
      <w:lvlJc w:val="left"/>
      <w:lvlText w:val="(%1)"/>
      <w:numFmt w:val="lowerLetter"/>
      <w:start w:val="1"/>
    </w:lvl>
  </w:abstractNum>
  <w:abstractNum w:abstractNumId="820">
    <w:nsid w:val="4A3C4F0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lvl w:ilvl="3">
      <w:lvlJc w:val="left"/>
      <w:lvlText w:val="%4"/>
      <w:numFmt w:val="lowerLetter"/>
      <w:start w:val="1"/>
    </w:lvl>
  </w:abstractNum>
  <w:abstractNum w:abstractNumId="821">
    <w:nsid w:val="5ADC9B4"/>
    <w:multiLevelType w:val="hybridMultilevel"/>
    <w:lvl w:ilvl="0">
      <w:lvlJc w:val="left"/>
      <w:lvlText w:val="(%1)"/>
      <w:numFmt w:val="lowerLetter"/>
      <w:start w:val="25"/>
    </w:lvl>
    <w:lvl w:ilvl="1">
      <w:lvlJc w:val="left"/>
      <w:lvlText w:val="(%2)"/>
      <w:numFmt w:val="upperLetter"/>
      <w:start w:val="1"/>
    </w:lvl>
    <w:lvl w:ilvl="2">
      <w:lvlJc w:val="left"/>
      <w:lvlText w:val="%3"/>
      <w:numFmt w:val="lowerLetter"/>
      <w:start w:val="1"/>
    </w:lvl>
    <w:lvl w:ilvl="3">
      <w:lvlJc w:val="left"/>
      <w:lvlText w:val="(%4)"/>
      <w:numFmt w:val="lowerLetter"/>
      <w:start w:val="9"/>
    </w:lvl>
  </w:abstractNum>
  <w:abstractNum w:abstractNumId="822">
    <w:nsid w:val="75B191D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Letter"/>
      <w:start w:val="35"/>
    </w:lvl>
  </w:abstractNum>
  <w:abstractNum w:abstractNumId="823">
    <w:nsid w:val="59841CB3"/>
    <w:multiLevelType w:val="hybridMultilevel"/>
    <w:lvl w:ilvl="0">
      <w:lvlJc w:val="left"/>
      <w:lvlText w:val="(%1)"/>
      <w:numFmt w:val="lowerLetter"/>
      <w:start w:val="3"/>
    </w:lvl>
  </w:abstractNum>
  <w:abstractNum w:abstractNumId="824">
    <w:nsid w:val="186259F2"/>
    <w:multiLevelType w:val="hybridMultilevel"/>
    <w:lvl w:ilvl="0">
      <w:lvlJc w:val="left"/>
      <w:lvlText w:val="(%1)"/>
      <w:numFmt w:val="lowerLetter"/>
      <w:start w:val="24"/>
    </w:lvl>
    <w:lvl w:ilvl="1">
      <w:lvlJc w:val="left"/>
      <w:lvlText w:val="(%2)"/>
      <w:numFmt w:val="lowerLetter"/>
      <w:start w:val="5"/>
    </w:lvl>
  </w:abstractNum>
  <w:abstractNum w:abstractNumId="825">
    <w:nsid w:val="6953F85F"/>
    <w:multiLevelType w:val="hybridMultilevel"/>
    <w:lvl w:ilvl="0">
      <w:lvlJc w:val="left"/>
      <w:lvlText w:val="["/>
      <w:numFmt w:val="bullet"/>
      <w:start w:val="1"/>
    </w:lvl>
  </w:abstractNum>
  <w:abstractNum w:abstractNumId="826">
    <w:nsid w:val="6E0367D7"/>
    <w:multiLevelType w:val="hybridMultilevel"/>
    <w:lvl w:ilvl="0">
      <w:lvlJc w:val="left"/>
      <w:lvlText w:val="["/>
      <w:numFmt w:val="bullet"/>
      <w:start w:val="1"/>
    </w:lvl>
  </w:abstractNum>
  <w:abstractNum w:abstractNumId="827">
    <w:nsid w:val="6C8C05E1"/>
    <w:multiLevelType w:val="hybridMultilevel"/>
    <w:lvl w:ilvl="0">
      <w:lvlJc w:val="left"/>
      <w:lvlText w:val="["/>
      <w:numFmt w:val="bullet"/>
      <w:start w:val="1"/>
    </w:lvl>
  </w:abstractNum>
  <w:abstractNum w:abstractNumId="828">
    <w:nsid w:val="3C339A5B"/>
    <w:multiLevelType w:val="hybridMultilevel"/>
    <w:lvl w:ilvl="0">
      <w:lvlJc w:val="left"/>
      <w:lvlText w:val="%1."/>
      <w:numFmt w:val="decimal"/>
      <w:start w:val="1"/>
    </w:lvl>
    <w:lvl w:ilvl="1">
      <w:lvlJc w:val="left"/>
      <w:lvlText w:val="(%2)"/>
      <w:numFmt w:val="lowerLetter"/>
      <w:start w:val="1"/>
    </w:lvl>
  </w:abstractNum>
  <w:abstractNum w:abstractNumId="829">
    <w:nsid w:val="24C258B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71" Type="http://schemas.openxmlformats.org/officeDocument/2006/relationships/hyperlink" Target="https://www.sec.gov/Archives/edgar/data/1822479/000182247924000027/shc_20240523xexhibitx3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2024-08-05T15:36:08Z</dcterms:created>
  <dcterms:modified xsi:type="dcterms:W3CDTF">2024-08-05T15:36:08Z</dcterms:modified>
</cp:coreProperties>
</file>