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4"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-224155</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3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5206365</wp:posOffset>
            </wp:positionH>
            <wp:positionV relativeFrom="paragraph">
              <wp:posOffset>-608965</wp:posOffset>
            </wp:positionV>
            <wp:extent cx="57150" cy="622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300"/>
                    </a:xfrm>
                    <a:prstGeom prst="rect">
                      <a:avLst/>
                    </a:prstGeom>
                    <a:noFill/>
                  </pic:spPr>
                </pic:pic>
              </a:graphicData>
            </a:graphic>
          </wp:anchor>
        </w:drawing>
        <w:drawing>
          <wp:anchor simplePos="0" relativeHeight="251657728" behindDoc="1" locked="0" layoutInCell="0" allowOverlap="1">
            <wp:simplePos x="0" y="0"/>
            <wp:positionH relativeFrom="column">
              <wp:posOffset>3925570</wp:posOffset>
            </wp:positionH>
            <wp:positionV relativeFrom="paragraph">
              <wp:posOffset>-608965</wp:posOffset>
            </wp:positionV>
            <wp:extent cx="57150" cy="622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230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640715</wp:posOffset>
            </wp:positionV>
            <wp:extent cx="6997065" cy="5278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5278120"/>
                    </a:xfrm>
                    <a:prstGeom prst="rect">
                      <a:avLst/>
                    </a:prstGeom>
                    <a:noFill/>
                  </pic:spPr>
                </pic:pic>
              </a:graphicData>
            </a:graphic>
          </wp:anchor>
        </w:drawing>
      </w:r>
    </w:p>
    <w:p>
      <w:pPr>
        <w:spacing w:after="0" w:line="1083" w:lineRule="exact"/>
        <w:rPr>
          <w:sz w:val="24"/>
          <w:szCs w:val="24"/>
          <w:color w:val="auto"/>
        </w:rPr>
      </w:pPr>
    </w:p>
    <w:p>
      <w:pPr>
        <w:sectPr>
          <w:pgSz w:w="11900" w:h="16838" w:orient="portrait"/>
          <w:cols w:equalWidth="0" w:num="2">
            <w:col w:w="2320" w:space="340"/>
            <w:col w:w="8420"/>
          </w:cols>
          <w:pgMar w:left="460" w:top="215" w:right="359" w:bottom="65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DIMITRIEF ALEXANDER</w:t>
        </w:r>
      </w:hyperlink>
    </w:p>
    <w:p>
      <w:pPr>
        <w:spacing w:after="0" w:line="287" w:lineRule="exact"/>
        <w:rPr>
          <w:sz w:val="24"/>
          <w:szCs w:val="24"/>
          <w:color w:val="auto"/>
        </w:rPr>
      </w:pPr>
    </w:p>
    <w:p>
      <w:pPr>
        <w:ind w:left="120"/>
        <w:spacing w:after="0"/>
        <w:tabs>
          <w:tab w:leader="none" w:pos="130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9100 SOUTH HILLS BLVD,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Sotera Health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SHC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400"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03/02/2025</w:t>
      </w:r>
    </w:p>
    <w:p>
      <w:pPr>
        <w:spacing w:after="0" w:line="20" w:lineRule="exact"/>
        <w:rPr>
          <w:sz w:val="24"/>
          <w:szCs w:val="24"/>
          <w:color w:val="auto"/>
        </w:rPr>
      </w:pPr>
      <w:r>
        <w:rPr>
          <w:sz w:val="24"/>
          <w:szCs w:val="24"/>
          <w:color w:val="auto"/>
        </w:rPr>
        <w:br w:type="column"/>
      </w:r>
    </w:p>
    <w:p>
      <w:pPr>
        <w:ind w:left="-1" w:right="720" w:firstLine="1"/>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7"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39"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6" w:lineRule="exact"/>
        <w:rPr>
          <w:sz w:val="24"/>
          <w:szCs w:val="24"/>
          <w:color w:val="auto"/>
        </w:rPr>
      </w:pPr>
    </w:p>
    <w:p>
      <w:pPr>
        <w:ind w:left="579"/>
        <w:spacing w:after="0"/>
        <w:rPr>
          <w:sz w:val="20"/>
          <w:szCs w:val="20"/>
          <w:color w:val="auto"/>
        </w:rPr>
      </w:pPr>
      <w:r>
        <w:rPr>
          <w:rFonts w:ascii="Times New Roman" w:cs="Times New Roman" w:eastAsia="Times New Roman" w:hAnsi="Times New Roman"/>
          <w:sz w:val="16"/>
          <w:szCs w:val="16"/>
          <w:color w:val="0000FF"/>
        </w:rPr>
        <w:t>SVP, General Counsel and Sec.</w:t>
      </w:r>
    </w:p>
    <w:p>
      <w:pPr>
        <w:spacing w:after="0" w:line="325" w:lineRule="exact"/>
        <w:rPr>
          <w:sz w:val="24"/>
          <w:szCs w:val="24"/>
          <w:color w:val="auto"/>
        </w:rPr>
      </w:pPr>
    </w:p>
    <w:p>
      <w:pPr>
        <w:sectPr>
          <w:pgSz w:w="11900" w:h="16838" w:orient="portrait"/>
          <w:cols w:equalWidth="0" w:num="3">
            <w:col w:w="3180" w:space="720"/>
            <w:col w:w="3101" w:space="720"/>
            <w:col w:w="3359"/>
          </w:cols>
          <w:pgMar w:left="460" w:top="215" w:right="359" w:bottom="656" w:gutter="0" w:footer="0" w:header="0"/>
          <w:type w:val="continuous"/>
        </w:sectPr>
      </w:pPr>
    </w:p>
    <w:p>
      <w:pPr>
        <w:spacing w:after="0" w:line="130"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2120" w:type="dxa"/>
            <w:vAlign w:val="bottom"/>
          </w:tcPr>
          <w:p>
            <w:pPr>
              <w:spacing w:after="0"/>
              <w:rPr>
                <w:sz w:val="20"/>
                <w:szCs w:val="20"/>
                <w:color w:val="auto"/>
              </w:rPr>
            </w:pPr>
            <w:r>
              <w:rPr>
                <w:rFonts w:ascii="Arial" w:cs="Arial" w:eastAsia="Arial" w:hAnsi="Arial"/>
                <w:sz w:val="13"/>
                <w:szCs w:val="13"/>
                <w:color w:val="auto"/>
              </w:rPr>
              <w:t>(Street)</w:t>
            </w:r>
          </w:p>
        </w:tc>
        <w:tc>
          <w:tcPr>
            <w:tcW w:w="5200" w:type="dxa"/>
            <w:vAlign w:val="bottom"/>
            <w:vMerge w:val="restart"/>
          </w:tcPr>
          <w:p>
            <w:pPr>
              <w:ind w:left="1700"/>
              <w:spacing w:after="0"/>
              <w:rPr>
                <w:sz w:val="20"/>
                <w:szCs w:val="20"/>
                <w:color w:val="auto"/>
              </w:rPr>
            </w:pPr>
            <w:r>
              <w:rPr>
                <w:rFonts w:ascii="Arial" w:cs="Arial" w:eastAsia="Arial" w:hAnsi="Arial"/>
                <w:sz w:val="13"/>
                <w:szCs w:val="13"/>
                <w:color w:val="auto"/>
              </w:rPr>
              <w:t>4. If Amendment, Date of Original Filed (Month/Day/Year)</w:t>
            </w:r>
          </w:p>
        </w:tc>
        <w:tc>
          <w:tcPr>
            <w:tcW w:w="3200" w:type="dxa"/>
            <w:vAlign w:val="bottom"/>
            <w:vMerge w:val="restart"/>
          </w:tcPr>
          <w:p>
            <w:pPr>
              <w:ind w:left="320"/>
              <w:spacing w:after="0"/>
              <w:rPr>
                <w:sz w:val="20"/>
                <w:szCs w:val="20"/>
                <w:color w:val="auto"/>
              </w:rPr>
            </w:pPr>
            <w:r>
              <w:rPr>
                <w:rFonts w:ascii="Arial" w:cs="Arial" w:eastAsia="Arial" w:hAnsi="Arial"/>
                <w:sz w:val="13"/>
                <w:szCs w:val="13"/>
                <w:color w:val="auto"/>
                <w:w w:val="95"/>
              </w:rPr>
              <w:t>6. Individual or Joint/Group Filing (Check Applicable</w:t>
            </w:r>
          </w:p>
        </w:tc>
        <w:tc>
          <w:tcPr>
            <w:tcW w:w="0" w:type="dxa"/>
            <w:vAlign w:val="bottom"/>
          </w:tcPr>
          <w:p>
            <w:pPr>
              <w:spacing w:after="0"/>
              <w:rPr>
                <w:sz w:val="1"/>
                <w:szCs w:val="1"/>
                <w:color w:val="auto"/>
              </w:rPr>
            </w:pPr>
          </w:p>
        </w:tc>
      </w:tr>
      <w:tr>
        <w:trPr>
          <w:trHeight w:val="28"/>
        </w:trPr>
        <w:tc>
          <w:tcPr>
            <w:tcW w:w="2120" w:type="dxa"/>
            <w:vAlign w:val="bottom"/>
          </w:tcPr>
          <w:p>
            <w:pPr>
              <w:spacing w:after="0"/>
              <w:rPr>
                <w:sz w:val="2"/>
                <w:szCs w:val="2"/>
                <w:color w:val="auto"/>
              </w:rPr>
            </w:pPr>
          </w:p>
        </w:tc>
        <w:tc>
          <w:tcPr>
            <w:tcW w:w="5200" w:type="dxa"/>
            <w:vAlign w:val="bottom"/>
            <w:vMerge w:val="continue"/>
          </w:tcPr>
          <w:p>
            <w:pPr>
              <w:spacing w:after="0"/>
              <w:rPr>
                <w:sz w:val="2"/>
                <w:szCs w:val="2"/>
                <w:color w:val="auto"/>
              </w:rPr>
            </w:pPr>
          </w:p>
        </w:tc>
        <w:tc>
          <w:tcPr>
            <w:tcW w:w="32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6"/>
                <w:szCs w:val="16"/>
                <w:color w:val="0000FF"/>
              </w:rPr>
              <w:t>BROADVIEW</w:t>
            </w:r>
          </w:p>
        </w:tc>
        <w:tc>
          <w:tcPr>
            <w:tcW w:w="2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OH</w:t>
            </w:r>
          </w:p>
        </w:tc>
        <w:tc>
          <w:tcPr>
            <w:tcW w:w="960" w:type="dxa"/>
            <w:vAlign w:val="bottom"/>
          </w:tcPr>
          <w:p>
            <w:pPr>
              <w:spacing w:after="0"/>
              <w:rPr>
                <w:sz w:val="15"/>
                <w:szCs w:val="15"/>
                <w:color w:val="auto"/>
              </w:rPr>
            </w:pP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44147</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ind w:left="2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HEIGHTS</w:t>
            </w:r>
          </w:p>
        </w:tc>
        <w:tc>
          <w:tcPr>
            <w:tcW w:w="48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2140" w:type="dxa"/>
            <w:vAlign w:val="bottom"/>
            <w:gridSpan w:val="4"/>
            <w:vMerge w:val="restart"/>
          </w:tcPr>
          <w:p>
            <w:pPr>
              <w:ind w:left="140"/>
              <w:spacing w:after="0"/>
              <w:rPr>
                <w:sz w:val="20"/>
                <w:szCs w:val="20"/>
                <w:color w:val="auto"/>
              </w:rPr>
            </w:pPr>
            <w:r>
              <w:rPr>
                <w:rFonts w:ascii="Arial" w:cs="Arial" w:eastAsia="Arial" w:hAnsi="Arial"/>
                <w:sz w:val="13"/>
                <w:szCs w:val="13"/>
                <w:color w:val="auto"/>
                <w:w w:val="95"/>
              </w:rPr>
              <w:t>Form filed by One Reporting Person</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140" w:type="dxa"/>
            <w:vAlign w:val="bottom"/>
            <w:gridSpan w:val="4"/>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60" w:type="dxa"/>
            <w:vAlign w:val="bottom"/>
            <w:gridSpan w:val="7"/>
          </w:tcPr>
          <w:p>
            <w:pPr>
              <w:ind w:left="140"/>
              <w:spacing w:after="0" w:line="133" w:lineRule="exact"/>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ind w:left="20"/>
              <w:spacing w:after="0"/>
              <w:rPr>
                <w:sz w:val="20"/>
                <w:szCs w:val="20"/>
                <w:color w:val="auto"/>
              </w:rPr>
            </w:pPr>
            <w:r>
              <w:rPr>
                <w:rFonts w:ascii="Arial" w:cs="Arial" w:eastAsia="Arial" w:hAnsi="Arial"/>
                <w:sz w:val="13"/>
                <w:szCs w:val="13"/>
                <w:color w:val="auto"/>
              </w:rPr>
              <w:t>(City)</w:t>
            </w:r>
          </w:p>
        </w:tc>
        <w:tc>
          <w:tcPr>
            <w:tcW w:w="48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580" w:type="dxa"/>
            <w:vAlign w:val="bottom"/>
          </w:tcPr>
          <w:p>
            <w:pPr>
              <w:ind w:left="20"/>
              <w:spacing w:after="0"/>
              <w:rPr>
                <w:sz w:val="20"/>
                <w:szCs w:val="20"/>
                <w:color w:val="auto"/>
              </w:rPr>
            </w:pPr>
            <w:r>
              <w:rPr>
                <w:rFonts w:ascii="Arial" w:cs="Arial" w:eastAsia="Arial" w:hAnsi="Arial"/>
                <w:sz w:val="13"/>
                <w:szCs w:val="13"/>
                <w:color w:val="auto"/>
              </w:rPr>
              <w:t>(Zip)</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4"/>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720" w:type="dxa"/>
            <w:vAlign w:val="bottom"/>
            <w:tcBorders>
              <w:bottom w:val="single" w:sz="8" w:color="2C2C2C"/>
            </w:tcBorders>
            <w:gridSpan w:val="6"/>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180" w:type="dxa"/>
            <w:vAlign w:val="bottom"/>
            <w:tcBorders>
              <w:top w:val="single" w:sz="8" w:color="2C2C2C"/>
            </w:tcBorders>
            <w:gridSpan w:val="15"/>
          </w:tcPr>
          <w:p>
            <w:pPr>
              <w:ind w:left="8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20" w:type="dxa"/>
            <w:vAlign w:val="bottom"/>
            <w:tcBorders>
              <w:bottom w:val="single" w:sz="8" w:color="2C2C2C"/>
            </w:tcBorders>
            <w:gridSpan w:val="5"/>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4"/>
                <w:szCs w:val="14"/>
                <w:color w:val="auto"/>
              </w:rPr>
            </w:pPr>
          </w:p>
        </w:tc>
        <w:tc>
          <w:tcPr>
            <w:tcW w:w="1260" w:type="dxa"/>
            <w:vAlign w:val="bottom"/>
            <w:gridSpan w:val="3"/>
          </w:tcPr>
          <w:p>
            <w:pPr>
              <w:ind w:left="24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ind w:left="240"/>
              <w:spacing w:after="0" w:line="125" w:lineRule="exact"/>
              <w:rPr>
                <w:sz w:val="20"/>
                <w:szCs w:val="20"/>
                <w:color w:val="auto"/>
              </w:rPr>
            </w:pPr>
            <w:r>
              <w:rPr>
                <w:rFonts w:ascii="Arial" w:cs="Arial" w:eastAsia="Arial" w:hAnsi="Arial"/>
                <w:sz w:val="11"/>
                <w:szCs w:val="11"/>
                <w:b w:val="1"/>
                <w:bCs w:val="1"/>
                <w:color w:val="auto"/>
              </w:rPr>
              <w:t>Date</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4"/>
          </w:tcPr>
          <w:p>
            <w:pPr>
              <w:jc w:val="center"/>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60" w:type="dxa"/>
            <w:vAlign w:val="bottom"/>
            <w:gridSpan w:val="3"/>
          </w:tcPr>
          <w:p>
            <w:pPr>
              <w:ind w:left="240"/>
              <w:spacing w:after="0" w:line="125"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10"/>
                <w:szCs w:val="10"/>
                <w:color w:val="auto"/>
              </w:rPr>
            </w:pPr>
          </w:p>
        </w:tc>
        <w:tc>
          <w:tcPr>
            <w:tcW w:w="600" w:type="dxa"/>
            <w:vAlign w:val="bottom"/>
          </w:tcPr>
          <w:p>
            <w:pPr>
              <w:ind w:left="200"/>
              <w:spacing w:after="0" w:line="125" w:lineRule="exact"/>
              <w:rPr>
                <w:sz w:val="20"/>
                <w:szCs w:val="20"/>
                <w:color w:val="auto"/>
              </w:rPr>
            </w:pPr>
            <w:r>
              <w:rPr>
                <w:rFonts w:ascii="Arial" w:cs="Arial" w:eastAsia="Arial" w:hAnsi="Arial"/>
                <w:sz w:val="11"/>
                <w:szCs w:val="11"/>
                <w:b w:val="1"/>
                <w:bCs w:val="1"/>
                <w:color w:val="auto"/>
              </w:rPr>
              <w:t>(A) or</w:t>
            </w:r>
          </w:p>
        </w:tc>
        <w:tc>
          <w:tcPr>
            <w:tcW w:w="6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100" w:type="dxa"/>
            <w:vAlign w:val="bottom"/>
            <w:tcBorders>
              <w:bottom w:val="single" w:sz="8" w:color="2C2C2C"/>
            </w:tcBorders>
            <w:gridSpan w:val="6"/>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10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Common Stock, $0.01 par value per share</w:t>
            </w:r>
          </w:p>
        </w:tc>
        <w:tc>
          <w:tcPr>
            <w:tcW w:w="1260" w:type="dxa"/>
            <w:vAlign w:val="bottom"/>
            <w:gridSpan w:val="3"/>
            <w:vMerge w:val="restart"/>
          </w:tcPr>
          <w:p>
            <w:pPr>
              <w:jc w:val="right"/>
              <w:ind w:right="117"/>
              <w:spacing w:after="0"/>
              <w:rPr>
                <w:sz w:val="20"/>
                <w:szCs w:val="20"/>
                <w:color w:val="auto"/>
              </w:rPr>
            </w:pPr>
            <w:r>
              <w:rPr>
                <w:rFonts w:ascii="Times New Roman" w:cs="Times New Roman" w:eastAsia="Times New Roman" w:hAnsi="Times New Roman"/>
                <w:sz w:val="16"/>
                <w:szCs w:val="16"/>
                <w:color w:val="0000FF"/>
              </w:rPr>
              <w:t>03/02/2025</w:t>
            </w: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8,211</w:t>
            </w:r>
            <w:r>
              <w:rPr>
                <w:rFonts w:ascii="Times New Roman" w:cs="Times New Roman" w:eastAsia="Times New Roman" w:hAnsi="Times New Roman"/>
                <w:sz w:val="20"/>
                <w:szCs w:val="20"/>
                <w:color w:val="008000"/>
                <w:vertAlign w:val="superscript"/>
              </w:rPr>
              <w:t>(1)</w:t>
            </w:r>
          </w:p>
        </w:tc>
        <w:tc>
          <w:tcPr>
            <w:tcW w:w="20" w:type="dxa"/>
            <w:vAlign w:val="bottom"/>
          </w:tcPr>
          <w:p>
            <w:pPr>
              <w:spacing w:after="0"/>
              <w:rPr>
                <w:sz w:val="20"/>
                <w:szCs w:val="20"/>
                <w:color w:val="auto"/>
              </w:rPr>
            </w:pPr>
          </w:p>
        </w:tc>
        <w:tc>
          <w:tcPr>
            <w:tcW w:w="60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12.47</w:t>
            </w:r>
          </w:p>
        </w:tc>
        <w:tc>
          <w:tcPr>
            <w:tcW w:w="1280" w:type="dxa"/>
            <w:vAlign w:val="bottom"/>
            <w:gridSpan w:val="3"/>
            <w:vMerge w:val="restart"/>
          </w:tcPr>
          <w:p>
            <w:pPr>
              <w:jc w:val="right"/>
              <w:ind w:right="322"/>
              <w:spacing w:after="0"/>
              <w:rPr>
                <w:sz w:val="20"/>
                <w:szCs w:val="20"/>
                <w:color w:val="auto"/>
              </w:rPr>
            </w:pPr>
            <w:r>
              <w:rPr>
                <w:rFonts w:ascii="Times New Roman" w:cs="Times New Roman" w:eastAsia="Times New Roman" w:hAnsi="Times New Roman"/>
                <w:sz w:val="16"/>
                <w:szCs w:val="16"/>
                <w:color w:val="0000FF"/>
              </w:rPr>
              <w:t>278,672</w:t>
            </w:r>
          </w:p>
        </w:tc>
        <w:tc>
          <w:tcPr>
            <w:tcW w:w="280" w:type="dxa"/>
            <w:vAlign w:val="bottom"/>
          </w:tcPr>
          <w:p>
            <w:pPr>
              <w:spacing w:after="0"/>
              <w:rPr>
                <w:sz w:val="20"/>
                <w:szCs w:val="20"/>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56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56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117"/>
              <w:spacing w:after="0"/>
              <w:rPr>
                <w:sz w:val="20"/>
                <w:szCs w:val="20"/>
                <w:color w:val="auto"/>
              </w:rPr>
            </w:pPr>
            <w:r>
              <w:rPr>
                <w:rFonts w:ascii="Times New Roman" w:cs="Times New Roman" w:eastAsia="Times New Roman" w:hAnsi="Times New Roman"/>
                <w:sz w:val="16"/>
                <w:szCs w:val="16"/>
                <w:color w:val="0000FF"/>
              </w:rPr>
              <w:t>03/03/2025</w:t>
            </w:r>
          </w:p>
        </w:tc>
        <w:tc>
          <w:tcPr>
            <w:tcW w:w="7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56,053</w:t>
            </w:r>
            <w:r>
              <w:rPr>
                <w:rFonts w:ascii="Times New Roman" w:cs="Times New Roman" w:eastAsia="Times New Roman" w:hAnsi="Times New Roman"/>
                <w:sz w:val="20"/>
                <w:szCs w:val="20"/>
                <w:color w:val="008000"/>
                <w:vertAlign w:val="superscript"/>
              </w:rPr>
              <w:t>(2)</w:t>
            </w:r>
          </w:p>
        </w:tc>
        <w:tc>
          <w:tcPr>
            <w:tcW w:w="6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tcPr>
          <w:p>
            <w:pPr>
              <w:jc w:val="center"/>
              <w:ind w:right="92"/>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80" w:type="dxa"/>
            <w:vAlign w:val="bottom"/>
            <w:tcBorders>
              <w:bottom w:val="single" w:sz="8" w:color="2C2C2C"/>
            </w:tcBorders>
            <w:gridSpan w:val="3"/>
          </w:tcPr>
          <w:p>
            <w:pPr>
              <w:jc w:val="center"/>
              <w:ind w:right="242"/>
              <w:spacing w:after="0"/>
              <w:rPr>
                <w:sz w:val="20"/>
                <w:szCs w:val="20"/>
                <w:color w:val="auto"/>
              </w:rPr>
            </w:pPr>
            <w:r>
              <w:rPr>
                <w:rFonts w:ascii="Times New Roman" w:cs="Times New Roman" w:eastAsia="Times New Roman" w:hAnsi="Times New Roman"/>
                <w:sz w:val="16"/>
                <w:szCs w:val="16"/>
                <w:color w:val="0000FF"/>
              </w:rPr>
              <w:t>334,725</w:t>
            </w:r>
            <w:r>
              <w:rPr>
                <w:rFonts w:ascii="Times New Roman" w:cs="Times New Roman" w:eastAsia="Times New Roman" w:hAnsi="Times New Roman"/>
                <w:sz w:val="20"/>
                <w:szCs w:val="20"/>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4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9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62"/>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940" w:type="dxa"/>
            <w:vAlign w:val="bottom"/>
            <w:gridSpan w:val="11"/>
          </w:tcPr>
          <w:p>
            <w:pPr>
              <w:jc w:val="center"/>
              <w:ind w:right="32"/>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2.</w:t>
            </w:r>
          </w:p>
        </w:tc>
        <w:tc>
          <w:tcPr>
            <w:tcW w:w="26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12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98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Conversion</w:t>
            </w:r>
          </w:p>
        </w:tc>
        <w:tc>
          <w:tcPr>
            <w:tcW w:w="9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or Exercise</w:t>
            </w:r>
          </w:p>
        </w:tc>
        <w:tc>
          <w:tcPr>
            <w:tcW w:w="9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0"/>
                <w:szCs w:val="10"/>
                <w:color w:val="auto"/>
              </w:rPr>
            </w:pP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4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Price of</w:t>
            </w: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98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9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8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8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4 and 5)</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4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Expiration</w:t>
            </w: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480" w:type="dxa"/>
            <w:vAlign w:val="bottom"/>
            <w:vMerge w:val="restart"/>
          </w:tcPr>
          <w:p>
            <w:pPr>
              <w:jc w:val="center"/>
              <w:ind w:left="104"/>
              <w:spacing w:after="0"/>
              <w:rPr>
                <w:sz w:val="20"/>
                <w:szCs w:val="20"/>
                <w:color w:val="auto"/>
              </w:rPr>
            </w:pPr>
            <w:r>
              <w:rPr>
                <w:rFonts w:ascii="Times New Roman" w:cs="Times New Roman" w:eastAsia="Times New Roman" w:hAnsi="Times New Roman"/>
                <w:sz w:val="10"/>
                <w:szCs w:val="10"/>
                <w:color w:val="008000"/>
              </w:rPr>
              <w:t>(4)</w:t>
            </w:r>
          </w:p>
        </w:tc>
        <w:tc>
          <w:tcPr>
            <w:tcW w:w="260" w:type="dxa"/>
            <w:vAlign w:val="bottom"/>
          </w:tcPr>
          <w:p>
            <w:pPr>
              <w:spacing w:after="0"/>
              <w:rPr>
                <w:sz w:val="15"/>
                <w:szCs w:val="15"/>
                <w:color w:val="auto"/>
              </w:rPr>
            </w:pPr>
          </w:p>
        </w:tc>
        <w:tc>
          <w:tcPr>
            <w:tcW w:w="96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03/03/2025</w:t>
            </w: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jc w:val="right"/>
              <w:ind w:right="417"/>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28,026</w:t>
            </w:r>
            <w:r>
              <w:rPr>
                <w:rFonts w:ascii="Times New Roman" w:cs="Times New Roman" w:eastAsia="Times New Roman" w:hAnsi="Times New Roman"/>
                <w:sz w:val="20"/>
                <w:szCs w:val="20"/>
                <w:color w:val="008000"/>
                <w:vertAlign w:val="superscript"/>
              </w:rPr>
              <w:t>(4)</w:t>
            </w:r>
          </w:p>
        </w:tc>
        <w:tc>
          <w:tcPr>
            <w:tcW w:w="2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(4)</w:t>
            </w:r>
          </w:p>
        </w:tc>
        <w:tc>
          <w:tcPr>
            <w:tcW w:w="720" w:type="dxa"/>
            <w:vAlign w:val="bottom"/>
            <w:vMerge w:val="restart"/>
          </w:tcPr>
          <w:p>
            <w:pPr>
              <w:jc w:val="center"/>
              <w:ind w:right="18"/>
              <w:spacing w:after="0"/>
              <w:rPr>
                <w:sz w:val="20"/>
                <w:szCs w:val="20"/>
                <w:color w:val="auto"/>
              </w:rPr>
            </w:pPr>
            <w:r>
              <w:rPr>
                <w:rFonts w:ascii="Times New Roman" w:cs="Times New Roman" w:eastAsia="Times New Roman" w:hAnsi="Times New Roman"/>
                <w:sz w:val="10"/>
                <w:szCs w:val="10"/>
                <w:color w:val="008000"/>
              </w:rPr>
              <w:t>(4)</w:t>
            </w:r>
          </w:p>
        </w:tc>
        <w:tc>
          <w:tcPr>
            <w:tcW w:w="2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28,026</w:t>
            </w:r>
          </w:p>
        </w:tc>
        <w:tc>
          <w:tcPr>
            <w:tcW w:w="700" w:type="dxa"/>
            <w:vAlign w:val="bottom"/>
            <w:gridSpan w:val="2"/>
            <w:vMerge w:val="restart"/>
          </w:tcPr>
          <w:p>
            <w:pPr>
              <w:jc w:val="right"/>
              <w:ind w:right="242"/>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28,026</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RSUs</w:t>
            </w:r>
          </w:p>
        </w:tc>
        <w:tc>
          <w:tcPr>
            <w:tcW w:w="4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tcPr>
          <w:p>
            <w:pPr>
              <w:jc w:val="center"/>
              <w:ind w:right="60"/>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gridSpan w:val="2"/>
            <w:vMerge w:val="restart"/>
          </w:tcPr>
          <w:p>
            <w:pPr>
              <w:jc w:val="center"/>
              <w:ind w:right="8"/>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14.59</w:t>
            </w: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(6)</w:t>
            </w:r>
          </w:p>
        </w:tc>
        <w:tc>
          <w:tcPr>
            <w:tcW w:w="720" w:type="dxa"/>
            <w:vAlign w:val="bottom"/>
            <w:vMerge w:val="restart"/>
          </w:tcPr>
          <w:p>
            <w:pPr>
              <w:jc w:val="center"/>
              <w:ind w:right="18"/>
              <w:spacing w:after="0"/>
              <w:rPr>
                <w:sz w:val="20"/>
                <w:szCs w:val="20"/>
                <w:color w:val="auto"/>
              </w:rPr>
            </w:pPr>
            <w:r>
              <w:rPr>
                <w:rFonts w:ascii="Times New Roman" w:cs="Times New Roman" w:eastAsia="Times New Roman" w:hAnsi="Times New Roman"/>
                <w:sz w:val="13"/>
                <w:szCs w:val="13"/>
                <w:color w:val="0000FF"/>
                <w:w w:val="94"/>
              </w:rPr>
              <w:t>03/04/2034</w:t>
            </w:r>
          </w:p>
        </w:tc>
        <w:tc>
          <w:tcPr>
            <w:tcW w:w="2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102,095</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102,095</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20" w:type="dxa"/>
            <w:vAlign w:val="bottom"/>
            <w:gridSpan w:val="2"/>
          </w:tcPr>
          <w:p>
            <w:pPr>
              <w:ind w:left="60"/>
              <w:spacing w:after="0" w:line="63"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7"/>
                <w:szCs w:val="7"/>
                <w:color w:val="008000"/>
                <w:vertAlign w:val="superscript"/>
              </w:rPr>
              <w:t>(5)</w:t>
            </w:r>
          </w:p>
        </w:tc>
        <w:tc>
          <w:tcPr>
            <w:tcW w:w="7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jc w:val="center"/>
              <w:ind w:right="60"/>
              <w:spacing w:after="0" w:line="63" w:lineRule="exact"/>
              <w:rPr>
                <w:sz w:val="20"/>
                <w:szCs w:val="20"/>
                <w:color w:val="auto"/>
              </w:rPr>
            </w:pPr>
            <w:r>
              <w:rPr>
                <w:rFonts w:ascii="Times New Roman" w:cs="Times New Roman" w:eastAsia="Times New Roman" w:hAnsi="Times New Roman"/>
                <w:sz w:val="7"/>
                <w:szCs w:val="7"/>
                <w:color w:val="0000FF"/>
              </w:rPr>
              <w:t>Stock</w:t>
            </w: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20" w:type="dxa"/>
            <w:vAlign w:val="bottom"/>
            <w:tcBorders>
              <w:bottom w:val="single" w:sz="8" w:color="2C2C2C"/>
            </w:tcBorders>
            <w:gridSpan w:val="2"/>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480" w:type="dxa"/>
            <w:vAlign w:val="bottom"/>
            <w:vMerge w:val="restart"/>
          </w:tcPr>
          <w:p>
            <w:pPr>
              <w:jc w:val="center"/>
              <w:ind w:left="10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6.37</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(7)</w:t>
            </w:r>
          </w:p>
        </w:tc>
        <w:tc>
          <w:tcPr>
            <w:tcW w:w="720" w:type="dxa"/>
            <w:vAlign w:val="bottom"/>
            <w:vMerge w:val="restart"/>
          </w:tcPr>
          <w:p>
            <w:pPr>
              <w:jc w:val="center"/>
              <w:ind w:right="18"/>
              <w:spacing w:after="0"/>
              <w:rPr>
                <w:sz w:val="20"/>
                <w:szCs w:val="20"/>
                <w:color w:val="auto"/>
              </w:rPr>
            </w:pPr>
            <w:r>
              <w:rPr>
                <w:rFonts w:ascii="Times New Roman" w:cs="Times New Roman" w:eastAsia="Times New Roman" w:hAnsi="Times New Roman"/>
                <w:sz w:val="13"/>
                <w:szCs w:val="13"/>
                <w:color w:val="0000FF"/>
                <w:w w:val="94"/>
              </w:rPr>
              <w:t>11/07/2032</w:t>
            </w:r>
          </w:p>
        </w:tc>
        <w:tc>
          <w:tcPr>
            <w:tcW w:w="2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602,387</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602,387</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20" w:type="dxa"/>
            <w:vAlign w:val="bottom"/>
            <w:gridSpan w:val="2"/>
          </w:tcPr>
          <w:p>
            <w:pPr>
              <w:ind w:left="60"/>
              <w:spacing w:after="0" w:line="63"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7"/>
                <w:szCs w:val="7"/>
                <w:color w:val="008000"/>
                <w:vertAlign w:val="superscript"/>
              </w:rPr>
              <w:t>(5)</w:t>
            </w:r>
          </w:p>
        </w:tc>
        <w:tc>
          <w:tcPr>
            <w:tcW w:w="4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jc w:val="center"/>
              <w:ind w:right="60"/>
              <w:spacing w:after="0" w:line="63" w:lineRule="exact"/>
              <w:rPr>
                <w:sz w:val="20"/>
                <w:szCs w:val="20"/>
                <w:color w:val="auto"/>
              </w:rPr>
            </w:pPr>
            <w:r>
              <w:rPr>
                <w:rFonts w:ascii="Times New Roman" w:cs="Times New Roman" w:eastAsia="Times New Roman" w:hAnsi="Times New Roman"/>
                <w:sz w:val="7"/>
                <w:szCs w:val="7"/>
                <w:color w:val="0000FF"/>
              </w:rPr>
              <w:t>Stock</w:t>
            </w: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-2169160</wp:posOffset>
            </wp:positionV>
            <wp:extent cx="28575" cy="2174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17424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40" w:right="440" w:hanging="2"/>
        <w:spacing w:after="0" w:line="235"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represent the number of shares of Common Stock withheld by the Issuer to satisfy the Reporting Person's tax withholding obligations due upon the vesting of 17,135 Restricted Stock Units ("RSUs"), which represents 33% of the RSU award granted to the Reporting Person on March 4, 2024. This award was granted pursuant to the terms of an RSU agreement under the Sotera Health Company 2020 Omnibus Incentive Plan ("2020 Incentive Plan"). Each RSU represents the Reporting Person's right to recieve one share of Common Stock, subject to vesting conditions.</w:t>
      </w:r>
    </w:p>
    <w:p>
      <w:pPr>
        <w:spacing w:after="0" w:line="24" w:lineRule="exact"/>
        <w:rPr>
          <w:rFonts w:ascii="Times New Roman" w:cs="Times New Roman" w:eastAsia="Times New Roman" w:hAnsi="Times New Roman"/>
          <w:sz w:val="13"/>
          <w:szCs w:val="13"/>
          <w:color w:val="008000"/>
        </w:rPr>
      </w:pPr>
    </w:p>
    <w:p>
      <w:pPr>
        <w:ind w:left="40" w:right="400" w:hanging="2"/>
        <w:spacing w:after="0" w:line="244"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RSUs that were granted on March 3, 2025, pursuant to the terms of an RSU agreement under the 2020 Incentive Plan. Each RSU represents the Reporting Person's right to receive one share of Common Stock, subject to vesting conditions. The RSUs generally vest annually in 60%, 20%, and 20% installments, respectively, commencing March 3, 2026.</w:t>
      </w:r>
    </w:p>
    <w:p>
      <w:pPr>
        <w:spacing w:after="0" w:line="21"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90,323 RSUs and 244,402 shares of Common Stock that have vested.</w:t>
      </w:r>
    </w:p>
    <w:p>
      <w:pPr>
        <w:spacing w:after="0" w:line="38" w:lineRule="exact"/>
        <w:rPr>
          <w:rFonts w:ascii="Times New Roman" w:cs="Times New Roman" w:eastAsia="Times New Roman" w:hAnsi="Times New Roman"/>
          <w:sz w:val="13"/>
          <w:szCs w:val="13"/>
          <w:color w:val="008000"/>
        </w:rPr>
      </w:pPr>
    </w:p>
    <w:p>
      <w:pPr>
        <w:ind w:left="40" w:right="360" w:hanging="2"/>
        <w:spacing w:after="0" w:line="235"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a maximum number of additional performance-based RSUs that were granted on March 3, 2025, pursuant to the terms of an RSU agreement under the 2020 Incentive Plan. Each additional RSU represents the Reporting Person's right to receive one share of Common Stock, subject to stock price-related performance conditions. The additional RSUs generally vest annually in 60%, 20%, and 20% installments, respectively, commencing March 3, 2026, subject to performance.</w:t>
      </w:r>
    </w:p>
    <w:p>
      <w:pPr>
        <w:spacing w:after="0" w:line="24"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 transaction is being reported on this line. Reported on a previously filed Form 4.</w:t>
      </w:r>
    </w:p>
    <w:p>
      <w:pPr>
        <w:spacing w:after="0" w:line="38" w:lineRule="exact"/>
        <w:rPr>
          <w:rFonts w:ascii="Times New Roman" w:cs="Times New Roman" w:eastAsia="Times New Roman" w:hAnsi="Times New Roman"/>
          <w:sz w:val="13"/>
          <w:szCs w:val="13"/>
          <w:color w:val="008000"/>
        </w:rPr>
      </w:pPr>
    </w:p>
    <w:p>
      <w:pPr>
        <w:ind w:left="40" w:right="360" w:hanging="2"/>
        <w:spacing w:after="0" w:line="244"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March 4, 2024, pursuant to the terms of a stock option agreement under the 2020 Incentive Plan. The options vest annually in three equal installments commencing March 2, 2025, subject to vesting conditions.</w:t>
      </w:r>
    </w:p>
    <w:p>
      <w:pPr>
        <w:spacing w:after="0" w:line="21" w:lineRule="exact"/>
        <w:rPr>
          <w:rFonts w:ascii="Times New Roman" w:cs="Times New Roman" w:eastAsia="Times New Roman" w:hAnsi="Times New Roman"/>
          <w:sz w:val="13"/>
          <w:szCs w:val="13"/>
          <w:color w:val="008000"/>
        </w:rPr>
      </w:pPr>
    </w:p>
    <w:p>
      <w:pPr>
        <w:ind w:left="40" w:right="480" w:hanging="2"/>
        <w:spacing w:after="0" w:line="244"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November 7, 2022, pursuant to the terms of a stock option agreement under the 2020 Incentive Plan. The options vest in two equal installments on each of October 31, 2023 and October 31, 2024, subject to the Reporting Person's continued service through each such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for Mr. Dimitrief is filed as an exhibit to the Form 3 filed on November 8, 2022, which is hereby incorporated by reference.</w:t>
      </w:r>
    </w:p>
    <w:p>
      <w:pPr>
        <w:ind w:left="6600"/>
        <w:spacing w:after="0" w:line="184" w:lineRule="auto"/>
        <w:rPr>
          <w:sz w:val="20"/>
          <w:szCs w:val="20"/>
          <w:color w:val="auto"/>
        </w:rPr>
      </w:pPr>
      <w:r>
        <w:rPr>
          <w:rFonts w:ascii="Times New Roman" w:cs="Times New Roman" w:eastAsia="Times New Roman" w:hAnsi="Times New Roman"/>
          <w:sz w:val="16"/>
          <w:szCs w:val="16"/>
          <w:color w:val="0000FF"/>
        </w:rPr>
        <w:t xml:space="preserve">Matthew J. Klaben, Attorney-in- </w:t>
      </w:r>
      <w:r>
        <w:rPr>
          <w:rFonts w:ascii="Times New Roman" w:cs="Times New Roman" w:eastAsia="Times New Roman" w:hAnsi="Times New Roman"/>
          <w:sz w:val="32"/>
          <w:szCs w:val="32"/>
          <w:color w:val="0000FF"/>
          <w:vertAlign w:val="subscript"/>
        </w:rPr>
        <w:t>03/05/2025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31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778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77800" cy="8255"/>
                    </a:xfrm>
                    <a:prstGeom prst="rect">
                      <a:avLst/>
                    </a:prstGeom>
                    <a:noFill/>
                  </pic:spPr>
                </pic:pic>
              </a:graphicData>
            </a:graphic>
          </wp:anchor>
        </w:drawing>
        <w:drawing>
          <wp:anchor simplePos="0" relativeHeight="251657728" behindDoc="1" locked="0" layoutInCell="0" allowOverlap="1">
            <wp:simplePos x="0" y="0"/>
            <wp:positionH relativeFrom="column">
              <wp:posOffset>5587365</wp:posOffset>
            </wp:positionH>
            <wp:positionV relativeFrom="paragraph">
              <wp:posOffset>-80010</wp:posOffset>
            </wp:positionV>
            <wp:extent cx="4711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1170" cy="8255"/>
                    </a:xfrm>
                    <a:prstGeom prst="rect">
                      <a:avLst/>
                    </a:prstGeom>
                    <a:noFill/>
                  </pic:spPr>
                </pic:pic>
              </a:graphicData>
            </a:graphic>
          </wp:anchor>
        </w:drawing>
      </w:r>
    </w:p>
    <w:p>
      <w:pPr>
        <w:spacing w:after="0" w:line="2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800" w:hanging="2"/>
        <w:spacing w:after="0" w:line="356"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65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14732" TargetMode="External"/><Relationship Id="rId14"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2025-03-04T19:43:41Z</dcterms:created>
  <dcterms:modified xsi:type="dcterms:W3CDTF">2025-03-04T19:43:41Z</dcterms:modified>
</cp:coreProperties>
</file>