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7359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7359650"/>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Petras Michael B. Jr.</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right="400"/>
        <w:spacing w:after="0" w:line="35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03/02/2025</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1016"/>
        <w:spacing w:after="0"/>
        <w:rPr>
          <w:sz w:val="20"/>
          <w:szCs w:val="20"/>
          <w:color w:val="auto"/>
        </w:rPr>
      </w:pPr>
      <w:r>
        <w:rPr>
          <w:rFonts w:ascii="Times New Roman" w:cs="Times New Roman" w:eastAsia="Times New Roman" w:hAnsi="Times New Roman"/>
          <w:sz w:val="16"/>
          <w:szCs w:val="16"/>
          <w:color w:val="0000FF"/>
        </w:rPr>
        <w:t>Chairman &amp; CEO</w:t>
      </w:r>
    </w:p>
    <w:p>
      <w:pPr>
        <w:spacing w:after="0" w:line="593" w:lineRule="exact"/>
        <w:rPr>
          <w:sz w:val="24"/>
          <w:szCs w:val="24"/>
          <w:color w:val="auto"/>
        </w:rPr>
      </w:pPr>
    </w:p>
    <w:p>
      <w:pPr>
        <w:sectPr>
          <w:pgSz w:w="11900" w:h="16838" w:orient="portrait"/>
          <w:cols w:equalWidth="0" w:num="3">
            <w:col w:w="3180" w:space="720"/>
            <w:col w:w="3104" w:space="720"/>
            <w:col w:w="3356"/>
          </w:cols>
          <w:pgMar w:left="460" w:top="213" w:right="359" w:bottom="0" w:gutter="0" w:footer="0" w:header="0"/>
          <w:type w:val="continuous"/>
        </w:sect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9"/>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OH</w:t>
            </w:r>
          </w:p>
        </w:tc>
        <w:tc>
          <w:tcPr>
            <w:tcW w:w="94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44147</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8"/>
            <w:vMerge w:val="continue"/>
          </w:tcPr>
          <w:p>
            <w:pPr>
              <w:spacing w:after="0"/>
              <w:rPr>
                <w:sz w:val="11"/>
                <w:szCs w:val="11"/>
                <w:color w:val="auto"/>
              </w:rPr>
            </w:pPr>
          </w:p>
        </w:tc>
        <w:tc>
          <w:tcPr>
            <w:tcW w:w="37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HEIGHTS</w:t>
            </w:r>
          </w:p>
        </w:tc>
        <w:tc>
          <w:tcPr>
            <w:tcW w:w="5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760" w:type="dxa"/>
            <w:vAlign w:val="bottom"/>
          </w:tcPr>
          <w:p>
            <w:pPr>
              <w:ind w:left="4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3"/>
                <w:szCs w:val="13"/>
                <w:color w:val="auto"/>
              </w:rPr>
            </w:pPr>
          </w:p>
        </w:tc>
        <w:tc>
          <w:tcPr>
            <w:tcW w:w="1060" w:type="dxa"/>
            <w:vAlign w:val="bottom"/>
            <w:gridSpan w:val="5"/>
          </w:tcPr>
          <w:p>
            <w:pPr>
              <w:ind w:left="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5"/>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60" w:type="dxa"/>
            <w:vAlign w:val="bottom"/>
            <w:tcBorders>
              <w:bottom w:val="single" w:sz="8" w:color="2C2C2C"/>
            </w:tcBorders>
            <w:gridSpan w:val="6"/>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03/02/2025</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gridSpan w:val="2"/>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3"/>
              </w:rPr>
              <w:t>27,990</w:t>
            </w:r>
            <w:r>
              <w:rPr>
                <w:rFonts w:ascii="Times New Roman" w:cs="Times New Roman" w:eastAsia="Times New Roman" w:hAnsi="Times New Roman"/>
                <w:sz w:val="20"/>
                <w:szCs w:val="20"/>
                <w:color w:val="008000"/>
                <w:w w:val="93"/>
                <w:vertAlign w:val="superscript"/>
              </w:rPr>
              <w:t>(1)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ind w:left="6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w w:val="99"/>
              </w:rPr>
              <w:t>642,509</w:t>
            </w:r>
          </w:p>
        </w:tc>
        <w:tc>
          <w:tcPr>
            <w:tcW w:w="300" w:type="dxa"/>
            <w:vAlign w:val="bottom"/>
          </w:tcPr>
          <w:p>
            <w:pPr>
              <w:spacing w:after="0"/>
              <w:rPr>
                <w:sz w:val="20"/>
                <w:szCs w:val="20"/>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("Common Stock")</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03/02/2025</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gridSpan w:val="2"/>
          </w:tcPr>
          <w:p>
            <w:pPr>
              <w:jc w:val="center"/>
              <w:ind w:left="56"/>
              <w:spacing w:after="0"/>
              <w:rPr>
                <w:sz w:val="20"/>
                <w:szCs w:val="20"/>
                <w:color w:val="auto"/>
              </w:rPr>
            </w:pPr>
            <w:r>
              <w:rPr>
                <w:rFonts w:ascii="Times New Roman" w:cs="Times New Roman" w:eastAsia="Times New Roman" w:hAnsi="Times New Roman"/>
                <w:sz w:val="16"/>
                <w:szCs w:val="16"/>
                <w:color w:val="0000FF"/>
                <w:w w:val="93"/>
              </w:rPr>
              <w:t>31,872</w:t>
            </w:r>
            <w:r>
              <w:rPr>
                <w:rFonts w:ascii="Times New Roman" w:cs="Times New Roman" w:eastAsia="Times New Roman" w:hAnsi="Times New Roman"/>
                <w:sz w:val="20"/>
                <w:szCs w:val="20"/>
                <w:color w:val="008000"/>
                <w:w w:val="93"/>
                <w:vertAlign w:val="superscript"/>
              </w:rPr>
              <w:t>(2)</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610,637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03/02/2025</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gridSpan w:val="2"/>
          </w:tcPr>
          <w:p>
            <w:pPr>
              <w:jc w:val="center"/>
              <w:ind w:left="56"/>
              <w:spacing w:after="0"/>
              <w:rPr>
                <w:sz w:val="20"/>
                <w:szCs w:val="20"/>
                <w:color w:val="auto"/>
              </w:rPr>
            </w:pPr>
            <w:r>
              <w:rPr>
                <w:rFonts w:ascii="Times New Roman" w:cs="Times New Roman" w:eastAsia="Times New Roman" w:hAnsi="Times New Roman"/>
                <w:sz w:val="16"/>
                <w:szCs w:val="16"/>
                <w:color w:val="0000FF"/>
                <w:w w:val="93"/>
              </w:rPr>
              <w:t>40,987</w:t>
            </w:r>
            <w:r>
              <w:rPr>
                <w:rFonts w:ascii="Times New Roman" w:cs="Times New Roman" w:eastAsia="Times New Roman" w:hAnsi="Times New Roman"/>
                <w:sz w:val="20"/>
                <w:szCs w:val="20"/>
                <w:color w:val="008000"/>
                <w:w w:val="93"/>
                <w:vertAlign w:val="superscript"/>
              </w:rPr>
              <w:t>(3)</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12.47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569,650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03/03/2025</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800" w:type="dxa"/>
            <w:vAlign w:val="bottom"/>
            <w:tcBorders>
              <w:bottom w:val="single" w:sz="8" w:color="2C2C2C"/>
            </w:tcBorders>
            <w:gridSpan w:val="2"/>
          </w:tcPr>
          <w:p>
            <w:pPr>
              <w:jc w:val="center"/>
              <w:ind w:left="56"/>
              <w:spacing w:after="0"/>
              <w:rPr>
                <w:sz w:val="20"/>
                <w:szCs w:val="20"/>
                <w:color w:val="auto"/>
              </w:rPr>
            </w:pPr>
            <w:r>
              <w:rPr>
                <w:rFonts w:ascii="Times New Roman" w:cs="Times New Roman" w:eastAsia="Times New Roman" w:hAnsi="Times New Roman"/>
                <w:sz w:val="16"/>
                <w:szCs w:val="16"/>
                <w:color w:val="0000FF"/>
                <w:w w:val="94"/>
              </w:rPr>
              <w:t>298,953</w:t>
            </w:r>
            <w:r>
              <w:rPr>
                <w:rFonts w:ascii="Times New Roman" w:cs="Times New Roman" w:eastAsia="Times New Roman" w:hAnsi="Times New Roman"/>
                <w:sz w:val="20"/>
                <w:szCs w:val="20"/>
                <w:color w:val="008000"/>
                <w:w w:val="94"/>
                <w:vertAlign w:val="superscript"/>
              </w:rPr>
              <w:t>(4)</w:t>
            </w:r>
          </w:p>
        </w:tc>
        <w:tc>
          <w:tcPr>
            <w:tcW w:w="4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6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4"/>
              </w:rPr>
              <w:t>868,603</w:t>
            </w:r>
            <w:r>
              <w:rPr>
                <w:rFonts w:ascii="Times New Roman" w:cs="Times New Roman" w:eastAsia="Times New Roman" w:hAnsi="Times New Roman"/>
                <w:sz w:val="20"/>
                <w:szCs w:val="20"/>
                <w:color w:val="008000"/>
                <w:w w:val="94"/>
                <w:vertAlign w:val="superscript"/>
              </w:rPr>
              <w:t>(5)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5,214,337</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center"/>
              <w:ind w:right="22"/>
              <w:spacing w:after="0" w:line="198" w:lineRule="exact"/>
              <w:rPr>
                <w:sz w:val="20"/>
                <w:szCs w:val="20"/>
                <w:color w:val="auto"/>
              </w:rPr>
            </w:pPr>
            <w:r>
              <w:rPr>
                <w:rFonts w:ascii="Times New Roman" w:cs="Times New Roman" w:eastAsia="Times New Roman" w:hAnsi="Times New Roman"/>
                <w:sz w:val="16"/>
                <w:szCs w:val="16"/>
                <w:color w:val="0000FF"/>
                <w:w w:val="93"/>
              </w:rPr>
              <w:t>39,243</w:t>
            </w:r>
            <w:r>
              <w:rPr>
                <w:rFonts w:ascii="Times New Roman" w:cs="Times New Roman" w:eastAsia="Times New Roman" w:hAnsi="Times New Roman"/>
                <w:sz w:val="20"/>
                <w:szCs w:val="20"/>
                <w:color w:val="008000"/>
                <w:w w:val="93"/>
                <w:vertAlign w:val="superscript"/>
              </w:rPr>
              <w:t>(6)</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0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6"/>
          </w:tcPr>
          <w:p>
            <w:pPr>
              <w:jc w:val="center"/>
              <w:ind w:right="156"/>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60" w:type="dxa"/>
            <w:vAlign w:val="bottom"/>
            <w:gridSpan w:val="14"/>
          </w:tcPr>
          <w:p>
            <w:pPr>
              <w:jc w:val="center"/>
              <w:ind w:right="3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81"/>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(7)</w:t>
            </w:r>
          </w:p>
        </w:tc>
        <w:tc>
          <w:tcPr>
            <w:tcW w:w="260" w:type="dxa"/>
            <w:vAlign w:val="bottom"/>
          </w:tcPr>
          <w:p>
            <w:pPr>
              <w:spacing w:after="0"/>
              <w:rPr>
                <w:sz w:val="14"/>
                <w:szCs w:val="1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03/03/2025</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149,476</w:t>
            </w:r>
            <w:r>
              <w:rPr>
                <w:rFonts w:ascii="Times New Roman" w:cs="Times New Roman" w:eastAsia="Times New Roman" w:hAnsi="Times New Roman"/>
                <w:sz w:val="20"/>
                <w:szCs w:val="20"/>
                <w:color w:val="008000"/>
                <w:vertAlign w:val="superscript"/>
              </w:rPr>
              <w:t>(7)</w:t>
            </w:r>
          </w:p>
        </w:tc>
        <w:tc>
          <w:tcPr>
            <w:tcW w:w="260" w:type="dxa"/>
            <w:vAlign w:val="bottom"/>
          </w:tcPr>
          <w:p>
            <w:pPr>
              <w:spacing w:after="0"/>
              <w:rPr>
                <w:sz w:val="14"/>
                <w:szCs w:val="14"/>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149,476</w:t>
            </w:r>
          </w:p>
        </w:tc>
        <w:tc>
          <w:tcPr>
            <w:tcW w:w="40" w:type="dxa"/>
            <w:vAlign w:val="bottom"/>
          </w:tcPr>
          <w:p>
            <w:pPr>
              <w:spacing w:after="0"/>
              <w:rPr>
                <w:sz w:val="14"/>
                <w:szCs w:val="14"/>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149,476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jc w:val="center"/>
              <w:ind w:left="10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(9)</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03/04/2034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544,509</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544,509</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jc w:val="center"/>
              <w:ind w:left="10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w w:val="95"/>
              </w:rPr>
              <w:t>(10)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03/06/2033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404,094</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404,094</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w w:val="95"/>
              </w:rPr>
              <w:t>(11)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11/07/2032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2,108,356</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2,108,356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jc w:val="center"/>
              <w:ind w:left="10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w w:val="95"/>
              </w:rPr>
              <w:t>(12)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03/02/2032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478,932</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478,932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restart"/>
          </w:tcPr>
          <w:p>
            <w:pPr>
              <w:jc w:val="center"/>
              <w:ind w:left="105"/>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w w:val="95"/>
              </w:rPr>
              <w:t>(13)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11/20/2030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1,118,012</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1,118,012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-2856230</wp:posOffset>
            </wp:positionV>
            <wp:extent cx="28575" cy="2861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8619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16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62,407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6" w:lineRule="exact"/>
        <w:rPr>
          <w:rFonts w:ascii="Times New Roman" w:cs="Times New Roman" w:eastAsia="Times New Roman" w:hAnsi="Times New Roman"/>
          <w:sz w:val="12"/>
          <w:szCs w:val="12"/>
          <w:color w:val="008000"/>
        </w:rPr>
      </w:pPr>
    </w:p>
    <w:p>
      <w:pPr>
        <w:ind w:left="40" w:right="16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71,063 RSUs, which represents 33% of the RSU award granted to the Reporting Person on March 6, 2023. This award was granted pursuant to the terms of an RSU agreement under the 2020 Incentive Plan. Each RSU represents the Reporting Person's right to receive one share of Common Stock, subject to vesting conditions.</w:t>
      </w:r>
    </w:p>
    <w:p>
      <w:pPr>
        <w:spacing w:after="0" w:line="16" w:lineRule="exact"/>
        <w:rPr>
          <w:rFonts w:ascii="Times New Roman" w:cs="Times New Roman" w:eastAsia="Times New Roman" w:hAnsi="Times New Roman"/>
          <w:sz w:val="12"/>
          <w:szCs w:val="12"/>
          <w:color w:val="008000"/>
        </w:rPr>
      </w:pPr>
    </w:p>
    <w:p>
      <w:pPr>
        <w:ind w:left="40" w:right="16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91,386 RSUs, which represents 33% of the RSU award granted to the Reporting Person on March 4, 2024. This award was granted pursuant to the terms of an RSU agreement under the 2020 Incentive Plan. Each RSU represents the Reporting Person's right to recieve one share of Common Stock, subject to vesting conditions.</w:t>
      </w:r>
    </w:p>
    <w:p>
      <w:pPr>
        <w:spacing w:after="0" w:line="16" w:lineRule="exact"/>
        <w:rPr>
          <w:rFonts w:ascii="Times New Roman" w:cs="Times New Roman" w:eastAsia="Times New Roman" w:hAnsi="Times New Roman"/>
          <w:sz w:val="12"/>
          <w:szCs w:val="12"/>
          <w:color w:val="008000"/>
        </w:rPr>
      </w:pPr>
    </w:p>
    <w:p>
      <w:pPr>
        <w:ind w:left="40" w:right="260" w:hanging="4"/>
        <w:spacing w:after="0" w:line="27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March 3, 2025,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3, 2026.</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552,790 RSUs and 315,813 shares of Common Stock.</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except to the extent of his pecuniary interest therein, and the inclusion of these shares in this report shall not be deemed an admission of beneficial</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2"/>
          <w:szCs w:val="12"/>
          <w:color w:val="008000"/>
        </w:rPr>
        <w:t>ownership of the reported shares for purposes of Section 16 or for any other purpose.</w:t>
      </w:r>
    </w:p>
    <w:p>
      <w:pPr>
        <w:spacing w:after="0" w:line="47" w:lineRule="exact"/>
        <w:rPr>
          <w:sz w:val="20"/>
          <w:szCs w:val="20"/>
          <w:color w:val="auto"/>
        </w:rPr>
      </w:pPr>
    </w:p>
    <w:p>
      <w:pPr>
        <w:jc w:val="both"/>
        <w:ind w:left="4" w:right="20" w:hanging="4"/>
        <w:spacing w:after="0" w:line="255"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a maximum number of Performance Stock Units ("PSUs") that were granted on March 3, 2025, pursuant to the terms of a PSU agreement under the 2020 Incentive Plan. Each PSU represents the Reporting Person's right to receive one share of Common Stock, subject to stock price-related performance conditions. The PSUs generally vest annually in 60%, 20%, and 20% installments, respectively, commencing March 3, 2026, subject to performance.</w:t>
      </w:r>
    </w:p>
    <w:p>
      <w:pPr>
        <w:spacing w:after="0" w:line="16"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 transaction is being reported on this line. Reported on a previously filed Form 4.</w:t>
      </w:r>
    </w:p>
    <w:p>
      <w:pPr>
        <w:spacing w:after="0" w:line="47" w:lineRule="exact"/>
        <w:rPr>
          <w:rFonts w:ascii="Times New Roman" w:cs="Times New Roman" w:eastAsia="Times New Roman" w:hAnsi="Times New Roman"/>
          <w:sz w:val="12"/>
          <w:szCs w:val="12"/>
          <w:color w:val="008000"/>
        </w:rPr>
      </w:pPr>
    </w:p>
    <w:p>
      <w:pPr>
        <w:ind w:left="4" w:hanging="4"/>
        <w:spacing w:after="0" w:line="274"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5" w:lineRule="exact"/>
        <w:rPr>
          <w:rFonts w:ascii="Times New Roman" w:cs="Times New Roman" w:eastAsia="Times New Roman" w:hAnsi="Times New Roman"/>
          <w:sz w:val="12"/>
          <w:szCs w:val="12"/>
          <w:color w:val="008000"/>
        </w:rPr>
      </w:pPr>
    </w:p>
    <w:p>
      <w:pPr>
        <w:ind w:left="4" w:right="320" w:hanging="4"/>
        <w:spacing w:after="0" w:line="274" w:lineRule="auto"/>
        <w:tabs>
          <w:tab w:leader="none" w:pos="18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options were granted on March 6, 2023, pursuant to the terms of a stock option agreement under the 2020 Incentive Plan. The options vest annually in three equal installments commencing March 2, 2024, subject to vesting conditions.</w:t>
      </w:r>
    </w:p>
    <w:p>
      <w:pPr>
        <w:spacing w:after="0" w:line="5" w:lineRule="exact"/>
        <w:rPr>
          <w:rFonts w:ascii="Times New Roman" w:cs="Times New Roman" w:eastAsia="Times New Roman" w:hAnsi="Times New Roman"/>
          <w:sz w:val="12"/>
          <w:szCs w:val="12"/>
          <w:color w:val="008000"/>
        </w:rPr>
      </w:pPr>
    </w:p>
    <w:p>
      <w:pPr>
        <w:ind w:left="4" w:right="380" w:hanging="4"/>
        <w:spacing w:after="0" w:line="274" w:lineRule="auto"/>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5" w:lineRule="exact"/>
        <w:rPr>
          <w:rFonts w:ascii="Times New Roman" w:cs="Times New Roman" w:eastAsia="Times New Roman" w:hAnsi="Times New Roman"/>
          <w:sz w:val="12"/>
          <w:szCs w:val="12"/>
          <w:color w:val="008000"/>
        </w:rPr>
      </w:pPr>
    </w:p>
    <w:p>
      <w:pPr>
        <w:ind w:left="4" w:hanging="4"/>
        <w:spacing w:after="0" w:line="274" w:lineRule="auto"/>
        <w:tabs>
          <w:tab w:leader="none" w:pos="18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options were granted on March 2, 2022, pursuant to the terms of a stock option agreement under the 2020 Incentive Plan. The options vest in three equal installments on each of the first three anniversaries of the date of grant, subject to vesting conditions.</w:t>
      </w:r>
    </w:p>
    <w:p>
      <w:pPr>
        <w:spacing w:after="0" w:line="5" w:lineRule="exact"/>
        <w:rPr>
          <w:rFonts w:ascii="Times New Roman" w:cs="Times New Roman" w:eastAsia="Times New Roman" w:hAnsi="Times New Roman"/>
          <w:sz w:val="12"/>
          <w:szCs w:val="12"/>
          <w:color w:val="008000"/>
        </w:rPr>
      </w:pPr>
    </w:p>
    <w:p>
      <w:pPr>
        <w:ind w:left="4" w:hanging="4"/>
        <w:spacing w:after="0" w:line="274" w:lineRule="auto"/>
        <w:tabs>
          <w:tab w:leader="none" w:pos="18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options were granted on November 20, 2020, pursuant to the terms of a stock option agreement under the 2020 Incentive Plan. The options vest in four equal installments on each of the first four anniversaries of the date of grant, subject to vesting conditions.</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008000"/>
        </w:rPr>
        <w:t>The Power of Attorney for Mr. Petras is filed as an exhibit to the Form 4 filed on September 12, 2024, which is incorporated by reference.</w:t>
      </w:r>
    </w:p>
    <w:p>
      <w:pPr>
        <w:ind w:left="6564"/>
        <w:spacing w:after="0" w:line="187" w:lineRule="auto"/>
        <w:rPr>
          <w:sz w:val="20"/>
          <w:szCs w:val="20"/>
          <w:color w:val="auto"/>
        </w:rPr>
      </w:pPr>
      <w:r>
        <w:rPr>
          <w:rFonts w:ascii="Times New Roman" w:cs="Times New Roman" w:eastAsia="Times New Roman" w:hAnsi="Times New Roman"/>
          <w:sz w:val="16"/>
          <w:szCs w:val="16"/>
          <w:color w:val="0000FF"/>
        </w:rPr>
        <w:t xml:space="preserve">Gregory S. Harvey, Attorney-in-  </w:t>
      </w:r>
      <w:r>
        <w:rPr>
          <w:rFonts w:ascii="Times New Roman" w:cs="Times New Roman" w:eastAsia="Times New Roman" w:hAnsi="Times New Roman"/>
          <w:sz w:val="32"/>
          <w:szCs w:val="32"/>
          <w:color w:val="0000FF"/>
          <w:vertAlign w:val="subscript"/>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-26035</wp:posOffset>
            </wp:positionV>
            <wp:extent cx="13258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-17780</wp:posOffset>
            </wp:positionV>
            <wp:extent cx="1752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0"/>
          <w:szCs w:val="20"/>
          <w:color w:val="auto"/>
        </w:r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80" w:hanging="4"/>
        <w:spacing w:after="0" w:line="32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38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2025-03-04T20:56:59Z</dcterms:created>
  <dcterms:modified xsi:type="dcterms:W3CDTF">2025-03-04T20:56:59Z</dcterms:modified>
</cp:coreProperties>
</file>