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3113d424b7.htm"/>
        <w:bookmarkStart w:id="1" w:name="ksd143113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424(b)(7)</w:t>
        <w:br/>
        <w:t xml:space="preserve">Registration No. 333-277418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and the accompanying prospectus, relating to an effective registration statement under the Securities Act of 1933, as amended, is not complete and may be changed. This preliminary prospectus supplement and the accompanying prospectus are not an offer to sell these securities and we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MAY 11,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February 27, 2024) </w:t>
      </w:r>
    </w:p>
    <w:p>
      <w:pPr>
        <w:pStyle w:val="TextBody"/>
        <w:bidi w:val="0"/>
        <w:spacing w:before="120" w:after="0"/>
        <w:ind w:left="960" w:right="960" w:hanging="0"/>
        <w:jc w:val="center"/>
        <w:rPr>
          <w:rFonts w:ascii="Times New Roman" w:hAnsi="Times New Roman"/>
          <w:b/>
          <w:sz w:val="36"/>
        </w:rPr>
      </w:pPr>
      <w:r>
        <w:rPr>
          <w:rFonts w:ascii="Times New Roman" w:hAnsi="Times New Roman"/>
          <w:b/>
          <w:sz w:val="36"/>
        </w:rPr>
        <w:t xml:space="preserve">31,838,253 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280160" cy="438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0160" cy="43878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of Sotera Health Company identified in this prospectus supplement are offering 31,838,253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Certain affiliates of Warburg Pincus LLC (“Warburg Pincus”) and GTCR LLC (“GTCR” and, together with Warburg Pincus, collectively, the “Sponsors”) have historically had special rights relating to our corporate governance including the right to designate directors to serve on our board of directors (the “Board”). Following this offering, the Sponsors are not expected to hold any remaining shares or be entitled to such rights. See “Summary—The Offering—Effect on Sponsors’ Rights.”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and traded on the Nasdaq Global Select Market (“Nasdaq”) under the symbol “SHC.” On May 8, 2026, the last reported sale price of our common stock on Nasdaq was $15.78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a high degree of risk. See “</w:t>
      </w:r>
      <w:hyperlink w:anchor="supp143113_6">
        <w:r>
          <w:rPr>
            <w:rStyle w:val="InternetLink"/>
            <w:rFonts w:ascii="Times New Roman" w:hAnsi="Times New Roman"/>
            <w:b/>
            <w:sz w:val="24"/>
          </w:rPr>
          <w:t>Risk Factors</w:t>
        </w:r>
      </w:hyperlink>
      <w:r>
        <w:rPr>
          <w:rFonts w:ascii="Times New Roman" w:hAnsi="Times New Roman"/>
          <w:b/>
          <w:sz w:val="24"/>
        </w:rPr>
        <w:t xml:space="preserve">” beginning on page S-11 of this prospectus supplement and in the documents incorporated by reference into this prospectus supplement to read about factors you should consider before deciding to invest in our common stock.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5032"/>
        <w:gridCol w:w="422"/>
        <w:gridCol w:w="172"/>
        <w:gridCol w:w="692"/>
        <w:gridCol w:w="74"/>
        <w:gridCol w:w="421"/>
        <w:gridCol w:w="173"/>
        <w:gridCol w:w="692"/>
        <w:gridCol w:w="77"/>
      </w:tblGrid>
      <w:tr>
        <w:trPr/>
        <w:tc>
          <w:tcPr>
            <w:tcW w:w="5032"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032"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7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7" w:type="dxa"/>
            <w:tcBorders/>
            <w:vAlign w:val="bottom"/>
          </w:tcPr>
          <w:p>
            <w:pPr>
              <w:pStyle w:val="TableContents"/>
              <w:bidi w:val="0"/>
              <w:spacing w:before="0" w:after="283"/>
              <w:jc w:val="left"/>
              <w:rPr/>
            </w:pPr>
            <w:r>
              <w:rPr/>
              <w:t> </w:t>
            </w:r>
          </w:p>
        </w:tc>
      </w:tr>
      <w:tr>
        <w:trPr/>
        <w:tc>
          <w:tcPr>
            <w:tcW w:w="5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4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503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4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r>
      <w:tr>
        <w:trPr/>
        <w:tc>
          <w:tcPr>
            <w:tcW w:w="5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 before expenses</w:t>
            </w:r>
          </w:p>
        </w:tc>
        <w:tc>
          <w:tcPr>
            <w:tcW w:w="4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Delivery of the shares of common stock is expected to be made on or about    , 2026.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2">
              <w:r>
                <w:rPr>
                  <w:rStyle w:val="InternetLink"/>
                  <w:rFonts w:ascii="Times New Roman" w:hAnsi="Times New Roman"/>
                  <w:sz w:val="20"/>
                </w:rPr>
                <w:t>MARKET AND INDUSTRY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5">
              <w:r>
                <w:rPr>
                  <w:rStyle w:val="InternetLink"/>
                  <w:rFonts w:ascii="Times New Roman" w:hAnsi="Times New Roman"/>
                  <w:sz w:val="20"/>
                </w:rPr>
                <w:t>SUMMARY HISTORICAL CONSOLIDATED FINANCIAL AND OTHER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6">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7">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8">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9">
              <w:r>
                <w:rPr>
                  <w:rStyle w:val="InternetLink"/>
                  <w:rFonts w:ascii="Times New Roman" w:hAnsi="Times New Roman"/>
                  <w:sz w:val="20"/>
                </w:rPr>
                <w:t>MATERIAL U.S. FEDERAL INCOME TAX CONSIDERATIONS FOR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10">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14">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143113_15">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10162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carefully read this prospectus supplement, the accompanying prospectus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143113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143113_2"/>
      <w:bookmarkEnd w:id="4"/>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143113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S-11 of this prospectus supplement and “Risk Factors” in Part I, Item 1A of our Annual Report on Form 10-K for the year ended December 31, 2025 (the “Annual Report”). </w:t>
      </w:r>
    </w:p>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2025,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trusted partner to customers in over 50 countries. We strive to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63 facilities worldwide, we have over 3,000 employees who are dedicated to safety and quality.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143113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5206" w:type="dxa"/>
            <w:tcBorders/>
          </w:tcPr>
          <w:p>
            <w:pPr>
              <w:pStyle w:val="TableContents"/>
              <w:bidi w:val="0"/>
              <w:spacing w:before="0" w:after="283"/>
              <w:jc w:val="left"/>
              <w:rPr/>
            </w:pPr>
            <w:r>
              <w:rPr/>
              <w:t xml:space="preserve">31,838,253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Selling stockholders </w:t>
            </w:r>
          </w:p>
        </w:tc>
        <w:tc>
          <w:tcPr>
            <w:tcW w:w="5206" w:type="dxa"/>
            <w:tcBorders/>
          </w:tcPr>
          <w:p>
            <w:pPr>
              <w:pStyle w:val="TableContents"/>
              <w:bidi w:val="0"/>
              <w:spacing w:before="0" w:after="283"/>
              <w:jc w:val="left"/>
              <w:rPr/>
            </w:pPr>
            <w:r>
              <w:rPr/>
              <w:t xml:space="preserve">See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5205" w:type="dxa"/>
            <w:tcBorders/>
          </w:tcPr>
          <w:p>
            <w:pPr>
              <w:pStyle w:val="TableContents"/>
              <w:bidi w:val="0"/>
              <w:spacing w:before="0" w:after="283"/>
              <w:jc w:val="left"/>
              <w:rPr/>
            </w:pPr>
            <w:r>
              <w:rPr/>
              <w:t xml:space="preserve">285,166,994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5205" w:type="dxa"/>
            <w:tcBorders/>
          </w:tcPr>
          <w:p>
            <w:pPr>
              <w:pStyle w:val="TableContents"/>
              <w:bidi w:val="0"/>
              <w:spacing w:before="0" w:after="283"/>
              <w:jc w:val="left"/>
              <w:rPr/>
            </w:pPr>
            <w:r>
              <w:rPr/>
              <w:t xml:space="preserve">The selling stockholders will receive all of the net proceeds from the sale of shares of common stock in this offering. We will not receive any proceeds from the sale of shares of common stock by the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Effect on Sponsors’ rights </w:t>
            </w:r>
          </w:p>
        </w:tc>
        <w:tc>
          <w:tcPr>
            <w:tcW w:w="5205" w:type="dxa"/>
            <w:tcBorders/>
          </w:tcPr>
          <w:p>
            <w:pPr>
              <w:pStyle w:val="TableContents"/>
              <w:bidi w:val="0"/>
              <w:spacing w:before="0" w:after="283"/>
              <w:jc w:val="left"/>
              <w:rPr/>
            </w:pPr>
            <w:r>
              <w:rPr/>
              <w:t xml:space="preserve">The Sponsors have historically had special rights relating to our corporate governance, including the right to designate directors to serve on our Board. For more information, see “Certain Sponsor Rights” in our Definitive Proxy Statement on Schedule 14A, filed with the SEC on April 8, 2026 and supplemented on May 5, 2026, which is incorporated by reference in this prospectus supplement. Following the completion of this offering, the Sponsors will no longer own any of our common stock and therefore their special corporate governance rights will terminate. Existing directors on our Board who were designated by the Sponsors are not, however, required to resign from the Board or its committees and may serve until the end of their terms. The Stockholders Agreement will terminate following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5204" w:type="dxa"/>
            <w:tcBorders/>
          </w:tcPr>
          <w:p>
            <w:pPr>
              <w:pStyle w:val="TableContents"/>
              <w:bidi w:val="0"/>
              <w:spacing w:before="0" w:after="283"/>
              <w:jc w:val="left"/>
              <w:rPr/>
            </w:pPr>
            <w:r>
              <w:rPr/>
              <w:t xml:space="preserve">We currently do not expect to pay dividends on our common stock. Instead, we anticipate that all of our earnings in the foreseeable future will be used for the operation and growth of our business and the repayment of indebtedness.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5204" w:type="dxa"/>
            <w:tcBorders/>
          </w:tcPr>
          <w:p>
            <w:pPr>
              <w:pStyle w:val="TableContents"/>
              <w:bidi w:val="0"/>
              <w:spacing w:before="0" w:after="283"/>
              <w:jc w:val="left"/>
              <w:rPr/>
            </w:pPr>
            <w:r>
              <w:rPr/>
              <w:t xml:space="preserve">Investing in our common stock involves a high degree of risk. See “Risk Factors”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2"/>
        <w:gridCol w:w="5203"/>
      </w:tblGrid>
      <w:tr>
        <w:trPr/>
        <w:tc>
          <w:tcPr>
            <w:tcW w:w="5002"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5203" w:type="dxa"/>
            <w:tcBorders/>
          </w:tcPr>
          <w:p>
            <w:pPr>
              <w:pStyle w:val="TableContents"/>
              <w:bidi w:val="0"/>
              <w:spacing w:before="0" w:after="283"/>
              <w:jc w:val="left"/>
              <w:rPr/>
            </w:pPr>
            <w:r>
              <w:rPr/>
              <w:t>“</w:t>
            </w:r>
            <w:r>
              <w:rPr/>
              <w:t xml:space="preserve">SHC”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number of shares of common stock to be outstanding after the offering is based on 285,166,994 shares of common stock outstanding as of April 28, 2026 and excludes as of such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7,636,983 shares of common stock issuable upon the exercise of outstanding options as of March 31, 2026, with a weighted average exercise price of $14.89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3,577,180 shares issuable pursuant to restricted stock units (“RSUs”) and performance stock units (“PSUs”) outstanding as of March 31, 2026, of which: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112,050 shares of common stock that have ceased to be issuable due to forfeitures of RSUs and PSUs subsequent to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17,135 such shares of common stock that have ceased to be issuable due to the vesting and settlement of RSUs subsequent to March 31, 2026 (and any shares of common stock that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following the satisfaction of tax withholding obligations in respect of such vested RSUs are included in the number of shares of common stock outstanding as of April 28, 2026 set forth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9,194 such shares of common stock that were released net of taxes between March 31, 2026 and April 28,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12,862,303 additional shares of common stock reserved for future awards under our 2020 Omnibus Incentive Plan (the “2020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143113_5"/>
      <w:bookmarkEnd w:id="7"/>
      <w:r>
        <w:rPr>
          <w:rFonts w:ascii="Times New Roman" w:hAnsi="Times New Roman"/>
          <w:b/>
          <w:sz w:val="20"/>
          <w:bdr w:val="single" w:sz="8" w:space="1" w:color="000000"/>
        </w:rPr>
        <w:t xml:space="preserve">SUMMARY HISTORICAL CONSOLIDATED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our summary historical consolidated financial and other data. The summary historical consolidated statements of operations data and statements of cash flows data for the years ended December 31, 2025, 2024 and 2023 and the summary historical balance sheet data as of December 31, 2025 and December 31, 2024 have been derived from our audited consolidated financial statements incorporated by reference from our Annual Report.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historical consolidated statements of operations data and statements of cash flows data for the three months ended March 31, 2026 and 2025 and the summary historical balance sheet data as of March 31, 2026 have been derived from our unaudited consolidated interim financial statements incorporated by reference from our Quarterly Report on Form 10-Q for the quarter ended March 31, 2026 (the “Q1 2026 Quarterly Report”).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and Q1 2026 Quarterly Report. Our historical results are not necessarily indicative of our results in any future period.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Statement of Operations Data: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419"/>
        <w:gridCol w:w="183"/>
        <w:gridCol w:w="140"/>
        <w:gridCol w:w="806"/>
        <w:gridCol w:w="157"/>
        <w:gridCol w:w="141"/>
        <w:gridCol w:w="140"/>
        <w:gridCol w:w="806"/>
        <w:gridCol w:w="155"/>
        <w:gridCol w:w="141"/>
        <w:gridCol w:w="140"/>
        <w:gridCol w:w="981"/>
        <w:gridCol w:w="155"/>
        <w:gridCol w:w="141"/>
        <w:gridCol w:w="140"/>
        <w:gridCol w:w="981"/>
        <w:gridCol w:w="155"/>
        <w:gridCol w:w="141"/>
        <w:gridCol w:w="140"/>
        <w:gridCol w:w="980"/>
        <w:gridCol w:w="163"/>
      </w:tblGrid>
      <w:tr>
        <w:trPr/>
        <w:tc>
          <w:tcPr>
            <w:tcW w:w="3419"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19"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9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3" w:type="dxa"/>
            <w:tcBorders/>
            <w:vAlign w:val="bottom"/>
          </w:tcPr>
          <w:p>
            <w:pPr>
              <w:pStyle w:val="TableContents"/>
              <w:bidi w:val="0"/>
              <w:spacing w:before="0" w:after="283"/>
              <w:jc w:val="left"/>
              <w:rPr/>
            </w:pPr>
            <w:r>
              <w:rPr/>
              <w:t> </w:t>
            </w:r>
          </w:p>
        </w:tc>
      </w:tr>
      <w:tr>
        <w:trPr/>
        <w:tc>
          <w:tcPr>
            <w:tcW w:w="3419" w:type="dxa"/>
            <w:tcBorders/>
            <w:vAlign w:val="bottom"/>
          </w:tcPr>
          <w:p>
            <w:pPr>
              <w:pStyle w:val="TableContents"/>
              <w:bidi w:val="0"/>
              <w:spacing w:before="0" w:after="283"/>
              <w:jc w:val="left"/>
              <w:rPr/>
            </w:pPr>
            <w:r>
              <w:rPr>
                <w:b/>
              </w:rPr>
              <w:t>(</w:t>
            </w:r>
            <w:r>
              <w:rPr>
                <w:i/>
              </w:rPr>
              <w:t>in thousands, except per share amounts)</w:t>
            </w:r>
          </w:p>
        </w:tc>
        <w:tc>
          <w:tcPr>
            <w:tcW w:w="183"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r>
      <w:tr>
        <w:trPr/>
        <w:tc>
          <w:tcPr>
            <w:tcW w:w="34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419"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241,608</w:t>
            </w:r>
          </w:p>
        </w:tc>
        <w:tc>
          <w:tcPr>
            <w:tcW w:w="1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223,940</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995,756</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941,822</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905,598</w:t>
            </w:r>
          </w:p>
        </w:tc>
        <w:tc>
          <w:tcPr>
            <w:tcW w:w="163" w:type="dxa"/>
            <w:tcBorders/>
            <w:vAlign w:val="bottom"/>
          </w:tcPr>
          <w:p>
            <w:pPr>
              <w:pStyle w:val="TableContents"/>
              <w:bidi w:val="0"/>
              <w:spacing w:before="0" w:after="283"/>
              <w:jc w:val="left"/>
              <w:rPr/>
            </w:pPr>
            <w:r>
              <w:rPr/>
              <w:t> </w:t>
            </w:r>
          </w:p>
        </w:tc>
      </w:tr>
      <w:tr>
        <w:trPr/>
        <w:tc>
          <w:tcPr>
            <w:tcW w:w="3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38,437</w:t>
            </w:r>
          </w:p>
        </w:tc>
        <w:tc>
          <w:tcPr>
            <w:tcW w:w="1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30,583</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167,861</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158,619</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143,690</w:t>
            </w:r>
          </w:p>
        </w:tc>
        <w:tc>
          <w:tcPr>
            <w:tcW w:w="163" w:type="dxa"/>
            <w:tcBorders/>
            <w:shd w:fill="CCEEFF" w:val="clear"/>
            <w:vAlign w:val="bottom"/>
          </w:tcPr>
          <w:p>
            <w:pPr>
              <w:pStyle w:val="TableContents"/>
              <w:bidi w:val="0"/>
              <w:spacing w:before="0" w:after="283"/>
              <w:jc w:val="left"/>
              <w:rPr/>
            </w:pPr>
            <w:r>
              <w:rPr/>
              <w:t> </w:t>
            </w:r>
          </w:p>
        </w:tc>
      </w:tr>
      <w:tr>
        <w:trPr/>
        <w:tc>
          <w:tcPr>
            <w:tcW w:w="3419"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41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280,045</w:t>
            </w:r>
          </w:p>
        </w:tc>
        <w:tc>
          <w:tcPr>
            <w:tcW w:w="1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254,523</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1,163,617</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1,100,441</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1,049,288</w:t>
            </w:r>
          </w:p>
        </w:tc>
        <w:tc>
          <w:tcPr>
            <w:tcW w:w="163" w:type="dxa"/>
            <w:tcBorders/>
            <w:vAlign w:val="bottom"/>
          </w:tcPr>
          <w:p>
            <w:pPr>
              <w:pStyle w:val="TableContents"/>
              <w:bidi w:val="0"/>
              <w:spacing w:before="0" w:after="283"/>
              <w:jc w:val="left"/>
              <w:rPr/>
            </w:pPr>
            <w:r>
              <w:rPr/>
              <w:t> </w:t>
            </w:r>
          </w:p>
        </w:tc>
      </w:tr>
      <w:tr>
        <w:trPr/>
        <w:tc>
          <w:tcPr>
            <w:tcW w:w="3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118,828</w:t>
            </w:r>
          </w:p>
        </w:tc>
        <w:tc>
          <w:tcPr>
            <w:tcW w:w="1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107,629</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456,311</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439,543</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418,611</w:t>
            </w:r>
          </w:p>
        </w:tc>
        <w:tc>
          <w:tcPr>
            <w:tcW w:w="163" w:type="dxa"/>
            <w:tcBorders/>
            <w:shd w:fill="CCEEFF" w:val="clear"/>
            <w:vAlign w:val="bottom"/>
          </w:tcPr>
          <w:p>
            <w:pPr>
              <w:pStyle w:val="TableContents"/>
              <w:bidi w:val="0"/>
              <w:spacing w:before="0" w:after="283"/>
              <w:jc w:val="left"/>
              <w:rPr/>
            </w:pPr>
            <w:r>
              <w:rPr/>
              <w:t> </w:t>
            </w:r>
          </w:p>
        </w:tc>
      </w:tr>
      <w:tr>
        <w:trPr/>
        <w:tc>
          <w:tcPr>
            <w:tcW w:w="3419" w:type="dxa"/>
            <w:tcBorders/>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14,148</w:t>
            </w:r>
          </w:p>
        </w:tc>
        <w:tc>
          <w:tcPr>
            <w:tcW w:w="1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11,462</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61,772</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58,603</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53,519</w:t>
            </w:r>
          </w:p>
        </w:tc>
        <w:tc>
          <w:tcPr>
            <w:tcW w:w="163" w:type="dxa"/>
            <w:tcBorders/>
            <w:vAlign w:val="bottom"/>
          </w:tcPr>
          <w:p>
            <w:pPr>
              <w:pStyle w:val="TableContents"/>
              <w:bidi w:val="0"/>
              <w:spacing w:before="0" w:after="283"/>
              <w:jc w:val="left"/>
              <w:rPr/>
            </w:pPr>
            <w:r>
              <w:rPr/>
              <w:t> </w:t>
            </w:r>
          </w:p>
        </w:tc>
      </w:tr>
      <w:tr>
        <w:trPr/>
        <w:tc>
          <w:tcPr>
            <w:tcW w:w="3419"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4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cost of revenues</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132,976</w:t>
            </w:r>
          </w:p>
        </w:tc>
        <w:tc>
          <w:tcPr>
            <w:tcW w:w="1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119,091</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518,083</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498,146</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472,130</w:t>
            </w:r>
          </w:p>
        </w:tc>
        <w:tc>
          <w:tcPr>
            <w:tcW w:w="163" w:type="dxa"/>
            <w:tcBorders/>
            <w:shd w:fill="CCEEFF" w:val="clear"/>
            <w:vAlign w:val="bottom"/>
          </w:tcPr>
          <w:p>
            <w:pPr>
              <w:pStyle w:val="TableContents"/>
              <w:bidi w:val="0"/>
              <w:spacing w:before="0" w:after="283"/>
              <w:jc w:val="left"/>
              <w:rPr/>
            </w:pPr>
            <w:r>
              <w:rPr/>
              <w:t> </w:t>
            </w:r>
          </w:p>
        </w:tc>
      </w:tr>
      <w:tr>
        <w:trPr/>
        <w:tc>
          <w:tcPr>
            <w:tcW w:w="3419"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419"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147,069</w:t>
            </w:r>
          </w:p>
        </w:tc>
        <w:tc>
          <w:tcPr>
            <w:tcW w:w="1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135,432</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645,534</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602,295</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577,158</w:t>
            </w:r>
          </w:p>
        </w:tc>
        <w:tc>
          <w:tcPr>
            <w:tcW w:w="163" w:type="dxa"/>
            <w:tcBorders/>
            <w:vAlign w:val="bottom"/>
          </w:tcPr>
          <w:p>
            <w:pPr>
              <w:pStyle w:val="TableContents"/>
              <w:bidi w:val="0"/>
              <w:spacing w:before="0" w:after="283"/>
              <w:jc w:val="left"/>
              <w:rPr/>
            </w:pPr>
            <w:r>
              <w:rPr/>
              <w:t> </w:t>
            </w:r>
          </w:p>
        </w:tc>
      </w:tr>
      <w:tr>
        <w:trPr/>
        <w:tc>
          <w:tcPr>
            <w:tcW w:w="3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68,211</w:t>
            </w:r>
          </w:p>
        </w:tc>
        <w:tc>
          <w:tcPr>
            <w:tcW w:w="1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63,061</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252,762</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242,630</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236,667</w:t>
            </w:r>
          </w:p>
        </w:tc>
        <w:tc>
          <w:tcPr>
            <w:tcW w:w="163" w:type="dxa"/>
            <w:tcBorders/>
            <w:shd w:fill="CCEEFF" w:val="clear"/>
            <w:vAlign w:val="bottom"/>
          </w:tcPr>
          <w:p>
            <w:pPr>
              <w:pStyle w:val="TableContents"/>
              <w:bidi w:val="0"/>
              <w:spacing w:before="0" w:after="283"/>
              <w:jc w:val="left"/>
              <w:rPr/>
            </w:pPr>
            <w:r>
              <w:rPr/>
              <w:t> </w:t>
            </w:r>
          </w:p>
        </w:tc>
      </w:tr>
      <w:tr>
        <w:trPr/>
        <w:tc>
          <w:tcPr>
            <w:tcW w:w="341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3,031</w:t>
            </w:r>
          </w:p>
        </w:tc>
        <w:tc>
          <w:tcPr>
            <w:tcW w:w="1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15,327</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30,738</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62,039</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63,799</w:t>
            </w:r>
          </w:p>
        </w:tc>
        <w:tc>
          <w:tcPr>
            <w:tcW w:w="163" w:type="dxa"/>
            <w:tcBorders/>
            <w:vAlign w:val="bottom"/>
          </w:tcPr>
          <w:p>
            <w:pPr>
              <w:pStyle w:val="TableContents"/>
              <w:bidi w:val="0"/>
              <w:spacing w:before="0" w:after="283"/>
              <w:jc w:val="left"/>
              <w:rPr/>
            </w:pPr>
            <w:r>
              <w:rPr/>
              <w:t> </w:t>
            </w:r>
          </w:p>
        </w:tc>
      </w:tr>
      <w:tr>
        <w:trPr/>
        <w:tc>
          <w:tcPr>
            <w:tcW w:w="3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34,745</w:t>
            </w:r>
          </w:p>
        </w:tc>
        <w:tc>
          <w:tcPr>
            <w:tcW w:w="1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40,876</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155,722</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164,691</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142,878</w:t>
            </w:r>
          </w:p>
        </w:tc>
        <w:tc>
          <w:tcPr>
            <w:tcW w:w="163" w:type="dxa"/>
            <w:tcBorders/>
            <w:shd w:fill="CCEEFF" w:val="clear"/>
            <w:vAlign w:val="bottom"/>
          </w:tcPr>
          <w:p>
            <w:pPr>
              <w:pStyle w:val="TableContents"/>
              <w:bidi w:val="0"/>
              <w:spacing w:before="0" w:after="283"/>
              <w:jc w:val="left"/>
              <w:rPr/>
            </w:pPr>
            <w:r>
              <w:rPr/>
              <w:t> </w:t>
            </w:r>
          </w:p>
        </w:tc>
      </w:tr>
      <w:tr>
        <w:trPr/>
        <w:tc>
          <w:tcPr>
            <w:tcW w:w="3419" w:type="dxa"/>
            <w:tcBorders/>
          </w:tcPr>
          <w:p>
            <w:pPr>
              <w:pStyle w:val="TableContents"/>
              <w:bidi w:val="0"/>
              <w:spacing w:before="0" w:after="0"/>
              <w:jc w:val="left"/>
              <w:rPr>
                <w:rFonts w:ascii="Times New Roman" w:hAnsi="Times New Roman"/>
                <w:sz w:val="20"/>
              </w:rPr>
            </w:pPr>
            <w:r>
              <w:rPr>
                <w:rFonts w:ascii="Times New Roman" w:hAnsi="Times New Roman"/>
                <w:sz w:val="20"/>
              </w:rPr>
              <w:t>Loss on refinancing of debt</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1,462</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24,168</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settlements</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30,943</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64,943</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3419" w:type="dxa"/>
            <w:tcBorders/>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35,000</w:t>
            </w:r>
          </w:p>
        </w:tc>
        <w:tc>
          <w:tcPr>
            <w:tcW w:w="163" w:type="dxa"/>
            <w:tcBorders/>
            <w:vAlign w:val="bottom"/>
          </w:tcPr>
          <w:p>
            <w:pPr>
              <w:pStyle w:val="TableContents"/>
              <w:bidi w:val="0"/>
              <w:spacing w:before="0" w:after="283"/>
              <w:jc w:val="left"/>
              <w:rPr/>
            </w:pPr>
            <w:r>
              <w:rPr/>
              <w:t> </w:t>
            </w:r>
          </w:p>
        </w:tc>
      </w:tr>
      <w:tr>
        <w:trPr/>
        <w:tc>
          <w:tcPr>
            <w:tcW w:w="3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(571</w:t>
            </w:r>
          </w:p>
        </w:tc>
        <w:tc>
          <w:tcPr>
            <w:tcW w:w="1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289</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947</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159</w:t>
            </w:r>
          </w:p>
        </w:tc>
        <w:tc>
          <w:tcPr>
            <w:tcW w:w="163" w:type="dxa"/>
            <w:tcBorders/>
            <w:shd w:fill="CCEEFF" w:val="clear"/>
            <w:vAlign w:val="bottom"/>
          </w:tcPr>
          <w:p>
            <w:pPr>
              <w:pStyle w:val="TableContents"/>
              <w:bidi w:val="0"/>
              <w:spacing w:before="0" w:after="283"/>
              <w:jc w:val="left"/>
              <w:rPr/>
            </w:pPr>
            <w:r>
              <w:rPr/>
              <w:t> </w:t>
            </w:r>
          </w:p>
        </w:tc>
      </w:tr>
      <w:tr>
        <w:trPr/>
        <w:tc>
          <w:tcPr>
            <w:tcW w:w="341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(960</w:t>
            </w:r>
          </w:p>
        </w:tc>
        <w:tc>
          <w:tcPr>
            <w:tcW w:w="1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(8,546</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(5,306</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(7,372</w:t>
            </w:r>
          </w:p>
        </w:tc>
        <w:tc>
          <w:tcPr>
            <w:tcW w:w="163" w:type="dxa"/>
            <w:tcBorders/>
            <w:vAlign w:val="bottom"/>
          </w:tcPr>
          <w:p>
            <w:pPr>
              <w:pStyle w:val="TableContents"/>
              <w:bidi w:val="0"/>
              <w:spacing w:before="0" w:after="283"/>
              <w:jc w:val="left"/>
              <w:rPr/>
            </w:pPr>
            <w:r>
              <w:rPr/>
              <w:t>) </w:t>
            </w:r>
          </w:p>
        </w:tc>
      </w:tr>
      <w:tr>
        <w:trPr/>
        <w:tc>
          <w:tcPr>
            <w:tcW w:w="3419"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4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42,613</w:t>
            </w:r>
          </w:p>
        </w:tc>
        <w:tc>
          <w:tcPr>
            <w:tcW w:w="1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(14,823</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147,506</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113,874</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106,027</w:t>
            </w:r>
          </w:p>
        </w:tc>
        <w:tc>
          <w:tcPr>
            <w:tcW w:w="163" w:type="dxa"/>
            <w:tcBorders/>
            <w:shd w:fill="CCEEFF" w:val="clear"/>
            <w:vAlign w:val="bottom"/>
          </w:tcPr>
          <w:p>
            <w:pPr>
              <w:pStyle w:val="TableContents"/>
              <w:bidi w:val="0"/>
              <w:spacing w:before="0" w:after="283"/>
              <w:jc w:val="left"/>
              <w:rPr/>
            </w:pPr>
            <w:r>
              <w:rPr/>
              <w:t> </w:t>
            </w:r>
          </w:p>
        </w:tc>
      </w:tr>
      <w:tr>
        <w:trPr/>
        <w:tc>
          <w:tcPr>
            <w:tcW w:w="3419"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16,024</w:t>
            </w:r>
          </w:p>
        </w:tc>
        <w:tc>
          <w:tcPr>
            <w:tcW w:w="1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(1,563</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69,557</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69,476</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54,651</w:t>
            </w:r>
          </w:p>
        </w:tc>
        <w:tc>
          <w:tcPr>
            <w:tcW w:w="163" w:type="dxa"/>
            <w:tcBorders/>
            <w:vAlign w:val="bottom"/>
          </w:tcPr>
          <w:p>
            <w:pPr>
              <w:pStyle w:val="TableContents"/>
              <w:bidi w:val="0"/>
              <w:spacing w:before="0" w:after="283"/>
              <w:jc w:val="left"/>
              <w:rPr/>
            </w:pPr>
            <w:r>
              <w:rPr/>
              <w:t> </w:t>
            </w:r>
          </w:p>
        </w:tc>
      </w:tr>
      <w:tr>
        <w:trPr/>
        <w:tc>
          <w:tcPr>
            <w:tcW w:w="3419"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4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26,589</w:t>
            </w:r>
          </w:p>
        </w:tc>
        <w:tc>
          <w:tcPr>
            <w:tcW w:w="1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(13,260</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77,949</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44,398</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51,376</w:t>
            </w:r>
          </w:p>
        </w:tc>
        <w:tc>
          <w:tcPr>
            <w:tcW w:w="163" w:type="dxa"/>
            <w:tcBorders/>
            <w:shd w:fill="CCEEFF" w:val="clear"/>
            <w:vAlign w:val="bottom"/>
          </w:tcPr>
          <w:p>
            <w:pPr>
              <w:pStyle w:val="TableContents"/>
              <w:bidi w:val="0"/>
              <w:spacing w:before="0" w:after="283"/>
              <w:jc w:val="left"/>
              <w:rPr/>
            </w:pPr>
            <w:r>
              <w:rPr/>
              <w:t> </w:t>
            </w:r>
          </w:p>
        </w:tc>
      </w:tr>
      <w:tr>
        <w:trPr/>
        <w:tc>
          <w:tcPr>
            <w:tcW w:w="3419"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648"/>
        <w:gridCol w:w="188"/>
        <w:gridCol w:w="140"/>
        <w:gridCol w:w="823"/>
        <w:gridCol w:w="161"/>
        <w:gridCol w:w="146"/>
        <w:gridCol w:w="140"/>
        <w:gridCol w:w="823"/>
        <w:gridCol w:w="161"/>
        <w:gridCol w:w="146"/>
        <w:gridCol w:w="140"/>
        <w:gridCol w:w="876"/>
        <w:gridCol w:w="161"/>
        <w:gridCol w:w="146"/>
        <w:gridCol w:w="140"/>
        <w:gridCol w:w="875"/>
        <w:gridCol w:w="161"/>
        <w:gridCol w:w="146"/>
        <w:gridCol w:w="140"/>
        <w:gridCol w:w="876"/>
        <w:gridCol w:w="168"/>
      </w:tblGrid>
      <w:tr>
        <w:trPr/>
        <w:tc>
          <w:tcPr>
            <w:tcW w:w="364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4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6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8"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i/>
              </w:rPr>
            </w:pPr>
            <w:r>
              <w:rPr>
                <w:i/>
              </w:rPr>
              <w:t>(in thousands, except per share amounts)</w:t>
            </w:r>
          </w:p>
        </w:tc>
        <w:tc>
          <w:tcPr>
            <w:tcW w:w="188"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8"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benefits (net of taxes of $(36), $3, $600, $2,804 and $(3,420), respectively)</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(104</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10</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2,386</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8,462</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(10,506</w:t>
            </w:r>
          </w:p>
        </w:tc>
        <w:tc>
          <w:tcPr>
            <w:tcW w:w="168"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 derivatives (net of taxes of $560, $(266), $(718), $(1,856) and $(5,467), respectively)</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1,633</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(772</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(2,088</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(5,396</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(15,697</w:t>
            </w:r>
          </w:p>
        </w:tc>
        <w:tc>
          <w:tcPr>
            <w:tcW w:w="168" w:type="dxa"/>
            <w:tcBorders/>
            <w:shd w:fill="CCEEFF" w:val="clear"/>
            <w:vAlign w:val="bottom"/>
          </w:tcPr>
          <w:p>
            <w:pPr>
              <w:pStyle w:val="TableContents"/>
              <w:bidi w:val="0"/>
              <w:spacing w:before="0" w:after="283"/>
              <w:jc w:val="left"/>
              <w:rPr/>
            </w:pPr>
            <w:r>
              <w:rPr/>
              <w:t>) </w:t>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(17,631</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19,560</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98,115</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(118,635</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40,174</w:t>
            </w:r>
          </w:p>
        </w:tc>
        <w:tc>
          <w:tcPr>
            <w:tcW w:w="168"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10,487</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5,538</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176,362</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(71,171</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65,347</w:t>
            </w:r>
          </w:p>
        </w:tc>
        <w:tc>
          <w:tcPr>
            <w:tcW w:w="168" w:type="dxa"/>
            <w:tcBorders/>
            <w:shd w:fill="CCEEFF" w:val="clear"/>
            <w:vAlign w:val="bottom"/>
          </w:tcPr>
          <w:p>
            <w:pPr>
              <w:pStyle w:val="TableContents"/>
              <w:bidi w:val="0"/>
              <w:spacing w:before="0" w:after="283"/>
              <w:jc w:val="left"/>
              <w:rPr/>
            </w:pPr>
            <w:r>
              <w:rPr/>
              <w:t> </w:t>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share:</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0.09</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(0.05</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0.27</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0.16</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0.18</w:t>
            </w:r>
          </w:p>
        </w:tc>
        <w:tc>
          <w:tcPr>
            <w:tcW w:w="168" w:type="dxa"/>
            <w:tcBorders/>
            <w:shd w:fill="CCEEFF" w:val="clear"/>
            <w:vAlign w:val="bottom"/>
          </w:tcPr>
          <w:p>
            <w:pPr>
              <w:pStyle w:val="TableContents"/>
              <w:bidi w:val="0"/>
              <w:spacing w:before="0" w:after="283"/>
              <w:jc w:val="left"/>
              <w:rPr/>
            </w:pPr>
            <w:r>
              <w:rPr/>
              <w:t> </w:t>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29,435</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55,521</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287,195</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224,164</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(147,732</w:t>
            </w:r>
          </w:p>
        </w:tc>
        <w:tc>
          <w:tcPr>
            <w:tcW w:w="168"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(45,128</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(19,881</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(135,144</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(178,996</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(214,906</w:t>
            </w:r>
          </w:p>
        </w:tc>
        <w:tc>
          <w:tcPr>
            <w:tcW w:w="168" w:type="dxa"/>
            <w:tcBorders/>
            <w:shd w:fill="CCEEFF" w:val="clear"/>
            <w:vAlign w:val="bottom"/>
          </w:tcPr>
          <w:p>
            <w:pPr>
              <w:pStyle w:val="TableContents"/>
              <w:bidi w:val="0"/>
              <w:spacing w:before="0" w:after="283"/>
              <w:jc w:val="left"/>
              <w:rPr/>
            </w:pPr>
            <w:r>
              <w:rPr/>
              <w:t>) </w:t>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(12,779</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(8,087</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(100,534</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(50,564</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265,959</w:t>
            </w:r>
          </w:p>
        </w:tc>
        <w:tc>
          <w:tcPr>
            <w:tcW w:w="168"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Income(a)</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52,366</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39,044</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245,414</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198,500</w:t>
            </w:r>
          </w:p>
        </w:tc>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204,326</w:t>
            </w:r>
          </w:p>
        </w:tc>
        <w:tc>
          <w:tcPr>
            <w:tcW w:w="168" w:type="dxa"/>
            <w:tcBorders/>
            <w:shd w:fill="CCEEFF" w:val="clear"/>
            <w:vAlign w:val="bottom"/>
          </w:tcPr>
          <w:p>
            <w:pPr>
              <w:pStyle w:val="TableContents"/>
              <w:bidi w:val="0"/>
              <w:spacing w:before="0" w:after="283"/>
              <w:jc w:val="left"/>
              <w:rPr/>
            </w:pPr>
            <w:r>
              <w:rPr/>
              <w:t> </w:t>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EBITDA(a)</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134,653</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121,839</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593,801</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548,574</w:t>
            </w:r>
          </w:p>
        </w:tc>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528,029</w:t>
            </w:r>
          </w:p>
        </w:tc>
        <w:tc>
          <w:tcPr>
            <w:tcW w:w="168"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(as defined below), to Adjusted Net Income and Adjusted EBITDA, see “ —Non-GAAP Financial Measures.”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770"/>
        <w:gridCol w:w="294"/>
        <w:gridCol w:w="140"/>
        <w:gridCol w:w="983"/>
        <w:gridCol w:w="60"/>
        <w:gridCol w:w="294"/>
        <w:gridCol w:w="140"/>
        <w:gridCol w:w="983"/>
        <w:gridCol w:w="60"/>
        <w:gridCol w:w="294"/>
        <w:gridCol w:w="140"/>
        <w:gridCol w:w="983"/>
        <w:gridCol w:w="64"/>
      </w:tblGrid>
      <w:tr>
        <w:trPr/>
        <w:tc>
          <w:tcPr>
            <w:tcW w:w="577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7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March 31,</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577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7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770"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equivalents(a)</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314,147</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344,621</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277,242</w:t>
            </w:r>
          </w:p>
        </w:tc>
        <w:tc>
          <w:tcPr>
            <w:tcW w:w="64" w:type="dxa"/>
            <w:tcBorders/>
            <w:shd w:fill="CCEEFF" w:val="clear"/>
            <w:vAlign w:val="bottom"/>
          </w:tcPr>
          <w:p>
            <w:pPr>
              <w:pStyle w:val="TableContents"/>
              <w:bidi w:val="0"/>
              <w:spacing w:before="0" w:after="283"/>
              <w:jc w:val="left"/>
              <w:rPr/>
            </w:pPr>
            <w:r>
              <w:rPr/>
              <w:t> </w:t>
            </w:r>
          </w:p>
        </w:tc>
      </w:tr>
      <w:tr>
        <w:trPr/>
        <w:tc>
          <w:tcPr>
            <w:tcW w:w="5770"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capital(b)</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378,167</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363,826</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335,035</w:t>
            </w:r>
          </w:p>
        </w:tc>
        <w:tc>
          <w:tcPr>
            <w:tcW w:w="64" w:type="dxa"/>
            <w:tcBorders/>
            <w:vAlign w:val="bottom"/>
          </w:tcPr>
          <w:p>
            <w:pPr>
              <w:pStyle w:val="TableContents"/>
              <w:bidi w:val="0"/>
              <w:spacing w:before="0" w:after="283"/>
              <w:jc w:val="left"/>
              <w:rPr/>
            </w:pPr>
            <w:r>
              <w:rPr/>
              <w:t> </w:t>
            </w:r>
          </w:p>
        </w:tc>
      </w:tr>
      <w:tr>
        <w:trPr/>
        <w:tc>
          <w:tcPr>
            <w:tcW w:w="5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3,235,898</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3,263,190</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3,071,648</w:t>
            </w:r>
          </w:p>
        </w:tc>
        <w:tc>
          <w:tcPr>
            <w:tcW w:w="64" w:type="dxa"/>
            <w:tcBorders/>
            <w:shd w:fill="CCEEFF" w:val="clear"/>
            <w:vAlign w:val="bottom"/>
          </w:tcPr>
          <w:p>
            <w:pPr>
              <w:pStyle w:val="TableContents"/>
              <w:bidi w:val="0"/>
              <w:spacing w:before="0" w:after="283"/>
              <w:jc w:val="left"/>
              <w:rPr/>
            </w:pPr>
            <w:r>
              <w:rPr/>
              <w:t> </w:t>
            </w:r>
          </w:p>
        </w:tc>
      </w:tr>
      <w:tr>
        <w:trPr/>
        <w:tc>
          <w:tcPr>
            <w:tcW w:w="5770"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(including current portion, less unamortized debt issuance costs and debt discounts)</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2,138,310</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2,140,697</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2,222,903</w:t>
            </w:r>
          </w:p>
        </w:tc>
        <w:tc>
          <w:tcPr>
            <w:tcW w:w="64" w:type="dxa"/>
            <w:tcBorders/>
            <w:vAlign w:val="bottom"/>
          </w:tcPr>
          <w:p>
            <w:pPr>
              <w:pStyle w:val="TableContents"/>
              <w:bidi w:val="0"/>
              <w:spacing w:before="0" w:after="283"/>
              <w:jc w:val="left"/>
              <w:rPr/>
            </w:pPr>
            <w:r>
              <w:rPr/>
              <w:t> </w:t>
            </w:r>
          </w:p>
        </w:tc>
      </w:tr>
      <w:tr>
        <w:trPr/>
        <w:tc>
          <w:tcPr>
            <w:tcW w:w="5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2,613,393</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2,657,155</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2,666,737</w:t>
            </w:r>
          </w:p>
        </w:tc>
        <w:tc>
          <w:tcPr>
            <w:tcW w:w="64" w:type="dxa"/>
            <w:tcBorders/>
            <w:shd w:fill="CCEEFF" w:val="clear"/>
            <w:vAlign w:val="bottom"/>
          </w:tcPr>
          <w:p>
            <w:pPr>
              <w:pStyle w:val="TableContents"/>
              <w:bidi w:val="0"/>
              <w:spacing w:before="0" w:after="283"/>
              <w:jc w:val="left"/>
              <w:rPr/>
            </w:pPr>
            <w:r>
              <w:rPr/>
              <w:t> </w:t>
            </w:r>
          </w:p>
        </w:tc>
      </w:tr>
      <w:tr>
        <w:trPr/>
        <w:tc>
          <w:tcPr>
            <w:tcW w:w="5770"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622,505</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606,035</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404,911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excludes restricted cash.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represents current assets less current liabilities.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supplement our consolidated financial statements presented in accordance with Generally Accepted Accounting Principles (“GAAP”), we consider Adjusted Net Income and Adjusted EBITDA, financial measures that are not based on any standardized methodology prescribed by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Cobalt-60 (“Co-60”) used in our operations) and income tax provision applicable to Adjusted Net Income.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recurring non-cash charges such as depreciation of fixed assets, although these assets may have to be replaced in the future, as well as amortization of acquired intangible assets and asset retirement obligations (“ARO”);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acquiring and integrating businesses, which will continue to be a part of our growth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or losses from fluctuations in foreign currency exchange rates, and the mark-to-fair value of derivatives not designated as hedging instruments, which includes the embedded derivatives relating to certain customer and supply contracts at Nordion;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long-lived assets, intangible assets and investments accounted for under the equity method;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on refinancing of debt incurred in connection with refinancing or early extinguishment of long-term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the secondary offering of our common stock and other shareholder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and charges related to the litigation, settlement agreements, and other activities associated with our ethylene oxide (“EO”) sterilization facilities, including those related to Willowbrook, Illinois, Atlanta, Georgia, Santa Teresa, New Mexico and Vernon, California;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Adjusted EBITDA, interest expense or the cash requirements necessary to service interest or principal payments on our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 which has been, and will continue to be for the foreseeable future, a significant recurring expense and an important part of our compensation strategy.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reconciliation of net income (loss), the most directly comparable financial measure calculated and presented in accordance with GAAP to Adjusted Net Income and Adjusted EBITDA, for each of the periods indicated: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923"/>
        <w:gridCol w:w="191"/>
        <w:gridCol w:w="140"/>
        <w:gridCol w:w="800"/>
        <w:gridCol w:w="156"/>
        <w:gridCol w:w="152"/>
        <w:gridCol w:w="140"/>
        <w:gridCol w:w="800"/>
        <w:gridCol w:w="155"/>
        <w:gridCol w:w="152"/>
        <w:gridCol w:w="140"/>
        <w:gridCol w:w="800"/>
        <w:gridCol w:w="155"/>
        <w:gridCol w:w="152"/>
        <w:gridCol w:w="140"/>
        <w:gridCol w:w="800"/>
        <w:gridCol w:w="155"/>
        <w:gridCol w:w="152"/>
        <w:gridCol w:w="140"/>
        <w:gridCol w:w="800"/>
        <w:gridCol w:w="162"/>
      </w:tblGrid>
      <w:tr>
        <w:trPr/>
        <w:tc>
          <w:tcPr>
            <w:tcW w:w="392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2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21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343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2" w:type="dxa"/>
            <w:tcBorders/>
            <w:vAlign w:val="bottom"/>
          </w:tcPr>
          <w:p>
            <w:pPr>
              <w:pStyle w:val="TableContents"/>
              <w:bidi w:val="0"/>
              <w:spacing w:before="0" w:after="283"/>
              <w:jc w:val="left"/>
              <w:rPr/>
            </w:pPr>
            <w:r>
              <w:rPr/>
              <w:t> </w:t>
            </w:r>
          </w:p>
        </w:tc>
      </w:tr>
      <w:tr>
        <w:trPr/>
        <w:tc>
          <w:tcPr>
            <w:tcW w:w="3923" w:type="dxa"/>
            <w:tcBorders/>
            <w:vAlign w:val="bottom"/>
          </w:tcPr>
          <w:p>
            <w:pPr>
              <w:pStyle w:val="TableContents"/>
              <w:bidi w:val="0"/>
              <w:spacing w:before="0" w:after="283"/>
              <w:jc w:val="left"/>
              <w:rPr>
                <w:i/>
              </w:rPr>
            </w:pPr>
            <w:r>
              <w:rPr>
                <w:i/>
              </w:rPr>
              <w:t>(in thousands)</w:t>
            </w:r>
          </w:p>
        </w:tc>
        <w:tc>
          <w:tcPr>
            <w:tcW w:w="191"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39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26,589</w:t>
            </w:r>
          </w:p>
        </w:tc>
        <w:tc>
          <w:tcPr>
            <w:tcW w:w="15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(13,260</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77,949</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44,398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51,376</w:t>
            </w:r>
          </w:p>
        </w:tc>
        <w:tc>
          <w:tcPr>
            <w:tcW w:w="162" w:type="dxa"/>
            <w:tcBorders/>
            <w:shd w:fill="CCEEFF" w:val="clear"/>
            <w:vAlign w:val="bottom"/>
          </w:tcPr>
          <w:p>
            <w:pPr>
              <w:pStyle w:val="TableContents"/>
              <w:bidi w:val="0"/>
              <w:spacing w:before="0" w:after="283"/>
              <w:jc w:val="left"/>
              <w:rPr/>
            </w:pPr>
            <w:r>
              <w:rPr/>
              <w:t> </w:t>
            </w:r>
          </w:p>
        </w:tc>
      </w:tr>
      <w:tr>
        <w:trPr/>
        <w:tc>
          <w:tcPr>
            <w:tcW w:w="392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5,602</w:t>
            </w:r>
          </w:p>
        </w:tc>
        <w:tc>
          <w:tcPr>
            <w:tcW w:w="1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18,674</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41,798</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79,377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81,348</w:t>
            </w:r>
          </w:p>
        </w:tc>
        <w:tc>
          <w:tcPr>
            <w:tcW w:w="162" w:type="dxa"/>
            <w:tcBorders/>
            <w:vAlign w:val="bottom"/>
          </w:tcPr>
          <w:p>
            <w:pPr>
              <w:pStyle w:val="TableContents"/>
              <w:bidi w:val="0"/>
              <w:spacing w:before="0" w:after="283"/>
              <w:jc w:val="left"/>
              <w:rPr/>
            </w:pPr>
            <w:r>
              <w:rPr/>
              <w:t> </w:t>
            </w:r>
          </w:p>
        </w:tc>
      </w:tr>
      <w:tr>
        <w:trPr/>
        <w:tc>
          <w:tcPr>
            <w:tcW w:w="3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compensation(a)</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14,442</w:t>
            </w:r>
          </w:p>
        </w:tc>
        <w:tc>
          <w:tcPr>
            <w:tcW w:w="15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7,269</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31,068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36,896</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32,364</w:t>
            </w:r>
          </w:p>
        </w:tc>
        <w:tc>
          <w:tcPr>
            <w:tcW w:w="162" w:type="dxa"/>
            <w:tcBorders/>
            <w:shd w:fill="CCEEFF" w:val="clear"/>
            <w:vAlign w:val="bottom"/>
          </w:tcPr>
          <w:p>
            <w:pPr>
              <w:pStyle w:val="TableContents"/>
              <w:bidi w:val="0"/>
              <w:spacing w:before="0" w:after="283"/>
              <w:jc w:val="left"/>
              <w:rPr/>
            </w:pPr>
            <w:r>
              <w:rPr/>
              <w:t> </w:t>
            </w:r>
          </w:p>
        </w:tc>
      </w:tr>
      <w:tr>
        <w:trPr/>
        <w:tc>
          <w:tcPr>
            <w:tcW w:w="3923" w:type="dxa"/>
            <w:tcBorders/>
          </w:tcPr>
          <w:p>
            <w:pPr>
              <w:pStyle w:val="TableContents"/>
              <w:bidi w:val="0"/>
              <w:spacing w:before="0" w:after="0"/>
              <w:jc w:val="left"/>
              <w:rPr>
                <w:rFonts w:ascii="Times New Roman" w:hAnsi="Times New Roman"/>
                <w:sz w:val="20"/>
              </w:rPr>
            </w:pPr>
            <w:r>
              <w:rPr>
                <w:rFonts w:ascii="Times New Roman" w:hAnsi="Times New Roman"/>
                <w:sz w:val="20"/>
              </w:rPr>
              <w:t>Loss on refinancing of debt(b)</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1,462</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24,168</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foreign currency and derivatives not designated as hedging instruments, net(c)</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624</w:t>
            </w:r>
          </w:p>
        </w:tc>
        <w:tc>
          <w:tcPr>
            <w:tcW w:w="15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1,891</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2,448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(1,552</w:t>
            </w:r>
          </w:p>
        </w:tc>
        <w:tc>
          <w:tcPr>
            <w:tcW w:w="162" w:type="dxa"/>
            <w:tcBorders/>
            <w:shd w:fill="CCEEFF" w:val="clear"/>
            <w:vAlign w:val="bottom"/>
          </w:tcPr>
          <w:p>
            <w:pPr>
              <w:pStyle w:val="TableContents"/>
              <w:bidi w:val="0"/>
              <w:spacing w:before="0" w:after="283"/>
              <w:jc w:val="left"/>
              <w:rPr/>
            </w:pPr>
            <w:r>
              <w:rPr/>
              <w:t>) </w:t>
            </w:r>
          </w:p>
        </w:tc>
      </w:tr>
      <w:tr>
        <w:trPr/>
        <w:tc>
          <w:tcPr>
            <w:tcW w:w="3923" w:type="dxa"/>
            <w:tcBorders/>
          </w:tcPr>
          <w:p>
            <w:pPr>
              <w:pStyle w:val="TableContents"/>
              <w:bidi w:val="0"/>
              <w:spacing w:before="0" w:after="0"/>
              <w:jc w:val="left"/>
              <w:rPr>
                <w:rFonts w:ascii="Times New Roman" w:hAnsi="Times New Roman"/>
                <w:sz w:val="20"/>
              </w:rPr>
            </w:pPr>
            <w:r>
              <w:rPr>
                <w:rFonts w:ascii="Times New Roman" w:hAnsi="Times New Roman"/>
                <w:sz w:val="20"/>
              </w:rPr>
              <w:t>Business optimization expenses(d)</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957</w:t>
            </w:r>
          </w:p>
        </w:tc>
        <w:tc>
          <w:tcPr>
            <w:tcW w:w="1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2,047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8,068</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9,368</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7,662</w:t>
            </w:r>
          </w:p>
        </w:tc>
        <w:tc>
          <w:tcPr>
            <w:tcW w:w="162" w:type="dxa"/>
            <w:tcBorders/>
            <w:vAlign w:val="bottom"/>
          </w:tcPr>
          <w:p>
            <w:pPr>
              <w:pStyle w:val="TableContents"/>
              <w:bidi w:val="0"/>
              <w:spacing w:before="0" w:after="283"/>
              <w:jc w:val="left"/>
              <w:rPr/>
            </w:pPr>
            <w:r>
              <w:rPr/>
              <w:t> </w:t>
            </w:r>
          </w:p>
        </w:tc>
      </w:tr>
      <w:tr>
        <w:trPr/>
        <w:tc>
          <w:tcPr>
            <w:tcW w:w="3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services relating to EO sterilization facilities(e)</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9,855</w:t>
            </w:r>
          </w:p>
        </w:tc>
        <w:tc>
          <w:tcPr>
            <w:tcW w:w="15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12,328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46,225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32,694</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45,312</w:t>
            </w:r>
          </w:p>
        </w:tc>
        <w:tc>
          <w:tcPr>
            <w:tcW w:w="162" w:type="dxa"/>
            <w:tcBorders/>
            <w:shd w:fill="CCEEFF" w:val="clear"/>
            <w:vAlign w:val="bottom"/>
          </w:tcPr>
          <w:p>
            <w:pPr>
              <w:pStyle w:val="TableContents"/>
              <w:bidi w:val="0"/>
              <w:spacing w:before="0" w:after="283"/>
              <w:jc w:val="left"/>
              <w:rPr/>
            </w:pPr>
            <w:r>
              <w:rPr/>
              <w:t> </w:t>
            </w:r>
          </w:p>
        </w:tc>
      </w:tr>
      <w:tr>
        <w:trPr/>
        <w:tc>
          <w:tcPr>
            <w:tcW w:w="3923" w:type="dxa"/>
            <w:tcBorders/>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settlements(f)</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30,943</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64,943</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settlement(g)</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35,000</w:t>
            </w:r>
          </w:p>
        </w:tc>
        <w:tc>
          <w:tcPr>
            <w:tcW w:w="162" w:type="dxa"/>
            <w:tcBorders/>
            <w:shd w:fill="CCEEFF" w:val="clear"/>
            <w:vAlign w:val="bottom"/>
          </w:tcPr>
          <w:p>
            <w:pPr>
              <w:pStyle w:val="TableContents"/>
              <w:bidi w:val="0"/>
              <w:spacing w:before="0" w:after="283"/>
              <w:jc w:val="left"/>
              <w:rPr/>
            </w:pPr>
            <w:r>
              <w:rPr/>
              <w:t> </w:t>
            </w:r>
          </w:p>
        </w:tc>
      </w:tr>
      <w:tr>
        <w:trPr/>
        <w:tc>
          <w:tcPr>
            <w:tcW w:w="3923"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asset retirement obligations(h)</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673</w:t>
            </w:r>
          </w:p>
        </w:tc>
        <w:tc>
          <w:tcPr>
            <w:tcW w:w="1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574</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2,321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2,638</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2,413</w:t>
            </w:r>
          </w:p>
        </w:tc>
        <w:tc>
          <w:tcPr>
            <w:tcW w:w="162" w:type="dxa"/>
            <w:tcBorders/>
            <w:vAlign w:val="bottom"/>
          </w:tcPr>
          <w:p>
            <w:pPr>
              <w:pStyle w:val="TableContents"/>
              <w:bidi w:val="0"/>
              <w:spacing w:before="0" w:after="283"/>
              <w:jc w:val="left"/>
              <w:rPr/>
            </w:pPr>
            <w:r>
              <w:rPr/>
              <w:t> </w:t>
            </w:r>
          </w:p>
        </w:tc>
      </w:tr>
      <w:tr>
        <w:trPr/>
        <w:tc>
          <w:tcPr>
            <w:tcW w:w="3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associated with pre-tax adjustments(i)</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(6,376</w:t>
            </w:r>
          </w:p>
        </w:tc>
        <w:tc>
          <w:tcPr>
            <w:tcW w:w="15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(21,422</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(28,478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(33,487</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(49,597</w:t>
            </w:r>
          </w:p>
        </w:tc>
        <w:tc>
          <w:tcPr>
            <w:tcW w:w="162" w:type="dxa"/>
            <w:tcBorders/>
            <w:shd w:fill="CCEEFF" w:val="clear"/>
            <w:vAlign w:val="bottom"/>
          </w:tcPr>
          <w:p>
            <w:pPr>
              <w:pStyle w:val="TableContents"/>
              <w:bidi w:val="0"/>
              <w:spacing w:before="0" w:after="283"/>
              <w:jc w:val="left"/>
              <w:rPr/>
            </w:pPr>
            <w:r>
              <w:rPr/>
              <w:t>) </w:t>
            </w:r>
          </w:p>
        </w:tc>
      </w:tr>
      <w:tr>
        <w:trPr/>
        <w:tc>
          <w:tcPr>
            <w:tcW w:w="392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23"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52,366</w:t>
            </w:r>
          </w:p>
        </w:tc>
        <w:tc>
          <w:tcPr>
            <w:tcW w:w="1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39,044</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245,414</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198,500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204,326</w:t>
            </w:r>
          </w:p>
        </w:tc>
        <w:tc>
          <w:tcPr>
            <w:tcW w:w="162" w:type="dxa"/>
            <w:tcBorders/>
            <w:vAlign w:val="bottom"/>
          </w:tcPr>
          <w:p>
            <w:pPr>
              <w:pStyle w:val="TableContents"/>
              <w:bidi w:val="0"/>
              <w:spacing w:before="0" w:after="283"/>
              <w:jc w:val="left"/>
              <w:rPr/>
            </w:pPr>
            <w:r>
              <w:rPr/>
              <w:t> </w:t>
            </w:r>
          </w:p>
        </w:tc>
      </w:tr>
      <w:tr>
        <w:trPr/>
        <w:tc>
          <w:tcPr>
            <w:tcW w:w="392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34,745</w:t>
            </w:r>
          </w:p>
        </w:tc>
        <w:tc>
          <w:tcPr>
            <w:tcW w:w="15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40,876</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155,722</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164,691</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142,878</w:t>
            </w:r>
          </w:p>
        </w:tc>
        <w:tc>
          <w:tcPr>
            <w:tcW w:w="162" w:type="dxa"/>
            <w:tcBorders/>
            <w:shd w:fill="CCEEFF" w:val="clear"/>
            <w:vAlign w:val="bottom"/>
          </w:tcPr>
          <w:p>
            <w:pPr>
              <w:pStyle w:val="TableContents"/>
              <w:bidi w:val="0"/>
              <w:spacing w:before="0" w:after="283"/>
              <w:jc w:val="left"/>
              <w:rPr/>
            </w:pPr>
            <w:r>
              <w:rPr/>
              <w:t> </w:t>
            </w:r>
          </w:p>
        </w:tc>
      </w:tr>
      <w:tr>
        <w:trPr/>
        <w:tc>
          <w:tcPr>
            <w:tcW w:w="392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Depreciation(j)</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25,142</w:t>
            </w:r>
          </w:p>
        </w:tc>
        <w:tc>
          <w:tcPr>
            <w:tcW w:w="1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22,060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94,630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82,420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76,577</w:t>
            </w:r>
          </w:p>
        </w:tc>
        <w:tc>
          <w:tcPr>
            <w:tcW w:w="162" w:type="dxa"/>
            <w:tcBorders/>
            <w:vAlign w:val="bottom"/>
          </w:tcPr>
          <w:p>
            <w:pPr>
              <w:pStyle w:val="TableContents"/>
              <w:bidi w:val="0"/>
              <w:spacing w:before="0" w:after="283"/>
              <w:jc w:val="left"/>
              <w:rPr/>
            </w:pPr>
            <w:r>
              <w:rPr/>
              <w:t> </w:t>
            </w:r>
          </w:p>
        </w:tc>
      </w:tr>
      <w:tr>
        <w:trPr/>
        <w:tc>
          <w:tcPr>
            <w:tcW w:w="3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applicable to Adjusted Net Income(k)</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22,400</w:t>
            </w:r>
          </w:p>
        </w:tc>
        <w:tc>
          <w:tcPr>
            <w:tcW w:w="15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19,859</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98,035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102,963</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104,248</w:t>
            </w:r>
          </w:p>
        </w:tc>
        <w:tc>
          <w:tcPr>
            <w:tcW w:w="162" w:type="dxa"/>
            <w:tcBorders/>
            <w:shd w:fill="CCEEFF" w:val="clear"/>
            <w:vAlign w:val="bottom"/>
          </w:tcPr>
          <w:p>
            <w:pPr>
              <w:pStyle w:val="TableContents"/>
              <w:bidi w:val="0"/>
              <w:spacing w:before="0" w:after="283"/>
              <w:jc w:val="left"/>
              <w:rPr/>
            </w:pPr>
            <w:r>
              <w:rPr/>
              <w:t> </w:t>
            </w:r>
          </w:p>
        </w:tc>
      </w:tr>
      <w:tr>
        <w:trPr/>
        <w:tc>
          <w:tcPr>
            <w:tcW w:w="392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23"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20"/>
              </w:rPr>
              <w:t>(l)</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134,653</w:t>
            </w:r>
          </w:p>
        </w:tc>
        <w:tc>
          <w:tcPr>
            <w:tcW w:w="1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121,839</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593,801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548,574</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528,029</w:t>
            </w:r>
          </w:p>
        </w:tc>
        <w:tc>
          <w:tcPr>
            <w:tcW w:w="162" w:type="dxa"/>
            <w:tcBorders/>
            <w:vAlign w:val="bottom"/>
          </w:tcPr>
          <w:p>
            <w:pPr>
              <w:pStyle w:val="TableContents"/>
              <w:bidi w:val="0"/>
              <w:spacing w:before="0" w:after="283"/>
              <w:jc w:val="left"/>
              <w:rPr/>
            </w:pPr>
            <w:r>
              <w:rPr/>
              <w:t> </w:t>
            </w:r>
          </w:p>
        </w:tc>
      </w:tr>
      <w:tr>
        <w:trPr/>
        <w:tc>
          <w:tcPr>
            <w:tcW w:w="392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share-based compensation expense related to employees and Non-Employee Directors.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unamortized debt issuance costs and discounts, as well as certain other costs incurred related to the refinancing activity for the Term Loans, the Secured Notes and the Revolving Credit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effects of (i) fluctuations in foreign currency exchange rates and (ii) non-cash mark-to-fair value of embedded derivatives relating to certain customer and supply contracts at Nordion.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litigation and other professional fees associated with our EO sterilization facilities.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cost to settle 79 pending EO claims in Georgia under a settlement entered into on December 21,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non-cash accretion of ARO related to Co-60 gamma and EO processing facilities, which are based on estimated site remediation costs for any future decommissioning of these facilities and are accreted over the life of the asset.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adjustments calculated based on the tax rate applicable to each item. We eliminate the effect of tax rate changes as applied to tax assets and liabilities, and unusual items from our presentation of adjusted net income.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of Co-60 held at gamma irradiation sites and, for the years ended December 31, 2025 and 2024 and the three months ended March 31, 2026 and 2025, excludes accelerated depreciation associated with business optimization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difference between the income tax provision/benefit as determined under U.S. GAAP and the income tax provision (benefit) associated with pre-tax adjustments described in footnote (i).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$99.9 million, $97.1 million and $94.1 million of the adjustments for the year ended December 31, 2025, 2024 and 2023, respectively, and $26.3 million and $24.2 million of the adjustments for the three months ended March 31, 2026 and 2025, respectively, are included in cost of revenues, primarily consisting of amortization of intangible assets, depreciation, and accretion of ARO.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143113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following risks together with the other information included or incorporated by reference in this prospectus supplement and the accompanying prospectus before deciding to invest in our common stock, including the risks described under “Risk Factors” in Part I, Item 1A of our Annual Report.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and trading volume of our common stock may be volatile, and you could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and the following, some of which are beyond our control: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jurisdictions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about us or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quarterly or annual results of operations, or in those of our competitors or of companies in the medical device and pharmaceutical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we may provide to the public, any changes in these projections or our failure to meet these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or our stockholders in the future or the perception that such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analysts’ estimates, investors’ perceptions, recommendations by securities analysts, our failure to achieve analysts’ estimates or failure of analysts to maintain coverage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trading prices and trading volumes of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operating performance and stock market valuations of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guidance, interpretations or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or economic downturns in the markets in which we, our suppliers or our customers are located caused by pandemics, such as the COVID-19 pandemic, and related policies and restrictions undertaken to contain the spread of such pandemics or potential pandemics;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and costs associated with potential shareholder activism campaigns and outreach efforts;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and other factors unrelated to our operating performance or the operating performance of our competitors.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we have been subject to such litigation in the past. See Note 19, “Commitments and Contingencies” to our consolidated financial statements under the heading “Sotera Health Company Securities Litigation and Related Matters” in our Annual Report and See Note 13, “Commitments and Contingencies” to our consolidated financial statements under the heading “Sotera Health Company Securities Litigation and Related Matters” in our Q1 2026 Quarterly Report. Such litigation could result in substantial costs and a diversion of our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issuance of additional common stock in connection with our incentive plans, acquisitions or otherwise will dilute all other stockholdings. </w:t>
      </w:r>
    </w:p>
    <w:p>
      <w:pPr>
        <w:pStyle w:val="TextBody"/>
        <w:bidi w:val="0"/>
        <w:spacing w:before="120" w:after="0"/>
        <w:jc w:val="left"/>
        <w:rPr>
          <w:rFonts w:ascii="Times New Roman" w:hAnsi="Times New Roman"/>
          <w:sz w:val="20"/>
        </w:rPr>
      </w:pPr>
      <w:r>
        <w:rPr>
          <w:rFonts w:ascii="Times New Roman" w:hAnsi="Times New Roman"/>
          <w:sz w:val="20"/>
        </w:rPr>
        <w:t xml:space="preserve">As of April 28, 2026, we had an aggregate of 886,109,800 shares of common stock that are not currently reserved for issuance under our 2020 Plan, as well as 870,158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offerings of debt or equity securities by us may adversely affect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 </w:t>
      </w:r>
    </w:p>
    <w:p>
      <w:pPr>
        <w:pStyle w:val="TextBody"/>
        <w:bidi w:val="0"/>
        <w:spacing w:before="240" w:after="0"/>
        <w:jc w:val="left"/>
        <w:rPr>
          <w:rFonts w:ascii="Times New Roman" w:hAnsi="Times New Roman"/>
          <w:sz w:val="20"/>
        </w:rPr>
      </w:pPr>
      <w:r>
        <w:rPr>
          <w:rFonts w:ascii="Times New Roman" w:hAnsi="Times New Roman"/>
          <w:sz w:val="20"/>
        </w:rPr>
        <w:t xml:space="preserve">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w:t>
      </w:r>
    </w:p>
    <w:p>
      <w:pPr>
        <w:pStyle w:val="TextBody"/>
        <w:bidi w:val="0"/>
        <w:spacing w:before="240" w:after="0"/>
        <w:jc w:val="left"/>
        <w:rPr>
          <w:rFonts w:ascii="Times New Roman" w:hAnsi="Times New Roman"/>
          <w:sz w:val="20"/>
        </w:rPr>
      </w:pPr>
      <w:r>
        <w:rPr>
          <w:rFonts w:ascii="Times New Roman" w:hAnsi="Times New Roman"/>
          <w:sz w:val="20"/>
        </w:rPr>
        <w:t xml:space="preserve">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sale of a substantial number of shares of our common stock, or the perception that such sales might occur, may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Future sales of substantial amounts of our common stock in the public market, or the perception that such sales might occur, could cause the trading price of our common stock to decline. These sales, or the possibility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w:t>
      </w:r>
    </w:p>
    <w:p>
      <w:pPr>
        <w:pStyle w:val="TextBody"/>
        <w:bidi w:val="0"/>
        <w:spacing w:before="240" w:after="0"/>
        <w:jc w:val="left"/>
        <w:rPr>
          <w:rFonts w:ascii="Times New Roman" w:hAnsi="Times New Roman"/>
          <w:sz w:val="20"/>
        </w:rPr>
      </w:pPr>
      <w:r>
        <w:rPr>
          <w:rFonts w:ascii="Times New Roman" w:hAnsi="Times New Roman"/>
          <w:sz w:val="20"/>
        </w:rPr>
        <w:t xml:space="preserve">These restrictions apply to approximately 4,675,074 shares as of April 28, 2026, but will be released as a result of the closing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supplement, the Sponsors together own approximately 11.16% of our outstanding common stock, and following completion of this offering the Sponsors will own none of our common stock outstanding and will no longer have rights to require us to file registration statements covering their shares. The investment funds and entities affiliated with the Sponsors, as well as certain other stockholders, will no longer require us to include their shares in registration statements that we may file for ourselves or our stockholders. Our officers and directors may sell shares into the public markets in accordance with the requirements of Rule 144 under the Securities Act of 1933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sales of securities by any of our stockholders described above could have a material adverse effect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our stockholders have the right to engage or invest in the same or similar businesses as us. </w:t>
      </w:r>
    </w:p>
    <w:p>
      <w:pPr>
        <w:pStyle w:val="TextBody"/>
        <w:bidi w:val="0"/>
        <w:spacing w:before="120" w:after="0"/>
        <w:jc w:val="left"/>
        <w:rPr>
          <w:rFonts w:ascii="Times New Roman" w:hAnsi="Times New Roman"/>
          <w:sz w:val="20"/>
        </w:rPr>
      </w:pPr>
      <w:r>
        <w:rPr>
          <w:rFonts w:ascii="Times New Roman" w:hAnsi="Times New Roman"/>
          <w:sz w:val="20"/>
        </w:rPr>
        <w:t xml:space="preserve">The Sponsors have historically had the right to designate directors to serve on our Board. Following the completion of this offering, the Sponsors will no longer own any of our common stock and therefore their rights to designate future directors will terminate. Existing directors on our Board that were designated by the Sponsors are not, however, required to resign from the Board or its committees and may serve until the end of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Anti-takeover provisions in our amended and restated certificate of incorporation and amended and restated bylaws, as well as Delaware law, could discourage a change in control of our company or a change in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amended and restated bylaws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liability of, and providing indemnification to,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classified board of directors with three-year staggered terms, which could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directors may be removed only for cause by the affirmative vote of the holders of at least 75% of the voting power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determination of the number of directors on our board of directors and the filling of vacancies or newly created seats on the board to our board of directors then in office;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requirements applicable to stockholders for matters to be brought before a meeting of stockholders and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affirmative vote of at least 66 2/3% of the voting power of our outstanding common stock to amend certain provisions of our amended and restated certificate of incorporation and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issue blank check preferred stock without stockholder approval, which could be used to dilute the stock ownership of a potential hostile acquirer or adopt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requirement that our stockholders may only take action at annual or special meetings of our stockholders and may not act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stockholders to call and bring business before special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forum to the Court of Chancery of the State of Delaware or federal court located within the State of Delaware for certain types of actions and proceedings that may be initiated against us by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constraints that were previously applicable under the Stockholders Agreement will cease to apply following this offering. The Stockholders Agreement will terminate following this offering. See “Summary—The Offering—Effect on Sponsors’ Rights.”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above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Securities Exchange Act of 1934, as amended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facilities and senior secured first lien notes. As a result, capital appreciation, if any, of our common stock will be the sole source of potential gain for the foreseeable future, and our stockholders will have to sell some or all of their common stock holdings to generate cash flow from their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143113_7"/>
      <w:bookmarkEnd w:id="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and any documents incorporated by reference in this prospectus supplement and accompanying prospectus may contain or incorporate by reference “forward- looking statements” within the meaning of the Private Securities Litigation Reform Act of 1995. Forward- 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EO, Co-60 or our other direct materials, services and supplies, including as a result of geopolitical instability and/or sanctions against Russia by the United States, Canada, the United Kingdom and/or the European Union, or sanctions by Russia against those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changes in environmental, health and safety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current and former EO sterilization facilities, and the possibility that additional claims will be made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changes, including inflationary trends and the impact of tariffs,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federal government shutdowns,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various applicable laws and potentially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incidents, unauthorized data disclosures, and our dependence on IT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associated with the introduction of AI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rights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profitability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U.S. tax legislation or other changes in U.S. or non-U.S. taxation of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143113_8"/>
      <w:bookmarkEnd w:id="10"/>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supplement by each of the selling stockholders covered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285,166,994 shares of common stock outstanding as of April 28, 2026.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14"/>
        <w:gridCol w:w="97"/>
        <w:gridCol w:w="60"/>
        <w:gridCol w:w="1186"/>
        <w:gridCol w:w="60"/>
        <w:gridCol w:w="97"/>
        <w:gridCol w:w="60"/>
        <w:gridCol w:w="689"/>
        <w:gridCol w:w="60"/>
        <w:gridCol w:w="150"/>
        <w:gridCol w:w="64"/>
        <w:gridCol w:w="1397"/>
        <w:gridCol w:w="63"/>
        <w:gridCol w:w="101"/>
        <w:gridCol w:w="339"/>
        <w:gridCol w:w="827"/>
        <w:gridCol w:w="64"/>
        <w:gridCol w:w="101"/>
        <w:gridCol w:w="89"/>
        <w:gridCol w:w="194"/>
        <w:gridCol w:w="293"/>
      </w:tblGrid>
      <w:tr>
        <w:trPr/>
        <w:tc>
          <w:tcPr>
            <w:tcW w:w="4214"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21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1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 Prior to the</w:t>
              <w:br/>
              <w:t xml:space="preserve">Offering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 xml:space="preserve">Owned After the Offering </w:t>
            </w:r>
          </w:p>
        </w:tc>
        <w:tc>
          <w:tcPr>
            <w:tcW w:w="293"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b/>
              </w:rPr>
            </w:pPr>
            <w:r>
              <w:rPr>
                <w:b/>
              </w:rPr>
              <w:t>Name of Selling Stockholder(1)</w:t>
            </w:r>
          </w:p>
        </w:tc>
        <w:tc>
          <w:tcPr>
            <w:tcW w:w="97"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Held</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Offered</w:t>
            </w:r>
            <w:r>
              <w:rPr/>
              <w:br/>
            </w:r>
            <w:r>
              <w:rPr>
                <w:b/>
              </w:rPr>
              <w:t>Hereby</w:t>
            </w:r>
          </w:p>
        </w:tc>
        <w:tc>
          <w:tcPr>
            <w:tcW w:w="6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Held</w:t>
            </w:r>
          </w:p>
        </w:tc>
        <w:tc>
          <w:tcPr>
            <w:tcW w:w="6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93"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19,102,952</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6.70%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19,102,952</w:t>
            </w:r>
          </w:p>
        </w:tc>
        <w:tc>
          <w:tcPr>
            <w:tcW w:w="6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0</w:t>
            </w:r>
          </w:p>
        </w:tc>
        <w:tc>
          <w:tcPr>
            <w:tcW w:w="6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right"/>
              <w:rPr/>
            </w:pPr>
            <w:r>
              <w:rPr/>
              <w:t>0</w:t>
            </w:r>
          </w:p>
        </w:tc>
        <w:tc>
          <w:tcPr>
            <w:tcW w:w="293"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12,735,301</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4.47%</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12,735,301</w:t>
            </w:r>
          </w:p>
        </w:tc>
        <w:tc>
          <w:tcPr>
            <w:tcW w:w="6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0</w:t>
            </w:r>
          </w:p>
        </w:tc>
        <w:tc>
          <w:tcPr>
            <w:tcW w:w="6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right"/>
              <w:rPr/>
            </w:pPr>
            <w:r>
              <w:rPr/>
              <w:t>0</w:t>
            </w:r>
          </w:p>
        </w:tc>
        <w:tc>
          <w:tcPr>
            <w:tcW w:w="29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15,287,717 shares held of record by Bull Holdco L.P., a Delaware limited partnership (“Bull Holdco”) and (ii) 3,815,235 shares held of record by Bull Co-Invest L.P., a Delaware limited partnership (“Bull Co-Invest”).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10,107,727 shares held of record by GTCR Fund XI/A LP, (ii) 2,546,564 shares held of record by GTCR Fund XI/C LP and (iii) 81,010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143113_9"/>
      <w:bookmarkEnd w:id="11"/>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eligible for a reduced rate of U.S. federal withholding tax pursuant to an applicable income tax treaty or otherwise, the Non-U.S. Holder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consult their own tax advisors about how these information reporting and withholding tax rules may apply to their investment in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Non-U.S. Holders generally will not be subject to U.S. federal income tax with respect to gain recognized on a sale, exchange or other taxable disposition of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143113_10"/>
      <w:bookmarkEnd w:id="12"/>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expect to pay any dividends on our common stock. Instead, we intend to use any future earnings for the operation and growth of our business and the repayment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a discussion of the application of withholding taxes on dividends, see “Material U.S. Federal Income Tax Considerations for Non-U.S.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143113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the selling stockholders and Goldman Sachs &amp; Co. LLC (the “underwriter”) have entered into an underwriting agreement with respect to the shares of our common stock being offered by the selling stockholders. Subject to certain conditions, the underwriter has agreed to purchase an aggregate of 31,838,253 shares of our common stock from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is committed to take and pay for all of the shares of our common stock being offered by the selling stockholders, if any are taken. </w:t>
      </w:r>
    </w:p>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 to the public will initially be offered at the public offering price as set forth on the cover of this prospectus. Any shares sold by the underwriter to securities dealers may be sold at a discount of up to $     per share from the initial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 The following table summarizes the underwriting discounts and commissions the selling stockholders will pay to the underwriter.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88"/>
        <w:gridCol w:w="401"/>
        <w:gridCol w:w="140"/>
        <w:gridCol w:w="1130"/>
        <w:gridCol w:w="60"/>
        <w:gridCol w:w="401"/>
        <w:gridCol w:w="140"/>
        <w:gridCol w:w="1130"/>
        <w:gridCol w:w="65"/>
      </w:tblGrid>
      <w:tr>
        <w:trPr/>
        <w:tc>
          <w:tcPr>
            <w:tcW w:w="4288"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8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288"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stockholders, before expenses</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common stock, the underwriter may be deemed to have received compensation in the form of underwriting discounts. The underwriter may effect such transactions by selling the common stock to or through dealers, and such dealers may receive compensation in the form of discounts, concessions or commissions from the underwriter and/or purchasers of the common stock for whom they may act as an agent or to whom they may sell as principal. The difference between the price at which the underwriter purchases the common stock and the price at which the underwriter resells such shares may be deemed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$500,000.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certain exceptions, we will not, without the prior written consent of the underwriter for a period of 30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directors and the selling stockholders have entered into lock-up agreements with the underwriter pursuant to which each of them, subject to certain exceptions, for a period of 30 days after the date of this prospectus supplement, may not, without the prior written consent of the underwriter,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lock-up restrictions described in the immediately preceding paragraph are subject to certain exceptions including, without limitation: (i) transfers as part of a sale of lock-up securities in open market transactions after the closing of this offering, (ii) transfers to us in connection with the vesting, settlement, or exercise of restricted stock units, performance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agreed to indemnify the underwriter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pursuant to Regulation M of the Securities Act, the underwriter may also engage in other activities that stabilize, maintain or otherwise affect the price of the common stock, including the imposition of penalty bids.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 financial activities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may have provided in the past to us and our affiliates and may provide from time to time in the future certain commercial banking, financial advisory, investment banking and other services for us and such affiliates in the ordinary course of their business, for which they may have received and may from time to time in the future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and/or its affiliates are lenders, and/or act as agents or arrangers, under our senior secured first lien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accounts of their customers, and such investment and trading activities may involve or relate to assets, securities and/or instruments of the company (directly, as collateral securing other obligations, or otherwise) and/ or persons and entities with relationships with the company. The underwriter and its affiliates may also communicate independent investment recommendations, market color or trading ideas and/or publish or express independent research views in respect of such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shares shall require the company or the underwriter to publish a prospectus pursuant to Article 3 of the Prospectus Regulation or supplement a prospectus pursuant to Article 23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(other than a Relevant Member State where there is a permitted public offer) who initially acquires any shares or to whom any offer is made will be deemed to have represented, acknowledged and agreed to and with the company and the underwriter that it is a qualified investor within the meaning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Member State means the communication in any form and by any means of sufficient information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paragraph 15 of Schedule 1 of the POATR), subject to obtaining the prior consent of the representatives for any such offer; 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any other circumstances falling within Part 1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w:t>
      </w:r>
    </w:p>
    <w:p>
      <w:pPr>
        <w:pStyle w:val="TextBody"/>
        <w:bidi w:val="0"/>
        <w:spacing w:before="240" w:after="0"/>
        <w:jc w:val="left"/>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no such offer of shares shall require the Company or any underwriter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beneficiaries’ rights and interest (howsoever described) in that trust shall not be transferred within six months after that corporation or that trust has acquired the shares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143113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to be issued in this offering. Certain legal matters will be passed upon for the underwriter by Simpson Thacher &amp; Bartlett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143113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143113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https://investors.soterahealth.com. Information accessible on or through our website is not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143113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February 5, 2026</w:t>
              </w:r>
            </w:hyperlink>
            <w:r>
              <w:rPr>
                <w:rFonts w:ascii="Times New Roman" w:hAnsi="Times New Roman"/>
                <w:sz w:val="20"/>
              </w:rPr>
              <w:t xml:space="preserve">, </w:t>
            </w:r>
            <w:hyperlink r:id="rId6">
              <w:r>
                <w:rPr>
                  <w:rStyle w:val="InternetLink"/>
                  <w:rFonts w:ascii="Times New Roman" w:hAnsi="Times New Roman"/>
                  <w:sz w:val="20"/>
                </w:rPr>
                <w:t>February  24, 2026</w:t>
              </w:r>
            </w:hyperlink>
            <w:r>
              <w:rPr>
                <w:rFonts w:ascii="Times New Roman" w:hAnsi="Times New Roman"/>
                <w:sz w:val="20"/>
              </w:rPr>
              <w:t xml:space="preserve">, </w:t>
            </w:r>
            <w:hyperlink r:id="rId7">
              <w:r>
                <w:rPr>
                  <w:rStyle w:val="InternetLink"/>
                  <w:rFonts w:ascii="Times New Roman" w:hAnsi="Times New Roman"/>
                  <w:sz w:val="20"/>
                </w:rPr>
                <w:t>March 6, 2026</w:t>
              </w:r>
            </w:hyperlink>
            <w:r>
              <w:rPr>
                <w:rFonts w:ascii="Times New Roman" w:hAnsi="Times New Roman"/>
                <w:sz w:val="20"/>
              </w:rPr>
              <w:t xml:space="preserve">, </w:t>
            </w:r>
            <w:hyperlink r:id="rId8">
              <w:r>
                <w:rPr>
                  <w:rStyle w:val="InternetLink"/>
                  <w:rFonts w:ascii="Times New Roman" w:hAnsi="Times New Roman"/>
                  <w:sz w:val="20"/>
                </w:rPr>
                <w:t>March 16, 2026</w:t>
              </w:r>
            </w:hyperlink>
            <w:r>
              <w:rPr>
                <w:rFonts w:ascii="Times New Roman" w:hAnsi="Times New Roman"/>
                <w:sz w:val="20"/>
              </w:rPr>
              <w:t xml:space="preserve"> and </w:t>
            </w:r>
            <w:hyperlink r:id="rId9">
              <w:r>
                <w:rPr>
                  <w:rStyle w:val="InternetLink"/>
                  <w:rFonts w:ascii="Times New Roman" w:hAnsi="Times New Roman"/>
                  <w:sz w:val="20"/>
                </w:rPr>
                <w:t>May 5, 2026</w:t>
              </w:r>
            </w:hyperlink>
            <w:r>
              <w:rPr>
                <w:rFonts w:ascii="Times New Roman" w:hAnsi="Times New Roman"/>
                <w:sz w:val="20"/>
              </w:rPr>
              <w:t xml:space="preserve"> (excluding any information furnished pursuant to Item 2.02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w:t>
            </w:r>
            <w:hyperlink r:id="rId10">
              <w:r>
                <w:rPr>
                  <w:rStyle w:val="InternetLink"/>
                  <w:rFonts w:ascii="Times New Roman" w:hAnsi="Times New Roman"/>
                  <w:sz w:val="20"/>
                </w:rPr>
                <w:t>Schedule 14A</w:t>
              </w:r>
            </w:hyperlink>
            <w:r>
              <w:rPr>
                <w:rFonts w:ascii="Times New Roman" w:hAnsi="Times New Roman"/>
                <w:sz w:val="20"/>
              </w:rPr>
              <w:t xml:space="preserve">, filed with the SEC on </w:t>
            </w:r>
            <w:hyperlink r:id="rId11">
              <w:r>
                <w:rPr>
                  <w:rStyle w:val="InternetLink"/>
                  <w:rFonts w:ascii="Times New Roman" w:hAnsi="Times New Roman"/>
                  <w:sz w:val="20"/>
                </w:rPr>
                <w:t>April  8, 2026</w:t>
              </w:r>
            </w:hyperlink>
            <w:r>
              <w:rPr>
                <w:rFonts w:ascii="Times New Roman" w:hAnsi="Times New Roman"/>
                <w:sz w:val="20"/>
              </w:rPr>
              <w:t xml:space="preserve"> and supplemented on </w:t>
            </w:r>
            <w:hyperlink r:id="rId12">
              <w:r>
                <w:rPr>
                  <w:rStyle w:val="InternetLink"/>
                  <w:rFonts w:ascii="Times New Roman" w:hAnsi="Times New Roman"/>
                  <w:sz w:val="20"/>
                </w:rPr>
                <w:t>May 5, 2026</w:t>
              </w:r>
            </w:hyperlink>
            <w:r>
              <w:rPr>
                <w:rFonts w:ascii="Times New Roman" w:hAnsi="Times New Roman"/>
                <w:sz w:val="20"/>
              </w:rPr>
              <w:t xml:space="preserve">, as amended (solely to the extent specifically incorporated by reference into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supplement will not be sent, however, unless those exhibits have been specifically referenced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25295" cy="5759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725295" cy="5759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not an offer to sell our common stock, and it is not soliciting an offer to buy our common stock, in any state or other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“SHC.”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or any accompanying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10162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01625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01625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and “Incorporation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01625_2"/>
      <w:bookmarkEnd w:id="20"/>
      <w:r>
        <w:rPr>
          <w:rFonts w:ascii="Times New Roman" w:hAnsi="Times New Roman"/>
          <w:b/>
          <w:sz w:val="20"/>
        </w:rPr>
        <w:t xml:space="preserve">ABOUT SOTERA HEALTH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01625_3"/>
      <w:bookmarkEnd w:id="21"/>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changes, including inflationary trends,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numerous and sometimes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breaches, unauthorized data disclosures, our dependence on information technology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recent U.S. tax legislation or other changes in U.S. or non-U.S. taxation of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01625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01625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our common stock described in this prospectus for our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from any sale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01625_6"/>
      <w:bookmarkEnd w:id="24"/>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one class of securities, common stock, par value $0.01 per share, registered pursuant to Section 12 of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1,200,000,000 shares of common stock, par value $0.01 per share, of which 282,832,200 shares were outstanding as of February 20, 2024, and 120,000,000 shares of preferred stock, par value $0.01 per share, of which no shares were outstanding as of February 20,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common stock are entitled to one vote for each share held on all matters submitted to a vote of stockholders, subject to 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Subject to preferences that may be applicable to any then-outstanding preferred stock, holders of our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Upon our liquidation, dissolution or winding up, the holders of our common stock will be entitled to share equally and ratably in the net assets legally available for distribution to stockholders after the payment of all of our debts and other liabilities, subject to the prior rights of any preferred stock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Preemptive or Similar Rights</w:t>
      </w:r>
      <w:r>
        <w:rPr>
          <w:rFonts w:ascii="Times New Roman" w:hAnsi="Times New Roman"/>
          <w:sz w:val="20"/>
        </w:rPr>
        <w:t xml:space="preserve">. Holders of our common stock have no preemptive or conversion rights or other subscription rights, and there are no redemption or sinking fund provisions applicable to our common stock. </w:t>
      </w:r>
    </w:p>
    <w:p>
      <w:pPr>
        <w:pStyle w:val="TextBody"/>
        <w:bidi w:val="0"/>
        <w:spacing w:before="240" w:after="0"/>
        <w:jc w:val="left"/>
        <w:rPr>
          <w:rFonts w:ascii="Times New Roman" w:hAnsi="Times New Roman"/>
          <w:sz w:val="20"/>
        </w:rPr>
      </w:pPr>
      <w:r>
        <w:rPr>
          <w:rFonts w:ascii="Times New Roman" w:hAnsi="Times New Roman"/>
          <w:i/>
          <w:sz w:val="20"/>
        </w:rPr>
        <w:t>Assessment</w:t>
      </w:r>
      <w:r>
        <w:rPr>
          <w:rFonts w:ascii="Times New Roman" w:hAnsi="Times New Roman"/>
          <w:sz w:val="20"/>
        </w:rPr>
        <w:t xml:space="preserve">. All outstanding shares of our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 removal of directors</w:t>
      </w:r>
      <w:r>
        <w:rPr>
          <w:rFonts w:ascii="Times New Roman" w:hAnsi="Times New Roman"/>
          <w:sz w:val="20"/>
        </w:rPr>
        <w:t xml:space="preserve">. Our amended and restated certificate of incorporation provides that our board of directors is divided into three classes of directors, with the classes to be as nearly equal in number as possible, and with staggered three-year terms. As a result, approximately one-third of our board of directors will be elected each year.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 </w:t>
      </w:r>
    </w:p>
    <w:p>
      <w:pPr>
        <w:pStyle w:val="TextBody"/>
        <w:bidi w:val="0"/>
        <w:spacing w:before="240" w:after="0"/>
        <w:jc w:val="left"/>
        <w:rPr>
          <w:rFonts w:ascii="Times New Roman" w:hAnsi="Times New Roman"/>
          <w:sz w:val="20"/>
        </w:rPr>
      </w:pPr>
      <w:r>
        <w:rPr>
          <w:rFonts w:ascii="Times New Roman" w:hAnsi="Times New Roman"/>
          <w:sz w:val="20"/>
        </w:rPr>
        <w:t xml:space="preserve">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amended and restated bylaws provide advance notice 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 </w:t>
      </w:r>
    </w:p>
    <w:p>
      <w:pPr>
        <w:pStyle w:val="TextBody"/>
        <w:bidi w:val="0"/>
        <w:spacing w:before="240" w:after="0"/>
        <w:jc w:val="left"/>
        <w:rPr>
          <w:rFonts w:ascii="Times New Roman" w:hAnsi="Times New Roman"/>
          <w:sz w:val="20"/>
        </w:rPr>
      </w:pPr>
      <w:r>
        <w:rPr>
          <w:rFonts w:ascii="Times New Roman" w:hAnsi="Times New Roman"/>
          <w:i/>
          <w:sz w:val="20"/>
        </w:rPr>
        <w:t>Amendment of certificate of incorporation and bylaws provisions</w:t>
      </w:r>
      <w:r>
        <w:rPr>
          <w:rFonts w:ascii="Times New Roman" w:hAnsi="Times New Roman"/>
          <w:sz w:val="20"/>
        </w:rPr>
        <w:t xml:space="preserve">. Our amended and restated certificate of incorporation provides that approval of 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 </w:t>
      </w:r>
    </w:p>
    <w:p>
      <w:pPr>
        <w:pStyle w:val="TextBody"/>
        <w:bidi w:val="0"/>
        <w:spacing w:before="240" w:after="0"/>
        <w:jc w:val="left"/>
        <w:rPr>
          <w:rFonts w:ascii="Times New Roman" w:hAnsi="Times New Roman"/>
          <w:sz w:val="20"/>
        </w:rPr>
      </w:pPr>
      <w:r>
        <w:rPr>
          <w:rFonts w:ascii="Times New Roman" w:hAnsi="Times New Roman"/>
          <w:i/>
          <w:sz w:val="20"/>
        </w:rPr>
        <w:t>Authorized but unissued or undesignated capital stock</w:t>
      </w:r>
      <w:r>
        <w:rPr>
          <w:rFonts w:ascii="Times New Roman" w:hAnsi="Times New Roman"/>
          <w:sz w:val="20"/>
        </w:rPr>
        <w:t xml:space="preserve">. Our authorized capital stock consists of 1,200,000,000 shares of common stock and 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w:t>
      </w:r>
      <w:r>
        <w:rPr>
          <w:rFonts w:ascii="Times New Roman" w:hAnsi="Times New Roman"/>
          <w:sz w:val="20"/>
        </w:rPr>
        <w:t xml:space="preserve">. Our amended and restated certificate of incorporation provides that our stockholders will not 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cumulate votes in the election of directors unless a corporation’s 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w:t>
      </w:r>
    </w:p>
    <w:p>
      <w:pPr>
        <w:pStyle w:val="TextBody"/>
        <w:bidi w:val="0"/>
        <w:spacing w:before="240" w:after="0"/>
        <w:jc w:val="left"/>
        <w:rPr>
          <w:rFonts w:ascii="Times New Roman" w:hAnsi="Times New Roman"/>
          <w:sz w:val="20"/>
        </w:rPr>
      </w:pPr>
      <w:r>
        <w:rPr>
          <w:rFonts w:ascii="Times New Roman" w:hAnsi="Times New Roman"/>
          <w:i/>
          <w:sz w:val="20"/>
        </w:rPr>
        <w:t>Supermajority voting on board actions</w:t>
      </w:r>
      <w:r>
        <w:rPr>
          <w:rFonts w:ascii="Times New Roman" w:hAnsi="Times New Roman"/>
          <w:sz w:val="20"/>
        </w:rPr>
        <w:t xml:space="preserve">. For so long as investment funds and entities affiliated with either Warburg Pincus or GTCR have the right (individually) to designate at least three directors for election to our board of directors, the following actions may only be effected with the affirmative vote of 75%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acquisitions, mergers, other business combination transactions and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modification or repeal of any provision of the certificate of incorporation or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size and composition of the board of directors or the compensation of its committees, other than in accordance with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of the chief executive officer or designation of a new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ordinary course compensation arrangements, entering into, or modifying, any compensation arrangements with an executive officer or any of an executive officer’s affiliates or associates;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additional shares of Company or subsidiaries’ capital stock, subject to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certain indebtedness. </w:t>
            </w:r>
          </w:p>
        </w:tc>
      </w:tr>
    </w:tbl>
    <w:p>
      <w:pPr>
        <w:pStyle w:val="TextBody"/>
        <w:bidi w:val="0"/>
        <w:spacing w:before="240" w:after="0"/>
        <w:jc w:val="left"/>
        <w:rPr>
          <w:rFonts w:ascii="Times New Roman" w:hAnsi="Times New Roman"/>
          <w:sz w:val="20"/>
        </w:rPr>
      </w:pPr>
      <w:r>
        <w:rPr>
          <w:rFonts w:ascii="Times New Roman" w:hAnsi="Times New Roman"/>
          <w:i/>
          <w:sz w:val="20"/>
        </w:rPr>
        <w:t>Delaware Anti-Takeover Statute</w:t>
      </w:r>
      <w:r>
        <w:rPr>
          <w:rFonts w:ascii="Times New Roman" w:hAnsi="Times New Roman"/>
          <w:sz w:val="20"/>
        </w:rPr>
        <w:t>.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hAnsi="Times New Roman"/>
          <w:i/>
          <w:sz w:val="20"/>
        </w:rPr>
        <w:t>business</w:t>
      </w:r>
      <w:r>
        <w:rPr>
          <w:rFonts w:ascii="Times New Roman" w:hAnsi="Times New Roman"/>
          <w:sz w:val="20"/>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shareholder becoming an interested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and by the affirmative vote of holders of at least 66 2/3% of our outstanding voting stock that is not owned by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Warburg and GTCR, and any of their respective direct or indirect transferees and any group as to which such persons are a party, do not constitute “interested shareholders” for purposes of this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provision. The Supreme Court of Delaware has held that this type of exclusive federal forum provision is enforceable. There may be uncertainty, however, as to whether courts of other jurisdictions would enforce such provision, if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acts as transfer agent and registrar for our common stock. The transfer agent and registrar’s address is 118 Fernwood Avenue, Edison, New Jersey 08837.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01625_7"/>
      <w:bookmarkEnd w:id="25"/>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10470" w:type="dxa"/>
        <w:jc w:val="center"/>
        <w:tblInd w:w="0" w:type="dxa"/>
        <w:tblLayout w:type="fixed"/>
        <w:tblCellMar>
          <w:top w:w="0" w:type="dxa"/>
          <w:left w:w="0" w:type="dxa"/>
          <w:bottom w:w="0" w:type="dxa"/>
          <w:right w:w="0" w:type="dxa"/>
        </w:tblCellMar>
      </w:tblPr>
      <w:tblGrid>
        <w:gridCol w:w="3170"/>
        <w:gridCol w:w="120"/>
        <w:gridCol w:w="75"/>
        <w:gridCol w:w="1535"/>
        <w:gridCol w:w="60"/>
        <w:gridCol w:w="120"/>
        <w:gridCol w:w="155"/>
        <w:gridCol w:w="1455"/>
        <w:gridCol w:w="275"/>
        <w:gridCol w:w="60"/>
        <w:gridCol w:w="217"/>
        <w:gridCol w:w="1378"/>
        <w:gridCol w:w="60"/>
        <w:gridCol w:w="120"/>
        <w:gridCol w:w="219"/>
        <w:gridCol w:w="1391"/>
        <w:gridCol w:w="60"/>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bidi w:val="0"/>
              <w:spacing w:before="0" w:after="283"/>
              <w:jc w:val="left"/>
              <w:rPr>
                <w:b/>
              </w:rPr>
            </w:pPr>
            <w:r>
              <w:rPr>
                <w:b/>
              </w:rPr>
              <w:t>Name of Selling Stockholder(1)</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After</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105,417,315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37.27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70,278,209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24.85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Selling Stockholders:</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3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 Petras, Jr.(4)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8,587,855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Michael P. Rutz(5)</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709,336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 R. Klee(6)</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76,773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84,363,406 shares held of record by Bull Holdco L.P., a Delaware limited partnership (“Bull Holdco”) and (ii) 21,053,909 shares held of record by Bull Co-Invest L.P., a Delaware limited partnership (“Bull Co-Invest”).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76,773 shares of common stock, of which 8,638 shares are restricted and remain subject to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01625_8"/>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offer and sell the securities covered by this prospectus from time to time, in one or more or any combination of the following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broker-dealers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securities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including in a block trade in which a broker-dealer will attempt to sell the offered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broker-dealer as principal and resale by the broker-dealer for its account pursuant 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At any time a particular offering of securities covered by this prospectus is made, a revised prospectus or prospectus supplement, if required, will set forth the amount of securities covered by this prospectus being offered and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brokers or agents and the amounts of securities underwritten or purchased by each of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if a fixed price offering, and the proceeds to us or any selling stockholders and, to the extent required, any discounts, commissions or concessions allowed or reallowed or paid to 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01625_9"/>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http://investors.soterahealth.com. Information accessible on or through our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01625_10"/>
      <w:bookmarkEnd w:id="2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16">
              <w:r>
                <w:rPr>
                  <w:rStyle w:val="InternetLink"/>
                  <w:rFonts w:ascii="Times New Roman" w:hAnsi="Times New Roman"/>
                  <w:sz w:val="20"/>
                </w:rPr>
                <w:t>Schedule 14A</w:t>
              </w:r>
            </w:hyperlink>
            <w:r>
              <w:rPr>
                <w:rFonts w:ascii="Times New Roman" w:hAnsi="Times New Roman"/>
                <w:sz w:val="20"/>
              </w:rPr>
              <w:t xml:space="preserve">, filed with the SEC on </w:t>
            </w:r>
            <w:hyperlink r:id="rId17">
              <w:r>
                <w:rPr>
                  <w:rStyle w:val="InternetLink"/>
                  <w:rFonts w:ascii="Times New Roman" w:hAnsi="Times New Roman"/>
                  <w:sz w:val="20"/>
                </w:rPr>
                <w:t>April  13, 2023</w:t>
              </w:r>
            </w:hyperlink>
            <w:r>
              <w:rPr>
                <w:rFonts w:ascii="Times New Roman" w:hAnsi="Times New Roman"/>
                <w:sz w:val="20"/>
              </w:rPr>
              <w:t xml:space="preserve"> (solely to the extent specifically incorporated by reference into our Annual Report on </w:t>
            </w:r>
            <w:hyperlink r:id="rId18">
              <w:r>
                <w:rPr>
                  <w:rStyle w:val="InternetLink"/>
                  <w:rFonts w:ascii="Times New Roman" w:hAnsi="Times New Roman"/>
                  <w:sz w:val="20"/>
                </w:rPr>
                <w:t>Form 10-K</w:t>
              </w:r>
            </w:hyperlink>
            <w:r>
              <w:rPr>
                <w:rFonts w:ascii="Times New Roman" w:hAnsi="Times New Roman"/>
                <w:sz w:val="20"/>
              </w:rPr>
              <w:t xml:space="preserve"> for the fiscal year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will not be sent, however, unless those exhibits have been specifically referenced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01625_11"/>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01625_12"/>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31,838,253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80160" cy="4387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280160" cy="43878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720" w:after="0"/>
        <w:jc w:val="center"/>
        <w:rPr/>
      </w:pPr>
      <w:r>
        <w:rPr/>
        <w:t>   </w:t>
      </w:r>
      <w:r>
        <w:rPr>
          <w:rFonts w:ascii="Times New Roman" w:hAnsi="Times New Roman"/>
          <w:b/>
          <w:sz w:val="28"/>
        </w:rPr>
        <w:t xml:space="preserve">, 2026 </w:t>
      </w:r>
    </w:p>
    <w:p>
      <w:pPr>
        <w:pStyle w:val="TextBody"/>
        <w:bidi w:val="0"/>
        <w:spacing w:before="0" w:after="0"/>
        <w:jc w:val="left"/>
        <w:rPr/>
      </w:pPr>
      <w:r>
        <w:rPr/>
        <w:t> </w:t>
      </w:r>
    </w:p>
    <w:p>
      <w:pPr>
        <w:pStyle w:val="TextBody"/>
        <w:bidi w:val="0"/>
        <w:spacing w:before="48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2479/000182247926000015/shc-20251231.htm" TargetMode="External"/><Relationship Id="rId4" Type="http://schemas.openxmlformats.org/officeDocument/2006/relationships/hyperlink" Target="http://www.sec.gov/Archives/edgar/data/../../../ix?doc=/Archives/edgar/data/1822479/000182247926000031/shc-20260331.htm" TargetMode="External"/><Relationship Id="rId5" Type="http://schemas.openxmlformats.org/officeDocument/2006/relationships/hyperlink" Target="http://www.sec.gov/Archives/edgar/data/../../../ix?doc=/Archives/edgar/data/1822479/000182247926000007/shc-20260204.htm" TargetMode="External"/><Relationship Id="rId6" Type="http://schemas.openxmlformats.org/officeDocument/2006/relationships/hyperlink" Target="http://www.sec.gov/Archives/edgar/data/../../../ix?doc=/Archives/edgar/data/1822479/000182247926000012/shc-20260218.htm" TargetMode="External"/><Relationship Id="rId7" Type="http://schemas.openxmlformats.org/officeDocument/2006/relationships/hyperlink" Target="http://www.sec.gov/Archives/edgar/data/../../../ix?doc=/Archives/edgar/data/1822479/000119312526096983/d76958d8k.htm" TargetMode="External"/><Relationship Id="rId8" Type="http://schemas.openxmlformats.org/officeDocument/2006/relationships/hyperlink" Target="http://www.sec.gov/Archives/edgar/data/../../../ix?doc=/Archives/edgar/data/1822479/000182247926000019/shc-20260312.htm" TargetMode="External"/><Relationship Id="rId9" Type="http://schemas.openxmlformats.org/officeDocument/2006/relationships/hyperlink" Target="http://www.sec.gov/Archives/edgar/data/../../../ix?doc=/Archives/edgar/data/1822479/000182247926000028/shc-20260430.htm" TargetMode="External"/><Relationship Id="rId10" Type="http://schemas.openxmlformats.org/officeDocument/2006/relationships/hyperlink" Target="http://www.sec.gov/Archives/edgar/data/../../../ix?doc=/Archives/edgar/data/1822479/000110465926040937/tm261581-1_def14a.htm" TargetMode="External"/><Relationship Id="rId11" Type="http://schemas.openxmlformats.org/officeDocument/2006/relationships/hyperlink" Target="http://www.sec.gov/Archives/edgar/data/../../../ix?doc=/Archives/edgar/data/1822479/000110465926040937/tm261581-1_def14a.htm" TargetMode="External"/><Relationship Id="rId12" Type="http://schemas.openxmlformats.org/officeDocument/2006/relationships/hyperlink" Target="http://www.sec.gov/Archives/edgar/data/1822479/000110465926055639/tm2613596d1_defa14a.htm" TargetMode="External"/><Relationship Id="rId13" Type="http://schemas.openxmlformats.org/officeDocument/2006/relationships/hyperlink" Target="http://www.sec.gov/Archives/edgar/data/../../../ix?doc=/Archives/edgar/data/1822479/000182247926000015/shc-20251231.htm" TargetMode="External"/><Relationship Id="rId14" Type="http://schemas.openxmlformats.org/officeDocument/2006/relationships/image" Target="media/image2.jpeg"/><Relationship Id="rId15" Type="http://schemas.openxmlformats.org/officeDocument/2006/relationships/hyperlink" Target="http://www.sec.gov/Archives/edgar/data/1822479/000182247924000011/shc-20231231.htm" TargetMode="External"/><Relationship Id="rId16" Type="http://schemas.openxmlformats.org/officeDocument/2006/relationships/hyperlink" Target="http://www.sec.gov/Archives/edgar/data/../../../ix?doc=/Archives/edgar/data/1822479/000119312523099939/d425483ddef14a.htm" TargetMode="External"/><Relationship Id="rId17" Type="http://schemas.openxmlformats.org/officeDocument/2006/relationships/hyperlink" Target="http://www.sec.gov/Archives/edgar/data/1822479/000119312523099939/d425483ddef14a.htm" TargetMode="External"/><Relationship Id="rId18" Type="http://schemas.openxmlformats.org/officeDocument/2006/relationships/hyperlink" Target="http://www.sec.gov/Archives/edgar/data/../../../ix?doc=/Archives/edgar/data/1822479/000182247923000015/shc-20221231.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24722</Words>
  <Characters>132698</Characters>
  <CharactersWithSpaces>158679</CharactersWithSpaces>
  <Paragraphs>3076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