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May 27, 2022 (May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9100 South Hills Blvd, Suite 300</w:t>
      </w:r>
    </w:p>
    <w:p>
      <w:pPr>
        <w:spacing w:after="0" w:line="50"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Broadview Heights, Ohio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44147</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(440) 262-1410</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jc w:val="both"/>
        <w:ind w:left="4" w:right="260"/>
        <w:spacing w:after="0" w:line="296" w:lineRule="auto"/>
        <w:rPr>
          <w:sz w:val="20"/>
          <w:szCs w:val="20"/>
          <w:color w:val="auto"/>
        </w:rPr>
      </w:pPr>
      <w:r>
        <w:rPr>
          <w:rFonts w:ascii="Arial" w:cs="Arial" w:eastAsia="Arial" w:hAnsi="Arial"/>
          <w:sz w:val="16"/>
          <w:szCs w:val="16"/>
          <w:color w:val="auto"/>
        </w:rPr>
        <w:t>On May 26, 2022 Sotera Health Company (the “Company”) held its 2022 Annual Meeting of Stockholders (the “Annual Meeting”). The Company’s stockholders voted on three items at the Annual Meeting, each of which is described in more detail in the Company’s definitive proxy statement filed with the Securities and Exchange Commission on April 14, 2022. Present at the Annual Meeting in person or by proxy were holders of 266,228,143 shares of common stock of the Company, representing 94.13% of the voting power of the shares of common stock of the Company as of the close of business on April 1, 2022, the record date for the Annual Meeting, and constituting a quorum for the transaction of business.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stockholders of the Company voted on the following items at the Annual Meeting:</w:t>
      </w:r>
    </w:p>
    <w:p>
      <w:pPr>
        <w:spacing w:after="0" w:line="131" w:lineRule="exact"/>
        <w:rPr>
          <w:sz w:val="20"/>
          <w:szCs w:val="20"/>
          <w:color w:val="auto"/>
        </w:rPr>
      </w:pPr>
    </w:p>
    <w:p>
      <w:pPr>
        <w:ind w:left="964" w:right="640" w:hanging="532"/>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three directors as Class II directors to serve a three-year term until the 2025 annual meeting of stockholders and until their successors are duly elected and qualified.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recommend the frequency of future advisory votes to approve the compensation of the Company’s named executive officers.</w:t>
      </w:r>
    </w:p>
    <w:p>
      <w:pPr>
        <w:spacing w:after="0" w:line="142" w:lineRule="exact"/>
        <w:rPr>
          <w:rFonts w:ascii="Arial" w:cs="Arial" w:eastAsia="Arial" w:hAnsi="Arial"/>
          <w:sz w:val="17"/>
          <w:szCs w:val="17"/>
          <w:color w:val="auto"/>
        </w:rPr>
      </w:pPr>
    </w:p>
    <w:p>
      <w:pPr>
        <w:ind w:left="964" w:right="520" w:hanging="532"/>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the fiscal year ending December 31, 2022.</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final results for each of these proposals are as follows: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Election of Directors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87"/>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Nominee</w:t>
            </w:r>
          </w:p>
        </w:tc>
        <w:tc>
          <w:tcPr>
            <w:tcW w:w="5060" w:type="dxa"/>
            <w:vAlign w:val="bottom"/>
          </w:tcPr>
          <w:p>
            <w:pPr>
              <w:spacing w:after="0"/>
              <w:rPr>
                <w:sz w:val="16"/>
                <w:szCs w:val="16"/>
                <w:color w:val="auto"/>
              </w:rPr>
            </w:pPr>
          </w:p>
        </w:tc>
        <w:tc>
          <w:tcPr>
            <w:tcW w:w="1280" w:type="dxa"/>
            <w:vAlign w:val="bottom"/>
            <w:gridSpan w:val="2"/>
          </w:tcPr>
          <w:p>
            <w:pPr>
              <w:ind w:left="360"/>
              <w:spacing w:after="0"/>
              <w:rPr>
                <w:sz w:val="20"/>
                <w:szCs w:val="20"/>
                <w:color w:val="auto"/>
              </w:rPr>
            </w:pPr>
            <w:r>
              <w:rPr>
                <w:rFonts w:ascii="Arial" w:cs="Arial" w:eastAsia="Arial" w:hAnsi="Arial"/>
                <w:sz w:val="14"/>
                <w:szCs w:val="14"/>
                <w:color w:val="auto"/>
              </w:rPr>
              <w:t>For</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Against</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Abstain</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Broker Non-Vote</w:t>
            </w: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Ruoxi Chen</w:t>
            </w:r>
          </w:p>
        </w:tc>
        <w:tc>
          <w:tcPr>
            <w:tcW w:w="9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239,802,823</w:t>
            </w: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25,545,784</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131,842</w:t>
            </w: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747,694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David A. Donnini</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239,860,666</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25,487,966</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131,817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747,694</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R. Klee</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240,814,033</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24,535,469</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130,947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747,694</w:t>
            </w:r>
          </w:p>
        </w:tc>
      </w:tr>
    </w:tbl>
    <w:p>
      <w:pPr>
        <w:spacing w:after="0" w:line="202"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Based on the votes set forth above, each director nominee was duly elected to serve until the 2025 annual meeting of stockholders and until his or her successor is duly elected and qualified.</w:t>
      </w:r>
    </w:p>
    <w:p>
      <w:pPr>
        <w:spacing w:after="0" w:line="278" w:lineRule="exact"/>
        <w:rPr>
          <w:sz w:val="20"/>
          <w:szCs w:val="20"/>
          <w:color w:val="auto"/>
        </w:rPr>
      </w:pPr>
    </w:p>
    <w:p>
      <w:pPr>
        <w:ind w:left="184" w:hanging="184"/>
        <w:spacing w:after="0"/>
        <w:tabs>
          <w:tab w:leader="none" w:pos="18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Frequency of Future Advisory Votes to Approve the Compensation of the Company’s Named Executive Officers</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81"/>
        </w:trPr>
        <w:tc>
          <w:tcPr>
            <w:tcW w:w="236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One Year</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Two Years</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Three Years</w:t>
            </w:r>
          </w:p>
        </w:tc>
        <w:tc>
          <w:tcPr>
            <w:tcW w:w="2220" w:type="dxa"/>
            <w:vAlign w:val="bottom"/>
          </w:tcPr>
          <w:p>
            <w:pPr>
              <w:jc w:val="center"/>
              <w:spacing w:after="0"/>
              <w:rPr>
                <w:sz w:val="20"/>
                <w:szCs w:val="20"/>
                <w:color w:val="auto"/>
              </w:rPr>
            </w:pPr>
            <w:r>
              <w:rPr>
                <w:rFonts w:ascii="Arial" w:cs="Arial" w:eastAsia="Arial" w:hAnsi="Arial"/>
                <w:sz w:val="14"/>
                <w:szCs w:val="14"/>
                <w:color w:val="auto"/>
                <w:w w:val="92"/>
              </w:rPr>
              <w:t>Abstentions</w:t>
            </w:r>
          </w:p>
        </w:tc>
      </w:tr>
      <w:tr>
        <w:trPr>
          <w:trHeight w:val="210"/>
        </w:trPr>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rPr>
              <w:t>264,927,407</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1,399</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366,772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184,871</w:t>
            </w:r>
          </w:p>
        </w:tc>
      </w:tr>
    </w:tbl>
    <w:p>
      <w:pPr>
        <w:spacing w:after="0" w:line="202"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Based on the votes set forth above, the Company’s stockholders recommended, by advisory vote, a one year frequency for future advisory votes on executive compensation. In accordance with these results and its previous recommendation, the Board of Directors determined that future advisory votes on named executive officer compensation will be held every year.</w:t>
      </w:r>
    </w:p>
    <w:p>
      <w:pPr>
        <w:spacing w:after="0" w:line="292" w:lineRule="exact"/>
        <w:rPr>
          <w:sz w:val="20"/>
          <w:szCs w:val="20"/>
          <w:color w:val="auto"/>
        </w:rPr>
      </w:pPr>
    </w:p>
    <w:p>
      <w:pPr>
        <w:ind w:left="184" w:hanging="184"/>
        <w:spacing w:after="0"/>
        <w:tabs>
          <w:tab w:leader="none" w:pos="18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Ratification of Appointment of Independent Registered Public Accounting Firm</w:t>
      </w:r>
    </w:p>
    <w:p>
      <w:pPr>
        <w:spacing w:after="0" w:line="248" w:lineRule="exact"/>
        <w:rPr>
          <w:sz w:val="20"/>
          <w:szCs w:val="20"/>
          <w:color w:val="auto"/>
        </w:rPr>
      </w:pPr>
    </w:p>
    <w:tbl>
      <w:tblPr>
        <w:tblLayout w:type="fixed"/>
        <w:tblInd w:w="1224" w:type="dxa"/>
        <w:tblCellMar>
          <w:top w:w="0" w:type="dxa"/>
          <w:left w:w="0" w:type="dxa"/>
          <w:bottom w:w="0" w:type="dxa"/>
          <w:right w:w="0" w:type="dxa"/>
        </w:tblCellMar>
      </w:tblPr>
      <w:tr>
        <w:trPr>
          <w:trHeight w:val="181"/>
        </w:trPr>
        <w:tc>
          <w:tcPr>
            <w:tcW w:w="30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For</w:t>
            </w: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Against</w:t>
            </w:r>
          </w:p>
        </w:tc>
        <w:tc>
          <w:tcPr>
            <w:tcW w:w="2740" w:type="dxa"/>
            <w:vAlign w:val="bottom"/>
          </w:tcPr>
          <w:p>
            <w:pPr>
              <w:jc w:val="center"/>
              <w:spacing w:after="0"/>
              <w:rPr>
                <w:sz w:val="20"/>
                <w:szCs w:val="20"/>
                <w:color w:val="auto"/>
              </w:rPr>
            </w:pPr>
            <w:r>
              <w:rPr>
                <w:rFonts w:ascii="Arial" w:cs="Arial" w:eastAsia="Arial" w:hAnsi="Arial"/>
                <w:sz w:val="14"/>
                <w:szCs w:val="14"/>
                <w:color w:val="auto"/>
                <w:w w:val="98"/>
              </w:rPr>
              <w:t>Abstain</w:t>
            </w:r>
          </w:p>
        </w:tc>
      </w:tr>
      <w:tr>
        <w:trPr>
          <w:trHeight w:val="210"/>
        </w:trPr>
        <w:tc>
          <w:tcPr>
            <w:tcW w:w="29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266,094,724</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1,535</w:t>
            </w:r>
          </w:p>
        </w:tc>
        <w:tc>
          <w:tcPr>
            <w:tcW w:w="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131,884</w:t>
            </w:r>
          </w:p>
        </w:tc>
      </w:tr>
    </w:tbl>
    <w:p>
      <w:pPr>
        <w:spacing w:after="0" w:line="202"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Based on the votes set forth above, the stockholders ratified the appointment of Ernst &amp; Young LLP as the Company’s independent registered public accounting firm for the fiscal year ending December 31, 2022. There were no broker non-votes on this matter.</w:t>
      </w:r>
    </w:p>
    <w:p>
      <w:pPr>
        <w:sectPr>
          <w:pgSz w:w="11900" w:h="16838" w:orient="portrait"/>
          <w:cols w:equalWidth="0" w:num="1">
            <w:col w:w="11004"/>
          </w:cols>
          <w:pgMar w:left="436"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Sotera Health Company</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Terrence G. Hammons,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Terrence G. Hammons, Jr.</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2022</w:t>
      </w:r>
    </w:p>
    <w:sectPr>
      <w:pgSz w:w="11900" w:h="16838" w:orient="portrait"/>
      <w:cols w:equalWidth="0" w:num="1">
        <w:col w:w="10340"/>
      </w:cols>
      <w:pgMar w:left="440" w:top="297"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2022-05-28T12:36:12Z</dcterms:created>
  <dcterms:modified xsi:type="dcterms:W3CDTF">2022-05-28T12:36:12Z</dcterms:modified>
</cp:coreProperties>
</file>