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6962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962775"/>
                    </a:xfrm>
                    <a:prstGeom prst="rect">
                      <a:avLst/>
                    </a:prstGeom>
                    <a:noFill/>
                  </pic:spPr>
                </pic:pic>
              </a:graphicData>
            </a:graphic>
          </wp:anchor>
        </w:drawing>
      </w:r>
    </w:p>
    <w:p>
      <w:pPr>
        <w:spacing w:after="0" w:line="1208" w:lineRule="exact"/>
        <w:rPr>
          <w:sz w:val="24"/>
          <w:szCs w:val="24"/>
          <w:color w:val="auto"/>
        </w:rPr>
      </w:pPr>
    </w:p>
    <w:p>
      <w:pPr>
        <w:sectPr>
          <w:pgSz w:w="11900" w:h="16874" w:orient="portrait"/>
          <w:cols w:equalWidth="0" w:num="2">
            <w:col w:w="2300" w:space="300"/>
            <w:col w:w="8480"/>
          </w:cols>
          <w:pgMar w:left="460" w:top="216" w:right="359" w:bottom="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Petras Michael B. Jr.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00"/>
        <w:spacing w:after="0" w:line="374"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522" w:lineRule="exact"/>
        <w:rPr>
          <w:sz w:val="24"/>
          <w:szCs w:val="24"/>
          <w:color w:val="auto"/>
        </w:rPr>
      </w:pPr>
    </w:p>
    <w:p>
      <w:pPr>
        <w:sectPr>
          <w:pgSz w:w="11900" w:h="16874" w:orient="portrait"/>
          <w:cols w:equalWidth="0" w:num="3">
            <w:col w:w="3180" w:space="720"/>
            <w:col w:w="3116" w:space="720"/>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50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3400" w:type="dxa"/>
            <w:vAlign w:val="bottom"/>
            <w:gridSpan w:val="8"/>
            <w:vMerge w:val="restart"/>
          </w:tcPr>
          <w:p>
            <w:pPr>
              <w:jc w:val="center"/>
              <w:ind w:left="56"/>
              <w:spacing w:after="0"/>
              <w:rPr>
                <w:sz w:val="20"/>
                <w:szCs w:val="20"/>
                <w:color w:val="auto"/>
              </w:rPr>
            </w:pPr>
            <w:r>
              <w:rPr>
                <w:rFonts w:ascii="Arial" w:cs="Arial" w:eastAsia="Arial" w:hAnsi="Arial"/>
                <w:sz w:val="13"/>
                <w:szCs w:val="13"/>
                <w:color w:val="auto"/>
                <w:w w:val="97"/>
              </w:rPr>
              <w:t>4. If Amendment, Date of Original Filed (Month/Day/Year)</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OH</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44147</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HEIGHTS</w:t>
            </w:r>
          </w:p>
        </w:tc>
        <w:tc>
          <w:tcPr>
            <w:tcW w:w="12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600" w:type="dxa"/>
            <w:vAlign w:val="bottom"/>
          </w:tcPr>
          <w:p>
            <w:pPr>
              <w:ind w:left="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8"/>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220" w:type="dxa"/>
            <w:vAlign w:val="bottom"/>
            <w:gridSpan w:val="3"/>
          </w:tcPr>
          <w:p>
            <w:pPr>
              <w:ind w:left="18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6"/>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3"/>
          </w:tcPr>
          <w:p>
            <w:pPr>
              <w:jc w:val="center"/>
              <w:ind w:left="8"/>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jc w:val="center"/>
              <w:ind w:right="43"/>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3"/>
          </w:tcPr>
          <w:p>
            <w:pPr>
              <w:ind w:left="3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22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7"/>
                <w:szCs w:val="17"/>
                <w:color w:val="0000FF"/>
                <w:w w:val="95"/>
              </w:rPr>
              <w:t>11/20/2024</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vMerge w:val="restart"/>
          </w:tcPr>
          <w:p>
            <w:pPr>
              <w:jc w:val="center"/>
              <w:ind w:right="23"/>
              <w:spacing w:after="0"/>
              <w:rPr>
                <w:sz w:val="20"/>
                <w:szCs w:val="20"/>
                <w:color w:val="auto"/>
              </w:rPr>
            </w:pPr>
            <w:r>
              <w:rPr>
                <w:rFonts w:ascii="Times New Roman" w:cs="Times New Roman" w:eastAsia="Times New Roman" w:hAnsi="Times New Roman"/>
                <w:sz w:val="13"/>
                <w:szCs w:val="13"/>
                <w:color w:val="0000FF"/>
                <w:w w:val="82"/>
              </w:rPr>
              <w:t>F</w:t>
            </w:r>
          </w:p>
        </w:tc>
        <w:tc>
          <w:tcPr>
            <w:tcW w:w="360" w:type="dxa"/>
            <w:vAlign w:val="bottom"/>
          </w:tcPr>
          <w:p>
            <w:pPr>
              <w:spacing w:after="0"/>
              <w:rPr>
                <w:sz w:val="21"/>
                <w:szCs w:val="21"/>
                <w:color w:val="auto"/>
              </w:rPr>
            </w:pPr>
          </w:p>
        </w:tc>
        <w:tc>
          <w:tcPr>
            <w:tcW w:w="960" w:type="dxa"/>
            <w:vAlign w:val="bottom"/>
            <w:gridSpan w:val="2"/>
            <w:vMerge w:val="restart"/>
          </w:tcPr>
          <w:p>
            <w:pPr>
              <w:jc w:val="center"/>
              <w:ind w:right="167"/>
              <w:spacing w:after="0"/>
              <w:rPr>
                <w:sz w:val="20"/>
                <w:szCs w:val="20"/>
                <w:color w:val="auto"/>
              </w:rPr>
            </w:pPr>
            <w:r>
              <w:rPr>
                <w:rFonts w:ascii="Times New Roman" w:cs="Times New Roman" w:eastAsia="Times New Roman" w:hAnsi="Times New Roman"/>
                <w:sz w:val="17"/>
                <w:szCs w:val="17"/>
                <w:color w:val="0000FF"/>
                <w:w w:val="91"/>
              </w:rPr>
              <w:t>29,250</w:t>
            </w:r>
            <w:r>
              <w:rPr>
                <w:rFonts w:ascii="Times New Roman" w:cs="Times New Roman" w:eastAsia="Times New Roman" w:hAnsi="Times New Roman"/>
                <w:sz w:val="21"/>
                <w:szCs w:val="21"/>
                <w:color w:val="008000"/>
                <w:w w:val="91"/>
                <w:vertAlign w:val="superscript"/>
              </w:rPr>
              <w:t>(1)</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Pr>
          <w:p>
            <w:pPr>
              <w:spacing w:after="0"/>
              <w:rPr>
                <w:sz w:val="21"/>
                <w:szCs w:val="21"/>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13.21</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670,499</w:t>
            </w:r>
            <w:r>
              <w:rPr>
                <w:rFonts w:ascii="Times New Roman" w:cs="Times New Roman" w:eastAsia="Times New Roman" w:hAnsi="Times New Roman"/>
                <w:sz w:val="21"/>
                <w:szCs w:val="21"/>
                <w:color w:val="008000"/>
                <w:w w:val="92"/>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gridSpan w:val="6"/>
            <w:vMerge w:val="continue"/>
          </w:tcPr>
          <w:p>
            <w:pPr>
              <w:spacing w:after="0"/>
              <w:rPr>
                <w:sz w:val="8"/>
                <w:szCs w:val="8"/>
                <w:color w:val="auto"/>
              </w:rPr>
            </w:pPr>
          </w:p>
        </w:tc>
        <w:tc>
          <w:tcPr>
            <w:tcW w:w="122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7"/>
                <w:szCs w:val="17"/>
                <w:color w:val="0000FF"/>
                <w:w w:val="95"/>
              </w:rPr>
              <w:t>11/22/2024</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restart"/>
          </w:tcPr>
          <w:p>
            <w:pPr>
              <w:jc w:val="center"/>
              <w:ind w:right="23"/>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Pr>
          <w:p>
            <w:pPr>
              <w:spacing w:after="0"/>
              <w:rPr>
                <w:sz w:val="8"/>
                <w:szCs w:val="8"/>
                <w:color w:val="auto"/>
              </w:rPr>
            </w:pPr>
          </w:p>
        </w:tc>
        <w:tc>
          <w:tcPr>
            <w:tcW w:w="960" w:type="dxa"/>
            <w:vAlign w:val="bottom"/>
            <w:gridSpan w:val="2"/>
            <w:vMerge w:val="restart"/>
          </w:tcPr>
          <w:p>
            <w:pPr>
              <w:jc w:val="center"/>
              <w:ind w:right="167"/>
              <w:spacing w:after="0"/>
              <w:rPr>
                <w:sz w:val="20"/>
                <w:szCs w:val="20"/>
                <w:color w:val="auto"/>
              </w:rPr>
            </w:pPr>
            <w:r>
              <w:rPr>
                <w:rFonts w:ascii="Times New Roman" w:cs="Times New Roman" w:eastAsia="Times New Roman" w:hAnsi="Times New Roman"/>
                <w:sz w:val="17"/>
                <w:szCs w:val="17"/>
                <w:color w:val="0000FF"/>
                <w:w w:val="98"/>
              </w:rPr>
              <w:t>39,243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5,214,337</w:t>
            </w:r>
          </w:p>
        </w:tc>
        <w:tc>
          <w:tcPr>
            <w:tcW w:w="280" w:type="dxa"/>
            <w:vAlign w:val="bottom"/>
          </w:tcPr>
          <w:p>
            <w:pPr>
              <w:spacing w:after="0"/>
              <w:rPr>
                <w:sz w:val="8"/>
                <w:szCs w:val="8"/>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gridSpan w:val="6"/>
            <w:vMerge w:val="continue"/>
          </w:tcPr>
          <w:p>
            <w:pPr>
              <w:spacing w:after="0"/>
              <w:rPr>
                <w:sz w:val="8"/>
                <w:szCs w:val="8"/>
                <w:color w:val="auto"/>
              </w:rPr>
            </w:pPr>
          </w:p>
        </w:tc>
        <w:tc>
          <w:tcPr>
            <w:tcW w:w="122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7"/>
                <w:szCs w:val="17"/>
                <w:color w:val="0000FF"/>
                <w:w w:val="95"/>
              </w:rPr>
              <w:t>11/22/2024</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restart"/>
          </w:tcPr>
          <w:p>
            <w:pPr>
              <w:jc w:val="center"/>
              <w:ind w:right="23"/>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Pr>
          <w:p>
            <w:pPr>
              <w:spacing w:after="0"/>
              <w:rPr>
                <w:sz w:val="8"/>
                <w:szCs w:val="8"/>
                <w:color w:val="auto"/>
              </w:rPr>
            </w:pPr>
          </w:p>
        </w:tc>
        <w:tc>
          <w:tcPr>
            <w:tcW w:w="960" w:type="dxa"/>
            <w:vAlign w:val="bottom"/>
            <w:gridSpan w:val="2"/>
            <w:vMerge w:val="restart"/>
          </w:tcPr>
          <w:p>
            <w:pPr>
              <w:jc w:val="center"/>
              <w:ind w:right="167"/>
              <w:spacing w:after="0"/>
              <w:rPr>
                <w:sz w:val="20"/>
                <w:szCs w:val="20"/>
                <w:color w:val="auto"/>
              </w:rPr>
            </w:pPr>
            <w:r>
              <w:rPr>
                <w:rFonts w:ascii="Times New Roman" w:cs="Times New Roman" w:eastAsia="Times New Roman" w:hAnsi="Times New Roman"/>
                <w:sz w:val="17"/>
                <w:szCs w:val="17"/>
                <w:color w:val="0000FF"/>
                <w:w w:val="98"/>
              </w:rPr>
              <w:t>39,243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3"/>
            <w:vMerge w:val="restart"/>
          </w:tcPr>
          <w:p>
            <w:pPr>
              <w:jc w:val="center"/>
              <w:spacing w:after="0" w:line="204" w:lineRule="exact"/>
              <w:rPr>
                <w:sz w:val="20"/>
                <w:szCs w:val="20"/>
                <w:color w:val="auto"/>
              </w:rPr>
            </w:pPr>
            <w:r>
              <w:rPr>
                <w:rFonts w:ascii="Times New Roman" w:cs="Times New Roman" w:eastAsia="Times New Roman" w:hAnsi="Times New Roman"/>
                <w:sz w:val="17"/>
                <w:szCs w:val="17"/>
                <w:color w:val="0000FF"/>
                <w:w w:val="91"/>
              </w:rPr>
              <w:t>39,243</w:t>
            </w:r>
            <w:r>
              <w:rPr>
                <w:rFonts w:ascii="Times New Roman" w:cs="Times New Roman" w:eastAsia="Times New Roman" w:hAnsi="Times New Roman"/>
                <w:sz w:val="21"/>
                <w:szCs w:val="21"/>
                <w:color w:val="008000"/>
                <w:w w:val="91"/>
                <w:vertAlign w:val="superscript"/>
              </w:rPr>
              <w:t>(3)</w:t>
            </w:r>
          </w:p>
        </w:tc>
        <w:tc>
          <w:tcPr>
            <w:tcW w:w="280" w:type="dxa"/>
            <w:vAlign w:val="bottom"/>
          </w:tcPr>
          <w:p>
            <w:pPr>
              <w:spacing w:after="0"/>
              <w:rPr>
                <w:sz w:val="8"/>
                <w:szCs w:val="8"/>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8"/>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920" w:type="dxa"/>
            <w:vAlign w:val="bottom"/>
            <w:gridSpan w:val="14"/>
          </w:tcPr>
          <w:p>
            <w:pPr>
              <w:jc w:val="center"/>
              <w:ind w:right="8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gridSpan w:val="9"/>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2940" w:type="dxa"/>
            <w:vAlign w:val="bottom"/>
            <w:gridSpan w:val="10"/>
          </w:tcPr>
          <w:p>
            <w:pPr>
              <w:ind w:left="80"/>
              <w:spacing w:after="0"/>
              <w:rPr>
                <w:sz w:val="20"/>
                <w:szCs w:val="20"/>
                <w:color w:val="auto"/>
              </w:rPr>
            </w:pPr>
            <w:r>
              <w:rPr>
                <w:rFonts w:ascii="Arial" w:cs="Arial" w:eastAsia="Arial" w:hAnsi="Arial"/>
                <w:sz w:val="11"/>
                <w:szCs w:val="11"/>
                <w:b w:val="1"/>
                <w:bCs w:val="1"/>
                <w:color w:val="auto"/>
              </w:rPr>
              <w:t>6. Date Exercisable and   7. Title and Amount of</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Expiration Date</w:t>
            </w:r>
          </w:p>
        </w:tc>
        <w:tc>
          <w:tcPr>
            <w:tcW w:w="460" w:type="dxa"/>
            <w:vAlign w:val="bottom"/>
          </w:tcPr>
          <w:p>
            <w:pPr>
              <w:spacing w:after="0"/>
              <w:rPr>
                <w:sz w:val="11"/>
                <w:szCs w:val="11"/>
                <w:color w:val="auto"/>
              </w:rPr>
            </w:pPr>
          </w:p>
        </w:tc>
        <w:tc>
          <w:tcPr>
            <w:tcW w:w="1380" w:type="dxa"/>
            <w:vAlign w:val="bottom"/>
            <w:gridSpan w:val="5"/>
          </w:tcPr>
          <w:p>
            <w:pPr>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rPr>
                <w:sz w:val="11"/>
                <w:szCs w:val="11"/>
                <w:color w:val="auto"/>
              </w:rPr>
            </w:pPr>
          </w:p>
        </w:tc>
        <w:tc>
          <w:tcPr>
            <w:tcW w:w="1380" w:type="dxa"/>
            <w:vAlign w:val="bottom"/>
            <w:gridSpan w:val="5"/>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4"/>
          </w:tcPr>
          <w:p>
            <w:pPr>
              <w:ind w:left="1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880" w:type="dxa"/>
            <w:vAlign w:val="bottom"/>
            <w:gridSpan w:val="4"/>
          </w:tcPr>
          <w:p>
            <w:pPr>
              <w:ind w:left="1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4"/>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14.59</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(5)</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03/04/2034</w:t>
            </w: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6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7"/>
                <w:szCs w:val="17"/>
                <w:color w:val="0000FF"/>
                <w:w w:val="97"/>
              </w:rPr>
              <w:t>544,509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544,509</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17.59</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(6)</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03/06/2033</w:t>
            </w: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6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7"/>
                <w:szCs w:val="17"/>
                <w:color w:val="0000FF"/>
                <w:w w:val="97"/>
              </w:rPr>
              <w:t>404,094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404,094</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(7)</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11/07/2032</w:t>
            </w: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2,108,356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2,108,356</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8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03/02/2032</w:t>
            </w: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w w:val="99"/>
              </w:rPr>
              <w:t>Common</w:t>
            </w:r>
          </w:p>
        </w:tc>
        <w:tc>
          <w:tcPr>
            <w:tcW w:w="160" w:type="dxa"/>
            <w:vAlign w:val="bottom"/>
          </w:tcPr>
          <w:p>
            <w:pPr>
              <w:spacing w:after="0"/>
              <w:rPr>
                <w:sz w:val="15"/>
                <w:szCs w:val="15"/>
                <w:color w:val="auto"/>
              </w:rPr>
            </w:pPr>
          </w:p>
        </w:tc>
        <w:tc>
          <w:tcPr>
            <w:tcW w:w="6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7"/>
                <w:szCs w:val="17"/>
                <w:color w:val="0000FF"/>
                <w:w w:val="97"/>
              </w:rPr>
              <w:t>478,932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478,932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23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(9)</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11/20/2030</w:t>
            </w: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1,118,012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1,118,012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(4)</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8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-2937510</wp:posOffset>
            </wp:positionV>
            <wp:extent cx="29210" cy="2943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43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65,217 Restricted Stock Units ("RSUs"), which represents 25% of the RSU award granted to the Reporting Person on November 20, 2020.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478,693 RSUs and 191,806 shares of Common Stock.</w:t>
      </w:r>
    </w:p>
    <w:p>
      <w:pPr>
        <w:spacing w:after="0" w:line="41"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the reported shares for purposes of Section 16 or for any other purpose.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1"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2020 Incentive Plan. The options vest annually in three equal installments commencing March 2, 2025, subject to vesting conditions.</w:t>
      </w:r>
    </w:p>
    <w:p>
      <w:pPr>
        <w:spacing w:after="0" w:line="19"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6, 2023, pursuant to the terms of a stock option agreement under the 2020 Incentive Plan. The options vest annually in three equal installments commencing March 2, 2024, subject to vesting conditions.</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7, 2022, pursuant to the terms of a stock option agreement under the 2020 Incentive Plan. The options vest in three installments, as follows: 30%, 30%, and 40% of the options vest on each of the 12-month, 18-month, and 24-month anniversaries, respectively, of the date of grant, subject to the Reporting Person's continued service through each such date.</w:t>
      </w:r>
    </w:p>
    <w:p>
      <w:pPr>
        <w:spacing w:after="0" w:line="19"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vesting conditions.</w:t>
      </w:r>
    </w:p>
    <w:p>
      <w:pPr>
        <w:sectPr>
          <w:pgSz w:w="11900" w:h="16874" w:orient="portrait"/>
          <w:cols w:equalWidth="0" w:num="1">
            <w:col w:w="11080"/>
          </w:cols>
          <w:pgMar w:left="460" w:top="216" w:right="359" w:bottom="0" w:gutter="0" w:footer="0" w:header="0"/>
          <w:type w:val="continuous"/>
        </w:sectPr>
      </w:pPr>
    </w:p>
    <w:bookmarkStart w:id="1" w:name="page2"/>
    <w:bookmarkEnd w:id="1"/>
    <w:p>
      <w:pPr>
        <w:spacing w:after="0" w:line="251"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vesting conditions.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Power of Attorney for Mr. Petras is filed as an exhibit to the Form 4 filed on September 12, 2024, which is incorporated by reference.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Gregory S. Harvey, Attorney-</w:t>
            </w:r>
          </w:p>
        </w:tc>
        <w:tc>
          <w:tcPr>
            <w:tcW w:w="22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11/22/2024</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4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jc w:val="both"/>
        <w:ind w:right="300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60"/>
      </w:cols>
      <w:pgMar w:left="500" w:top="127"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2387"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2024-11-22T16:57:13Z</dcterms:created>
  <dcterms:modified xsi:type="dcterms:W3CDTF">2024-11-22T16:57:13Z</dcterms:modified>
</cp:coreProperties>
</file>