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7029450" cy="28803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7029450" cy="28803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23, 2020</w:t>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 CORRESPONDENCE</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Chris Edwards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43" w:lineRule="exact"/>
        <w:rPr>
          <w:sz w:val="24"/>
          <w:szCs w:val="24"/>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Sotera Health Topco, Inc.</w:t>
      </w:r>
    </w:p>
    <w:p>
      <w:pPr>
        <w:spacing w:after="0" w:line="3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Amendment No. 2 to Draft Registration Statement on Form S-1</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Submitted October 9, 2020</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CIK: 0001822479</w:t>
      </w:r>
    </w:p>
    <w:p>
      <w:pPr>
        <w:spacing w:after="0" w:line="3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Edwards:</w:t>
      </w:r>
    </w:p>
    <w:p>
      <w:pPr>
        <w:spacing w:after="0" w:line="117" w:lineRule="exact"/>
        <w:rPr>
          <w:sz w:val="24"/>
          <w:szCs w:val="24"/>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On behalf of our client, Sotera Health Topco,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set forth below are responses to the comments of the staff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in its letter dated October 21, 2020, with respect to the above-referenced Amendment No. 2 to Draft Registration Statement (the “</w:t>
      </w:r>
      <w:r>
        <w:rPr>
          <w:rFonts w:ascii="Times New Roman" w:cs="Times New Roman" w:eastAsia="Times New Roman" w:hAnsi="Times New Roman"/>
          <w:sz w:val="18"/>
          <w:szCs w:val="18"/>
          <w:u w:val="single" w:color="auto"/>
          <w:color w:val="auto"/>
        </w:rPr>
        <w:t>Draft Registration Statement</w:t>
      </w:r>
      <w:r>
        <w:rPr>
          <w:rFonts w:ascii="Times New Roman" w:cs="Times New Roman" w:eastAsia="Times New Roman" w:hAnsi="Times New Roman"/>
          <w:sz w:val="18"/>
          <w:szCs w:val="18"/>
          <w:color w:val="auto"/>
        </w:rPr>
        <w:t>”) on Form S-1 submitted on October 8, 2020.</w:t>
      </w:r>
    </w:p>
    <w:p>
      <w:pPr>
        <w:spacing w:after="0" w:line="176" w:lineRule="exact"/>
        <w:rPr>
          <w:sz w:val="24"/>
          <w:szCs w:val="24"/>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Company has publicly filed today its initial registration statement on Form S-1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together with this letter, via EDGAR submission.</w:t>
      </w:r>
    </w:p>
    <w:p>
      <w:pPr>
        <w:spacing w:after="0" w:line="162" w:lineRule="exact"/>
        <w:rPr>
          <w:sz w:val="24"/>
          <w:szCs w:val="24"/>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For your convenience, the text of the Staff’s comments is set forth in bold below, followed in each case by the Company’s response. Unless otherwise indicated, all page references in the responses set forth below are to the pages of the clean copy of the Registration Statement.</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Cleary Gottlieb Steen &amp; Hamilton LLP or an affiliated entity has an office in each of the cities listed above.</w:t>
      </w:r>
    </w:p>
    <w:p>
      <w:pPr>
        <w:sectPr>
          <w:pgSz w:w="11900" w:h="16838" w:orient="portrait"/>
          <w:cols w:equalWidth="0" w:num="1">
            <w:col w:w="11020"/>
          </w:cols>
          <w:pgMar w:left="440" w:top="1440"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Mr. Chris Edwards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 of 2</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2 to Draft Registration Statement on Form S-1</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Summary</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 Summary, page 9</w:t>
      </w:r>
    </w:p>
    <w:p>
      <w:pPr>
        <w:spacing w:after="0" w:line="131" w:lineRule="exact"/>
        <w:rPr>
          <w:sz w:val="20"/>
          <w:szCs w:val="20"/>
          <w:color w:val="auto"/>
        </w:rPr>
      </w:pPr>
    </w:p>
    <w:p>
      <w:pPr>
        <w:ind w:left="424" w:hanging="424"/>
        <w:spacing w:after="0" w:line="26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note your response to prior comment 5. As previously noted, please further balance your Summary section by expanding your summary risks disclosure, including by expanding the seventh bullet on page 10 to specify your total amount of debt and the percentage of your cash flow that must be dedicated to debt service (both principal and interest). Additionally, please balance your disclosures in the second full paragraph on page 7 regarding revenue growth by also noting you had net losses for fiscal years 2018 and 2019.</w:t>
      </w:r>
    </w:p>
    <w:p>
      <w:pPr>
        <w:spacing w:after="0" w:line="180"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the Staff’s comment, the Company has revised the disclosure on page 10.</w:t>
      </w:r>
    </w:p>
    <w:p>
      <w:pPr>
        <w:spacing w:after="0" w:line="225" w:lineRule="exact"/>
        <w:rPr>
          <w:rFonts w:ascii="Times New Roman" w:cs="Times New Roman" w:eastAsia="Times New Roman" w:hAnsi="Times New Roman"/>
          <w:sz w:val="18"/>
          <w:szCs w:val="18"/>
          <w:color w:val="auto"/>
        </w:rPr>
      </w:pPr>
    </w:p>
    <w:p>
      <w:pPr>
        <w:ind w:left="51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jc w:val="center"/>
        <w:ind w:right="3576"/>
        <w:spacing w:after="0"/>
        <w:rPr>
          <w:sz w:val="20"/>
          <w:szCs w:val="20"/>
          <w:color w:val="auto"/>
        </w:rPr>
      </w:pPr>
      <w:r>
        <w:rPr>
          <w:rFonts w:ascii="Times New Roman" w:cs="Times New Roman" w:eastAsia="Times New Roman" w:hAnsi="Times New Roman"/>
          <w:sz w:val="18"/>
          <w:szCs w:val="18"/>
          <w:color w:val="auto"/>
        </w:rPr>
        <w:t>Please direct any comments regarding this submission to David Lopez at (212) 225-2632.</w:t>
      </w:r>
    </w:p>
    <w:p>
      <w:pPr>
        <w:spacing w:after="0" w:line="117"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17"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color w:val="auto"/>
        </w:rPr>
        <w:t>/s/ David Lopez</w:t>
      </w:r>
    </w:p>
    <w:p>
      <w:pPr>
        <w:spacing w:after="0" w:line="117"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color w:val="auto"/>
        </w:rPr>
        <w:t>David Lopez</w:t>
      </w:r>
    </w:p>
    <w:p>
      <w:pPr>
        <w:spacing w:after="0" w:line="252" w:lineRule="exact"/>
        <w:rPr>
          <w:sz w:val="20"/>
          <w:szCs w:val="20"/>
          <w:color w:val="auto"/>
        </w:rPr>
      </w:pPr>
    </w:p>
    <w:p>
      <w:pPr>
        <w:ind w:left="444" w:right="9400" w:hanging="444"/>
        <w:spacing w:after="0" w:line="272" w:lineRule="auto"/>
        <w:tabs>
          <w:tab w:leader="none" w:pos="4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Tracie Mariner Sasha Parikh Dorrie Yale</w:t>
      </w:r>
    </w:p>
    <w:p>
      <w:pPr>
        <w:spacing w:after="0" w:line="1" w:lineRule="exact"/>
        <w:rPr>
          <w:rFonts w:ascii="Times New Roman" w:cs="Times New Roman" w:eastAsia="Times New Roman" w:hAnsi="Times New Roman"/>
          <w:sz w:val="17"/>
          <w:szCs w:val="17"/>
          <w:color w:val="auto"/>
        </w:rPr>
      </w:pPr>
    </w:p>
    <w:p>
      <w:pPr>
        <w:ind w:left="86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Securities and Exchange Commission</w:t>
      </w:r>
    </w:p>
    <w:p>
      <w:pPr>
        <w:spacing w:after="0" w:line="206" w:lineRule="exact"/>
        <w:rPr>
          <w:rFonts w:ascii="Times New Roman" w:cs="Times New Roman" w:eastAsia="Times New Roman" w:hAnsi="Times New Roman"/>
          <w:sz w:val="17"/>
          <w:szCs w:val="17"/>
          <w:color w:val="auto"/>
        </w:rPr>
      </w:pPr>
    </w:p>
    <w:p>
      <w:pPr>
        <w:ind w:left="444" w:right="892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Michael B. Petras, Jr. Matthew J. Klaben</w:t>
      </w:r>
    </w:p>
    <w:p>
      <w:pPr>
        <w:ind w:left="86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Sotera Health Topco, Inc.</w:t>
      </w:r>
    </w:p>
    <w:p>
      <w:pPr>
        <w:spacing w:after="0" w:line="206" w:lineRule="exact"/>
        <w:rPr>
          <w:rFonts w:ascii="Times New Roman" w:cs="Times New Roman" w:eastAsia="Times New Roman" w:hAnsi="Times New Roman"/>
          <w:sz w:val="17"/>
          <w:szCs w:val="17"/>
          <w:color w:val="auto"/>
        </w:rPr>
      </w:pPr>
    </w:p>
    <w:p>
      <w:pPr>
        <w:ind w:left="444" w:right="902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Arthur D. Robinson John C. Ericson</w:t>
      </w:r>
    </w:p>
    <w:p>
      <w:pPr>
        <w:ind w:left="86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Simpson Thacher &amp; Bartlett LLP</w:t>
      </w:r>
    </w:p>
    <w:sectPr>
      <w:pgSz w:w="11900" w:h="16838" w:orient="portrait"/>
      <w:cols w:equalWidth="0" w:num="1">
        <w:col w:w="10904"/>
      </w:cols>
      <w:pgMar w:left="436"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2020-12-21T23:06:39Z</dcterms:created>
  <dcterms:modified xsi:type="dcterms:W3CDTF">2020-12-21T23:06:39Z</dcterms:modified>
</cp:coreProperties>
</file>