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319405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Sotera Health Company</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(Titles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83601L 102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right="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w:t>
      </w:r>
    </w:p>
    <w:p>
      <w:pPr>
        <w:spacing w:after="0" w:line="46"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517"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1960" w:type="dxa"/>
            <w:vAlign w:val="bottom"/>
            <w:gridSpan w:val="6"/>
          </w:tcPr>
          <w:p>
            <w:pPr>
              <w:spacing w:after="0"/>
              <w:rPr>
                <w:sz w:val="20"/>
                <w:szCs w:val="20"/>
                <w:color w:val="auto"/>
              </w:rPr>
            </w:pPr>
            <w:r>
              <w:rPr>
                <w:rFonts w:ascii="Arial" w:cs="Arial" w:eastAsia="Arial" w:hAnsi="Arial"/>
                <w:sz w:val="18"/>
                <w:szCs w:val="18"/>
                <w:color w:val="auto"/>
              </w:rPr>
              <w:t>CUSIP No. 83601L 102</w:t>
            </w:r>
          </w:p>
        </w:tc>
        <w:tc>
          <w:tcPr>
            <w:tcW w:w="9080" w:type="dxa"/>
            <w:vAlign w:val="bottom"/>
          </w:tcPr>
          <w:p>
            <w:pPr>
              <w:ind w:left="36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60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GTCR INVESTMENT XI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0"/>
                <w:szCs w:val="20"/>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0"/>
                <w:szCs w:val="20"/>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198,216,494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5"/>
                <w:szCs w:val="15"/>
                <w:color w:val="auto"/>
              </w:rPr>
            </w:pPr>
          </w:p>
        </w:tc>
        <w:tc>
          <w:tcPr>
            <w:tcW w:w="90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2"/>
                <w:szCs w:val="12"/>
                <w:color w:val="auto"/>
              </w:rPr>
            </w:pPr>
          </w:p>
        </w:tc>
        <w:tc>
          <w:tcPr>
            <w:tcW w:w="9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79,286,597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20"/>
                <w:szCs w:val="20"/>
                <w:color w:val="auto"/>
              </w:rPr>
            </w:pPr>
          </w:p>
        </w:tc>
        <w:tc>
          <w:tcPr>
            <w:tcW w:w="9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198,216,494</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69.69% (2)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40" w:hanging="424"/>
        <w:spacing w:after="0" w:line="266"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more fully described in Item 4 of this Schedule 13G, the GTCR Investors are party to a Stockholders Agreement with the Warburg Pincus Investors and certain other holders of Common Stock of the Issuer. The GTCR Investors, together with the Warburg Pincus Investors, hold an aggregate total of 198,216,494 shares of Common Stock of the Issuer (approximately 69.7% of the outstanding shares of Common Stock of the Issuer), of which 118,929,897 shares of Common Stock are publicly reported as being owned by the Warburg Pincus Investors in such entities’ Form 3/A, filed with the U.S. Securities and Exchange Commission (“Commission”) on November 23, 2020.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7" w:lineRule="exact"/>
        <w:rPr>
          <w:rFonts w:ascii="Arial" w:cs="Arial" w:eastAsia="Arial" w:hAnsi="Arial"/>
          <w:sz w:val="17"/>
          <w:szCs w:val="17"/>
          <w:color w:val="auto"/>
        </w:rPr>
      </w:pPr>
    </w:p>
    <w:p>
      <w:pPr>
        <w:ind w:left="424" w:right="20" w:hanging="424"/>
        <w:spacing w:after="0" w:line="26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a total of approximately 284,421,755 shares of Common Stock of Sotera Health Company (the “Issuer”) outstanding as of November 24, 2020, as reported in “The Offering” in the Issuer’s Form 424B filed with the Commission on November 23, 2020.</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0"/>
        </w:trPr>
        <w:tc>
          <w:tcPr>
            <w:tcW w:w="1960" w:type="dxa"/>
            <w:vAlign w:val="bottom"/>
            <w:gridSpan w:val="6"/>
          </w:tcPr>
          <w:p>
            <w:pPr>
              <w:spacing w:after="0"/>
              <w:rPr>
                <w:sz w:val="20"/>
                <w:szCs w:val="20"/>
                <w:color w:val="auto"/>
              </w:rPr>
            </w:pPr>
            <w:r>
              <w:rPr>
                <w:rFonts w:ascii="Arial" w:cs="Arial" w:eastAsia="Arial" w:hAnsi="Arial"/>
                <w:sz w:val="18"/>
                <w:szCs w:val="18"/>
                <w:color w:val="auto"/>
              </w:rPr>
              <w:t>CUSIP No. 83601L 102</w:t>
            </w:r>
          </w:p>
        </w:tc>
        <w:tc>
          <w:tcPr>
            <w:tcW w:w="9080" w:type="dxa"/>
            <w:vAlign w:val="bottom"/>
          </w:tcPr>
          <w:p>
            <w:pPr>
              <w:ind w:left="36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60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GTCR FUND XI/A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0"/>
                <w:szCs w:val="20"/>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0"/>
                <w:szCs w:val="20"/>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198,216,494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5"/>
                <w:szCs w:val="15"/>
                <w:color w:val="auto"/>
              </w:rPr>
            </w:pPr>
          </w:p>
        </w:tc>
        <w:tc>
          <w:tcPr>
            <w:tcW w:w="90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2"/>
                <w:szCs w:val="12"/>
                <w:color w:val="auto"/>
              </w:rPr>
            </w:pPr>
          </w:p>
        </w:tc>
        <w:tc>
          <w:tcPr>
            <w:tcW w:w="9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62,928,028</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20"/>
                <w:szCs w:val="20"/>
                <w:color w:val="auto"/>
              </w:rPr>
            </w:pPr>
          </w:p>
        </w:tc>
        <w:tc>
          <w:tcPr>
            <w:tcW w:w="9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198,216,494</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69.69% (2)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260" w:hanging="424"/>
        <w:spacing w:after="0" w:line="283"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more fully described in Item 4 of this Schedule 13G, the GTCR Investors are party to a Stockholders Agreement with the Warburg Pincus Investors and certain other holders of Common Stock of the Issuer. The GTCR Investors, together with the Warburg Pincus Investors, hold an aggregate total of 198,216,494 shares of Common Stock of the Issuer (approximately 69.7% of the outstanding shares of Common Stock of the Issuer), of which 118,929,897 shares of Common Stock are publicly reported as being owned by the Warburg Pincus Investors in such entities’ Form 3/A, filed with the Commission on November 23, 2020.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5" w:lineRule="exact"/>
        <w:rPr>
          <w:rFonts w:ascii="Arial" w:cs="Arial" w:eastAsia="Arial" w:hAnsi="Arial"/>
          <w:sz w:val="16"/>
          <w:szCs w:val="16"/>
          <w:color w:val="auto"/>
        </w:rPr>
      </w:pPr>
    </w:p>
    <w:p>
      <w:pPr>
        <w:ind w:left="424" w:right="200"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0"/>
        </w:trPr>
        <w:tc>
          <w:tcPr>
            <w:tcW w:w="1960" w:type="dxa"/>
            <w:vAlign w:val="bottom"/>
            <w:gridSpan w:val="6"/>
          </w:tcPr>
          <w:p>
            <w:pPr>
              <w:spacing w:after="0"/>
              <w:rPr>
                <w:sz w:val="20"/>
                <w:szCs w:val="20"/>
                <w:color w:val="auto"/>
              </w:rPr>
            </w:pPr>
            <w:r>
              <w:rPr>
                <w:rFonts w:ascii="Arial" w:cs="Arial" w:eastAsia="Arial" w:hAnsi="Arial"/>
                <w:sz w:val="18"/>
                <w:szCs w:val="18"/>
                <w:color w:val="auto"/>
              </w:rPr>
              <w:t>CUSIP No. 83601L 102</w:t>
            </w:r>
          </w:p>
        </w:tc>
        <w:tc>
          <w:tcPr>
            <w:tcW w:w="9080" w:type="dxa"/>
            <w:vAlign w:val="bottom"/>
          </w:tcPr>
          <w:p>
            <w:pPr>
              <w:ind w:left="36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60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GTCR FUND XI/C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0"/>
                <w:szCs w:val="20"/>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0"/>
                <w:szCs w:val="20"/>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198,216,494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5"/>
                <w:szCs w:val="15"/>
                <w:color w:val="auto"/>
              </w:rPr>
            </w:pPr>
          </w:p>
        </w:tc>
        <w:tc>
          <w:tcPr>
            <w:tcW w:w="90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2"/>
                <w:szCs w:val="12"/>
                <w:color w:val="auto"/>
              </w:rPr>
            </w:pPr>
          </w:p>
        </w:tc>
        <w:tc>
          <w:tcPr>
            <w:tcW w:w="9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15,854,227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20"/>
                <w:szCs w:val="20"/>
                <w:color w:val="auto"/>
              </w:rPr>
            </w:pPr>
          </w:p>
        </w:tc>
        <w:tc>
          <w:tcPr>
            <w:tcW w:w="9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198,216,494</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69.69% (2)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260" w:hanging="424"/>
        <w:spacing w:after="0" w:line="283"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more fully described in Item 4 of this Schedule 13G, the GTCR Investors are party to a Stockholders Agreement with the Warburg Pincus Investors and certain other holders of Common Stock of the Issuer. The GTCR Investors, together with the Warburg Pincus Investors, hold an aggregate total of 198,216,494 shares of Common Stock of the Issuer (approximately 69.7% of the outstanding shares of Common Stock of the Issuer), of which 118,929,897 shares of Common Stock are publicly reported as being owned by the Warburg Pincus Investors in such entities’ Form 3/A, filed with the Commission on November 23, 2020.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5" w:lineRule="exact"/>
        <w:rPr>
          <w:rFonts w:ascii="Arial" w:cs="Arial" w:eastAsia="Arial" w:hAnsi="Arial"/>
          <w:sz w:val="16"/>
          <w:szCs w:val="16"/>
          <w:color w:val="auto"/>
        </w:rPr>
      </w:pPr>
    </w:p>
    <w:p>
      <w:pPr>
        <w:ind w:left="424" w:right="200"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0"/>
        </w:trPr>
        <w:tc>
          <w:tcPr>
            <w:tcW w:w="1960" w:type="dxa"/>
            <w:vAlign w:val="bottom"/>
            <w:gridSpan w:val="6"/>
          </w:tcPr>
          <w:p>
            <w:pPr>
              <w:spacing w:after="0"/>
              <w:rPr>
                <w:sz w:val="20"/>
                <w:szCs w:val="20"/>
                <w:color w:val="auto"/>
              </w:rPr>
            </w:pPr>
            <w:r>
              <w:rPr>
                <w:rFonts w:ascii="Arial" w:cs="Arial" w:eastAsia="Arial" w:hAnsi="Arial"/>
                <w:sz w:val="18"/>
                <w:szCs w:val="18"/>
                <w:color w:val="auto"/>
              </w:rPr>
              <w:t>CUSIP No. 83601L 102</w:t>
            </w:r>
          </w:p>
        </w:tc>
        <w:tc>
          <w:tcPr>
            <w:tcW w:w="9080" w:type="dxa"/>
            <w:vAlign w:val="bottom"/>
          </w:tcPr>
          <w:p>
            <w:pPr>
              <w:ind w:left="36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60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GTCR CO-INVEST XI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0"/>
                <w:szCs w:val="20"/>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0"/>
                <w:szCs w:val="20"/>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198,216,494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5"/>
                <w:szCs w:val="15"/>
                <w:color w:val="auto"/>
              </w:rPr>
            </w:pPr>
          </w:p>
        </w:tc>
        <w:tc>
          <w:tcPr>
            <w:tcW w:w="90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2"/>
                <w:szCs w:val="12"/>
                <w:color w:val="auto"/>
              </w:rPr>
            </w:pPr>
          </w:p>
        </w:tc>
        <w:tc>
          <w:tcPr>
            <w:tcW w:w="9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504,342</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20"/>
                <w:szCs w:val="20"/>
                <w:color w:val="auto"/>
              </w:rPr>
            </w:pPr>
          </w:p>
        </w:tc>
        <w:tc>
          <w:tcPr>
            <w:tcW w:w="9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198,216,494</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69.69% (2)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260" w:hanging="424"/>
        <w:spacing w:after="0" w:line="283"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more fully described in Item 4 of this Schedule 13G, the GTCR Investors are party to a Stockholders Agreement with the Warburg Pincus Investors and certain other holders of Common Stock of the Issuer. The GTCR Investors, together with the Warburg Pincus Investors, hold an aggregate total of 198,216,494 shares of Common Stock of the Issuer (approximately 69.7% of the outstanding shares of Common Stock of the Issuer), of which 118,929,897 shares of Common Stock are publicly reported as being owned by the Warburg Pincus Investors in such entities’ Form 3/A, filed with the Commission on November 23, 2020.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5" w:lineRule="exact"/>
        <w:rPr>
          <w:rFonts w:ascii="Arial" w:cs="Arial" w:eastAsia="Arial" w:hAnsi="Arial"/>
          <w:sz w:val="16"/>
          <w:szCs w:val="16"/>
          <w:color w:val="auto"/>
        </w:rPr>
      </w:pPr>
    </w:p>
    <w:p>
      <w:pPr>
        <w:ind w:left="424" w:right="20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30"/>
        </w:trPr>
        <w:tc>
          <w:tcPr>
            <w:tcW w:w="1960" w:type="dxa"/>
            <w:vAlign w:val="bottom"/>
            <w:gridSpan w:val="6"/>
          </w:tcPr>
          <w:p>
            <w:pPr>
              <w:spacing w:after="0"/>
              <w:rPr>
                <w:sz w:val="20"/>
                <w:szCs w:val="20"/>
                <w:color w:val="auto"/>
              </w:rPr>
            </w:pPr>
            <w:r>
              <w:rPr>
                <w:rFonts w:ascii="Arial" w:cs="Arial" w:eastAsia="Arial" w:hAnsi="Arial"/>
                <w:sz w:val="18"/>
                <w:szCs w:val="18"/>
                <w:color w:val="auto"/>
              </w:rPr>
              <w:t>CUSIP No. 83601L 102</w:t>
            </w:r>
          </w:p>
        </w:tc>
        <w:tc>
          <w:tcPr>
            <w:tcW w:w="9080" w:type="dxa"/>
            <w:vAlign w:val="bottom"/>
          </w:tcPr>
          <w:p>
            <w:pPr>
              <w:ind w:left="36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6"/>
                <w:szCs w:val="16"/>
                <w:color w:val="auto"/>
              </w:rPr>
            </w:pPr>
          </w:p>
        </w:tc>
        <w:tc>
          <w:tcPr>
            <w:tcW w:w="10600" w:type="dxa"/>
            <w:vAlign w:val="bottom"/>
            <w:tcBorders>
              <w:right w:val="single" w:sz="8" w:color="auto"/>
            </w:tcBorders>
            <w:gridSpan w:val="5"/>
          </w:tcPr>
          <w:p>
            <w:pPr>
              <w:ind w:left="1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GTCR PARTNERS XI/A&amp;C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0"/>
                <w:szCs w:val="20"/>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0"/>
                <w:szCs w:val="20"/>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198,216,494 (1)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5"/>
                <w:szCs w:val="15"/>
                <w:color w:val="auto"/>
              </w:rPr>
            </w:pPr>
          </w:p>
        </w:tc>
        <w:tc>
          <w:tcPr>
            <w:tcW w:w="90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2"/>
                <w:szCs w:val="12"/>
                <w:color w:val="auto"/>
              </w:rPr>
            </w:pPr>
          </w:p>
        </w:tc>
        <w:tc>
          <w:tcPr>
            <w:tcW w:w="9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78,782,255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tcPr>
          <w:p>
            <w:pPr>
              <w:spacing w:after="0"/>
              <w:rPr>
                <w:sz w:val="20"/>
                <w:szCs w:val="20"/>
                <w:color w:val="auto"/>
              </w:rPr>
            </w:pPr>
          </w:p>
        </w:tc>
        <w:tc>
          <w:tcPr>
            <w:tcW w:w="92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5"/>
              </w:rPr>
              <w:t>198,216,494</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69.69% (2)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260" w:hanging="424"/>
        <w:spacing w:after="0" w:line="283"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more fully described in Item 4 of this Schedule 13G, the GTCR Investors are party to a Stockholders Agreement with the Warburg Pincus Investors and certain other holders of Common Stock of the Issuer. The GTCR Investors, together with the Warburg Pincus Investors, hold an aggregate total of 198,216,494 shares of Common Stock of the Issuer (approximately 69.7% of the outstanding shares of Common Stock of the Issuer), of which 118,929,897 shares of Common Stock are publicly reported as being owned by the Warburg Pincus Investors in such entities’ Form 3/A, filed with the Commission on November 23, 2020.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5" w:lineRule="exact"/>
        <w:rPr>
          <w:rFonts w:ascii="Arial" w:cs="Arial" w:eastAsia="Arial" w:hAnsi="Arial"/>
          <w:sz w:val="16"/>
          <w:szCs w:val="16"/>
          <w:color w:val="auto"/>
        </w:rPr>
      </w:pPr>
    </w:p>
    <w:p>
      <w:pPr>
        <w:ind w:left="424" w:right="200" w:hanging="424"/>
        <w:spacing w:after="0" w:line="26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6" w:name="page7"/>
    <w:bookmarkEnd w:id="6"/>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issuer is Sotera Health Company, a Delaware corporation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executive offices of the Issuer are located at 9100 South Hills Blvd, Suite 300 Broadview Heights, Ohio 44147.</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40"/>
        <w:spacing w:after="0" w:line="271" w:lineRule="auto"/>
        <w:rPr>
          <w:sz w:val="20"/>
          <w:szCs w:val="20"/>
          <w:color w:val="auto"/>
        </w:rPr>
      </w:pPr>
      <w:r>
        <w:rPr>
          <w:rFonts w:ascii="Arial" w:cs="Arial" w:eastAsia="Arial" w:hAnsi="Arial"/>
          <w:sz w:val="17"/>
          <w:szCs w:val="17"/>
          <w:color w:val="auto"/>
        </w:rPr>
        <w:t>This Schedule 13G is being filed jointly by (i) GTCR Fund XI/A LP, a Delaware limited partnership (“Fund XI/A”), (ii) GTCR Fund XI/C LP, a Delaware limited partnership (“Fund XI/C”), (iii) GTCR Co-Invest XI LP, a Delaware limited partnership (“Co-Invest XI”, and together, with Fund XI/A and Fund XI/C, the “GTCR XI Funds”), (iv) GTCR Partners XI/A&amp;C LP, a Delaware limited partnership (“Partners XI/A&amp;C”) and the general partner of each of Fund XI/A and Fund XI/C, and (v) GTCR Investment XI LLC, a Delaware limited liability company (“Investment XI”) and the general partner of Co-Invest XI and Partners XI/A&amp;C. Investment XI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of Common Stock. The GTCR XI Funds, Partners XI/A&amp;C and Investment XI are collectively referred to herein as the “GTCR Reporting Persons”.</w:t>
      </w:r>
    </w:p>
    <w:p>
      <w:pPr>
        <w:spacing w:after="0" w:line="32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business address of each of the GTCR Reporting Persons is 300 North LaSalle Street, Suite 5600, Chicago, IL 60654.</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response to Item 4 of each of the cover pages.</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Titles of Classes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par value $0.01 per share (the “Common Stock”).</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83601L 102</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a(n):</w:t>
      </w:r>
    </w:p>
    <w:p>
      <w:pPr>
        <w:spacing w:after="0" w:line="135" w:lineRule="exact"/>
        <w:rPr>
          <w:sz w:val="20"/>
          <w:szCs w:val="20"/>
          <w:color w:val="auto"/>
        </w:rPr>
      </w:pPr>
    </w:p>
    <w:p>
      <w:pPr>
        <w:ind w:left="960" w:hanging="532"/>
        <w:spacing w:after="0"/>
        <w:tabs>
          <w:tab w:leader="none" w:pos="9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Not applicable</w:t>
      </w:r>
    </w:p>
    <w:p>
      <w:pPr>
        <w:spacing w:after="0" w:line="98" w:lineRule="exact"/>
        <w:rPr>
          <w:sz w:val="20"/>
          <w:szCs w:val="20"/>
          <w:color w:val="auto"/>
        </w:rPr>
      </w:pPr>
    </w:p>
    <w:p>
      <w:pPr>
        <w:ind w:left="960" w:hanging="532"/>
        <w:spacing w:after="0" w:line="207" w:lineRule="exact"/>
        <w:tabs>
          <w:tab w:leader="none" w:pos="9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 (15 U.S.C. 78o).</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 (15 U.S.C. 78c).</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 (15 U.S.C. 78c).</w:t>
      </w:r>
    </w:p>
    <w:p>
      <w:pPr>
        <w:spacing w:after="0" w:line="130" w:lineRule="exact"/>
        <w:rPr>
          <w:rFonts w:ascii="Arial" w:cs="Arial" w:eastAsia="Arial" w:hAnsi="Arial"/>
          <w:sz w:val="18"/>
          <w:szCs w:val="18"/>
          <w:color w:val="auto"/>
        </w:rPr>
      </w:pPr>
    </w:p>
    <w:p>
      <w:pPr>
        <w:ind w:left="5460" w:right="2120" w:hanging="5032"/>
        <w:spacing w:after="0" w:line="314" w:lineRule="exact"/>
        <w:tabs>
          <w:tab w:leader="none" w:pos="969"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 7</w:t>
      </w:r>
    </w:p>
    <w:p>
      <w:pPr>
        <w:sectPr>
          <w:pgSz w:w="11900" w:h="16838" w:orient="portrait"/>
          <w:cols w:equalWidth="0" w:num="1">
            <w:col w:w="11020"/>
          </w:cols>
          <w:pgMar w:left="440" w:top="270" w:right="439" w:bottom="1440" w:gutter="0" w:footer="0" w:header="0"/>
        </w:sectPr>
      </w:pPr>
    </w:p>
    <w:bookmarkStart w:id="7" w:name="page8"/>
    <w:bookmarkEnd w:id="7"/>
    <w:p>
      <w:pPr>
        <w:ind w:left="964" w:hanging="532"/>
        <w:spacing w:after="0" w:line="207" w:lineRule="exact"/>
        <w:tabs>
          <w:tab w:leader="none" w:pos="964"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color w:val="auto"/>
        </w:rPr>
        <w:t xml:space="preserve"> Investment adviser in accordance with §240.13d-1(b)(1)(ii)(E).</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§240.13d-1(b)(1)(ii)(F).</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§240.13d-1(b)(1)(ii)(G).</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(13 U.S.C. 1813).</w:t>
      </w:r>
    </w:p>
    <w:p>
      <w:pPr>
        <w:spacing w:after="0" w:line="130" w:lineRule="exact"/>
        <w:rPr>
          <w:rFonts w:ascii="Arial" w:cs="Arial" w:eastAsia="Arial" w:hAnsi="Arial"/>
          <w:sz w:val="18"/>
          <w:szCs w:val="18"/>
          <w:color w:val="auto"/>
        </w:rPr>
      </w:pPr>
    </w:p>
    <w:p>
      <w:pPr>
        <w:ind w:left="964" w:right="100" w:hanging="532"/>
        <w:spacing w:after="0" w:line="239" w:lineRule="exact"/>
        <w:tabs>
          <w:tab w:leader="none" w:pos="964"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(15 U.S.C. 80a-3).</w:t>
      </w:r>
    </w:p>
    <w:p>
      <w:pPr>
        <w:spacing w:after="0" w:line="75"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Non-U.S. institution in accordance with §240. 13d-1(b)(1)(ii)(J).</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15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filing as a non-U.S. institution in accordance with §240.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5537200</wp:posOffset>
            </wp:positionH>
            <wp:positionV relativeFrom="paragraph">
              <wp:posOffset>-10160</wp:posOffset>
            </wp:positionV>
            <wp:extent cx="571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5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information required by Items 4(a)-(c) is set forth in Rows 5-11 of the cover page hereto for each GTCR Reporting Person and is incorporated herein by reference for each such GTCR Reporting Person.</w:t>
      </w:r>
    </w:p>
    <w:p>
      <w:pPr>
        <w:spacing w:after="0" w:line="170" w:lineRule="exact"/>
        <w:rPr>
          <w:sz w:val="20"/>
          <w:szCs w:val="20"/>
          <w:color w:val="auto"/>
        </w:rPr>
      </w:pPr>
    </w:p>
    <w:p>
      <w:pPr>
        <w:ind w:left="4" w:right="260" w:firstLine="440"/>
        <w:spacing w:after="0" w:line="291" w:lineRule="auto"/>
        <w:rPr>
          <w:sz w:val="20"/>
          <w:szCs w:val="20"/>
          <w:color w:val="auto"/>
        </w:rPr>
      </w:pPr>
      <w:r>
        <w:rPr>
          <w:rFonts w:ascii="Arial" w:cs="Arial" w:eastAsia="Arial" w:hAnsi="Arial"/>
          <w:sz w:val="16"/>
          <w:szCs w:val="16"/>
          <w:color w:val="auto"/>
        </w:rPr>
        <w:t>On November 19, 2020, (i) the Issuer, (ii) Warburg Pincus Private Equity XI, L.P., Warburg Pincus Private Equity XI-B, L.P., Warburg Pincus Private Equity XI-C, L.P., WP XI Partners, L.P. and Bull Co-Invest, L.P. (collectively, the “Warburg Pincus Sponsors”), (iii) the GTCR XI Funds and</w:t>
      </w:r>
    </w:p>
    <w:p>
      <w:pPr>
        <w:ind w:left="4" w:hanging="4"/>
        <w:spacing w:after="0" w:line="284" w:lineRule="auto"/>
        <w:tabs>
          <w:tab w:leader="none" w:pos="3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other holders of Common Stock of the issuer ( the “Other Investors”), entered into a Stockholders Agreement (the “Stockholders Agreement”). The Stockholders Agreement sets forth certain governance arrangements with respect to the Issuer, transfer restrictions on Other Investors and indemnification matters. Pursuant to the Stockholders Agreement, each of the Warburg Pincus Sponsors and the GTCR XI Funds has agreed to vote the shares of Common Stock of the Issuer that each holds of record in a certain manner on matters related to the election of certain directors appointed by the Warburg Pincus Sponsors and the GTCR XI Funds. The Warburg Pincus Sponsors and the GTCR XI Funds hold an aggregate total of 198,216,494 shares of Common Stock of the Issuer (approximately 69.7% of the outstanding shares of Common Stock of the Issuer), including 79,286,597 shares of Common Stock of the Issuer that are publicly reported as being owned by the GTCR XI Funds and 118,929,897 shares of Common Stock of the Issuer that are publicly reported as being owned by the Warburg Pincus Sponsors. The GTCR Reporting Persons are not entitled to any rights as a shareholder of the Issuer with respect to the shares of Common Stock of the Issuer beneficially owned by the Other Investors or the Warburg Pincus Sponsors except as expressly set forth in the Stockholders Agreement and the GTCR Reporting Persons do not have dispositive power over the Common Stock owned by the Warburg Pincus Sponsors. Each GTCR Reporting Person and each of the individual members of the GTCR Board of Managers expressly disclaims beneficial ownership (within the meaning of Rule 13d-3 of the Exchange Act) with respect to any shares of Common Stock of the Issuer other than the shares of Common Stock of the Issuer owned of record by a GTCR Reporting Person. The number of shares of Common Stock of the Issuer owned by each GTCR Reporting Person as set forth in Rows 5 – 11 of their respective cover pages to this Schedule 13G does not reflect the aggregate shares of Common Stock of the Issuer owned by the Other Investors.</w:t>
      </w:r>
    </w:p>
    <w:p>
      <w:pPr>
        <w:spacing w:after="0" w:line="176"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The aggregate total of 118,929,897 shares of Common Stock of the Issuer indicated in this Schedule 13G as being beneficially owned by the Warburg Pincus Sponsors is derived from the Warburg Pincus Sponsors’ two Form 3/As, each filed with the U.S. Securities and Exchange Commission (the “Commission”) on November 23, 2020, and is not purported to be an accurate representation of the Warburg Pincus Sponsors’ beneficial ownership as of the date of this Schedule 13G. The Warburg Pincus Sponsors are responsible for reporting their beneficial ownership of shares of Common Stock of the Issuer on their own behalf, and the GTCR Reporting Persons disclaim responsibility for reporting the shares of Common Stock of the Issuer beneficially owned by the Warburg Pincus Sponsors.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41" w:right="459" w:bottom="1440" w:gutter="0" w:footer="0" w:header="0"/>
        </w:sectPr>
      </w:pPr>
    </w:p>
    <w:bookmarkStart w:id="8" w:name="page9"/>
    <w:bookmarkEnd w:id="8"/>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percentages used herein are calculated based upon the 284,421,755 shares of Common Stock of Sotera Health Company (the “Issuer”) outstanding as of November 24, 2020, as reported in “The Offering” in the Issuer’s Form 424B filed with the U.S. Securities and Exchange Commission (“Commission”) on November 23, 2020.</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 w:right="2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Other than as set forth herein, no other person has the right to receive or the power to direct the receipt of dividends from, or the proceeds from the sale of, in excess of 5% of the total outstanding Common Stock.</w:t>
      </w:r>
    </w:p>
    <w:p>
      <w:pPr>
        <w:spacing w:after="0" w:line="315" w:lineRule="exact"/>
        <w:rPr>
          <w:sz w:val="20"/>
          <w:szCs w:val="20"/>
          <w:color w:val="auto"/>
        </w:rPr>
      </w:pPr>
    </w:p>
    <w:p>
      <w:pPr>
        <w:ind w:left="1084" w:right="54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 w:right="40" w:hanging="4"/>
        <w:spacing w:after="0" w:line="263"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GTCR Reporting Persons are making this single, joint filing because they may be deemed to constitute a “group” within the meaning of the Exchange Act. The joint filing agreement among the GTCR Reporting Persons to file this Schedule 13G jointly in accordance with Rule 13d-1(k) of the Exchange Act is attached hereto as Exhibit 99.1.</w:t>
      </w:r>
    </w:p>
    <w:p>
      <w:pPr>
        <w:spacing w:after="0" w:line="183" w:lineRule="exact"/>
        <w:rPr>
          <w:rFonts w:ascii="Arial" w:cs="Arial" w:eastAsia="Arial" w:hAnsi="Arial"/>
          <w:sz w:val="18"/>
          <w:szCs w:val="18"/>
          <w:color w:val="auto"/>
        </w:rPr>
      </w:pPr>
    </w:p>
    <w:p>
      <w:pPr>
        <w:ind w:left="4" w:right="20" w:hanging="4"/>
        <w:spacing w:after="0" w:line="342" w:lineRule="auto"/>
        <w:tabs>
          <w:tab w:leader="none" w:pos="2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GTCR Reporting Person expressly disclaims beneficial ownership (within the meaning of Rule 13d-3 of the Exchange Act) with respect to any shares of Common Stock of the Issuer other than the shares of Common Stock of the issuer owned of record by such GTCR Reporting Person.</w:t>
      </w:r>
    </w:p>
    <w:p>
      <w:pPr>
        <w:spacing w:after="0" w:line="26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INVESTMENT XI LLC</w:t>
      </w:r>
    </w:p>
    <w:p>
      <w:pPr>
        <w:spacing w:after="0" w:line="27"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Wright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Jeffrey Wright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Principal.</w:t>
            </w: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GTCR FUND XI/A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Wright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Jeffrey Wright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w w:val="95"/>
              </w:rPr>
              <w:t>Principal of GTCR Investment XI LLC, the general</w:t>
            </w: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5"/>
              </w:rPr>
              <w:t>partner of GTCR Partners XI/A&amp;C LP, the general</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partner of GTCR FUND XI/A LP</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FUND XI/C LP</w:t>
      </w:r>
    </w:p>
    <w:p>
      <w:pPr>
        <w:spacing w:after="0" w:line="27"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5715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Principal of GTCR Investment XI LLC, the general</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partner of GTCR Partners XI/A&amp;C LP, the general</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partner of GTCR FUND XI/C LP</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CO-INVEST XI LP</w:t>
      </w:r>
    </w:p>
    <w:p>
      <w:pPr>
        <w:spacing w:after="0" w:line="12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Principal of GTCR Investment XI LLC, the general</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partner of GTCR CO-INVEST XI LP</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PARTNERS XI/A&amp;C LP</w:t>
      </w:r>
    </w:p>
    <w:p>
      <w:pPr>
        <w:spacing w:after="0" w:line="12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Principal of GTCR Investment XI LLC, the general</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partner of GTCR PARTNERS XI/A&amp;C 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Roman"/>
      <w:start w:val="4"/>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2021-02-12T15:36:24Z</dcterms:created>
  <dcterms:modified xsi:type="dcterms:W3CDTF">2021-02-12T15:36:24Z</dcterms:modified>
</cp:coreProperties>
</file>