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7393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7393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restart"/>
          </w:tcPr>
          <w:p>
            <w:pPr>
              <w:spacing w:after="0" w:line="181" w:lineRule="exact"/>
              <w:rPr>
                <w:rFonts w:ascii="Arial" w:cs="Arial" w:eastAsia="Arial" w:hAnsi="Arial"/>
                <w:sz w:val="16"/>
                <w:szCs w:val="16"/>
                <w:color w:val="0000EE"/>
                <w:w w:val="88"/>
              </w:rPr>
            </w:pPr>
            <w:hyperlink r:id="rId11">
              <w:r>
                <w:rPr>
                  <w:rFonts w:ascii="Arial" w:cs="Arial" w:eastAsia="Arial" w:hAnsi="Arial"/>
                  <w:sz w:val="16"/>
                  <w:szCs w:val="16"/>
                  <w:color w:val="0000EE"/>
                  <w:w w:val="88"/>
                </w:rPr>
                <w:t>Hammons Terry</w:t>
              </w:r>
            </w:hyperlink>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0000EE"/>
            </w:tcBorders>
            <w:vMerge w:val="continue"/>
          </w:tcPr>
          <w:p>
            <w:pPr>
              <w:spacing w:after="0"/>
              <w:rPr>
                <w:sz w:val="9"/>
                <w:szCs w:val="9"/>
                <w:color w:val="auto"/>
              </w:rPr>
            </w:pPr>
          </w:p>
        </w:tc>
        <w:tc>
          <w:tcPr>
            <w:tcW w:w="96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11/01/2021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(Last)</w:t>
            </w:r>
          </w:p>
        </w:tc>
        <w:tc>
          <w:tcPr>
            <w:tcW w:w="960" w:type="dxa"/>
            <w:vAlign w:val="bottom"/>
          </w:tcPr>
          <w:p>
            <w:pPr>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Sotera Health Co</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SHC</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SOTERA HEALTH COMPANY</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9100 SOUTH HILLS BOULEVARD, SUITE 300</w:t>
      </w:r>
    </w:p>
    <w:p>
      <w:pPr>
        <w:spacing w:after="0" w:line="238"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960" w:type="dxa"/>
            <w:vAlign w:val="bottom"/>
          </w:tcPr>
          <w:p>
            <w:pPr>
              <w:spacing w:after="0"/>
              <w:rPr>
                <w:sz w:val="20"/>
                <w:szCs w:val="20"/>
                <w:color w:val="auto"/>
              </w:rPr>
            </w:pPr>
            <w:r>
              <w:rPr>
                <w:rFonts w:ascii="Arial" w:cs="Arial" w:eastAsia="Arial" w:hAnsi="Arial"/>
                <w:sz w:val="10"/>
                <w:szCs w:val="10"/>
                <w:color w:val="auto"/>
              </w:rPr>
              <w:t>(Street)</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60" w:type="dxa"/>
            <w:vAlign w:val="bottom"/>
          </w:tcPr>
          <w:p>
            <w:pPr>
              <w:ind w:left="40"/>
              <w:spacing w:after="0"/>
              <w:rPr>
                <w:sz w:val="20"/>
                <w:szCs w:val="20"/>
                <w:color w:val="auto"/>
              </w:rPr>
            </w:pPr>
            <w:r>
              <w:rPr>
                <w:rFonts w:ascii="Arial" w:cs="Arial" w:eastAsia="Arial" w:hAnsi="Arial"/>
                <w:sz w:val="13"/>
                <w:szCs w:val="13"/>
                <w:color w:val="0000FF"/>
              </w:rPr>
              <w:t>BROADVIEW</w:t>
            </w: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OH</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0000FF"/>
              </w:rPr>
              <w:t>44147</w:t>
            </w:r>
          </w:p>
        </w:tc>
        <w:tc>
          <w:tcPr>
            <w:tcW w:w="0" w:type="dxa"/>
            <w:vAlign w:val="bottom"/>
          </w:tcPr>
          <w:p>
            <w:pPr>
              <w:spacing w:after="0"/>
              <w:rPr>
                <w:sz w:val="1"/>
                <w:szCs w:val="1"/>
                <w:color w:val="auto"/>
              </w:rPr>
            </w:pPr>
          </w:p>
        </w:tc>
      </w:tr>
      <w:tr>
        <w:trPr>
          <w:trHeight w:val="84"/>
        </w:trPr>
        <w:tc>
          <w:tcPr>
            <w:tcW w:w="960" w:type="dxa"/>
            <w:vAlign w:val="bottom"/>
            <w:vMerge w:val="restart"/>
          </w:tcPr>
          <w:p>
            <w:pPr>
              <w:ind w:left="40"/>
              <w:spacing w:after="0"/>
              <w:rPr>
                <w:sz w:val="20"/>
                <w:szCs w:val="20"/>
                <w:color w:val="auto"/>
              </w:rPr>
            </w:pPr>
            <w:r>
              <w:rPr>
                <w:rFonts w:ascii="Arial" w:cs="Arial" w:eastAsia="Arial" w:hAnsi="Arial"/>
                <w:sz w:val="13"/>
                <w:szCs w:val="13"/>
                <w:color w:val="0000FF"/>
              </w:rPr>
              <w:t>HEIGHTS</w:t>
            </w: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985"/>
        <w:spacing w:after="0"/>
        <w:rPr>
          <w:sz w:val="20"/>
          <w:szCs w:val="20"/>
          <w:color w:val="auto"/>
        </w:rPr>
      </w:pPr>
      <w:r>
        <w:rPr>
          <w:rFonts w:ascii="Arial" w:cs="Arial" w:eastAsia="Arial" w:hAnsi="Arial"/>
          <w:sz w:val="13"/>
          <w:szCs w:val="13"/>
          <w:color w:val="0000FF"/>
        </w:rPr>
        <w:t>SVP, GC and Secretary</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44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24.1 - Power of Attorney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Jessica L. M. H. Epp,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24396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43965" cy="6350"/>
                    </a:xfrm>
                    <a:prstGeom prst="rect">
                      <a:avLst/>
                    </a:prstGeom>
                    <a:noFill/>
                  </pic:spPr>
                </pic:pic>
              </a:graphicData>
            </a:graphic>
          </wp:anchor>
        </w:drawing>
      </w:r>
    </w:p>
    <w:p>
      <w:pPr>
        <w:spacing w:after="0" w:line="6"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1422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2240" cy="6350"/>
                    </a:xfrm>
                    <a:prstGeom prst="rect">
                      <a:avLst/>
                    </a:prstGeom>
                    <a:noFill/>
                  </pic:spPr>
                </pic:pic>
              </a:graphicData>
            </a:graphic>
          </wp:anchor>
        </w:drawing>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78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11/05/2021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33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3380"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580" w:space="24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makes, constitutes and appoints Terrence G. Hammons, Jr., Jessica L. M. H. Epp and Dav</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 director, director nominee, officer or beneficial owner</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attorneys-in-fact, may be of The undersigned hereby grants to such attorneys-in-fact full power and authority to do and perform any and every act and thing whatsoever requ This Power of Attorney shall remain in full force and effect until the undersigned is no longer required to file reports or schedules under Se [Signature Page Follows]</w:t>
      </w:r>
    </w:p>
    <w:p>
      <w:pPr>
        <w:spacing w:after="0" w:line="2"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caused this Power of Attorney to be executed as of this 5th day of November, 2021.</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Terrence G. Hammons, Jr.</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3"/>
          <w:szCs w:val="13"/>
          <w:color w:val="auto"/>
        </w:rPr>
        <w:t>Name:</w:t>
        <w:tab/>
        <w:t>Terrence G. Hammons, Jr.</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3"/>
          <w:szCs w:val="13"/>
          <w:color w:val="auto"/>
        </w:rPr>
        <w:t>Title:</w:t>
        <w:tab/>
        <w:t>Senior Vice President, General Counsel and Secretary</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801393" TargetMode="External"/><Relationship Id="rId12"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2021-11-05T16:45:26Z</dcterms:created>
  <dcterms:modified xsi:type="dcterms:W3CDTF">2021-11-05T16:45:26Z</dcterms:modified>
</cp:coreProperties>
</file>