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44"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3100" w:type="dxa"/>
            <w:vAlign w:val="bottom"/>
            <w:gridSpan w:val="2"/>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WARBURG PINCUS &amp; CO.</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44"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450 LEXINGTON AVENUE</w:t>
            </w:r>
          </w:p>
        </w:tc>
      </w:tr>
      <w:tr>
        <w:trPr>
          <w:trHeight w:val="300"/>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NEW YORK</w:t>
            </w:r>
          </w:p>
        </w:tc>
        <w:tc>
          <w:tcPr>
            <w:tcW w:w="134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780" w:type="dxa"/>
            <w:vAlign w:val="bottom"/>
          </w:tcPr>
          <w:p>
            <w:pPr>
              <w:ind w:left="40"/>
              <w:spacing w:after="0"/>
              <w:rPr>
                <w:sz w:val="20"/>
                <w:szCs w:val="20"/>
                <w:color w:val="auto"/>
              </w:rPr>
            </w:pPr>
            <w:r>
              <w:rPr>
                <w:rFonts w:ascii="Arial" w:cs="Arial" w:eastAsia="Arial" w:hAnsi="Arial"/>
                <w:sz w:val="20"/>
                <w:szCs w:val="20"/>
                <w:color w:val="0000FF"/>
              </w:rPr>
              <w:t>NY</w:t>
            </w:r>
          </w:p>
        </w:tc>
        <w:tc>
          <w:tcPr>
            <w:tcW w:w="980" w:type="dxa"/>
            <w:vAlign w:val="bottom"/>
          </w:tcPr>
          <w:p>
            <w:pPr>
              <w:ind w:left="280"/>
              <w:spacing w:after="0"/>
              <w:rPr>
                <w:sz w:val="20"/>
                <w:szCs w:val="20"/>
                <w:color w:val="auto"/>
              </w:rPr>
            </w:pPr>
            <w:r>
              <w:rPr>
                <w:rFonts w:ascii="Arial" w:cs="Arial" w:eastAsia="Arial" w:hAnsi="Arial"/>
                <w:sz w:val="20"/>
                <w:szCs w:val="20"/>
                <w:color w:val="0000FF"/>
              </w:rPr>
              <w:t>NY</w:t>
            </w:r>
          </w:p>
        </w:tc>
        <w:tc>
          <w:tcPr>
            <w:tcW w:w="1340" w:type="dxa"/>
            <w:vAlign w:val="bottom"/>
          </w:tcPr>
          <w:p>
            <w:pPr>
              <w:ind w:left="340"/>
              <w:spacing w:after="0"/>
              <w:rPr>
                <w:sz w:val="20"/>
                <w:szCs w:val="20"/>
                <w:color w:val="auto"/>
              </w:rPr>
            </w:pPr>
            <w:r>
              <w:rPr>
                <w:rFonts w:ascii="Arial" w:cs="Arial" w:eastAsia="Arial" w:hAnsi="Arial"/>
                <w:sz w:val="20"/>
                <w:szCs w:val="20"/>
                <w:color w:val="0000FF"/>
                <w:w w:val="97"/>
              </w:rPr>
              <w:t>100173147</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44"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5000" w:type="dxa"/>
            <w:vAlign w:val="bottom"/>
            <w:gridSpan w:val="8"/>
          </w:tcPr>
          <w:p>
            <w:pPr>
              <w:ind w:left="80"/>
              <w:spacing w:after="0"/>
              <w:rPr>
                <w:sz w:val="20"/>
                <w:szCs w:val="20"/>
                <w:color w:val="auto"/>
              </w:rPr>
            </w:pPr>
            <w:r>
              <w:rPr>
                <w:rFonts w:ascii="Arial" w:cs="Arial" w:eastAsia="Arial" w:hAnsi="Arial"/>
                <w:sz w:val="20"/>
                <w:szCs w:val="20"/>
                <w:color w:val="0000FF"/>
              </w:rPr>
              <w:t>Common Stock, $0.01 par value per share ("Common</w:t>
            </w:r>
          </w:p>
        </w:tc>
        <w:tc>
          <w:tcPr>
            <w:tcW w:w="1580" w:type="dxa"/>
            <w:vAlign w:val="bottom"/>
            <w:vMerge w:val="restart"/>
          </w:tcPr>
          <w:p>
            <w:pPr>
              <w:ind w:left="360"/>
              <w:spacing w:after="0"/>
              <w:rPr>
                <w:sz w:val="20"/>
                <w:szCs w:val="20"/>
                <w:color w:val="auto"/>
              </w:rPr>
            </w:pPr>
            <w:r>
              <w:rPr>
                <w:rFonts w:ascii="Arial" w:cs="Arial" w:eastAsia="Arial" w:hAnsi="Arial"/>
                <w:sz w:val="20"/>
                <w:szCs w:val="20"/>
                <w:color w:val="0000FF"/>
              </w:rPr>
              <w:t>118,929,897</w:t>
            </w:r>
          </w:p>
        </w:tc>
        <w:tc>
          <w:tcPr>
            <w:tcW w:w="960" w:type="dxa"/>
            <w:vAlign w:val="bottom"/>
            <w:gridSpan w:val="2"/>
            <w:vMerge w:val="restart"/>
          </w:tcPr>
          <w:p>
            <w:pPr>
              <w:ind w:left="860"/>
              <w:spacing w:after="0"/>
              <w:rPr>
                <w:sz w:val="20"/>
                <w:szCs w:val="20"/>
                <w:color w:val="auto"/>
              </w:rPr>
            </w:pPr>
            <w:r>
              <w:rPr>
                <w:rFonts w:ascii="Arial" w:cs="Arial" w:eastAsia="Arial" w:hAnsi="Arial"/>
                <w:sz w:val="20"/>
                <w:szCs w:val="20"/>
                <w:color w:val="0000FF"/>
              </w:rPr>
              <w:t>I</w:t>
            </w:r>
          </w:p>
        </w:tc>
        <w:tc>
          <w:tcPr>
            <w:tcW w:w="3380" w:type="dxa"/>
            <w:vAlign w:val="bottom"/>
            <w:gridSpan w:val="4"/>
            <w:vMerge w:val="restart"/>
          </w:tcPr>
          <w:p>
            <w:pPr>
              <w:ind w:left="600"/>
              <w:spacing w:after="0"/>
              <w:rPr>
                <w:sz w:val="20"/>
                <w:szCs w:val="20"/>
                <w:color w:val="auto"/>
              </w:rPr>
            </w:pPr>
            <w:r>
              <w:rPr>
                <w:rFonts w:ascii="Arial" w:cs="Arial" w:eastAsia="Arial" w:hAnsi="Arial"/>
                <w:sz w:val="39"/>
                <w:szCs w:val="39"/>
                <w:color w:val="0000FF"/>
                <w:w w:val="97"/>
                <w:vertAlign w:val="subscript"/>
              </w:rPr>
              <w:t>See Footnote</w:t>
            </w:r>
            <w:r>
              <w:rPr>
                <w:rFonts w:ascii="Arial" w:cs="Arial" w:eastAsia="Arial" w:hAnsi="Arial"/>
                <w:sz w:val="13"/>
                <w:szCs w:val="13"/>
                <w:color w:val="008000"/>
                <w:w w:val="97"/>
              </w:rPr>
              <w:t>(1)(2)(3)(4)(5)(6)(7)(8)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3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16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gridSpan w:val="2"/>
          </w:tcPr>
          <w:p>
            <w:pPr>
              <w:ind w:left="2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6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WARBURG PINCUS &amp; CO.</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5"/>
                <w:szCs w:val="15"/>
                <w:color w:val="auto"/>
              </w:rPr>
              <w:t>(Last)</w:t>
            </w:r>
          </w:p>
        </w:tc>
        <w:tc>
          <w:tcPr>
            <w:tcW w:w="1680" w:type="dxa"/>
            <w:vAlign w:val="bottom"/>
          </w:tcPr>
          <w:p>
            <w:pPr>
              <w:ind w:left="42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-2162175</wp:posOffset>
            </wp:positionV>
            <wp:extent cx="6946900" cy="565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650865"/>
                    </a:xfrm>
                    <a:prstGeom prst="rect">
                      <a:avLst/>
                    </a:prstGeom>
                    <a:noFill/>
                  </pic:spPr>
                </pic:pic>
              </a:graphicData>
            </a:graphic>
          </wp:anchor>
        </w:drawing>
      </w:r>
    </w:p>
    <w:p>
      <w:pPr>
        <w:spacing w:after="0" w:line="46"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450 LEXINGTON AVENUE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NEW YORK</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NY</w:t>
      </w:r>
      <w:r>
        <w:rPr>
          <w:sz w:val="20"/>
          <w:szCs w:val="20"/>
          <w:color w:val="auto"/>
        </w:rPr>
        <w:tab/>
      </w:r>
      <w:r>
        <w:rPr>
          <w:rFonts w:ascii="Arial" w:cs="Arial" w:eastAsia="Arial" w:hAnsi="Arial"/>
          <w:sz w:val="20"/>
          <w:szCs w:val="20"/>
          <w:color w:val="0000FF"/>
        </w:rPr>
        <w:t>NY</w:t>
      </w:r>
      <w:r>
        <w:rPr>
          <w:sz w:val="20"/>
          <w:szCs w:val="20"/>
          <w:color w:val="auto"/>
        </w:rPr>
        <w:tab/>
      </w:r>
      <w:r>
        <w:rPr>
          <w:rFonts w:ascii="Arial" w:cs="Arial" w:eastAsia="Arial" w:hAnsi="Arial"/>
          <w:sz w:val="17"/>
          <w:szCs w:val="17"/>
          <w:color w:val="0000FF"/>
        </w:rPr>
        <w:t>100173147</w:t>
      </w:r>
    </w:p>
    <w:p>
      <w:pPr>
        <w:spacing w:after="0" w:line="379"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2753995" cy="220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53995" cy="2201545"/>
                    </a:xfrm>
                    <a:prstGeom prst="rect">
                      <a:avLst/>
                    </a:prstGeom>
                    <a:noFill/>
                  </pic:spPr>
                </pic:pic>
              </a:graphicData>
            </a:graphic>
          </wp:anchor>
        </w:drawing>
      </w:r>
    </w:p>
    <w:p>
      <w:pPr>
        <w:spacing w:after="0" w:line="13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Warburg Pincus Private Equity XI, L.P.</w:t>
        </w:r>
      </w:hyperlink>
    </w:p>
    <w:p>
      <w:pPr>
        <w:spacing w:after="0" w:line="357"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WARBURG PINCUS LLC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450 LEXINGTON AVENUE</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44" w:gutter="0" w:footer="0" w:header="0"/>
          <w:type w:val="continuous"/>
        </w:sectPr>
      </w:pPr>
    </w:p>
    <w:p>
      <w:pPr>
        <w:spacing w:after="0" w:line="29"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450</w:t>
      </w:r>
    </w:p>
    <w:p>
      <w:pPr>
        <w:spacing w:after="0" w:line="18"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LEXINGTON</w:t>
        <w:tab/>
        <w:t>NY</w:t>
      </w:r>
      <w:r>
        <w:rPr>
          <w:sz w:val="20"/>
          <w:szCs w:val="20"/>
          <w:color w:val="auto"/>
        </w:rPr>
        <w:tab/>
      </w:r>
      <w:r>
        <w:rPr>
          <w:rFonts w:ascii="Arial" w:cs="Arial" w:eastAsia="Arial" w:hAnsi="Arial"/>
          <w:sz w:val="17"/>
          <w:szCs w:val="17"/>
          <w:color w:val="0000FF"/>
        </w:rPr>
        <w:t>10017</w:t>
      </w:r>
    </w:p>
    <w:p>
      <w:pPr>
        <w:spacing w:after="0" w:line="1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AVENUE</w:t>
      </w:r>
    </w:p>
    <w:p>
      <w:pPr>
        <w:sectPr>
          <w:pgSz w:w="11900" w:h="16838" w:orient="portrait"/>
          <w:cols w:equalWidth="0" w:num="1">
            <w:col w:w="10940"/>
          </w:cols>
          <w:pgMar w:left="480" w:top="236" w:right="479" w:bottom="44"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1052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2753995" cy="2010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Warburg Pincus XI Partners, 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w w:val="97"/>
              </w:rPr>
              <w:t>C/O WARBURG PINCUS LLC</w:t>
            </w:r>
          </w:p>
        </w:tc>
        <w:tc>
          <w:tcPr>
            <w:tcW w:w="14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46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46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2315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53995" cy="2315845"/>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3"/>
          <w:szCs w:val="23"/>
          <w:u w:val="single" w:color="auto"/>
          <w:color w:val="0000EE"/>
        </w:rPr>
      </w:pPr>
      <w:hyperlink r:id="rId20">
        <w:r>
          <w:rPr>
            <w:rFonts w:ascii="Arial" w:cs="Arial" w:eastAsia="Arial" w:hAnsi="Arial"/>
            <w:sz w:val="23"/>
            <w:szCs w:val="23"/>
            <w:u w:val="single" w:color="auto"/>
            <w:color w:val="0000EE"/>
          </w:rPr>
          <w:t>Warburg Pincus Private Equity XI-B, L.P.</w:t>
        </w:r>
      </w:hyperlink>
    </w:p>
    <w:p>
      <w:pPr>
        <w:spacing w:after="0" w:line="369"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WARBURG PINCUS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450 LEXINGTON AVENUE</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450</w:t>
      </w:r>
    </w:p>
    <w:p>
      <w:pPr>
        <w:spacing w:after="0" w:line="18"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20"/>
          <w:szCs w:val="20"/>
          <w:color w:val="0000FF"/>
        </w:rPr>
        <w:t>LEXINGTON</w:t>
        <w:tab/>
        <w:t>NY</w:t>
      </w:r>
      <w:r>
        <w:rPr>
          <w:sz w:val="20"/>
          <w:szCs w:val="20"/>
          <w:color w:val="auto"/>
        </w:rPr>
        <w:tab/>
      </w:r>
      <w:r>
        <w:rPr>
          <w:rFonts w:ascii="Arial" w:cs="Arial" w:eastAsia="Arial" w:hAnsi="Arial"/>
          <w:sz w:val="17"/>
          <w:szCs w:val="17"/>
          <w:color w:val="0000FF"/>
        </w:rPr>
        <w:t>10017</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AVENUE</w:t>
      </w:r>
    </w:p>
    <w:p>
      <w:pPr>
        <w:spacing w:after="0" w:line="372"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2753995" cy="2010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3"/>
          <w:szCs w:val="23"/>
          <w:u w:val="single" w:color="auto"/>
          <w:color w:val="0000EE"/>
        </w:rPr>
      </w:pPr>
      <w:hyperlink r:id="rId22">
        <w:r>
          <w:rPr>
            <w:rFonts w:ascii="Arial" w:cs="Arial" w:eastAsia="Arial" w:hAnsi="Arial"/>
            <w:sz w:val="23"/>
            <w:szCs w:val="23"/>
            <w:u w:val="single" w:color="auto"/>
            <w:color w:val="0000EE"/>
          </w:rPr>
          <w:t>Warburg Pincus Private Equity XI-C, L.P.</w:t>
        </w:r>
      </w:hyperlink>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w w:val="97"/>
              </w:rPr>
              <w:t>C/O WARBURG PINCUS LLC</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rPr>
            </w:pPr>
            <w:hyperlink r:id="rId23">
              <w:r>
                <w:rPr>
                  <w:rFonts w:ascii="Arial" w:cs="Arial" w:eastAsia="Arial" w:hAnsi="Arial"/>
                  <w:sz w:val="24"/>
                  <w:szCs w:val="24"/>
                  <w:u w:val="single" w:color="auto"/>
                  <w:color w:val="0000EE"/>
                </w:rPr>
                <w:t>Bull Co-Invest L.P.</w:t>
              </w:r>
            </w:hyperlink>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w w:val="97"/>
              </w:rPr>
              <w:t>C/O WARBURG PINCUS LLC</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r>
        <w:trPr>
          <w:trHeight w:val="101"/>
        </w:trPr>
        <w:tc>
          <w:tcPr>
            <w:tcW w:w="4340" w:type="dxa"/>
            <w:vAlign w:val="bottom"/>
            <w:tcBorders>
              <w:bottom w:val="single" w:sz="8" w:color="2C2C2C"/>
            </w:tcBorders>
            <w:gridSpan w:val="5"/>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rPr>
            </w:pPr>
            <w:hyperlink r:id="rId24">
              <w:r>
                <w:rPr>
                  <w:rFonts w:ascii="Arial" w:cs="Arial" w:eastAsia="Arial" w:hAnsi="Arial"/>
                  <w:sz w:val="24"/>
                  <w:szCs w:val="24"/>
                  <w:u w:val="single" w:color="auto"/>
                  <w:color w:val="0000EE"/>
                </w:rPr>
                <w:t>Warburg Pincus XI, L.P.</w:t>
              </w:r>
            </w:hyperlink>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-2733675</wp:posOffset>
            </wp:positionV>
            <wp:extent cx="2753995" cy="4002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753995" cy="400240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WARBURG PINCUS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450 LEXINGTON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117475</wp:posOffset>
            </wp:positionV>
            <wp:extent cx="262064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1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9959"/>
          </w:cols>
          <w:pgMar w:left="500" w:top="140" w:right="1440" w:bottom="0" w:gutter="0" w:footer="0" w:header="0"/>
        </w:sectPr>
      </w:pPr>
    </w:p>
    <w:p>
      <w:pPr>
        <w:spacing w:after="0" w:line="29"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450</w:t>
      </w:r>
    </w:p>
    <w:p>
      <w:pPr>
        <w:spacing w:after="0" w:line="18"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20"/>
          <w:szCs w:val="20"/>
          <w:color w:val="0000FF"/>
        </w:rPr>
        <w:t>LEXINGTON</w:t>
        <w:tab/>
        <w:t>NY</w:t>
      </w:r>
      <w:r>
        <w:rPr>
          <w:sz w:val="20"/>
          <w:szCs w:val="20"/>
          <w:color w:val="auto"/>
        </w:rPr>
        <w:tab/>
      </w:r>
      <w:r>
        <w:rPr>
          <w:rFonts w:ascii="Arial" w:cs="Arial" w:eastAsia="Arial" w:hAnsi="Arial"/>
          <w:sz w:val="17"/>
          <w:szCs w:val="17"/>
          <w:color w:val="0000FF"/>
        </w:rPr>
        <w:t>10017</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AVENUE</w:t>
      </w:r>
    </w:p>
    <w:p>
      <w:pPr>
        <w:sectPr>
          <w:pgSz w:w="11900" w:h="16838" w:orient="portrait"/>
          <w:cols w:equalWidth="0" w:num="1">
            <w:col w:w="9959"/>
          </w:cols>
          <w:pgMar w:left="50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rPr>
            </w:pPr>
            <w:hyperlink r:id="rId27">
              <w:r>
                <w:rPr>
                  <w:rFonts w:ascii="Arial" w:cs="Arial" w:eastAsia="Arial" w:hAnsi="Arial"/>
                  <w:sz w:val="24"/>
                  <w:szCs w:val="24"/>
                  <w:u w:val="single" w:color="auto"/>
                  <w:color w:val="0000EE"/>
                </w:rPr>
                <w:t>WP Global LLC</w:t>
              </w:r>
            </w:hyperlink>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w w:val="97"/>
              </w:rPr>
              <w:t>C/O WARBURG PINCUS LLC</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6518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773045" cy="651827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29">
        <w:r>
          <w:rPr>
            <w:rFonts w:ascii="Arial" w:cs="Arial" w:eastAsia="Arial" w:hAnsi="Arial"/>
            <w:sz w:val="24"/>
            <w:szCs w:val="24"/>
            <w:u w:val="single" w:color="auto"/>
            <w:color w:val="0000EE"/>
          </w:rPr>
          <w:t>Warburg Pincus Partners II (Cayman),</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29">
        <w:r>
          <w:rPr>
            <w:rFonts w:ascii="Arial" w:cs="Arial" w:eastAsia="Arial" w:hAnsi="Arial"/>
            <w:sz w:val="24"/>
            <w:szCs w:val="24"/>
            <w:u w:val="single" w:color="auto"/>
            <w:color w:val="0000EE"/>
          </w:rPr>
          <w:t>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4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w w:val="97"/>
              </w:rPr>
              <w:t>C/O WARBURG PINCUS LLC</w:t>
            </w:r>
          </w:p>
        </w:tc>
        <w:tc>
          <w:tcPr>
            <w:tcW w:w="146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46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30">
        <w:r>
          <w:rPr>
            <w:rFonts w:ascii="Arial" w:cs="Arial" w:eastAsia="Arial" w:hAnsi="Arial"/>
            <w:sz w:val="24"/>
            <w:szCs w:val="24"/>
            <w:u w:val="single" w:color="auto"/>
            <w:color w:val="0000EE"/>
          </w:rPr>
          <w:t>Warburg Pincus Partners GP LLC</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w w:val="97"/>
              </w:rPr>
              <w:t>C/O WARBURG PINCUS LLC</w:t>
            </w:r>
          </w:p>
        </w:tc>
        <w:tc>
          <w:tcPr>
            <w:tcW w:w="14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20"/>
                <w:szCs w:val="20"/>
                <w:color w:val="0000FF"/>
              </w:rPr>
              <w:t>450 LEXINGTON AVENUE</w:t>
            </w:r>
          </w:p>
        </w:tc>
        <w:tc>
          <w:tcPr>
            <w:tcW w:w="146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46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Form 3 is being filed in connection with the effectiveness of the Registration Statement on Form 8-A relating to the registration under Section 12 of the Securities Exchange Act of 1934, as amended (the "Exchange Act") of Sotera Health Company (the "Issuer").</w:t>
      </w:r>
    </w:p>
    <w:p>
      <w:pPr>
        <w:spacing w:after="0" w:line="26"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118,929,897 shares of Common Stock received as a liquidating distribution from Sotera Health Topco Parent, L.P. ("Topco Parent").</w:t>
      </w:r>
    </w:p>
    <w:p>
      <w:pPr>
        <w:spacing w:after="0" w:line="52" w:lineRule="exact"/>
        <w:rPr>
          <w:rFonts w:ascii="Arial" w:cs="Arial" w:eastAsia="Arial" w:hAnsi="Arial"/>
          <w:sz w:val="15"/>
          <w:szCs w:val="15"/>
          <w:color w:val="008000"/>
        </w:rPr>
      </w:pPr>
    </w:p>
    <w:p>
      <w:pPr>
        <w:ind w:left="20" w:right="4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Warburg Pincus Private Equity XI, L.P., Warburg Pincus XI Partners, L.P., WP XI Partners, L.P., Warburg Pincus Private Equity XI-B, L.P. (collectively, the "WP XI Funds") are the holders of 94,872,693 shares of Common Stock of the Issuer.</w:t>
      </w:r>
    </w:p>
    <w:p>
      <w:pPr>
        <w:spacing w:after="0" w:line="26"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Qarburg Pincus Private Equity XI-C, L.P. ("WP XI-C") is the holder of 304,567 shares of Common Stock of the Issuer.</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Bull Co-Invest L.P., a Delaware limited partnership ("Bull Co-Invest") is the holder of 23,752,637 shares of Common Stock of the Issuer.</w:t>
      </w:r>
    </w:p>
    <w:p>
      <w:pPr>
        <w:spacing w:after="0" w:line="52" w:lineRule="exact"/>
        <w:rPr>
          <w:rFonts w:ascii="Arial" w:cs="Arial" w:eastAsia="Arial" w:hAnsi="Arial"/>
          <w:sz w:val="15"/>
          <w:szCs w:val="15"/>
          <w:color w:val="008000"/>
        </w:rPr>
      </w:pPr>
    </w:p>
    <w:p>
      <w:pPr>
        <w:ind w:left="20" w:firstLine="5"/>
        <w:spacing w:after="0" w:line="254"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Warburg Pincus XI, L.P., a Delaware limited partnership ("WP XI LP"), is the general partner of the WP XI Funds. WP Global LLC ("WP Global"), is the general partner of WP XI LP. Warburg Pincus Partners II, L.P. ("WPP II") is the managing member of WP Global. Warburg Pincus Partners GP LLC ("WPP GP LLC") is the general partner of WPP II. Warburg Pincus &amp; Co. ("WP") is the managing member of WPP GP LLC. Warburg Pincus (Cayman) XI, L.P. ("WP Cayman") is the general partner of WP XI-C. Warburg Pincus XI-C, LLC ("Warburg Pincus XI-C") is the general partner of WP Cayman. Warburg Pincus Partners II (Cayman), L.P. ("WPP II Cayman") is the sole member of Warburg Pincus XI-C. Warburg Pincus (Bermuda) Private Equity GP Ltd. ("Warburg Pincus (Bermuda)") is the general partner of WPP II Cayman. WP Bull Manager, LLC ("WP Bull Manager") is the general partner of Bull Co-Invest. WP is the managing member of WP Bull Manager, LLC.</w:t>
      </w:r>
    </w:p>
    <w:p>
      <w:pPr>
        <w:spacing w:after="0" w:line="28" w:lineRule="exact"/>
        <w:rPr>
          <w:rFonts w:ascii="Arial" w:cs="Arial" w:eastAsia="Arial" w:hAnsi="Arial"/>
          <w:sz w:val="14"/>
          <w:szCs w:val="14"/>
          <w:color w:val="008000"/>
        </w:rPr>
      </w:pPr>
    </w:p>
    <w:p>
      <w:pPr>
        <w:jc w:val="both"/>
        <w:ind w:left="20" w:right="22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Warburg Pincus LLC ("WP LLC") is the manager of the WP XI Funds and WP XI-C. The WP XI Funds, Bull Co-Invest, WP XI-C, WP XI LP, WP Global, WPP II, WPP GP LLC, WP Cayman, Warburg Pincus XI-C, WPP II Cayman, Warburg Pincus (Bermuda), WP Bull Manager, WP LLC and WP are collectively referred to herein as the "Warburg Pincus Entities."</w:t>
      </w:r>
    </w:p>
    <w:p>
      <w:pPr>
        <w:spacing w:after="0" w:line="35" w:lineRule="exact"/>
        <w:rPr>
          <w:rFonts w:ascii="Arial" w:cs="Arial" w:eastAsia="Arial" w:hAnsi="Arial"/>
          <w:sz w:val="15"/>
          <w:szCs w:val="15"/>
          <w:color w:val="008000"/>
        </w:rPr>
      </w:pPr>
    </w:p>
    <w:p>
      <w:pPr>
        <w:ind w:left="20" w:right="2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Warburg Pincus Entity disclaims beneficial ownership with respect to any shares of Common Stock of the Issuer, except to the extent of its pecuniary interest in such shares of Common Stock, if any. The WP XI Funds, WP XI-C, Bull Co-Invest, WP XI LP, WP Global, WPP II, WPP GP LLC, WP, WP Cayman, WPP II Cayman, Warburg Pincus (Bermuda), Warburg Pincus XI-C and WP Bull Manager are directors-by-deputization solely for purposes of Section 16 of the Exchange Act.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Form 1 of 2. Two reports are filed that relate to the same transactions. See Form 2 of 2 for additional reporting entities.</w:t>
      </w:r>
    </w:p>
    <w:p>
      <w:pPr>
        <w:spacing w:after="0" w:line="58"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16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6"/>
              </w:rPr>
              <w:t>/s/ Robert B. Knauss,</w:t>
            </w:r>
          </w:p>
        </w:tc>
        <w:tc>
          <w:tcPr>
            <w:tcW w:w="5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5"/>
              </w:rPr>
              <w:t>11/20/2020</w:t>
            </w:r>
          </w:p>
        </w:tc>
      </w:tr>
    </w:tbl>
    <w:p>
      <w:pPr>
        <w:spacing w:after="0" w:line="20"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Attorney-in-fact* for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2763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4206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WPP GP LLC, the GP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4587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4587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WPP II,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109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member of WP Global,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33794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ectPr>
          <w:pgSz w:w="11900" w:h="16838" w:orient="portrait"/>
          <w:cols w:equalWidth="0" w:num="1">
            <w:col w:w="10860"/>
          </w:cols>
          <w:pgMar w:left="500" w:top="334" w:right="539" w:bottom="0" w:gutter="0" w:footer="0" w:header="0"/>
        </w:sectPr>
      </w:pPr>
    </w:p>
    <w:bookmarkStart w:id="3" w:name="page4"/>
    <w:bookmarkEnd w:id="3"/>
    <w:p>
      <w:pPr>
        <w:ind w:left="5620"/>
        <w:spacing w:after="0"/>
        <w:rPr>
          <w:sz w:val="20"/>
          <w:szCs w:val="20"/>
          <w:color w:val="auto"/>
        </w:rPr>
      </w:pPr>
      <w:r>
        <w:rPr>
          <w:rFonts w:ascii="Arial" w:cs="Arial" w:eastAsia="Arial" w:hAnsi="Arial"/>
          <w:sz w:val="18"/>
          <w:szCs w:val="18"/>
          <w:color w:val="0000FF"/>
        </w:rPr>
        <w:t>GP of WP XI LP, the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-635</wp:posOffset>
            </wp:positionV>
            <wp:extent cx="123507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of Warburg Pincus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0556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0556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Equity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74676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46760"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05664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Attorney-in-fact* for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0683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068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4206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WPP GP LLC, the GP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4587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4587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WPP II, the MM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8364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Global, the GP of WP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5222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LP,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5539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5539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Warburg Pincus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5123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5123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66040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60400"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05664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20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Warburg Pincus &amp; Co.,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3667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7"/>
          <w:szCs w:val="17"/>
          <w:color w:val="0000FF"/>
        </w:rPr>
        <w:t>managing member of WPP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4493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3187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partner of WPP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728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7635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7"/>
          <w:szCs w:val="17"/>
          <w:color w:val="0000FF"/>
        </w:rPr>
        <w:t>Global,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2778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of WP XI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5222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partner of WP XI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096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9240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05664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Attorney-in-fact* for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7635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4206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WPP GP LLC, the GP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4587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4587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WPP II,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0109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member of WP Global,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3794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GP of WP XI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584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04584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general partner of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3921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339215"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Pincus Private Equity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7635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33718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33718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05664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203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78930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8930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(Bermuda), the GP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7315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7315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WPP II Cayman, the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5603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560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member of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9885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9885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Pincus XI-C, LLC, the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445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2329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92329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(Cayman) XI, L.P., the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1445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of Warburg Pincus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0556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0556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Equity XI-C,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5344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853440"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05664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203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Warburg Pincus &amp; Co.,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3667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7635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Bull Manager,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8872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8872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general partner of Bull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Invest,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54038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40385" cy="9525"/>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05664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203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Warburg Pincus &amp; Co.,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3667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7"/>
          <w:szCs w:val="17"/>
          <w:color w:val="0000FF"/>
        </w:rPr>
        <w:t>managing member of WPP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4493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3187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partner of WPP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7280"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276350"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7"/>
          <w:szCs w:val="17"/>
          <w:color w:val="0000FF"/>
        </w:rPr>
        <w:t>Global,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2778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8"/>
          <w:szCs w:val="18"/>
          <w:color w:val="0000FF"/>
        </w:rPr>
        <w:t>of Warburg Pincus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22705"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1056640"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2035"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0000FF"/>
        </w:rPr>
        <w:t>Warburg Pincus &amp; Co.,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3667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7"/>
          <w:szCs w:val="17"/>
          <w:color w:val="0000FF"/>
        </w:rPr>
        <w:t>managing member of WPP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1344930"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20"/>
          <w:szCs w:val="20"/>
          <w:color w:val="0000FF"/>
        </w:rPr>
        <w:t>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31875"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0000FF"/>
        </w:rPr>
        <w:t>partner of WPP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7280"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ectPr>
          <w:pgSz w:w="11900" w:h="16838" w:orient="portrait"/>
          <w:cols w:equalWidth="0" w:num="2">
            <w:col w:w="7740" w:space="60"/>
            <w:col w:w="1219"/>
          </w:cols>
          <w:pgMar w:left="1440" w:top="130" w:right="1440" w:bottom="0" w:gutter="0" w:footer="0" w:header="0"/>
        </w:sectPr>
      </w:pPr>
    </w:p>
    <w:bookmarkStart w:id="4" w:name="page5"/>
    <w:bookmarkEnd w:id="4"/>
    <w:p>
      <w:pPr>
        <w:ind w:left="6540"/>
        <w:spacing w:after="0"/>
        <w:rPr>
          <w:sz w:val="20"/>
          <w:szCs w:val="20"/>
          <w:color w:val="auto"/>
        </w:rPr>
      </w:pPr>
      <w:r>
        <w:rPr>
          <w:rFonts w:ascii="Arial" w:cs="Arial" w:eastAsia="Arial" w:hAnsi="Arial"/>
          <w:sz w:val="18"/>
          <w:szCs w:val="18"/>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76350"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01980"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60198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Warburg Pincus &amp; Co.,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36675" cy="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managing member of WPP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4930" cy="9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1875" cy="9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of WPP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3920" cy="9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88392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Warburg Pincus &amp; Co.,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36675" cy="9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managing member of WPP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4930" cy="9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22910" cy="9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42291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8660" w:space="60"/>
            <w:col w:w="2100"/>
          </w:cols>
          <w:pgMar w:left="520" w:top="130"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8"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0" Type="http://schemas.openxmlformats.org/officeDocument/2006/relationships/hyperlink" Target="http://www.sec.gov/cgi-bin/browse-edgar?action=getcompany&amp;CIK=0000929408" TargetMode="External"/><Relationship Id="rId11" Type="http://schemas.openxmlformats.org/officeDocument/2006/relationships/hyperlink" Target="http://www.sec.gov/cgi-bin/browse-edgar?action=getcompany&amp;CIK=0001822479" TargetMode="External"/><Relationship Id="rId15" Type="http://schemas.openxmlformats.org/officeDocument/2006/relationships/hyperlink" Target="http://www.sec.gov/cgi-bin/browse-edgar?action=getcompany&amp;CIK=0001540163" TargetMode="External"/><Relationship Id="rId18" Type="http://schemas.openxmlformats.org/officeDocument/2006/relationships/hyperlink" Target="http://www.sec.gov/cgi-bin/browse-edgar?action=getcompany&amp;CIK=0001540386" TargetMode="External"/><Relationship Id="rId20" Type="http://schemas.openxmlformats.org/officeDocument/2006/relationships/hyperlink" Target="http://www.sec.gov/cgi-bin/browse-edgar?action=getcompany&amp;CIK=0001540166" TargetMode="External"/><Relationship Id="rId22" Type="http://schemas.openxmlformats.org/officeDocument/2006/relationships/hyperlink" Target="http://www.sec.gov/cgi-bin/browse-edgar?action=getcompany&amp;CIK=0001550877" TargetMode="External"/><Relationship Id="rId23" Type="http://schemas.openxmlformats.org/officeDocument/2006/relationships/hyperlink" Target="http://www.sec.gov/cgi-bin/browse-edgar?action=getcompany&amp;CIK=0001832693" TargetMode="External"/><Relationship Id="rId24" Type="http://schemas.openxmlformats.org/officeDocument/2006/relationships/hyperlink" Target="http://www.sec.gov/cgi-bin/browse-edgar?action=getcompany&amp;CIK=0001540167" TargetMode="External"/><Relationship Id="rId27" Type="http://schemas.openxmlformats.org/officeDocument/2006/relationships/hyperlink" Target="http://www.sec.gov/cgi-bin/browse-edgar?action=getcompany&amp;CIK=0001540385" TargetMode="External"/><Relationship Id="rId29" Type="http://schemas.openxmlformats.org/officeDocument/2006/relationships/hyperlink" Target="http://www.sec.gov/cgi-bin/browse-edgar?action=getcompany&amp;CIK=0001658820" TargetMode="External"/><Relationship Id="rId30" Type="http://schemas.openxmlformats.org/officeDocument/2006/relationships/hyperlink" Target="http://www.sec.gov/cgi-bin/browse-edgar?action=getcompany&amp;CIK=0001621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2020-11-20T20:55:57Z</dcterms:created>
  <dcterms:modified xsi:type="dcterms:W3CDTF">2020-11-20T20:55:57Z</dcterms:modified>
</cp:coreProperties>
</file>