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7"/>
          <w:szCs w:val="17"/>
          <w:b w:val="1"/>
          <w:bCs w:val="1"/>
          <w:u w:val="single" w:color="auto"/>
          <w:color w:val="0000EE"/>
        </w:rPr>
        <w:t>Table of Contents</w:t>
      </w:r>
    </w:p>
    <w:p>
      <w:pPr>
        <w:spacing w:after="0" w:line="286" w:lineRule="exact"/>
        <w:rPr>
          <w:sz w:val="24"/>
          <w:szCs w:val="24"/>
          <w:color w:val="auto"/>
        </w:rPr>
      </w:pPr>
    </w:p>
    <w:p>
      <w:pPr>
        <w:jc w:val="center"/>
        <w:ind w:right="-1120"/>
        <w:spacing w:after="0"/>
        <w:rPr>
          <w:sz w:val="20"/>
          <w:szCs w:val="20"/>
          <w:color w:val="auto"/>
        </w:rPr>
      </w:pPr>
      <w:r>
        <w:rPr>
          <w:rFonts w:ascii="Arial" w:cs="Arial" w:eastAsia="Arial" w:hAnsi="Arial"/>
          <w:sz w:val="31"/>
          <w:szCs w:val="31"/>
          <w:b w:val="1"/>
          <w:bCs w:val="1"/>
          <w:color w:val="auto"/>
        </w:rPr>
        <w:t>UNITED STATES</w:t>
      </w:r>
    </w:p>
    <w:p>
      <w:pPr>
        <w:spacing w:after="0" w:line="37" w:lineRule="exact"/>
        <w:rPr>
          <w:sz w:val="24"/>
          <w:szCs w:val="24"/>
          <w:color w:val="auto"/>
        </w:rPr>
      </w:pPr>
    </w:p>
    <w:p>
      <w:pPr>
        <w:jc w:val="center"/>
        <w:ind w:right="-1120"/>
        <w:spacing w:after="0"/>
        <w:rPr>
          <w:sz w:val="20"/>
          <w:szCs w:val="20"/>
          <w:color w:val="auto"/>
        </w:rPr>
      </w:pPr>
      <w:r>
        <w:rPr>
          <w:rFonts w:ascii="Arial" w:cs="Arial" w:eastAsia="Arial" w:hAnsi="Arial"/>
          <w:sz w:val="31"/>
          <w:szCs w:val="31"/>
          <w:b w:val="1"/>
          <w:bCs w:val="1"/>
          <w:color w:val="auto"/>
        </w:rPr>
        <w:t>SECURITIES AND EXCHANGE COMMISSION</w:t>
      </w:r>
    </w:p>
    <w:p>
      <w:pPr>
        <w:spacing w:after="0" w:line="78" w:lineRule="exact"/>
        <w:rPr>
          <w:sz w:val="24"/>
          <w:szCs w:val="24"/>
          <w:color w:val="auto"/>
        </w:rPr>
      </w:pPr>
    </w:p>
    <w:p>
      <w:pPr>
        <w:ind w:left="4460"/>
        <w:spacing w:after="0"/>
        <w:rPr>
          <w:sz w:val="20"/>
          <w:szCs w:val="20"/>
          <w:color w:val="auto"/>
        </w:rPr>
      </w:pPr>
      <w:r>
        <w:rPr>
          <w:rFonts w:ascii="Arial" w:cs="Arial" w:eastAsia="Arial" w:hAnsi="Arial"/>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2870200</wp:posOffset>
            </wp:positionH>
            <wp:positionV relativeFrom="paragraph">
              <wp:posOffset>158115</wp:posOffset>
            </wp:positionV>
            <wp:extent cx="140144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01445" cy="8255"/>
                    </a:xfrm>
                    <a:prstGeom prst="rect">
                      <a:avLst/>
                    </a:prstGeom>
                    <a:noFill/>
                  </pic:spPr>
                </pic:pic>
              </a:graphicData>
            </a:graphic>
          </wp:anchor>
        </w:drawing>
      </w:r>
    </w:p>
    <w:p>
      <w:pPr>
        <w:spacing w:after="0" w:line="317" w:lineRule="exact"/>
        <w:rPr>
          <w:sz w:val="24"/>
          <w:szCs w:val="24"/>
          <w:color w:val="auto"/>
        </w:rPr>
      </w:pPr>
    </w:p>
    <w:p>
      <w:pPr>
        <w:jc w:val="center"/>
        <w:ind w:right="-1120"/>
        <w:spacing w:after="0"/>
        <w:rPr>
          <w:sz w:val="20"/>
          <w:szCs w:val="20"/>
          <w:color w:val="auto"/>
        </w:rPr>
      </w:pPr>
      <w:r>
        <w:rPr>
          <w:rFonts w:ascii="Arial" w:cs="Arial" w:eastAsia="Arial" w:hAnsi="Arial"/>
          <w:sz w:val="31"/>
          <w:szCs w:val="31"/>
          <w:b w:val="1"/>
          <w:bCs w:val="1"/>
          <w:color w:val="auto"/>
        </w:rPr>
        <w:t>SCHEDULE 14A INFORMATION</w:t>
      </w:r>
    </w:p>
    <w:p>
      <w:pPr>
        <w:spacing w:after="0" w:line="110" w:lineRule="exact"/>
        <w:rPr>
          <w:sz w:val="24"/>
          <w:szCs w:val="24"/>
          <w:color w:val="auto"/>
        </w:rPr>
      </w:pPr>
    </w:p>
    <w:p>
      <w:pPr>
        <w:jc w:val="center"/>
        <w:ind w:right="-1120"/>
        <w:spacing w:after="0"/>
        <w:rPr>
          <w:sz w:val="20"/>
          <w:szCs w:val="20"/>
          <w:color w:val="auto"/>
        </w:rPr>
      </w:pPr>
      <w:r>
        <w:rPr>
          <w:rFonts w:ascii="Arial" w:cs="Arial" w:eastAsia="Arial" w:hAnsi="Arial"/>
          <w:sz w:val="21"/>
          <w:szCs w:val="21"/>
          <w:b w:val="1"/>
          <w:bCs w:val="1"/>
          <w:color w:val="auto"/>
        </w:rPr>
        <w:t>Proxy Statement Pursuant to Section 14(a)</w:t>
      </w:r>
    </w:p>
    <w:p>
      <w:pPr>
        <w:spacing w:after="0" w:line="11" w:lineRule="exact"/>
        <w:rPr>
          <w:sz w:val="24"/>
          <w:szCs w:val="24"/>
          <w:color w:val="auto"/>
        </w:rPr>
      </w:pPr>
    </w:p>
    <w:p>
      <w:pPr>
        <w:jc w:val="center"/>
        <w:ind w:right="-1120"/>
        <w:spacing w:after="0"/>
        <w:rPr>
          <w:sz w:val="20"/>
          <w:szCs w:val="20"/>
          <w:color w:val="auto"/>
        </w:rPr>
      </w:pPr>
      <w:r>
        <w:rPr>
          <w:rFonts w:ascii="Arial" w:cs="Arial" w:eastAsia="Arial" w:hAnsi="Arial"/>
          <w:sz w:val="21"/>
          <w:szCs w:val="21"/>
          <w:b w:val="1"/>
          <w:bCs w:val="1"/>
          <w:color w:val="auto"/>
        </w:rPr>
        <w:t>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2870200</wp:posOffset>
            </wp:positionH>
            <wp:positionV relativeFrom="paragraph">
              <wp:posOffset>137160</wp:posOffset>
            </wp:positionV>
            <wp:extent cx="140144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01445" cy="8255"/>
                    </a:xfrm>
                    <a:prstGeom prst="rect">
                      <a:avLst/>
                    </a:prstGeom>
                    <a:noFill/>
                  </pic:spPr>
                </pic:pic>
              </a:graphicData>
            </a:graphic>
          </wp:anchor>
        </w:drawing>
      </w:r>
    </w:p>
    <w:p>
      <w:pPr>
        <w:spacing w:after="0" w:line="268" w:lineRule="exact"/>
        <w:rPr>
          <w:sz w:val="24"/>
          <w:szCs w:val="24"/>
          <w:color w:val="auto"/>
        </w:rPr>
      </w:pPr>
    </w:p>
    <w:p>
      <w:pPr>
        <w:ind w:left="1100"/>
        <w:spacing w:after="0" w:line="196" w:lineRule="exact"/>
        <w:rPr>
          <w:sz w:val="20"/>
          <w:szCs w:val="20"/>
          <w:color w:val="auto"/>
        </w:rPr>
      </w:pPr>
      <w:r>
        <w:rPr>
          <w:rFonts w:ascii="Arial" w:cs="Arial" w:eastAsia="Arial" w:hAnsi="Arial"/>
          <w:sz w:val="17"/>
          <w:szCs w:val="17"/>
          <w:color w:val="auto"/>
        </w:rPr>
        <w:t xml:space="preserve">Filed by the Registrant </w:t>
      </w:r>
      <w:r>
        <w:rPr>
          <w:rFonts w:ascii="MS PGothic" w:cs="MS PGothic" w:eastAsia="MS PGothic" w:hAnsi="MS PGothic"/>
          <w:sz w:val="17"/>
          <w:szCs w:val="17"/>
          <w:color w:val="auto"/>
        </w:rPr>
        <w:t>☒</w:t>
      </w:r>
    </w:p>
    <w:p>
      <w:pPr>
        <w:spacing w:after="0" w:line="114" w:lineRule="exact"/>
        <w:rPr>
          <w:sz w:val="24"/>
          <w:szCs w:val="24"/>
          <w:color w:val="auto"/>
        </w:rPr>
      </w:pPr>
    </w:p>
    <w:p>
      <w:pPr>
        <w:ind w:left="1100"/>
        <w:spacing w:after="0" w:line="196" w:lineRule="exact"/>
        <w:rPr>
          <w:sz w:val="20"/>
          <w:szCs w:val="20"/>
          <w:color w:val="auto"/>
        </w:rPr>
      </w:pPr>
      <w:r>
        <w:rPr>
          <w:rFonts w:ascii="Arial" w:cs="Arial" w:eastAsia="Arial" w:hAnsi="Arial"/>
          <w:sz w:val="17"/>
          <w:szCs w:val="17"/>
          <w:color w:val="auto"/>
        </w:rPr>
        <w:t xml:space="preserve">Filed by a Party other than the Registrant </w:t>
      </w:r>
      <w:r>
        <w:rPr>
          <w:rFonts w:ascii="MS PGothic" w:cs="MS PGothic" w:eastAsia="MS PGothic" w:hAnsi="MS PGothic"/>
          <w:sz w:val="17"/>
          <w:szCs w:val="17"/>
          <w:color w:val="auto"/>
        </w:rPr>
        <w:t>☐</w:t>
      </w:r>
    </w:p>
    <w:p>
      <w:pPr>
        <w:spacing w:after="0" w:line="142" w:lineRule="exact"/>
        <w:rPr>
          <w:sz w:val="24"/>
          <w:szCs w:val="24"/>
          <w:color w:val="auto"/>
        </w:rPr>
      </w:pPr>
    </w:p>
    <w:p>
      <w:pPr>
        <w:ind w:left="1100"/>
        <w:spacing w:after="0"/>
        <w:rPr>
          <w:sz w:val="20"/>
          <w:szCs w:val="20"/>
          <w:color w:val="auto"/>
        </w:rPr>
      </w:pPr>
      <w:r>
        <w:rPr>
          <w:rFonts w:ascii="Arial" w:cs="Arial" w:eastAsia="Arial" w:hAnsi="Arial"/>
          <w:sz w:val="17"/>
          <w:szCs w:val="17"/>
          <w:color w:val="auto"/>
        </w:rPr>
        <w:t>Check the appropriate box:</w:t>
      </w:r>
    </w:p>
    <w:p>
      <w:pPr>
        <w:spacing w:after="0" w:line="140" w:lineRule="exact"/>
        <w:rPr>
          <w:sz w:val="24"/>
          <w:szCs w:val="24"/>
          <w:color w:val="auto"/>
        </w:rPr>
      </w:pPr>
    </w:p>
    <w:p>
      <w:pPr>
        <w:ind w:left="780" w:hanging="422"/>
        <w:spacing w:after="0"/>
        <w:tabs>
          <w:tab w:leader="none" w:pos="78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Preliminary Proxy Statement</w:t>
      </w:r>
    </w:p>
    <w:p>
      <w:pPr>
        <w:spacing w:after="0" w:line="125" w:lineRule="exact"/>
        <w:rPr>
          <w:rFonts w:ascii="MS PGothic" w:cs="MS PGothic" w:eastAsia="MS PGothic" w:hAnsi="MS PGothic"/>
          <w:sz w:val="17"/>
          <w:szCs w:val="17"/>
          <w:color w:val="auto"/>
        </w:rPr>
      </w:pPr>
    </w:p>
    <w:p>
      <w:pPr>
        <w:ind w:left="780" w:hanging="422"/>
        <w:spacing w:after="0"/>
        <w:tabs>
          <w:tab w:leader="none" w:pos="780" w:val="left"/>
        </w:tabs>
        <w:numPr>
          <w:ilvl w:val="0"/>
          <w:numId w:val="1"/>
        </w:numPr>
        <w:rPr>
          <w:rFonts w:ascii="MS PGothic" w:cs="MS PGothic" w:eastAsia="MS PGothic" w:hAnsi="MS PGothic"/>
          <w:sz w:val="17"/>
          <w:szCs w:val="17"/>
          <w:color w:val="auto"/>
        </w:rPr>
      </w:pPr>
      <w:r>
        <w:rPr>
          <w:rFonts w:ascii="Arial" w:cs="Arial" w:eastAsia="Arial" w:hAnsi="Arial"/>
          <w:sz w:val="17"/>
          <w:szCs w:val="17"/>
          <w:b w:val="1"/>
          <w:bCs w:val="1"/>
          <w:color w:val="auto"/>
        </w:rPr>
        <w:t>Confidential, for Use of the Commission Only (as permitted by Rule 14a-6(e)(2))</w:t>
      </w:r>
    </w:p>
    <w:p>
      <w:pPr>
        <w:spacing w:after="0" w:line="129" w:lineRule="exact"/>
        <w:rPr>
          <w:sz w:val="24"/>
          <w:szCs w:val="24"/>
          <w:color w:val="auto"/>
        </w:rPr>
      </w:pPr>
    </w:p>
    <w:p>
      <w:pPr>
        <w:ind w:left="780" w:hanging="422"/>
        <w:spacing w:after="0"/>
        <w:tabs>
          <w:tab w:leader="none" w:pos="78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Definitive Proxy Statement</w:t>
      </w:r>
    </w:p>
    <w:p>
      <w:pPr>
        <w:spacing w:after="0" w:line="127" w:lineRule="exact"/>
        <w:rPr>
          <w:sz w:val="24"/>
          <w:szCs w:val="24"/>
          <w:color w:val="auto"/>
        </w:rPr>
      </w:pPr>
    </w:p>
    <w:p>
      <w:pPr>
        <w:ind w:left="780" w:hanging="422"/>
        <w:spacing w:after="0"/>
        <w:tabs>
          <w:tab w:leader="none" w:pos="780" w:val="left"/>
        </w:tabs>
        <w:numPr>
          <w:ilvl w:val="0"/>
          <w:numId w:val="3"/>
        </w:numPr>
        <w:rPr>
          <w:rFonts w:ascii="MS PGothic" w:cs="MS PGothic" w:eastAsia="MS PGothic" w:hAnsi="MS PGothic"/>
          <w:sz w:val="17"/>
          <w:szCs w:val="17"/>
          <w:color w:val="auto"/>
        </w:rPr>
      </w:pPr>
      <w:r>
        <w:rPr>
          <w:rFonts w:ascii="Arial" w:cs="Arial" w:eastAsia="Arial" w:hAnsi="Arial"/>
          <w:sz w:val="17"/>
          <w:szCs w:val="17"/>
          <w:color w:val="auto"/>
        </w:rPr>
        <w:t>Definitive Additional Materials</w:t>
      </w:r>
    </w:p>
    <w:p>
      <w:pPr>
        <w:spacing w:after="0" w:line="127" w:lineRule="exact"/>
        <w:rPr>
          <w:rFonts w:ascii="MS PGothic" w:cs="MS PGothic" w:eastAsia="MS PGothic" w:hAnsi="MS PGothic"/>
          <w:sz w:val="17"/>
          <w:szCs w:val="17"/>
          <w:color w:val="auto"/>
        </w:rPr>
      </w:pPr>
    </w:p>
    <w:p>
      <w:pPr>
        <w:ind w:left="780" w:hanging="422"/>
        <w:spacing w:after="0"/>
        <w:tabs>
          <w:tab w:leader="none" w:pos="780" w:val="left"/>
        </w:tabs>
        <w:numPr>
          <w:ilvl w:val="0"/>
          <w:numId w:val="3"/>
        </w:numPr>
        <w:rPr>
          <w:rFonts w:ascii="MS PGothic" w:cs="MS PGothic" w:eastAsia="MS PGothic" w:hAnsi="MS PGothic"/>
          <w:sz w:val="17"/>
          <w:szCs w:val="17"/>
          <w:color w:val="auto"/>
        </w:rPr>
      </w:pPr>
      <w:r>
        <w:rPr>
          <w:rFonts w:ascii="Arial" w:cs="Arial" w:eastAsia="Arial" w:hAnsi="Arial"/>
          <w:sz w:val="17"/>
          <w:szCs w:val="17"/>
          <w:color w:val="auto"/>
        </w:rPr>
        <w:t>Soliciting Material Pursuant to § 240.14a-12</w:t>
      </w:r>
    </w:p>
    <w:p>
      <w:pPr>
        <w:spacing w:after="0" w:line="193" w:lineRule="exact"/>
        <w:rPr>
          <w:sz w:val="24"/>
          <w:szCs w:val="24"/>
          <w:color w:val="auto"/>
        </w:rPr>
      </w:pPr>
    </w:p>
    <w:p>
      <w:pPr>
        <w:jc w:val="center"/>
        <w:ind w:right="-1120"/>
        <w:spacing w:after="0"/>
        <w:rPr>
          <w:sz w:val="20"/>
          <w:szCs w:val="20"/>
          <w:color w:val="auto"/>
        </w:rPr>
      </w:pPr>
      <w:r>
        <w:rPr>
          <w:rFonts w:ascii="Arial" w:cs="Arial" w:eastAsia="Arial" w:hAnsi="Arial"/>
          <w:sz w:val="41"/>
          <w:szCs w:val="41"/>
          <w:b w:val="1"/>
          <w:bCs w:val="1"/>
          <w:color w:val="auto"/>
        </w:rPr>
        <w:t>SOTERA HEALTH COMPANY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666115</wp:posOffset>
            </wp:positionH>
            <wp:positionV relativeFrom="paragraph">
              <wp:posOffset>62865</wp:posOffset>
            </wp:positionV>
            <wp:extent cx="581088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10885" cy="8255"/>
                    </a:xfrm>
                    <a:prstGeom prst="rect">
                      <a:avLst/>
                    </a:prstGeom>
                    <a:noFill/>
                  </pic:spPr>
                </pic:pic>
              </a:graphicData>
            </a:graphic>
          </wp:anchor>
        </w:drawing>
      </w:r>
    </w:p>
    <w:p>
      <w:pPr>
        <w:spacing w:after="0" w:line="99" w:lineRule="exact"/>
        <w:rPr>
          <w:sz w:val="24"/>
          <w:szCs w:val="24"/>
          <w:color w:val="auto"/>
        </w:rPr>
      </w:pPr>
    </w:p>
    <w:p>
      <w:pPr>
        <w:ind w:left="3700"/>
        <w:spacing w:after="0"/>
        <w:rPr>
          <w:sz w:val="20"/>
          <w:szCs w:val="20"/>
          <w:color w:val="auto"/>
        </w:rPr>
      </w:pPr>
      <w:r>
        <w:rPr>
          <w:rFonts w:ascii="Arial" w:cs="Arial" w:eastAsia="Arial" w:hAnsi="Arial"/>
          <w:sz w:val="17"/>
          <w:szCs w:val="17"/>
          <w:b w:val="1"/>
          <w:bCs w:val="1"/>
          <w:color w:val="auto"/>
        </w:rPr>
        <w:t>(Name of Registrant as Specified In Its Charter)</w:t>
      </w:r>
    </w:p>
    <w:p>
      <w:pPr>
        <w:spacing w:after="0" w:line="103" w:lineRule="exact"/>
        <w:rPr>
          <w:sz w:val="24"/>
          <w:szCs w:val="24"/>
          <w:color w:val="auto"/>
        </w:rPr>
      </w:pPr>
    </w:p>
    <w:p>
      <w:pPr>
        <w:ind w:left="1100"/>
        <w:spacing w:after="0"/>
        <w:rPr>
          <w:sz w:val="20"/>
          <w:szCs w:val="20"/>
          <w:color w:val="auto"/>
        </w:rPr>
      </w:pPr>
      <w:r>
        <w:rPr>
          <w:rFonts w:ascii="Arial" w:cs="Arial" w:eastAsia="Arial" w:hAnsi="Arial"/>
          <w:sz w:val="17"/>
          <w:szCs w:val="17"/>
          <w:color w:val="auto"/>
        </w:rPr>
        <w:t>Payment of Filing Fee (Check the appropriate box):</w:t>
      </w:r>
    </w:p>
    <w:p>
      <w:pPr>
        <w:spacing w:after="0" w:line="243" w:lineRule="exact"/>
        <w:rPr>
          <w:sz w:val="24"/>
          <w:szCs w:val="24"/>
          <w:color w:val="auto"/>
        </w:rPr>
      </w:pPr>
    </w:p>
    <w:p>
      <w:pPr>
        <w:ind w:left="820" w:hanging="462"/>
        <w:spacing w:after="0"/>
        <w:tabs>
          <w:tab w:leader="none" w:pos="820" w:val="left"/>
        </w:tabs>
        <w:numPr>
          <w:ilvl w:val="0"/>
          <w:numId w:val="4"/>
        </w:numPr>
        <w:rPr>
          <w:rFonts w:ascii="MS PGothic" w:cs="MS PGothic" w:eastAsia="MS PGothic" w:hAnsi="MS PGothic"/>
          <w:sz w:val="17"/>
          <w:szCs w:val="17"/>
          <w:color w:val="auto"/>
        </w:rPr>
      </w:pPr>
      <w:r>
        <w:rPr>
          <w:rFonts w:ascii="Arial" w:cs="Arial" w:eastAsia="Arial" w:hAnsi="Arial"/>
          <w:sz w:val="17"/>
          <w:szCs w:val="17"/>
          <w:color w:val="auto"/>
        </w:rPr>
        <w:t>No fee required.</w:t>
      </w:r>
    </w:p>
    <w:p>
      <w:pPr>
        <w:spacing w:after="0" w:line="218" w:lineRule="exact"/>
        <w:rPr>
          <w:sz w:val="24"/>
          <w:szCs w:val="24"/>
          <w:color w:val="auto"/>
        </w:rPr>
      </w:pPr>
    </w:p>
    <w:p>
      <w:pPr>
        <w:ind w:left="820" w:hanging="462"/>
        <w:spacing w:after="0"/>
        <w:tabs>
          <w:tab w:leader="none" w:pos="820"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Fee paid previously with preliminary materials.</w:t>
      </w:r>
    </w:p>
    <w:p>
      <w:pPr>
        <w:spacing w:after="0" w:line="217" w:lineRule="exact"/>
        <w:rPr>
          <w:rFonts w:ascii="MS PGothic" w:cs="MS PGothic" w:eastAsia="MS PGothic" w:hAnsi="MS PGothic"/>
          <w:sz w:val="17"/>
          <w:szCs w:val="17"/>
          <w:color w:val="auto"/>
        </w:rPr>
      </w:pPr>
    </w:p>
    <w:p>
      <w:pPr>
        <w:ind w:left="820" w:hanging="462"/>
        <w:spacing w:after="0"/>
        <w:tabs>
          <w:tab w:leader="none" w:pos="820"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Fee computed on table required by Item 25(b) per Exchange Act Rules 14a-6(i)(1) and 0-11.</w:t>
      </w:r>
    </w:p>
    <w:p>
      <w:pPr>
        <w:sectPr>
          <w:pgSz w:w="11900" w:h="16838" w:orient="portrait"/>
          <w:cols w:equalWidth="0" w:num="1">
            <w:col w:w="10139"/>
          </w:cols>
          <w:pgMar w:left="320" w:top="223"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539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9945" cy="53975"/>
                    </a:xfrm>
                    <a:prstGeom prst="rect">
                      <a:avLst/>
                    </a:prstGeom>
                    <a:noFill/>
                  </pic:spPr>
                </pic:pic>
              </a:graphicData>
            </a:graphic>
          </wp:anchor>
        </w:drawing>
        <w:t>Table of Contents</w:t>
      </w:r>
    </w:p>
    <w:p>
      <w:pPr>
        <w:sectPr>
          <w:pgSz w:w="11900" w:h="16838" w:orient="portrait"/>
          <w:cols w:equalWidth="0" w:num="1">
            <w:col w:w="10139"/>
          </w:cols>
          <w:pgMar w:left="320" w:top="468" w:right="1440"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539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9945"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200025</wp:posOffset>
            </wp:positionV>
            <wp:extent cx="6122035" cy="78676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122035" cy="7867650"/>
                    </a:xfrm>
                    <a:prstGeom prst="rect">
                      <a:avLst/>
                    </a:prstGeom>
                    <a:noFill/>
                  </pic:spPr>
                </pic:pic>
              </a:graphicData>
            </a:graphic>
          </wp:anchor>
        </w:drawing>
      </w:r>
    </w:p>
    <w:p>
      <w:pPr>
        <w:sectPr>
          <w:pgSz w:w="11900" w:h="16838" w:orient="portrait"/>
          <w:cols w:equalWidth="0" w:num="1">
            <w:col w:w="10139"/>
          </w:cols>
          <w:pgMar w:left="320" w:top="468" w:right="1440"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539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9945"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200025</wp:posOffset>
            </wp:positionV>
            <wp:extent cx="6122035" cy="78676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122035" cy="7867650"/>
                    </a:xfrm>
                    <a:prstGeom prst="rect">
                      <a:avLst/>
                    </a:prstGeom>
                    <a:noFill/>
                  </pic:spPr>
                </pic:pic>
              </a:graphicData>
            </a:graphic>
          </wp:anchor>
        </w:drawing>
      </w:r>
    </w:p>
    <w:p>
      <w:pPr>
        <w:sectPr>
          <w:pgSz w:w="11900" w:h="16838" w:orient="portrait"/>
          <w:cols w:equalWidth="0" w:num="1">
            <w:col w:w="10139"/>
          </w:cols>
          <w:pgMar w:left="320" w:top="468" w:right="1440"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539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9945"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200025</wp:posOffset>
            </wp:positionV>
            <wp:extent cx="6122035" cy="78676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122035" cy="7867650"/>
                    </a:xfrm>
                    <a:prstGeom prst="rect">
                      <a:avLst/>
                    </a:prstGeom>
                    <a:noFill/>
                  </pic:spPr>
                </pic:pic>
              </a:graphicData>
            </a:graphic>
          </wp:anchor>
        </w:drawing>
      </w:r>
    </w:p>
    <w:p>
      <w:pPr>
        <w:sectPr>
          <w:pgSz w:w="11900" w:h="16838" w:orient="portrait"/>
          <w:cols w:equalWidth="0" w:num="1">
            <w:col w:w="10139"/>
          </w:cols>
          <w:pgMar w:left="320" w:top="468" w:right="1440"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539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9945" cy="53975"/>
                    </a:xfrm>
                    <a:prstGeom prst="rect">
                      <a:avLst/>
                    </a:prstGeom>
                    <a:noFill/>
                  </pic:spPr>
                </pic:pic>
              </a:graphicData>
            </a:graphic>
          </wp:anchor>
        </w:drawing>
        <w:t>Table of Contents</w:t>
      </w:r>
    </w:p>
    <w:p>
      <w:pPr>
        <w:spacing w:after="0" w:line="307" w:lineRule="exact"/>
        <w:rPr>
          <w:sz w:val="20"/>
          <w:szCs w:val="20"/>
          <w:color w:val="auto"/>
        </w:rPr>
      </w:pPr>
    </w:p>
    <w:p>
      <w:pPr>
        <w:jc w:val="right"/>
        <w:spacing w:after="0"/>
        <w:rPr>
          <w:sz w:val="20"/>
          <w:szCs w:val="20"/>
          <w:color w:val="auto"/>
        </w:rPr>
      </w:pPr>
      <w:r>
        <w:rPr>
          <w:rFonts w:ascii="Arial" w:cs="Arial" w:eastAsia="Arial" w:hAnsi="Arial"/>
          <w:sz w:val="14"/>
          <w:szCs w:val="14"/>
          <w:color w:val="auto"/>
        </w:rPr>
        <w:t>Sotera Health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231775</wp:posOffset>
            </wp:positionH>
            <wp:positionV relativeFrom="paragraph">
              <wp:posOffset>-97155</wp:posOffset>
            </wp:positionV>
            <wp:extent cx="1622425" cy="5327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622425" cy="532765"/>
                    </a:xfrm>
                    <a:prstGeom prst="rect">
                      <a:avLst/>
                    </a:prstGeom>
                    <a:noFill/>
                  </pic:spPr>
                </pic:pic>
              </a:graphicData>
            </a:graphic>
          </wp:anchor>
        </w:drawing>
      </w:r>
    </w:p>
    <w:p>
      <w:pPr>
        <w:jc w:val="right"/>
        <w:spacing w:after="0"/>
        <w:rPr>
          <w:sz w:val="20"/>
          <w:szCs w:val="20"/>
          <w:color w:val="auto"/>
        </w:rPr>
      </w:pPr>
      <w:r>
        <w:rPr>
          <w:rFonts w:ascii="Arial" w:cs="Arial" w:eastAsia="Arial" w:hAnsi="Arial"/>
          <w:sz w:val="14"/>
          <w:szCs w:val="14"/>
          <w:color w:val="auto"/>
        </w:rPr>
        <w:t>9100 South Hills Blvd, Suite 300</w:t>
      </w:r>
    </w:p>
    <w:p>
      <w:pPr>
        <w:jc w:val="right"/>
        <w:spacing w:after="0"/>
        <w:rPr>
          <w:sz w:val="20"/>
          <w:szCs w:val="20"/>
          <w:color w:val="auto"/>
        </w:rPr>
      </w:pPr>
      <w:r>
        <w:rPr>
          <w:rFonts w:ascii="Arial" w:cs="Arial" w:eastAsia="Arial" w:hAnsi="Arial"/>
          <w:sz w:val="14"/>
          <w:szCs w:val="14"/>
          <w:color w:val="auto"/>
        </w:rPr>
        <w:t>Broadview Heights, Ohio 44147</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360"/>
        <w:spacing w:after="0"/>
        <w:rPr>
          <w:sz w:val="20"/>
          <w:szCs w:val="20"/>
          <w:color w:val="auto"/>
        </w:rPr>
      </w:pPr>
      <w:r>
        <w:rPr>
          <w:rFonts w:ascii="Arial" w:cs="Arial" w:eastAsia="Arial" w:hAnsi="Arial"/>
          <w:sz w:val="41"/>
          <w:szCs w:val="41"/>
          <w:b w:val="1"/>
          <w:bCs w:val="1"/>
          <w:color w:val="00B0DB"/>
        </w:rPr>
        <w:t>NOTICE OF ANNUAL MEETING OF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846455</wp:posOffset>
            </wp:positionH>
            <wp:positionV relativeFrom="paragraph">
              <wp:posOffset>177800</wp:posOffset>
            </wp:positionV>
            <wp:extent cx="335915" cy="3359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5915" cy="335915"/>
                    </a:xfrm>
                    <a:prstGeom prst="rect">
                      <a:avLst/>
                    </a:prstGeom>
                    <a:noFill/>
                  </pic:spPr>
                </pic:pic>
              </a:graphicData>
            </a:graphic>
          </wp:anchor>
        </w:drawing>
        <w:drawing>
          <wp:anchor simplePos="0" relativeHeight="251657728" behindDoc="1" locked="0" layoutInCell="0" allowOverlap="1">
            <wp:simplePos x="0" y="0"/>
            <wp:positionH relativeFrom="column">
              <wp:posOffset>3444240</wp:posOffset>
            </wp:positionH>
            <wp:positionV relativeFrom="paragraph">
              <wp:posOffset>210820</wp:posOffset>
            </wp:positionV>
            <wp:extent cx="360680" cy="3276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60680" cy="327660"/>
                    </a:xfrm>
                    <a:prstGeom prst="rect">
                      <a:avLst/>
                    </a:prstGeom>
                    <a:noFill/>
                  </pic:spPr>
                </pic:pic>
              </a:graphicData>
            </a:graphic>
          </wp:anchor>
        </w:drawing>
        <w:drawing>
          <wp:anchor simplePos="0" relativeHeight="251657728" behindDoc="1" locked="0" layoutInCell="0" allowOverlap="1">
            <wp:simplePos x="0" y="0"/>
            <wp:positionH relativeFrom="column">
              <wp:posOffset>6033770</wp:posOffset>
            </wp:positionH>
            <wp:positionV relativeFrom="paragraph">
              <wp:posOffset>202565</wp:posOffset>
            </wp:positionV>
            <wp:extent cx="335915" cy="3359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5915" cy="335915"/>
                    </a:xfrm>
                    <a:prstGeom prst="rect">
                      <a:avLst/>
                    </a:prstGeom>
                    <a:noFill/>
                  </pic:spPr>
                </pic:pic>
              </a:graphicData>
            </a:graphic>
          </wp:anchor>
        </w:drawing>
      </w:r>
    </w:p>
    <w:p>
      <w:pPr>
        <w:sectPr>
          <w:pgSz w:w="11900" w:h="16838" w:orient="portrait"/>
          <w:cols w:equalWidth="0" w:num="1">
            <w:col w:w="10900"/>
          </w:cols>
          <w:pgMar w:left="320" w:top="468" w:right="6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1020"/>
        <w:spacing w:after="0"/>
        <w:tabs>
          <w:tab w:leader="none" w:pos="5460" w:val="left"/>
        </w:tabs>
        <w:rPr>
          <w:sz w:val="20"/>
          <w:szCs w:val="20"/>
          <w:color w:val="auto"/>
        </w:rPr>
      </w:pPr>
      <w:r>
        <w:rPr>
          <w:rFonts w:ascii="Arial" w:cs="Arial" w:eastAsia="Arial" w:hAnsi="Arial"/>
          <w:sz w:val="17"/>
          <w:szCs w:val="17"/>
          <w:b w:val="1"/>
          <w:bCs w:val="1"/>
          <w:color w:val="00B0DB"/>
        </w:rPr>
        <w:t>Time and Date</w:t>
      </w:r>
      <w:r>
        <w:rPr>
          <w:sz w:val="20"/>
          <w:szCs w:val="20"/>
          <w:color w:val="auto"/>
        </w:rPr>
        <w:tab/>
      </w:r>
      <w:r>
        <w:rPr>
          <w:rFonts w:ascii="Arial" w:cs="Arial" w:eastAsia="Arial" w:hAnsi="Arial"/>
          <w:sz w:val="17"/>
          <w:szCs w:val="17"/>
          <w:b w:val="1"/>
          <w:bCs w:val="1"/>
          <w:color w:val="00B0DB"/>
        </w:rPr>
        <w:t>Place</w:t>
      </w:r>
    </w:p>
    <w:p>
      <w:pPr>
        <w:spacing w:after="0" w:line="112" w:lineRule="exact"/>
        <w:rPr>
          <w:sz w:val="20"/>
          <w:szCs w:val="20"/>
          <w:color w:val="auto"/>
        </w:rPr>
      </w:pPr>
    </w:p>
    <w:tbl>
      <w:tblPr>
        <w:tblLayout w:type="fixed"/>
        <w:tblInd w:w="540" w:type="dxa"/>
        <w:tblCellMar>
          <w:top w:w="0" w:type="dxa"/>
          <w:left w:w="0" w:type="dxa"/>
          <w:bottom w:w="0" w:type="dxa"/>
          <w:right w:w="0" w:type="dxa"/>
        </w:tblCellMar>
      </w:tblPr>
      <w:tr>
        <w:trPr>
          <w:trHeight w:val="221"/>
        </w:trPr>
        <w:tc>
          <w:tcPr>
            <w:tcW w:w="2260" w:type="dxa"/>
            <w:vAlign w:val="bottom"/>
          </w:tcPr>
          <w:p>
            <w:pPr>
              <w:jc w:val="center"/>
              <w:ind w:right="78"/>
              <w:spacing w:after="0"/>
              <w:rPr>
                <w:sz w:val="20"/>
                <w:szCs w:val="20"/>
                <w:color w:val="auto"/>
              </w:rPr>
            </w:pPr>
            <w:r>
              <w:rPr>
                <w:rFonts w:ascii="Arial" w:cs="Arial" w:eastAsia="Arial" w:hAnsi="Arial"/>
                <w:sz w:val="19"/>
                <w:szCs w:val="19"/>
                <w:b w:val="1"/>
                <w:bCs w:val="1"/>
                <w:color w:val="auto"/>
                <w:w w:val="98"/>
              </w:rPr>
              <w:t>Thursday, May 25, 2023</w:t>
            </w:r>
          </w:p>
        </w:tc>
        <w:tc>
          <w:tcPr>
            <w:tcW w:w="5600" w:type="dxa"/>
            <w:vAlign w:val="bottom"/>
          </w:tcPr>
          <w:p>
            <w:pPr>
              <w:ind w:left="2620"/>
              <w:spacing w:after="0"/>
              <w:rPr>
                <w:sz w:val="20"/>
                <w:szCs w:val="20"/>
                <w:color w:val="auto"/>
              </w:rPr>
            </w:pPr>
            <w:r>
              <w:rPr>
                <w:rFonts w:ascii="Arial" w:cs="Arial" w:eastAsia="Arial" w:hAnsi="Arial"/>
                <w:sz w:val="19"/>
                <w:szCs w:val="19"/>
                <w:b w:val="1"/>
                <w:bCs w:val="1"/>
                <w:color w:val="auto"/>
              </w:rPr>
              <w:t>Virtual</w:t>
            </w:r>
          </w:p>
        </w:tc>
      </w:tr>
      <w:tr>
        <w:trPr>
          <w:trHeight w:val="153"/>
        </w:trPr>
        <w:tc>
          <w:tcPr>
            <w:tcW w:w="2260" w:type="dxa"/>
            <w:vAlign w:val="bottom"/>
          </w:tcPr>
          <w:p>
            <w:pPr>
              <w:jc w:val="center"/>
              <w:ind w:right="58"/>
              <w:spacing w:after="0" w:line="153" w:lineRule="exact"/>
              <w:rPr>
                <w:sz w:val="20"/>
                <w:szCs w:val="20"/>
                <w:color w:val="auto"/>
              </w:rPr>
            </w:pPr>
            <w:r>
              <w:rPr>
                <w:rFonts w:ascii="Arial" w:cs="Arial" w:eastAsia="Arial" w:hAnsi="Arial"/>
                <w:sz w:val="14"/>
                <w:szCs w:val="14"/>
                <w:color w:val="auto"/>
                <w:w w:val="98"/>
              </w:rPr>
              <w:t>9:00 a.m., Eastern Daylight Time</w:t>
            </w:r>
          </w:p>
        </w:tc>
        <w:tc>
          <w:tcPr>
            <w:tcW w:w="5600" w:type="dxa"/>
            <w:vAlign w:val="bottom"/>
          </w:tcPr>
          <w:p>
            <w:pPr>
              <w:ind w:left="160"/>
              <w:spacing w:after="0" w:line="153" w:lineRule="exact"/>
              <w:rPr>
                <w:sz w:val="20"/>
                <w:szCs w:val="20"/>
                <w:color w:val="auto"/>
              </w:rPr>
            </w:pPr>
            <w:r>
              <w:rPr>
                <w:rFonts w:ascii="Arial" w:cs="Arial" w:eastAsia="Arial" w:hAnsi="Arial"/>
                <w:sz w:val="14"/>
                <w:szCs w:val="14"/>
                <w:color w:val="auto"/>
                <w:w w:val="98"/>
              </w:rPr>
              <w:t>The 2023 Annual Meeting of Shareholders will be held through a virtual meeting platform</w:t>
            </w:r>
          </w:p>
        </w:tc>
      </w:tr>
      <w:tr>
        <w:trPr>
          <w:trHeight w:val="157"/>
        </w:trPr>
        <w:tc>
          <w:tcPr>
            <w:tcW w:w="2260" w:type="dxa"/>
            <w:vAlign w:val="bottom"/>
          </w:tcPr>
          <w:p>
            <w:pPr>
              <w:spacing w:after="0"/>
              <w:rPr>
                <w:sz w:val="13"/>
                <w:szCs w:val="13"/>
                <w:color w:val="auto"/>
              </w:rPr>
            </w:pPr>
          </w:p>
        </w:tc>
        <w:tc>
          <w:tcPr>
            <w:tcW w:w="5600" w:type="dxa"/>
            <w:vAlign w:val="bottom"/>
          </w:tcPr>
          <w:p>
            <w:pPr>
              <w:ind w:left="160"/>
              <w:spacing w:after="0" w:line="157" w:lineRule="exact"/>
              <w:rPr>
                <w:sz w:val="20"/>
                <w:szCs w:val="20"/>
                <w:color w:val="auto"/>
              </w:rPr>
            </w:pPr>
            <w:r>
              <w:rPr>
                <w:rFonts w:ascii="Arial" w:cs="Arial" w:eastAsia="Arial" w:hAnsi="Arial"/>
                <w:sz w:val="14"/>
                <w:szCs w:val="14"/>
                <w:color w:val="auto"/>
              </w:rPr>
              <w:t xml:space="preserve">at </w:t>
            </w:r>
            <w:r>
              <w:rPr>
                <w:rFonts w:ascii="Arial" w:cs="Arial" w:eastAsia="Arial" w:hAnsi="Arial"/>
                <w:sz w:val="14"/>
                <w:szCs w:val="14"/>
                <w:b w:val="1"/>
                <w:bCs w:val="1"/>
                <w:color w:val="auto"/>
              </w:rPr>
              <w:t>www.virtualshareholdermeeting.com/SHC2023</w:t>
            </w:r>
            <w:r>
              <w:rPr>
                <w:rFonts w:ascii="Arial" w:cs="Arial" w:eastAsia="Arial" w:hAnsi="Arial"/>
                <w:sz w:val="14"/>
                <w:szCs w:val="14"/>
                <w:color w:val="auto"/>
              </w:rPr>
              <w:t>. You will not be able to attend the</w:t>
            </w:r>
          </w:p>
        </w:tc>
      </w:tr>
      <w:tr>
        <w:trPr>
          <w:trHeight w:val="155"/>
        </w:trPr>
        <w:tc>
          <w:tcPr>
            <w:tcW w:w="2260" w:type="dxa"/>
            <w:vAlign w:val="bottom"/>
          </w:tcPr>
          <w:p>
            <w:pPr>
              <w:spacing w:after="0"/>
              <w:rPr>
                <w:sz w:val="13"/>
                <w:szCs w:val="13"/>
                <w:color w:val="auto"/>
              </w:rPr>
            </w:pPr>
          </w:p>
        </w:tc>
        <w:tc>
          <w:tcPr>
            <w:tcW w:w="5600" w:type="dxa"/>
            <w:vAlign w:val="bottom"/>
          </w:tcPr>
          <w:p>
            <w:pPr>
              <w:ind w:left="160"/>
              <w:spacing w:after="0" w:line="155" w:lineRule="exact"/>
              <w:rPr>
                <w:sz w:val="20"/>
                <w:szCs w:val="20"/>
                <w:color w:val="auto"/>
              </w:rPr>
            </w:pPr>
            <w:r>
              <w:rPr>
                <w:rFonts w:ascii="Arial" w:cs="Arial" w:eastAsia="Arial" w:hAnsi="Arial"/>
                <w:sz w:val="14"/>
                <w:szCs w:val="14"/>
                <w:color w:val="auto"/>
                <w:w w:val="97"/>
              </w:rPr>
              <w:t>Annual Meeting in person, but we are committed to affording shareholders who attend the</w:t>
            </w:r>
          </w:p>
        </w:tc>
      </w:tr>
      <w:tr>
        <w:trPr>
          <w:trHeight w:val="155"/>
        </w:trPr>
        <w:tc>
          <w:tcPr>
            <w:tcW w:w="2260" w:type="dxa"/>
            <w:vAlign w:val="bottom"/>
          </w:tcPr>
          <w:p>
            <w:pPr>
              <w:spacing w:after="0"/>
              <w:rPr>
                <w:sz w:val="13"/>
                <w:szCs w:val="13"/>
                <w:color w:val="auto"/>
              </w:rPr>
            </w:pPr>
          </w:p>
        </w:tc>
        <w:tc>
          <w:tcPr>
            <w:tcW w:w="5600" w:type="dxa"/>
            <w:vAlign w:val="bottom"/>
          </w:tcPr>
          <w:p>
            <w:pPr>
              <w:ind w:left="160"/>
              <w:spacing w:after="0" w:line="155" w:lineRule="exact"/>
              <w:rPr>
                <w:sz w:val="20"/>
                <w:szCs w:val="20"/>
                <w:color w:val="auto"/>
              </w:rPr>
            </w:pPr>
            <w:r>
              <w:rPr>
                <w:rFonts w:ascii="Arial" w:cs="Arial" w:eastAsia="Arial" w:hAnsi="Arial"/>
                <w:sz w:val="14"/>
                <w:szCs w:val="14"/>
                <w:color w:val="auto"/>
                <w:w w:val="98"/>
              </w:rPr>
              <w:t>virtual meeting the same rights and opportunities to participate as they would be afforded</w:t>
            </w:r>
          </w:p>
        </w:tc>
      </w:tr>
      <w:tr>
        <w:trPr>
          <w:trHeight w:val="155"/>
        </w:trPr>
        <w:tc>
          <w:tcPr>
            <w:tcW w:w="2260" w:type="dxa"/>
            <w:vAlign w:val="bottom"/>
          </w:tcPr>
          <w:p>
            <w:pPr>
              <w:spacing w:after="0"/>
              <w:rPr>
                <w:sz w:val="13"/>
                <w:szCs w:val="13"/>
                <w:color w:val="auto"/>
              </w:rPr>
            </w:pPr>
          </w:p>
        </w:tc>
        <w:tc>
          <w:tcPr>
            <w:tcW w:w="5600" w:type="dxa"/>
            <w:vAlign w:val="bottom"/>
          </w:tcPr>
          <w:p>
            <w:pPr>
              <w:ind w:left="160"/>
              <w:spacing w:after="0" w:line="155" w:lineRule="exact"/>
              <w:rPr>
                <w:sz w:val="20"/>
                <w:szCs w:val="20"/>
                <w:color w:val="auto"/>
              </w:rPr>
            </w:pPr>
            <w:r>
              <w:rPr>
                <w:rFonts w:ascii="Arial" w:cs="Arial" w:eastAsia="Arial" w:hAnsi="Arial"/>
                <w:sz w:val="14"/>
                <w:szCs w:val="14"/>
                <w:color w:val="auto"/>
              </w:rPr>
              <w:t>at an in-person meeting. Please see “Virtual Annual Meeting” on page 2 for additional</w:t>
            </w:r>
          </w:p>
        </w:tc>
      </w:tr>
      <w:tr>
        <w:trPr>
          <w:trHeight w:val="181"/>
        </w:trPr>
        <w:tc>
          <w:tcPr>
            <w:tcW w:w="2260" w:type="dxa"/>
            <w:vAlign w:val="bottom"/>
          </w:tcPr>
          <w:p>
            <w:pPr>
              <w:spacing w:after="0"/>
              <w:rPr>
                <w:sz w:val="15"/>
                <w:szCs w:val="15"/>
                <w:color w:val="auto"/>
              </w:rPr>
            </w:pPr>
          </w:p>
        </w:tc>
        <w:tc>
          <w:tcPr>
            <w:tcW w:w="5600" w:type="dxa"/>
            <w:vAlign w:val="bottom"/>
          </w:tcPr>
          <w:p>
            <w:pPr>
              <w:ind w:left="160"/>
              <w:spacing w:after="0"/>
              <w:rPr>
                <w:sz w:val="20"/>
                <w:szCs w:val="20"/>
                <w:color w:val="auto"/>
              </w:rPr>
            </w:pPr>
            <w:r>
              <w:rPr>
                <w:rFonts w:ascii="Arial" w:cs="Arial" w:eastAsia="Arial" w:hAnsi="Arial"/>
                <w:sz w:val="14"/>
                <w:szCs w:val="14"/>
                <w:color w:val="auto"/>
              </w:rPr>
              <w:t>information.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231775</wp:posOffset>
            </wp:positionH>
            <wp:positionV relativeFrom="paragraph">
              <wp:posOffset>111125</wp:posOffset>
            </wp:positionV>
            <wp:extent cx="66878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6878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00B0DB"/>
        </w:rPr>
        <w:t>Record Date</w:t>
      </w:r>
    </w:p>
    <w:p>
      <w:pPr>
        <w:spacing w:after="0" w:line="112" w:lineRule="exact"/>
        <w:rPr>
          <w:sz w:val="20"/>
          <w:szCs w:val="20"/>
          <w:color w:val="auto"/>
        </w:rPr>
      </w:pPr>
    </w:p>
    <w:p>
      <w:pPr>
        <w:ind w:left="460"/>
        <w:spacing w:after="0"/>
        <w:rPr>
          <w:sz w:val="20"/>
          <w:szCs w:val="20"/>
          <w:color w:val="auto"/>
        </w:rPr>
      </w:pPr>
      <w:r>
        <w:rPr>
          <w:rFonts w:ascii="Arial" w:cs="Arial" w:eastAsia="Arial" w:hAnsi="Arial"/>
          <w:sz w:val="19"/>
          <w:szCs w:val="19"/>
          <w:b w:val="1"/>
          <w:bCs w:val="1"/>
          <w:color w:val="auto"/>
        </w:rPr>
        <w:t>March 31, 2023</w:t>
      </w:r>
    </w:p>
    <w:p>
      <w:pPr>
        <w:spacing w:after="0" w:line="14" w:lineRule="exact"/>
        <w:rPr>
          <w:sz w:val="20"/>
          <w:szCs w:val="20"/>
          <w:color w:val="auto"/>
        </w:rPr>
      </w:pPr>
    </w:p>
    <w:p>
      <w:pPr>
        <w:ind w:right="20"/>
        <w:spacing w:after="0" w:line="235" w:lineRule="auto"/>
        <w:rPr>
          <w:sz w:val="20"/>
          <w:szCs w:val="20"/>
          <w:color w:val="auto"/>
        </w:rPr>
      </w:pPr>
      <w:r>
        <w:rPr>
          <w:rFonts w:ascii="Arial" w:cs="Arial" w:eastAsia="Arial" w:hAnsi="Arial"/>
          <w:sz w:val="14"/>
          <w:szCs w:val="14"/>
          <w:color w:val="auto"/>
        </w:rPr>
        <w:t>Only shareholders of record at the close of business on the Record Date are entitled to receive notice of, and vote at, the Annual Meeting.</w:t>
      </w:r>
    </w:p>
    <w:p>
      <w:pPr>
        <w:spacing w:after="0" w:line="512" w:lineRule="exact"/>
        <w:rPr>
          <w:sz w:val="20"/>
          <w:szCs w:val="20"/>
          <w:color w:val="auto"/>
        </w:rPr>
      </w:pPr>
    </w:p>
    <w:p>
      <w:pPr>
        <w:sectPr>
          <w:pgSz w:w="11900" w:h="16838" w:orient="portrait"/>
          <w:cols w:equalWidth="0" w:num="2">
            <w:col w:w="8400" w:space="240"/>
            <w:col w:w="2260"/>
          </w:cols>
          <w:pgMar w:left="320" w:top="468" w:right="679" w:bottom="1440" w:gutter="0" w:footer="0" w:header="0"/>
          <w:type w:val="continuous"/>
        </w:sectPr>
      </w:pPr>
    </w:p>
    <w:p>
      <w:pPr>
        <w:spacing w:after="0" w:line="166" w:lineRule="exact"/>
        <w:rPr>
          <w:sz w:val="20"/>
          <w:szCs w:val="20"/>
          <w:color w:val="auto"/>
        </w:rPr>
      </w:pPr>
    </w:p>
    <w:p>
      <w:pPr>
        <w:ind w:left="360"/>
        <w:spacing w:after="0"/>
        <w:rPr>
          <w:sz w:val="20"/>
          <w:szCs w:val="20"/>
          <w:color w:val="auto"/>
        </w:rPr>
      </w:pPr>
      <w:r>
        <w:rPr>
          <w:rFonts w:ascii="Arial" w:cs="Arial" w:eastAsia="Arial" w:hAnsi="Arial"/>
          <w:sz w:val="31"/>
          <w:szCs w:val="31"/>
          <w:b w:val="1"/>
          <w:bCs w:val="1"/>
          <w:color w:val="00B0DB"/>
        </w:rPr>
        <w:t>Items of Business</w:t>
      </w:r>
    </w:p>
    <w:p>
      <w:pPr>
        <w:spacing w:after="0" w:line="137" w:lineRule="exact"/>
        <w:rPr>
          <w:sz w:val="20"/>
          <w:szCs w:val="20"/>
          <w:color w:val="auto"/>
        </w:rPr>
      </w:pPr>
    </w:p>
    <w:p>
      <w:pPr>
        <w:ind w:left="1180" w:hanging="409"/>
        <w:spacing w:after="0"/>
        <w:tabs>
          <w:tab w:leader="none" w:pos="1180" w:val="left"/>
        </w:tabs>
        <w:numPr>
          <w:ilvl w:val="0"/>
          <w:numId w:val="6"/>
        </w:numPr>
        <w:rPr>
          <w:rFonts w:ascii="MS PGothic" w:cs="MS PGothic" w:eastAsia="MS PGothic" w:hAnsi="MS PGothic"/>
          <w:sz w:val="15"/>
          <w:szCs w:val="15"/>
          <w:color w:val="00B0DB"/>
        </w:rPr>
      </w:pPr>
      <w:r>
        <w:rPr>
          <w:rFonts w:ascii="Arial" w:cs="Arial" w:eastAsia="Arial" w:hAnsi="Arial"/>
          <w:sz w:val="15"/>
          <w:szCs w:val="15"/>
          <w:color w:val="auto"/>
        </w:rPr>
        <w:t>To elect Sean L. Cunningham, Robert B. Knauss, and Vincent K. Petrella as our Class III directors, each to serve a three-year term.</w:t>
      </w:r>
    </w:p>
    <w:p>
      <w:pPr>
        <w:spacing w:after="0" w:line="98" w:lineRule="exact"/>
        <w:rPr>
          <w:rFonts w:ascii="MS PGothic" w:cs="MS PGothic" w:eastAsia="MS PGothic" w:hAnsi="MS PGothic"/>
          <w:sz w:val="15"/>
          <w:szCs w:val="15"/>
          <w:color w:val="00B0DB"/>
        </w:rPr>
      </w:pPr>
    </w:p>
    <w:p>
      <w:pPr>
        <w:ind w:left="1180" w:hanging="409"/>
        <w:spacing w:after="0"/>
        <w:tabs>
          <w:tab w:leader="none" w:pos="1180" w:val="left"/>
        </w:tabs>
        <w:numPr>
          <w:ilvl w:val="0"/>
          <w:numId w:val="6"/>
        </w:numPr>
        <w:rPr>
          <w:rFonts w:ascii="MS PGothic" w:cs="MS PGothic" w:eastAsia="MS PGothic" w:hAnsi="MS PGothic"/>
          <w:sz w:val="15"/>
          <w:szCs w:val="15"/>
          <w:color w:val="00B0DB"/>
        </w:rPr>
      </w:pPr>
      <w:r>
        <w:rPr>
          <w:rFonts w:ascii="Arial" w:cs="Arial" w:eastAsia="Arial" w:hAnsi="Arial"/>
          <w:sz w:val="15"/>
          <w:szCs w:val="15"/>
          <w:color w:val="auto"/>
        </w:rPr>
        <w:t>To approve, on an advisory basis, named executive officer compensation.</w:t>
      </w:r>
    </w:p>
    <w:p>
      <w:pPr>
        <w:spacing w:after="0" w:line="98" w:lineRule="exact"/>
        <w:rPr>
          <w:rFonts w:ascii="MS PGothic" w:cs="MS PGothic" w:eastAsia="MS PGothic" w:hAnsi="MS PGothic"/>
          <w:sz w:val="15"/>
          <w:szCs w:val="15"/>
          <w:color w:val="00B0DB"/>
        </w:rPr>
      </w:pPr>
    </w:p>
    <w:p>
      <w:pPr>
        <w:ind w:left="1180" w:hanging="409"/>
        <w:spacing w:after="0"/>
        <w:tabs>
          <w:tab w:leader="none" w:pos="1180" w:val="left"/>
        </w:tabs>
        <w:numPr>
          <w:ilvl w:val="0"/>
          <w:numId w:val="6"/>
        </w:numPr>
        <w:rPr>
          <w:rFonts w:ascii="MS PGothic" w:cs="MS PGothic" w:eastAsia="MS PGothic" w:hAnsi="MS PGothic"/>
          <w:sz w:val="15"/>
          <w:szCs w:val="15"/>
          <w:color w:val="00B0DB"/>
        </w:rPr>
      </w:pPr>
      <w:r>
        <w:rPr>
          <w:rFonts w:ascii="Arial" w:cs="Arial" w:eastAsia="Arial" w:hAnsi="Arial"/>
          <w:sz w:val="15"/>
          <w:szCs w:val="15"/>
          <w:color w:val="auto"/>
        </w:rPr>
        <w:t>To ratify the appointment of Ernst &amp; Young LLP as our independent auditors for the fiscal year ending December 31, 2023.</w:t>
      </w:r>
    </w:p>
    <w:p>
      <w:pPr>
        <w:spacing w:after="0" w:line="98" w:lineRule="exact"/>
        <w:rPr>
          <w:rFonts w:ascii="MS PGothic" w:cs="MS PGothic" w:eastAsia="MS PGothic" w:hAnsi="MS PGothic"/>
          <w:sz w:val="15"/>
          <w:szCs w:val="15"/>
          <w:color w:val="00B0DB"/>
        </w:rPr>
      </w:pPr>
    </w:p>
    <w:p>
      <w:pPr>
        <w:ind w:left="1180" w:hanging="409"/>
        <w:spacing w:after="0"/>
        <w:tabs>
          <w:tab w:leader="none" w:pos="1180" w:val="left"/>
        </w:tabs>
        <w:numPr>
          <w:ilvl w:val="0"/>
          <w:numId w:val="6"/>
        </w:numPr>
        <w:rPr>
          <w:rFonts w:ascii="MS PGothic" w:cs="MS PGothic" w:eastAsia="MS PGothic" w:hAnsi="MS PGothic"/>
          <w:sz w:val="15"/>
          <w:szCs w:val="15"/>
          <w:color w:val="00B0DB"/>
        </w:rPr>
      </w:pPr>
      <w:r>
        <w:rPr>
          <w:rFonts w:ascii="Arial" w:cs="Arial" w:eastAsia="Arial" w:hAnsi="Arial"/>
          <w:sz w:val="15"/>
          <w:szCs w:val="15"/>
          <w:color w:val="auto"/>
        </w:rPr>
        <w:t>To transact any other business that may properly come before the Annual Meeting or any adjournment or postponement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231775</wp:posOffset>
            </wp:positionH>
            <wp:positionV relativeFrom="paragraph">
              <wp:posOffset>177165</wp:posOffset>
            </wp:positionV>
            <wp:extent cx="66878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687820" cy="8255"/>
                    </a:xfrm>
                    <a:prstGeom prst="rect">
                      <a:avLst/>
                    </a:prstGeom>
                    <a:noFill/>
                  </pic:spPr>
                </pic:pic>
              </a:graphicData>
            </a:graphic>
          </wp:anchor>
        </w:drawing>
      </w:r>
    </w:p>
    <w:p>
      <w:pPr>
        <w:spacing w:after="0" w:line="200" w:lineRule="exact"/>
        <w:rPr>
          <w:sz w:val="20"/>
          <w:szCs w:val="20"/>
          <w:color w:val="auto"/>
        </w:rPr>
      </w:pPr>
    </w:p>
    <w:p>
      <w:pPr>
        <w:spacing w:after="0" w:line="259" w:lineRule="exact"/>
        <w:rPr>
          <w:sz w:val="20"/>
          <w:szCs w:val="20"/>
          <w:color w:val="auto"/>
        </w:rPr>
      </w:pPr>
    </w:p>
    <w:p>
      <w:pPr>
        <w:ind w:left="360" w:right="60"/>
        <w:spacing w:after="0" w:line="289" w:lineRule="auto"/>
        <w:rPr>
          <w:sz w:val="20"/>
          <w:szCs w:val="20"/>
          <w:color w:val="auto"/>
        </w:rPr>
      </w:pPr>
      <w:r>
        <w:rPr>
          <w:rFonts w:ascii="Arial" w:cs="Arial" w:eastAsia="Arial" w:hAnsi="Arial"/>
          <w:sz w:val="17"/>
          <w:szCs w:val="17"/>
          <w:color w:val="auto"/>
        </w:rPr>
        <w:t xml:space="preserve">Our Board recommends you vote (1) </w:t>
      </w:r>
      <w:r>
        <w:rPr>
          <w:rFonts w:ascii="Arial" w:cs="Arial" w:eastAsia="Arial" w:hAnsi="Arial"/>
          <w:sz w:val="17"/>
          <w:szCs w:val="17"/>
          <w:b w:val="1"/>
          <w:bCs w:val="1"/>
          <w:color w:val="auto"/>
        </w:rPr>
        <w:t>FOR</w:t>
      </w:r>
      <w:r>
        <w:rPr>
          <w:rFonts w:ascii="Arial" w:cs="Arial" w:eastAsia="Arial" w:hAnsi="Arial"/>
          <w:sz w:val="17"/>
          <w:szCs w:val="17"/>
          <w:color w:val="auto"/>
        </w:rPr>
        <w:t xml:space="preserve"> the election of the three nominees for directors named in this Proxy Statement, (2) </w:t>
      </w:r>
      <w:r>
        <w:rPr>
          <w:rFonts w:ascii="Arial" w:cs="Arial" w:eastAsia="Arial" w:hAnsi="Arial"/>
          <w:sz w:val="17"/>
          <w:szCs w:val="17"/>
          <w:b w:val="1"/>
          <w:bCs w:val="1"/>
          <w:color w:val="auto"/>
        </w:rPr>
        <w:t>FOR</w:t>
      </w:r>
      <w:r>
        <w:rPr>
          <w:rFonts w:ascii="Arial" w:cs="Arial" w:eastAsia="Arial" w:hAnsi="Arial"/>
          <w:sz w:val="17"/>
          <w:szCs w:val="17"/>
          <w:color w:val="auto"/>
        </w:rPr>
        <w:t xml:space="preserve"> named executive officer compensation, and (3) </w:t>
      </w:r>
      <w:r>
        <w:rPr>
          <w:rFonts w:ascii="Arial" w:cs="Arial" w:eastAsia="Arial" w:hAnsi="Arial"/>
          <w:sz w:val="17"/>
          <w:szCs w:val="17"/>
          <w:b w:val="1"/>
          <w:bCs w:val="1"/>
          <w:color w:val="auto"/>
        </w:rPr>
        <w:t>FOR</w:t>
      </w:r>
      <w:r>
        <w:rPr>
          <w:rFonts w:ascii="Arial" w:cs="Arial" w:eastAsia="Arial" w:hAnsi="Arial"/>
          <w:sz w:val="17"/>
          <w:szCs w:val="17"/>
          <w:color w:val="auto"/>
        </w:rPr>
        <w:t xml:space="preserve"> the ratification of our independent auditors.</w:t>
      </w:r>
    </w:p>
    <w:p>
      <w:pPr>
        <w:spacing w:after="0" w:line="20" w:lineRule="exact"/>
        <w:rPr>
          <w:sz w:val="20"/>
          <w:szCs w:val="20"/>
          <w:color w:val="auto"/>
        </w:rPr>
      </w:pPr>
    </w:p>
    <w:p>
      <w:pPr>
        <w:ind w:left="360" w:right="20"/>
        <w:spacing w:after="0" w:line="245" w:lineRule="auto"/>
        <w:rPr>
          <w:sz w:val="20"/>
          <w:szCs w:val="20"/>
          <w:color w:val="auto"/>
        </w:rPr>
      </w:pPr>
      <w:r>
        <w:rPr>
          <w:rFonts w:ascii="Arial" w:cs="Arial" w:eastAsia="Arial" w:hAnsi="Arial"/>
          <w:sz w:val="17"/>
          <w:szCs w:val="17"/>
          <w:b w:val="1"/>
          <w:bCs w:val="1"/>
          <w:color w:val="auto"/>
        </w:rPr>
        <w:t xml:space="preserve">Your vote is important to us. </w:t>
      </w:r>
      <w:r>
        <w:rPr>
          <w:rFonts w:ascii="Arial" w:cs="Arial" w:eastAsia="Arial" w:hAnsi="Arial"/>
          <w:sz w:val="17"/>
          <w:szCs w:val="17"/>
          <w:color w:val="auto"/>
        </w:rPr>
        <w:t>You may vote via the Internet or by telephone, or if you requested to receive printed proxy materials, by</w:t>
      </w:r>
      <w:r>
        <w:rPr>
          <w:rFonts w:ascii="Arial" w:cs="Arial" w:eastAsia="Arial" w:hAnsi="Arial"/>
          <w:sz w:val="17"/>
          <w:szCs w:val="17"/>
          <w:b w:val="1"/>
          <w:bCs w:val="1"/>
          <w:color w:val="auto"/>
        </w:rPr>
        <w:t xml:space="preserve"> </w:t>
      </w:r>
      <w:r>
        <w:rPr>
          <w:rFonts w:ascii="Arial" w:cs="Arial" w:eastAsia="Arial" w:hAnsi="Arial"/>
          <w:sz w:val="17"/>
          <w:szCs w:val="17"/>
          <w:color w:val="auto"/>
        </w:rPr>
        <w:t>signing, dating and returning your proxy card. If you are voting via the Internet or by telephone, your vote must be received by 11:59 p.m., Eastern Daylight Time, on Wednesday, May 24, 2023. For specific voting instructions, please refer to the information provided in this Proxy Statement, together with your proxy card or the voting instructions you receive by e-mail or that are provided via the Internet. If you received only a Notice of Internet Availability of Proxy Materials (“Notice of Internet Availability”) but you want a paper copy of the proxy materials to vote by mail, the Notice of Internet Availability includes instructions on how to request a paper copy of the proxy materials.</w:t>
      </w:r>
    </w:p>
    <w:p>
      <w:pPr>
        <w:spacing w:after="0" w:line="70" w:lineRule="exact"/>
        <w:rPr>
          <w:sz w:val="20"/>
          <w:szCs w:val="20"/>
          <w:color w:val="auto"/>
        </w:rPr>
      </w:pPr>
    </w:p>
    <w:p>
      <w:pPr>
        <w:ind w:left="360" w:right="200"/>
        <w:spacing w:after="0" w:line="274" w:lineRule="auto"/>
        <w:rPr>
          <w:sz w:val="20"/>
          <w:szCs w:val="20"/>
          <w:color w:val="auto"/>
        </w:rPr>
      </w:pPr>
      <w:r>
        <w:rPr>
          <w:rFonts w:ascii="Arial" w:cs="Arial" w:eastAsia="Arial" w:hAnsi="Arial"/>
          <w:sz w:val="17"/>
          <w:szCs w:val="17"/>
          <w:color w:val="auto"/>
        </w:rPr>
        <w:t>Whether or not you plan to attend the Annual Meeting online, we encourage you to promptly vote and submit your proxy via the Internet, by telephone or mail in advance of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231775</wp:posOffset>
            </wp:positionH>
            <wp:positionV relativeFrom="paragraph">
              <wp:posOffset>128905</wp:posOffset>
            </wp:positionV>
            <wp:extent cx="66878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687820" cy="8255"/>
                    </a:xfrm>
                    <a:prstGeom prst="rect">
                      <a:avLst/>
                    </a:prstGeom>
                    <a:noFill/>
                  </pic:spPr>
                </pic:pic>
              </a:graphicData>
            </a:graphic>
          </wp:anchor>
        </w:drawing>
      </w:r>
    </w:p>
    <w:p>
      <w:pPr>
        <w:spacing w:after="0" w:line="385" w:lineRule="exact"/>
        <w:rPr>
          <w:sz w:val="20"/>
          <w:szCs w:val="20"/>
          <w:color w:val="auto"/>
        </w:rPr>
      </w:pPr>
    </w:p>
    <w:p>
      <w:pPr>
        <w:ind w:left="360"/>
        <w:spacing w:after="0"/>
        <w:rPr>
          <w:sz w:val="20"/>
          <w:szCs w:val="20"/>
          <w:color w:val="auto"/>
        </w:rPr>
      </w:pPr>
      <w:r>
        <w:rPr>
          <w:rFonts w:ascii="Arial" w:cs="Arial" w:eastAsia="Arial" w:hAnsi="Arial"/>
          <w:sz w:val="17"/>
          <w:szCs w:val="17"/>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231775</wp:posOffset>
            </wp:positionH>
            <wp:positionV relativeFrom="paragraph">
              <wp:posOffset>9525</wp:posOffset>
            </wp:positionV>
            <wp:extent cx="1090295" cy="6064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090295" cy="606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auto"/>
        </w:rPr>
        <w:t>Alexander Dimitrief</w:t>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7"/>
          <w:szCs w:val="17"/>
          <w:color w:val="auto"/>
        </w:rPr>
        <w:t>Secretary</w:t>
      </w:r>
    </w:p>
    <w:p>
      <w:pPr>
        <w:spacing w:after="0" w:line="189" w:lineRule="exact"/>
        <w:rPr>
          <w:sz w:val="20"/>
          <w:szCs w:val="20"/>
          <w:color w:val="auto"/>
        </w:rPr>
      </w:pPr>
    </w:p>
    <w:p>
      <w:pPr>
        <w:ind w:left="360"/>
        <w:spacing w:after="0"/>
        <w:rPr>
          <w:sz w:val="20"/>
          <w:szCs w:val="20"/>
          <w:color w:val="auto"/>
        </w:rPr>
      </w:pPr>
      <w:r>
        <w:rPr>
          <w:rFonts w:ascii="Arial" w:cs="Arial" w:eastAsia="Arial" w:hAnsi="Arial"/>
          <w:sz w:val="17"/>
          <w:szCs w:val="17"/>
          <w:color w:val="auto"/>
        </w:rPr>
        <w:t>April 13, 2023</w:t>
      </w:r>
    </w:p>
    <w:p>
      <w:pPr>
        <w:spacing w:after="0" w:line="203" w:lineRule="exact"/>
        <w:rPr>
          <w:sz w:val="20"/>
          <w:szCs w:val="20"/>
          <w:color w:val="auto"/>
        </w:rPr>
      </w:pPr>
    </w:p>
    <w:p>
      <w:pPr>
        <w:ind w:left="780" w:right="520"/>
        <w:spacing w:after="0" w:line="250" w:lineRule="auto"/>
        <w:rPr>
          <w:sz w:val="20"/>
          <w:szCs w:val="20"/>
          <w:color w:val="auto"/>
        </w:rPr>
      </w:pPr>
      <w:r>
        <w:rPr>
          <w:rFonts w:ascii="Arial" w:cs="Arial" w:eastAsia="Arial" w:hAnsi="Arial"/>
          <w:sz w:val="17"/>
          <w:szCs w:val="17"/>
          <w:b w:val="1"/>
          <w:bCs w:val="1"/>
          <w:color w:val="00467D"/>
        </w:rPr>
        <w:t xml:space="preserve">Important Notice Regarding the Availability of Proxy Materials for the Annual Meeting to Be Held on May 25, 2023. </w:t>
      </w:r>
      <w:r>
        <w:rPr>
          <w:rFonts w:ascii="Arial" w:cs="Arial" w:eastAsia="Arial" w:hAnsi="Arial"/>
          <w:sz w:val="17"/>
          <w:szCs w:val="17"/>
          <w:color w:val="000000"/>
        </w:rPr>
        <w:t>Our</w:t>
      </w:r>
      <w:r>
        <w:rPr>
          <w:rFonts w:ascii="Arial" w:cs="Arial" w:eastAsia="Arial" w:hAnsi="Arial"/>
          <w:sz w:val="17"/>
          <w:szCs w:val="17"/>
          <w:b w:val="1"/>
          <w:bCs w:val="1"/>
          <w:color w:val="00467D"/>
        </w:rPr>
        <w:t xml:space="preserve"> </w:t>
      </w:r>
      <w:r>
        <w:rPr>
          <w:rFonts w:ascii="Arial" w:cs="Arial" w:eastAsia="Arial" w:hAnsi="Arial"/>
          <w:sz w:val="17"/>
          <w:szCs w:val="17"/>
          <w:color w:val="000000"/>
        </w:rPr>
        <w:t>Proxy Statement and Annual Report to Shareholders are being made available on or about April 13, 2023 at www.proxyvote.com. We are providing access to our proxy materials over the Internet under the rules adopted by the Securities and Exchange Commission (“SEC”).</w:t>
      </w:r>
    </w:p>
    <w:p>
      <w:pPr>
        <w:sectPr>
          <w:pgSz w:w="11900" w:h="16838" w:orient="portrait"/>
          <w:cols w:equalWidth="0" w:num="1">
            <w:col w:w="10900"/>
          </w:cols>
          <w:pgMar w:left="320" w:top="468" w:right="67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539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9945" cy="53975"/>
                    </a:xfrm>
                    <a:prstGeom prst="rect">
                      <a:avLst/>
                    </a:prstGeom>
                    <a:noFill/>
                  </pic:spPr>
                </pic:pic>
              </a:graphicData>
            </a:graphic>
          </wp:anchor>
        </w:drawing>
        <w:t>Table of Contents</w:t>
      </w:r>
    </w:p>
    <w:p>
      <w:pPr>
        <w:spacing w:after="0" w:line="273" w:lineRule="exact"/>
        <w:rPr>
          <w:sz w:val="20"/>
          <w:szCs w:val="20"/>
          <w:color w:val="auto"/>
        </w:rPr>
      </w:pPr>
    </w:p>
    <w:p>
      <w:pPr>
        <w:ind w:left="360"/>
        <w:spacing w:after="0"/>
        <w:rPr>
          <w:sz w:val="20"/>
          <w:szCs w:val="20"/>
          <w:color w:val="auto"/>
        </w:rPr>
      </w:pPr>
      <w:r>
        <w:rPr>
          <w:rFonts w:ascii="Arial" w:cs="Arial" w:eastAsia="Arial" w:hAnsi="Arial"/>
          <w:sz w:val="41"/>
          <w:szCs w:val="41"/>
          <w:b w:val="1"/>
          <w:bCs w:val="1"/>
          <w:color w:val="00B0DB"/>
        </w:rPr>
        <w:t>TABLE OF CONTENTS</w:t>
      </w:r>
    </w:p>
    <w:p>
      <w:pPr>
        <w:spacing w:after="0" w:line="200" w:lineRule="exact"/>
        <w:rPr>
          <w:sz w:val="20"/>
          <w:szCs w:val="20"/>
          <w:color w:val="auto"/>
        </w:rPr>
      </w:pPr>
    </w:p>
    <w:p>
      <w:pPr>
        <w:spacing w:after="0" w:line="268" w:lineRule="exact"/>
        <w:rPr>
          <w:sz w:val="20"/>
          <w:szCs w:val="20"/>
          <w:color w:val="auto"/>
        </w:rPr>
      </w:pPr>
    </w:p>
    <w:tbl>
      <w:tblPr>
        <w:tblLayout w:type="fixed"/>
        <w:tblInd w:w="360" w:type="dxa"/>
        <w:tblCellMar>
          <w:top w:w="0" w:type="dxa"/>
          <w:left w:w="0" w:type="dxa"/>
          <w:bottom w:w="0" w:type="dxa"/>
          <w:right w:w="0" w:type="dxa"/>
        </w:tblCellMar>
      </w:tblPr>
      <w:tr>
        <w:trPr>
          <w:trHeight w:val="238"/>
        </w:trPr>
        <w:tc>
          <w:tcPr>
            <w:tcW w:w="8620" w:type="dxa"/>
            <w:vAlign w:val="bottom"/>
            <w:gridSpan w:val="28"/>
          </w:tcPr>
          <w:p>
            <w:pPr>
              <w:spacing w:after="0"/>
              <w:rPr>
                <w:sz w:val="20"/>
                <w:szCs w:val="20"/>
                <w:color w:val="auto"/>
              </w:rPr>
            </w:pPr>
            <w:r>
              <w:rPr>
                <w:rFonts w:ascii="Arial" w:cs="Arial" w:eastAsia="Arial" w:hAnsi="Arial"/>
                <w:sz w:val="17"/>
                <w:szCs w:val="17"/>
                <w:b w:val="1"/>
                <w:bCs w:val="1"/>
                <w:color w:val="00B0DB"/>
              </w:rPr>
              <w:t>LETTER FROM THE CHAIRMAN OF THE BOARD</w:t>
            </w:r>
          </w:p>
        </w:tc>
        <w:tc>
          <w:tcPr>
            <w:tcW w:w="1860" w:type="dxa"/>
            <w:vAlign w:val="bottom"/>
          </w:tcPr>
          <w:p>
            <w:pPr>
              <w:spacing w:after="0"/>
              <w:rPr>
                <w:sz w:val="20"/>
                <w:szCs w:val="20"/>
                <w:color w:val="auto"/>
              </w:rPr>
            </w:pPr>
          </w:p>
        </w:tc>
      </w:tr>
      <w:tr>
        <w:trPr>
          <w:trHeight w:val="349"/>
        </w:trPr>
        <w:tc>
          <w:tcPr>
            <w:tcW w:w="4320" w:type="dxa"/>
            <w:vAlign w:val="bottom"/>
            <w:tcBorders>
              <w:bottom w:val="single" w:sz="8" w:color="0000EE"/>
            </w:tcBorders>
            <w:gridSpan w:val="26"/>
          </w:tcPr>
          <w:p>
            <w:pPr>
              <w:spacing w:after="0"/>
              <w:rPr>
                <w:sz w:val="20"/>
                <w:szCs w:val="20"/>
                <w:color w:val="auto"/>
              </w:rPr>
            </w:pPr>
            <w:r>
              <w:rPr>
                <w:rFonts w:ascii="Arial" w:cs="Arial" w:eastAsia="Arial" w:hAnsi="Arial"/>
                <w:sz w:val="17"/>
                <w:szCs w:val="17"/>
                <w:b w:val="1"/>
                <w:bCs w:val="1"/>
                <w:color w:val="0000EE"/>
              </w:rPr>
              <w:t>NOTICE OF ANNUAL MEETING OF SHAREHOLDERS</w:t>
            </w:r>
          </w:p>
        </w:tc>
        <w:tc>
          <w:tcPr>
            <w:tcW w:w="4300" w:type="dxa"/>
            <w:vAlign w:val="bottom"/>
            <w:gridSpan w:val="2"/>
          </w:tcPr>
          <w:p>
            <w:pPr>
              <w:spacing w:after="0"/>
              <w:rPr>
                <w:sz w:val="24"/>
                <w:szCs w:val="24"/>
                <w:color w:val="auto"/>
              </w:rPr>
            </w:pPr>
          </w:p>
        </w:tc>
        <w:tc>
          <w:tcPr>
            <w:tcW w:w="1860" w:type="dxa"/>
            <w:vAlign w:val="bottom"/>
          </w:tcPr>
          <w:p>
            <w:pPr>
              <w:spacing w:after="0"/>
              <w:rPr>
                <w:sz w:val="24"/>
                <w:szCs w:val="24"/>
                <w:color w:val="auto"/>
              </w:rPr>
            </w:pPr>
          </w:p>
        </w:tc>
      </w:tr>
      <w:tr>
        <w:trPr>
          <w:trHeight w:val="380"/>
        </w:trPr>
        <w:tc>
          <w:tcPr>
            <w:tcW w:w="8620" w:type="dxa"/>
            <w:vAlign w:val="bottom"/>
            <w:gridSpan w:val="28"/>
          </w:tcPr>
          <w:p>
            <w:pPr>
              <w:spacing w:after="0"/>
              <w:rPr>
                <w:sz w:val="20"/>
                <w:szCs w:val="20"/>
                <w:color w:val="auto"/>
              </w:rPr>
            </w:pPr>
            <w:r>
              <w:rPr>
                <w:rFonts w:ascii="Arial" w:cs="Arial" w:eastAsia="Arial" w:hAnsi="Arial"/>
                <w:sz w:val="17"/>
                <w:szCs w:val="17"/>
                <w:b w:val="1"/>
                <w:bCs w:val="1"/>
                <w:color w:val="0000EE"/>
              </w:rPr>
              <w:t>PROXY STATEMENT SUMMARY</w:t>
            </w:r>
          </w:p>
        </w:tc>
        <w:tc>
          <w:tcPr>
            <w:tcW w:w="1860" w:type="dxa"/>
            <w:vAlign w:val="bottom"/>
          </w:tcPr>
          <w:p>
            <w:pPr>
              <w:jc w:val="right"/>
              <w:spacing w:after="0"/>
              <w:rPr>
                <w:sz w:val="20"/>
                <w:szCs w:val="20"/>
                <w:color w:val="auto"/>
              </w:rPr>
            </w:pPr>
            <w:r>
              <w:rPr>
                <w:rFonts w:ascii="Arial" w:cs="Arial" w:eastAsia="Arial" w:hAnsi="Arial"/>
                <w:sz w:val="17"/>
                <w:szCs w:val="17"/>
                <w:color w:val="auto"/>
              </w:rPr>
              <w:t>1</w:t>
            </w:r>
          </w:p>
        </w:tc>
      </w:tr>
      <w:tr>
        <w:trPr>
          <w:trHeight w:val="380"/>
        </w:trPr>
        <w:tc>
          <w:tcPr>
            <w:tcW w:w="2580" w:type="dxa"/>
            <w:vAlign w:val="bottom"/>
            <w:tcBorders>
              <w:top w:val="single" w:sz="8" w:color="0000EE"/>
              <w:bottom w:val="single" w:sz="8" w:color="0000EE"/>
            </w:tcBorders>
            <w:gridSpan w:val="9"/>
          </w:tcPr>
          <w:p>
            <w:pPr>
              <w:spacing w:after="0"/>
              <w:rPr>
                <w:sz w:val="20"/>
                <w:szCs w:val="20"/>
                <w:color w:val="auto"/>
              </w:rPr>
            </w:pPr>
            <w:r>
              <w:rPr>
                <w:rFonts w:ascii="Arial" w:cs="Arial" w:eastAsia="Arial" w:hAnsi="Arial"/>
                <w:sz w:val="17"/>
                <w:szCs w:val="17"/>
                <w:b w:val="1"/>
                <w:bCs w:val="1"/>
                <w:color w:val="0000EE"/>
              </w:rPr>
              <w:t>CORPORATE RESPONSIBILITY</w:t>
            </w:r>
          </w:p>
        </w:tc>
        <w:tc>
          <w:tcPr>
            <w:tcW w:w="20" w:type="dxa"/>
            <w:vAlign w:val="bottom"/>
            <w:tcBorders>
              <w:top w:val="single" w:sz="8" w:color="0000EE"/>
            </w:tcBorders>
          </w:tcPr>
          <w:p>
            <w:pPr>
              <w:spacing w:after="0"/>
              <w:rPr>
                <w:sz w:val="24"/>
                <w:szCs w:val="24"/>
                <w:color w:val="auto"/>
              </w:rPr>
            </w:pPr>
          </w:p>
        </w:tc>
        <w:tc>
          <w:tcPr>
            <w:tcW w:w="6020" w:type="dxa"/>
            <w:vAlign w:val="bottom"/>
            <w:gridSpan w:val="18"/>
          </w:tcPr>
          <w:p>
            <w:pPr>
              <w:spacing w:after="0"/>
              <w:rPr>
                <w:sz w:val="24"/>
                <w:szCs w:val="24"/>
                <w:color w:val="auto"/>
              </w:rPr>
            </w:pPr>
          </w:p>
        </w:tc>
        <w:tc>
          <w:tcPr>
            <w:tcW w:w="1860" w:type="dxa"/>
            <w:vAlign w:val="bottom"/>
          </w:tcPr>
          <w:p>
            <w:pPr>
              <w:jc w:val="right"/>
              <w:spacing w:after="0"/>
              <w:rPr>
                <w:sz w:val="20"/>
                <w:szCs w:val="20"/>
                <w:color w:val="auto"/>
              </w:rPr>
            </w:pPr>
            <w:r>
              <w:rPr>
                <w:rFonts w:ascii="Arial" w:cs="Arial" w:eastAsia="Arial" w:hAnsi="Arial"/>
                <w:sz w:val="17"/>
                <w:szCs w:val="17"/>
                <w:color w:val="auto"/>
              </w:rPr>
              <w:t>3</w:t>
            </w:r>
          </w:p>
        </w:tc>
      </w:tr>
      <w:tr>
        <w:trPr>
          <w:trHeight w:val="380"/>
        </w:trPr>
        <w:tc>
          <w:tcPr>
            <w:tcW w:w="3280" w:type="dxa"/>
            <w:vAlign w:val="bottom"/>
            <w:tcBorders>
              <w:bottom w:val="single" w:sz="8" w:color="0000EE"/>
            </w:tcBorders>
            <w:gridSpan w:val="17"/>
          </w:tcPr>
          <w:p>
            <w:pPr>
              <w:spacing w:after="0"/>
              <w:rPr>
                <w:sz w:val="20"/>
                <w:szCs w:val="20"/>
                <w:color w:val="auto"/>
              </w:rPr>
            </w:pPr>
            <w:r>
              <w:rPr>
                <w:rFonts w:ascii="Arial" w:cs="Arial" w:eastAsia="Arial" w:hAnsi="Arial"/>
                <w:sz w:val="17"/>
                <w:szCs w:val="17"/>
                <w:b w:val="1"/>
                <w:bCs w:val="1"/>
                <w:color w:val="0000EE"/>
              </w:rPr>
              <w:t>SHAREHOLDER ENGAGEMENT IN 2022</w:t>
            </w:r>
          </w:p>
        </w:tc>
        <w:tc>
          <w:tcPr>
            <w:tcW w:w="5340" w:type="dxa"/>
            <w:vAlign w:val="bottom"/>
            <w:gridSpan w:val="11"/>
          </w:tcPr>
          <w:p>
            <w:pPr>
              <w:spacing w:after="0"/>
              <w:rPr>
                <w:sz w:val="24"/>
                <w:szCs w:val="24"/>
                <w:color w:val="auto"/>
              </w:rPr>
            </w:pPr>
          </w:p>
        </w:tc>
        <w:tc>
          <w:tcPr>
            <w:tcW w:w="1860" w:type="dxa"/>
            <w:vAlign w:val="bottom"/>
          </w:tcPr>
          <w:p>
            <w:pPr>
              <w:jc w:val="right"/>
              <w:spacing w:after="0"/>
              <w:rPr>
                <w:sz w:val="20"/>
                <w:szCs w:val="20"/>
                <w:color w:val="auto"/>
              </w:rPr>
            </w:pPr>
            <w:r>
              <w:rPr>
                <w:rFonts w:ascii="Arial" w:cs="Arial" w:eastAsia="Arial" w:hAnsi="Arial"/>
                <w:sz w:val="17"/>
                <w:szCs w:val="17"/>
                <w:color w:val="auto"/>
              </w:rPr>
              <w:t>5</w:t>
            </w:r>
          </w:p>
        </w:tc>
      </w:tr>
      <w:tr>
        <w:trPr>
          <w:trHeight w:val="380"/>
        </w:trPr>
        <w:tc>
          <w:tcPr>
            <w:tcW w:w="6960" w:type="dxa"/>
            <w:vAlign w:val="bottom"/>
            <w:tcBorders>
              <w:bottom w:val="single" w:sz="8" w:color="0000EE"/>
            </w:tcBorders>
            <w:gridSpan w:val="27"/>
          </w:tcPr>
          <w:p>
            <w:pPr>
              <w:spacing w:after="0"/>
              <w:rPr>
                <w:sz w:val="20"/>
                <w:szCs w:val="20"/>
                <w:color w:val="auto"/>
              </w:rPr>
            </w:pPr>
            <w:r>
              <w:rPr>
                <w:rFonts w:ascii="Arial" w:cs="Arial" w:eastAsia="Arial" w:hAnsi="Arial"/>
                <w:sz w:val="17"/>
                <w:szCs w:val="17"/>
                <w:b w:val="1"/>
                <w:bCs w:val="1"/>
                <w:color w:val="0000EE"/>
              </w:rPr>
              <w:t>BOARD COMPOSITION, NOMINATIONS PROCESS AND DIRECTOR QUALIFICATIONS</w:t>
            </w:r>
          </w:p>
        </w:tc>
        <w:tc>
          <w:tcPr>
            <w:tcW w:w="1660" w:type="dxa"/>
            <w:vAlign w:val="bottom"/>
          </w:tcPr>
          <w:p>
            <w:pPr>
              <w:spacing w:after="0"/>
              <w:rPr>
                <w:sz w:val="24"/>
                <w:szCs w:val="24"/>
                <w:color w:val="auto"/>
              </w:rPr>
            </w:pPr>
          </w:p>
        </w:tc>
        <w:tc>
          <w:tcPr>
            <w:tcW w:w="1860" w:type="dxa"/>
            <w:vAlign w:val="bottom"/>
          </w:tcPr>
          <w:p>
            <w:pPr>
              <w:jc w:val="right"/>
              <w:spacing w:after="0"/>
              <w:rPr>
                <w:sz w:val="20"/>
                <w:szCs w:val="20"/>
                <w:color w:val="auto"/>
              </w:rPr>
            </w:pPr>
            <w:r>
              <w:rPr>
                <w:rFonts w:ascii="Arial" w:cs="Arial" w:eastAsia="Arial" w:hAnsi="Arial"/>
                <w:sz w:val="17"/>
                <w:szCs w:val="17"/>
                <w:color w:val="auto"/>
              </w:rPr>
              <w:t>6</w:t>
            </w:r>
          </w:p>
        </w:tc>
      </w:tr>
      <w:tr>
        <w:trPr>
          <w:trHeight w:val="238"/>
        </w:trPr>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80" w:type="dxa"/>
            <w:vAlign w:val="bottom"/>
            <w:gridSpan w:val="26"/>
          </w:tcPr>
          <w:p>
            <w:pPr>
              <w:spacing w:after="0"/>
              <w:rPr>
                <w:sz w:val="20"/>
                <w:szCs w:val="20"/>
                <w:color w:val="auto"/>
              </w:rPr>
            </w:pPr>
            <w:r>
              <w:rPr>
                <w:rFonts w:ascii="Arial" w:cs="Arial" w:eastAsia="Arial" w:hAnsi="Arial"/>
                <w:sz w:val="17"/>
                <w:szCs w:val="17"/>
                <w:color w:val="0000EE"/>
              </w:rPr>
              <w:t>Board Composition</w:t>
            </w:r>
          </w:p>
        </w:tc>
        <w:tc>
          <w:tcPr>
            <w:tcW w:w="1860" w:type="dxa"/>
            <w:vAlign w:val="bottom"/>
          </w:tcPr>
          <w:p>
            <w:pPr>
              <w:jc w:val="right"/>
              <w:spacing w:after="0"/>
              <w:rPr>
                <w:sz w:val="20"/>
                <w:szCs w:val="20"/>
                <w:color w:val="auto"/>
              </w:rPr>
            </w:pPr>
            <w:r>
              <w:rPr>
                <w:rFonts w:ascii="Arial" w:cs="Arial" w:eastAsia="Arial" w:hAnsi="Arial"/>
                <w:sz w:val="17"/>
                <w:szCs w:val="17"/>
                <w:color w:val="auto"/>
              </w:rPr>
              <w:t>6</w:t>
            </w:r>
          </w:p>
        </w:tc>
      </w:tr>
      <w:tr>
        <w:trPr>
          <w:trHeight w:val="20"/>
        </w:trPr>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40" w:type="dxa"/>
            <w:vAlign w:val="bottom"/>
            <w:gridSpan w:val="3"/>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r>
        <w:trPr>
          <w:trHeight w:val="238"/>
        </w:trPr>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980" w:type="dxa"/>
            <w:vAlign w:val="bottom"/>
            <w:tcBorders>
              <w:bottom w:val="single" w:sz="8" w:color="0000EE"/>
            </w:tcBorders>
            <w:gridSpan w:val="17"/>
          </w:tcPr>
          <w:p>
            <w:pPr>
              <w:spacing w:after="0"/>
              <w:rPr>
                <w:sz w:val="20"/>
                <w:szCs w:val="20"/>
                <w:color w:val="auto"/>
              </w:rPr>
            </w:pPr>
            <w:r>
              <w:rPr>
                <w:rFonts w:ascii="Arial" w:cs="Arial" w:eastAsia="Arial" w:hAnsi="Arial"/>
                <w:sz w:val="17"/>
                <w:szCs w:val="17"/>
                <w:color w:val="0000EE"/>
              </w:rPr>
              <w:t>Board Skills, Experience and Attributes</w:t>
            </w:r>
          </w:p>
        </w:tc>
        <w:tc>
          <w:tcPr>
            <w:tcW w:w="5300" w:type="dxa"/>
            <w:vAlign w:val="bottom"/>
            <w:gridSpan w:val="9"/>
          </w:tcPr>
          <w:p>
            <w:pPr>
              <w:spacing w:after="0"/>
              <w:rPr>
                <w:sz w:val="20"/>
                <w:szCs w:val="20"/>
                <w:color w:val="auto"/>
              </w:rPr>
            </w:pPr>
          </w:p>
        </w:tc>
        <w:tc>
          <w:tcPr>
            <w:tcW w:w="1860" w:type="dxa"/>
            <w:vAlign w:val="bottom"/>
          </w:tcPr>
          <w:p>
            <w:pPr>
              <w:jc w:val="right"/>
              <w:spacing w:after="0"/>
              <w:rPr>
                <w:sz w:val="20"/>
                <w:szCs w:val="20"/>
                <w:color w:val="auto"/>
              </w:rPr>
            </w:pPr>
            <w:r>
              <w:rPr>
                <w:rFonts w:ascii="Arial" w:cs="Arial" w:eastAsia="Arial" w:hAnsi="Arial"/>
                <w:sz w:val="17"/>
                <w:szCs w:val="17"/>
                <w:color w:val="auto"/>
              </w:rPr>
              <w:t>7</w:t>
            </w:r>
          </w:p>
        </w:tc>
      </w:tr>
      <w:tr>
        <w:trPr>
          <w:trHeight w:val="238"/>
        </w:trPr>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80" w:type="dxa"/>
            <w:vAlign w:val="bottom"/>
            <w:gridSpan w:val="26"/>
          </w:tcPr>
          <w:p>
            <w:pPr>
              <w:spacing w:after="0"/>
              <w:rPr>
                <w:sz w:val="20"/>
                <w:szCs w:val="20"/>
                <w:color w:val="auto"/>
              </w:rPr>
            </w:pPr>
            <w:r>
              <w:rPr>
                <w:rFonts w:ascii="Arial" w:cs="Arial" w:eastAsia="Arial" w:hAnsi="Arial"/>
                <w:sz w:val="17"/>
                <w:szCs w:val="17"/>
                <w:color w:val="0000EE"/>
              </w:rPr>
              <w:t>Board Diversity</w:t>
            </w:r>
          </w:p>
        </w:tc>
        <w:tc>
          <w:tcPr>
            <w:tcW w:w="1860" w:type="dxa"/>
            <w:vAlign w:val="bottom"/>
          </w:tcPr>
          <w:p>
            <w:pPr>
              <w:jc w:val="right"/>
              <w:spacing w:after="0"/>
              <w:rPr>
                <w:sz w:val="20"/>
                <w:szCs w:val="20"/>
                <w:color w:val="auto"/>
              </w:rPr>
            </w:pPr>
            <w:r>
              <w:rPr>
                <w:rFonts w:ascii="Arial" w:cs="Arial" w:eastAsia="Arial" w:hAnsi="Arial"/>
                <w:sz w:val="17"/>
                <w:szCs w:val="17"/>
                <w:color w:val="auto"/>
              </w:rPr>
              <w:t>8</w:t>
            </w:r>
          </w:p>
        </w:tc>
      </w:tr>
      <w:tr>
        <w:trPr>
          <w:trHeight w:val="20"/>
        </w:trPr>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40" w:type="dxa"/>
            <w:vAlign w:val="bottom"/>
            <w:gridSpan w:val="3"/>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r>
        <w:trPr>
          <w:trHeight w:val="238"/>
        </w:trPr>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80" w:type="dxa"/>
            <w:vAlign w:val="bottom"/>
            <w:gridSpan w:val="26"/>
          </w:tcPr>
          <w:p>
            <w:pPr>
              <w:spacing w:after="0"/>
              <w:rPr>
                <w:sz w:val="20"/>
                <w:szCs w:val="20"/>
                <w:color w:val="auto"/>
              </w:rPr>
            </w:pPr>
            <w:r>
              <w:rPr>
                <w:rFonts w:ascii="Arial" w:cs="Arial" w:eastAsia="Arial" w:hAnsi="Arial"/>
                <w:sz w:val="17"/>
                <w:szCs w:val="17"/>
                <w:color w:val="0000EE"/>
              </w:rPr>
              <w:t>Director Nominee Criteria and Process</w:t>
            </w:r>
          </w:p>
        </w:tc>
        <w:tc>
          <w:tcPr>
            <w:tcW w:w="1860" w:type="dxa"/>
            <w:vAlign w:val="bottom"/>
          </w:tcPr>
          <w:p>
            <w:pPr>
              <w:jc w:val="right"/>
              <w:spacing w:after="0"/>
              <w:rPr>
                <w:sz w:val="20"/>
                <w:szCs w:val="20"/>
                <w:color w:val="auto"/>
              </w:rPr>
            </w:pPr>
            <w:r>
              <w:rPr>
                <w:rFonts w:ascii="Arial" w:cs="Arial" w:eastAsia="Arial" w:hAnsi="Arial"/>
                <w:sz w:val="17"/>
                <w:szCs w:val="17"/>
                <w:color w:val="auto"/>
              </w:rPr>
              <w:t>9</w:t>
            </w:r>
          </w:p>
        </w:tc>
      </w:tr>
      <w:tr>
        <w:trPr>
          <w:trHeight w:val="238"/>
        </w:trPr>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920" w:type="dxa"/>
            <w:vAlign w:val="bottom"/>
            <w:tcBorders>
              <w:top w:val="single" w:sz="8" w:color="0000EE"/>
              <w:bottom w:val="single" w:sz="8" w:color="0000EE"/>
            </w:tcBorders>
            <w:gridSpan w:val="14"/>
          </w:tcPr>
          <w:p>
            <w:pPr>
              <w:spacing w:after="0"/>
              <w:rPr>
                <w:sz w:val="20"/>
                <w:szCs w:val="20"/>
                <w:color w:val="auto"/>
              </w:rPr>
            </w:pPr>
            <w:r>
              <w:rPr>
                <w:rFonts w:ascii="Arial" w:cs="Arial" w:eastAsia="Arial" w:hAnsi="Arial"/>
                <w:sz w:val="17"/>
                <w:szCs w:val="17"/>
                <w:color w:val="0000EE"/>
              </w:rPr>
              <w:t>Stockholder Nominations for Directors</w:t>
            </w:r>
          </w:p>
        </w:tc>
        <w:tc>
          <w:tcPr>
            <w:tcW w:w="20" w:type="dxa"/>
            <w:vAlign w:val="bottom"/>
            <w:tcBorders>
              <w:top w:val="single" w:sz="8" w:color="0000EE"/>
            </w:tcBorders>
          </w:tcPr>
          <w:p>
            <w:pPr>
              <w:spacing w:after="0"/>
              <w:rPr>
                <w:sz w:val="20"/>
                <w:szCs w:val="20"/>
                <w:color w:val="auto"/>
              </w:rPr>
            </w:pPr>
          </w:p>
        </w:tc>
        <w:tc>
          <w:tcPr>
            <w:tcW w:w="5340" w:type="dxa"/>
            <w:vAlign w:val="bottom"/>
            <w:gridSpan w:val="11"/>
          </w:tcPr>
          <w:p>
            <w:pPr>
              <w:spacing w:after="0"/>
              <w:rPr>
                <w:sz w:val="20"/>
                <w:szCs w:val="20"/>
                <w:color w:val="auto"/>
              </w:rPr>
            </w:pPr>
          </w:p>
        </w:tc>
        <w:tc>
          <w:tcPr>
            <w:tcW w:w="1860" w:type="dxa"/>
            <w:vAlign w:val="bottom"/>
          </w:tcPr>
          <w:p>
            <w:pPr>
              <w:jc w:val="right"/>
              <w:spacing w:after="0"/>
              <w:rPr>
                <w:sz w:val="20"/>
                <w:szCs w:val="20"/>
                <w:color w:val="auto"/>
              </w:rPr>
            </w:pPr>
            <w:r>
              <w:rPr>
                <w:rFonts w:ascii="Arial" w:cs="Arial" w:eastAsia="Arial" w:hAnsi="Arial"/>
                <w:sz w:val="17"/>
                <w:szCs w:val="17"/>
                <w:color w:val="auto"/>
              </w:rPr>
              <w:t>10</w:t>
            </w:r>
          </w:p>
        </w:tc>
      </w:tr>
      <w:tr>
        <w:trPr>
          <w:trHeight w:val="445"/>
        </w:trPr>
        <w:tc>
          <w:tcPr>
            <w:tcW w:w="8620" w:type="dxa"/>
            <w:vAlign w:val="bottom"/>
            <w:gridSpan w:val="28"/>
          </w:tcPr>
          <w:p>
            <w:pPr>
              <w:spacing w:after="0"/>
              <w:rPr>
                <w:sz w:val="20"/>
                <w:szCs w:val="20"/>
                <w:color w:val="auto"/>
              </w:rPr>
            </w:pPr>
            <w:r>
              <w:rPr>
                <w:rFonts w:ascii="Arial" w:cs="Arial" w:eastAsia="Arial" w:hAnsi="Arial"/>
                <w:sz w:val="17"/>
                <w:szCs w:val="17"/>
                <w:b w:val="1"/>
                <w:bCs w:val="1"/>
                <w:color w:val="0000EE"/>
              </w:rPr>
              <w:t>PROPOSAL 1: ELECTION OF DIRECTORS</w:t>
            </w:r>
          </w:p>
        </w:tc>
        <w:tc>
          <w:tcPr>
            <w:tcW w:w="1860" w:type="dxa"/>
            <w:vAlign w:val="bottom"/>
          </w:tcPr>
          <w:p>
            <w:pPr>
              <w:jc w:val="right"/>
              <w:spacing w:after="0"/>
              <w:rPr>
                <w:sz w:val="20"/>
                <w:szCs w:val="20"/>
                <w:color w:val="auto"/>
              </w:rPr>
            </w:pPr>
            <w:r>
              <w:rPr>
                <w:rFonts w:ascii="Arial" w:cs="Arial" w:eastAsia="Arial" w:hAnsi="Arial"/>
                <w:sz w:val="17"/>
                <w:szCs w:val="17"/>
                <w:color w:val="auto"/>
              </w:rPr>
              <w:t>11</w:t>
            </w:r>
          </w:p>
        </w:tc>
      </w:tr>
      <w:tr>
        <w:trPr>
          <w:trHeight w:val="20"/>
        </w:trPr>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40" w:type="dxa"/>
            <w:vAlign w:val="bottom"/>
            <w:gridSpan w:val="2"/>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gridSpan w:val="3"/>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40" w:type="dxa"/>
            <w:vAlign w:val="bottom"/>
            <w:gridSpan w:val="3"/>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r>
        <w:trPr>
          <w:trHeight w:val="238"/>
        </w:trPr>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320" w:type="dxa"/>
            <w:vAlign w:val="bottom"/>
            <w:tcBorders>
              <w:bottom w:val="single" w:sz="8" w:color="0000EE"/>
            </w:tcBorders>
            <w:gridSpan w:val="19"/>
          </w:tcPr>
          <w:p>
            <w:pPr>
              <w:spacing w:after="0"/>
              <w:rPr>
                <w:sz w:val="20"/>
                <w:szCs w:val="20"/>
                <w:color w:val="auto"/>
              </w:rPr>
            </w:pPr>
            <w:r>
              <w:rPr>
                <w:rFonts w:ascii="Arial" w:cs="Arial" w:eastAsia="Arial" w:hAnsi="Arial"/>
                <w:sz w:val="17"/>
                <w:szCs w:val="17"/>
                <w:color w:val="0000EE"/>
              </w:rPr>
              <w:t>Nominees for Election as Class III Directors</w:t>
            </w:r>
          </w:p>
        </w:tc>
        <w:tc>
          <w:tcPr>
            <w:tcW w:w="4960" w:type="dxa"/>
            <w:vAlign w:val="bottom"/>
            <w:gridSpan w:val="7"/>
          </w:tcPr>
          <w:p>
            <w:pPr>
              <w:spacing w:after="0"/>
              <w:rPr>
                <w:sz w:val="20"/>
                <w:szCs w:val="20"/>
                <w:color w:val="auto"/>
              </w:rPr>
            </w:pPr>
          </w:p>
        </w:tc>
        <w:tc>
          <w:tcPr>
            <w:tcW w:w="1860" w:type="dxa"/>
            <w:vAlign w:val="bottom"/>
          </w:tcPr>
          <w:p>
            <w:pPr>
              <w:jc w:val="right"/>
              <w:spacing w:after="0"/>
              <w:rPr>
                <w:sz w:val="20"/>
                <w:szCs w:val="20"/>
                <w:color w:val="auto"/>
              </w:rPr>
            </w:pPr>
            <w:r>
              <w:rPr>
                <w:rFonts w:ascii="Arial" w:cs="Arial" w:eastAsia="Arial" w:hAnsi="Arial"/>
                <w:sz w:val="17"/>
                <w:szCs w:val="17"/>
                <w:color w:val="auto"/>
              </w:rPr>
              <w:t>11</w:t>
            </w:r>
          </w:p>
        </w:tc>
      </w:tr>
      <w:tr>
        <w:trPr>
          <w:trHeight w:val="238"/>
        </w:trPr>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40" w:type="dxa"/>
            <w:vAlign w:val="bottom"/>
            <w:tcBorders>
              <w:bottom w:val="single" w:sz="8" w:color="0000EE"/>
            </w:tcBorders>
            <w:gridSpan w:val="7"/>
          </w:tcPr>
          <w:p>
            <w:pPr>
              <w:spacing w:after="0"/>
              <w:rPr>
                <w:sz w:val="20"/>
                <w:szCs w:val="20"/>
                <w:color w:val="auto"/>
              </w:rPr>
            </w:pPr>
            <w:r>
              <w:rPr>
                <w:rFonts w:ascii="Arial" w:cs="Arial" w:eastAsia="Arial" w:hAnsi="Arial"/>
                <w:sz w:val="17"/>
                <w:szCs w:val="17"/>
                <w:color w:val="0000EE"/>
              </w:rPr>
              <w:t>Directors Continuing in Office</w:t>
            </w:r>
          </w:p>
        </w:tc>
        <w:tc>
          <w:tcPr>
            <w:tcW w:w="6040" w:type="dxa"/>
            <w:vAlign w:val="bottom"/>
            <w:gridSpan w:val="19"/>
          </w:tcPr>
          <w:p>
            <w:pPr>
              <w:spacing w:after="0"/>
              <w:rPr>
                <w:sz w:val="20"/>
                <w:szCs w:val="20"/>
                <w:color w:val="auto"/>
              </w:rPr>
            </w:pPr>
          </w:p>
        </w:tc>
        <w:tc>
          <w:tcPr>
            <w:tcW w:w="1860" w:type="dxa"/>
            <w:vAlign w:val="bottom"/>
          </w:tcPr>
          <w:p>
            <w:pPr>
              <w:jc w:val="right"/>
              <w:spacing w:after="0"/>
              <w:rPr>
                <w:sz w:val="20"/>
                <w:szCs w:val="20"/>
                <w:color w:val="auto"/>
              </w:rPr>
            </w:pPr>
            <w:r>
              <w:rPr>
                <w:rFonts w:ascii="Arial" w:cs="Arial" w:eastAsia="Arial" w:hAnsi="Arial"/>
                <w:sz w:val="17"/>
                <w:szCs w:val="17"/>
                <w:color w:val="auto"/>
              </w:rPr>
              <w:t>13</w:t>
            </w:r>
          </w:p>
        </w:tc>
      </w:tr>
      <w:tr>
        <w:trPr>
          <w:trHeight w:val="445"/>
        </w:trPr>
        <w:tc>
          <w:tcPr>
            <w:tcW w:w="8620" w:type="dxa"/>
            <w:vAlign w:val="bottom"/>
            <w:gridSpan w:val="28"/>
          </w:tcPr>
          <w:p>
            <w:pPr>
              <w:spacing w:after="0"/>
              <w:rPr>
                <w:sz w:val="20"/>
                <w:szCs w:val="20"/>
                <w:color w:val="auto"/>
              </w:rPr>
            </w:pPr>
            <w:r>
              <w:rPr>
                <w:rFonts w:ascii="Arial" w:cs="Arial" w:eastAsia="Arial" w:hAnsi="Arial"/>
                <w:sz w:val="17"/>
                <w:szCs w:val="17"/>
                <w:b w:val="1"/>
                <w:bCs w:val="1"/>
                <w:color w:val="0000EE"/>
              </w:rPr>
              <w:t>CORPORATE GOVERNANCE</w:t>
            </w:r>
          </w:p>
        </w:tc>
        <w:tc>
          <w:tcPr>
            <w:tcW w:w="1860" w:type="dxa"/>
            <w:vAlign w:val="bottom"/>
          </w:tcPr>
          <w:p>
            <w:pPr>
              <w:jc w:val="right"/>
              <w:spacing w:after="0"/>
              <w:rPr>
                <w:sz w:val="20"/>
                <w:szCs w:val="20"/>
                <w:color w:val="auto"/>
              </w:rPr>
            </w:pPr>
            <w:r>
              <w:rPr>
                <w:rFonts w:ascii="Arial" w:cs="Arial" w:eastAsia="Arial" w:hAnsi="Arial"/>
                <w:sz w:val="17"/>
                <w:szCs w:val="17"/>
                <w:color w:val="auto"/>
              </w:rPr>
              <w:t>16</w:t>
            </w:r>
          </w:p>
        </w:tc>
      </w:tr>
      <w:tr>
        <w:trPr>
          <w:trHeight w:val="20"/>
        </w:trPr>
        <w:tc>
          <w:tcPr>
            <w:tcW w:w="180" w:type="dxa"/>
            <w:vAlign w:val="bottom"/>
            <w:shd w:val="clear" w:color="auto" w:fill="0000EE"/>
          </w:tcPr>
          <w:p>
            <w:pPr>
              <w:spacing w:after="0" w:line="20" w:lineRule="exact"/>
              <w:rPr>
                <w:sz w:val="1"/>
                <w:szCs w:val="1"/>
                <w:color w:val="auto"/>
              </w:rPr>
            </w:pPr>
          </w:p>
        </w:tc>
        <w:tc>
          <w:tcPr>
            <w:tcW w:w="1600" w:type="dxa"/>
            <w:vAlign w:val="bottom"/>
            <w:gridSpan w:val="3"/>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40" w:type="dxa"/>
            <w:vAlign w:val="bottom"/>
            <w:gridSpan w:val="3"/>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r>
        <w:trPr>
          <w:trHeight w:val="238"/>
        </w:trPr>
        <w:tc>
          <w:tcPr>
            <w:tcW w:w="180" w:type="dxa"/>
            <w:vAlign w:val="bottom"/>
          </w:tcPr>
          <w:p>
            <w:pPr>
              <w:spacing w:after="0"/>
              <w:rPr>
                <w:sz w:val="20"/>
                <w:szCs w:val="20"/>
                <w:color w:val="auto"/>
              </w:rPr>
            </w:pPr>
          </w:p>
        </w:tc>
        <w:tc>
          <w:tcPr>
            <w:tcW w:w="8440" w:type="dxa"/>
            <w:vAlign w:val="bottom"/>
            <w:gridSpan w:val="27"/>
          </w:tcPr>
          <w:p>
            <w:pPr>
              <w:spacing w:after="0"/>
              <w:rPr>
                <w:sz w:val="20"/>
                <w:szCs w:val="20"/>
                <w:color w:val="auto"/>
              </w:rPr>
            </w:pPr>
            <w:r>
              <w:rPr>
                <w:rFonts w:ascii="Arial" w:cs="Arial" w:eastAsia="Arial" w:hAnsi="Arial"/>
                <w:sz w:val="17"/>
                <w:szCs w:val="17"/>
                <w:b w:val="1"/>
                <w:bCs w:val="1"/>
                <w:color w:val="0000EE"/>
              </w:rPr>
              <w:t>Structure and Role of the Board</w:t>
            </w:r>
          </w:p>
        </w:tc>
        <w:tc>
          <w:tcPr>
            <w:tcW w:w="1860" w:type="dxa"/>
            <w:vAlign w:val="bottom"/>
          </w:tcPr>
          <w:p>
            <w:pPr>
              <w:jc w:val="right"/>
              <w:spacing w:after="0"/>
              <w:rPr>
                <w:sz w:val="20"/>
                <w:szCs w:val="20"/>
                <w:color w:val="auto"/>
              </w:rPr>
            </w:pPr>
            <w:r>
              <w:rPr>
                <w:rFonts w:ascii="Arial" w:cs="Arial" w:eastAsia="Arial" w:hAnsi="Arial"/>
                <w:sz w:val="17"/>
                <w:szCs w:val="17"/>
                <w:color w:val="auto"/>
              </w:rPr>
              <w:t>16</w:t>
            </w:r>
          </w:p>
        </w:tc>
      </w:tr>
      <w:tr>
        <w:trPr>
          <w:trHeight w:val="238"/>
        </w:trPr>
        <w:tc>
          <w:tcPr>
            <w:tcW w:w="180" w:type="dxa"/>
            <w:vAlign w:val="bottom"/>
          </w:tcPr>
          <w:p>
            <w:pPr>
              <w:spacing w:after="0"/>
              <w:rPr>
                <w:sz w:val="20"/>
                <w:szCs w:val="20"/>
                <w:color w:val="auto"/>
              </w:rPr>
            </w:pPr>
          </w:p>
        </w:tc>
        <w:tc>
          <w:tcPr>
            <w:tcW w:w="160" w:type="dxa"/>
            <w:vAlign w:val="bottom"/>
            <w:tcBorders>
              <w:top w:val="single" w:sz="8" w:color="0000EE"/>
            </w:tcBorders>
          </w:tcPr>
          <w:p>
            <w:pPr>
              <w:spacing w:after="0"/>
              <w:rPr>
                <w:sz w:val="20"/>
                <w:szCs w:val="20"/>
                <w:color w:val="auto"/>
              </w:rPr>
            </w:pPr>
          </w:p>
        </w:tc>
        <w:tc>
          <w:tcPr>
            <w:tcW w:w="2420" w:type="dxa"/>
            <w:vAlign w:val="bottom"/>
            <w:tcBorders>
              <w:top w:val="single" w:sz="8" w:color="0000EE"/>
            </w:tcBorders>
            <w:gridSpan w:val="9"/>
          </w:tcPr>
          <w:p>
            <w:pPr>
              <w:spacing w:after="0"/>
              <w:rPr>
                <w:sz w:val="20"/>
                <w:szCs w:val="20"/>
                <w:color w:val="auto"/>
              </w:rPr>
            </w:pPr>
            <w:r>
              <w:rPr>
                <w:rFonts w:ascii="Arial" w:cs="Arial" w:eastAsia="Arial" w:hAnsi="Arial"/>
                <w:sz w:val="17"/>
                <w:szCs w:val="17"/>
                <w:color w:val="0000EE"/>
              </w:rPr>
              <w:t>Certain Sponsor Rights</w:t>
            </w:r>
          </w:p>
        </w:tc>
        <w:tc>
          <w:tcPr>
            <w:tcW w:w="5860" w:type="dxa"/>
            <w:vAlign w:val="bottom"/>
            <w:gridSpan w:val="17"/>
          </w:tcPr>
          <w:p>
            <w:pPr>
              <w:spacing w:after="0"/>
              <w:rPr>
                <w:sz w:val="20"/>
                <w:szCs w:val="20"/>
                <w:color w:val="auto"/>
              </w:rPr>
            </w:pPr>
          </w:p>
        </w:tc>
        <w:tc>
          <w:tcPr>
            <w:tcW w:w="1860" w:type="dxa"/>
            <w:vAlign w:val="bottom"/>
          </w:tcPr>
          <w:p>
            <w:pPr>
              <w:jc w:val="right"/>
              <w:spacing w:after="0"/>
              <w:rPr>
                <w:sz w:val="20"/>
                <w:szCs w:val="20"/>
                <w:color w:val="auto"/>
              </w:rPr>
            </w:pPr>
            <w:r>
              <w:rPr>
                <w:rFonts w:ascii="Arial" w:cs="Arial" w:eastAsia="Arial" w:hAnsi="Arial"/>
                <w:sz w:val="17"/>
                <w:szCs w:val="17"/>
                <w:color w:val="auto"/>
              </w:rPr>
              <w:t>16</w:t>
            </w:r>
          </w:p>
        </w:tc>
      </w:tr>
      <w:tr>
        <w:trPr>
          <w:trHeight w:val="238"/>
        </w:trPr>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80" w:type="dxa"/>
            <w:vAlign w:val="bottom"/>
            <w:tcBorders>
              <w:top w:val="single" w:sz="8" w:color="0000EE"/>
            </w:tcBorders>
            <w:gridSpan w:val="4"/>
          </w:tcPr>
          <w:p>
            <w:pPr>
              <w:spacing w:after="0"/>
              <w:rPr>
                <w:sz w:val="20"/>
                <w:szCs w:val="20"/>
                <w:color w:val="auto"/>
              </w:rPr>
            </w:pPr>
            <w:r>
              <w:rPr>
                <w:rFonts w:ascii="Arial" w:cs="Arial" w:eastAsia="Arial" w:hAnsi="Arial"/>
                <w:sz w:val="17"/>
                <w:szCs w:val="17"/>
                <w:color w:val="0000EE"/>
              </w:rPr>
              <w:t>Director Independence</w:t>
            </w:r>
          </w:p>
        </w:tc>
        <w:tc>
          <w:tcPr>
            <w:tcW w:w="6500" w:type="dxa"/>
            <w:vAlign w:val="bottom"/>
            <w:gridSpan w:val="22"/>
          </w:tcPr>
          <w:p>
            <w:pPr>
              <w:spacing w:after="0"/>
              <w:rPr>
                <w:sz w:val="20"/>
                <w:szCs w:val="20"/>
                <w:color w:val="auto"/>
              </w:rPr>
            </w:pPr>
          </w:p>
        </w:tc>
        <w:tc>
          <w:tcPr>
            <w:tcW w:w="1860" w:type="dxa"/>
            <w:vAlign w:val="bottom"/>
          </w:tcPr>
          <w:p>
            <w:pPr>
              <w:jc w:val="right"/>
              <w:spacing w:after="0"/>
              <w:rPr>
                <w:sz w:val="20"/>
                <w:szCs w:val="20"/>
                <w:color w:val="auto"/>
              </w:rPr>
            </w:pPr>
            <w:r>
              <w:rPr>
                <w:rFonts w:ascii="Arial" w:cs="Arial" w:eastAsia="Arial" w:hAnsi="Arial"/>
                <w:sz w:val="17"/>
                <w:szCs w:val="17"/>
                <w:color w:val="auto"/>
              </w:rPr>
              <w:t>17</w:t>
            </w:r>
          </w:p>
        </w:tc>
      </w:tr>
      <w:tr>
        <w:trPr>
          <w:trHeight w:val="20"/>
        </w:trPr>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40" w:type="dxa"/>
            <w:vAlign w:val="bottom"/>
            <w:gridSpan w:val="2"/>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40" w:type="dxa"/>
            <w:vAlign w:val="bottom"/>
            <w:gridSpan w:val="3"/>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r>
        <w:trPr>
          <w:trHeight w:val="238"/>
        </w:trPr>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60" w:type="dxa"/>
            <w:vAlign w:val="bottom"/>
            <w:tcBorders>
              <w:bottom w:val="single" w:sz="8" w:color="0000EE"/>
            </w:tcBorders>
            <w:gridSpan w:val="10"/>
          </w:tcPr>
          <w:p>
            <w:pPr>
              <w:spacing w:after="0"/>
              <w:rPr>
                <w:sz w:val="20"/>
                <w:szCs w:val="20"/>
                <w:color w:val="auto"/>
              </w:rPr>
            </w:pPr>
            <w:r>
              <w:rPr>
                <w:rFonts w:ascii="Arial" w:cs="Arial" w:eastAsia="Arial" w:hAnsi="Arial"/>
                <w:sz w:val="17"/>
                <w:szCs w:val="17"/>
                <w:color w:val="0000EE"/>
              </w:rPr>
              <w:t>Board Structure and Leadership</w:t>
            </w:r>
          </w:p>
        </w:tc>
        <w:tc>
          <w:tcPr>
            <w:tcW w:w="5820" w:type="dxa"/>
            <w:vAlign w:val="bottom"/>
            <w:gridSpan w:val="16"/>
          </w:tcPr>
          <w:p>
            <w:pPr>
              <w:spacing w:after="0"/>
              <w:rPr>
                <w:sz w:val="20"/>
                <w:szCs w:val="20"/>
                <w:color w:val="auto"/>
              </w:rPr>
            </w:pPr>
          </w:p>
        </w:tc>
        <w:tc>
          <w:tcPr>
            <w:tcW w:w="1860" w:type="dxa"/>
            <w:vAlign w:val="bottom"/>
          </w:tcPr>
          <w:p>
            <w:pPr>
              <w:jc w:val="right"/>
              <w:spacing w:after="0"/>
              <w:rPr>
                <w:sz w:val="20"/>
                <w:szCs w:val="20"/>
                <w:color w:val="auto"/>
              </w:rPr>
            </w:pPr>
            <w:r>
              <w:rPr>
                <w:rFonts w:ascii="Arial" w:cs="Arial" w:eastAsia="Arial" w:hAnsi="Arial"/>
                <w:sz w:val="17"/>
                <w:szCs w:val="17"/>
                <w:color w:val="auto"/>
              </w:rPr>
              <w:t>17</w:t>
            </w:r>
          </w:p>
        </w:tc>
      </w:tr>
      <w:tr>
        <w:trPr>
          <w:trHeight w:val="238"/>
        </w:trPr>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20" w:type="dxa"/>
            <w:vAlign w:val="bottom"/>
            <w:tcBorders>
              <w:bottom w:val="single" w:sz="8" w:color="0000EE"/>
            </w:tcBorders>
            <w:gridSpan w:val="6"/>
          </w:tcPr>
          <w:p>
            <w:pPr>
              <w:spacing w:after="0"/>
              <w:rPr>
                <w:sz w:val="20"/>
                <w:szCs w:val="20"/>
                <w:color w:val="auto"/>
              </w:rPr>
            </w:pPr>
            <w:r>
              <w:rPr>
                <w:rFonts w:ascii="Arial" w:cs="Arial" w:eastAsia="Arial" w:hAnsi="Arial"/>
                <w:sz w:val="17"/>
                <w:szCs w:val="17"/>
                <w:color w:val="0000EE"/>
              </w:rPr>
              <w:t>Board Role in Risk Oversight</w:t>
            </w:r>
          </w:p>
        </w:tc>
        <w:tc>
          <w:tcPr>
            <w:tcW w:w="6060" w:type="dxa"/>
            <w:vAlign w:val="bottom"/>
            <w:gridSpan w:val="20"/>
          </w:tcPr>
          <w:p>
            <w:pPr>
              <w:spacing w:after="0"/>
              <w:rPr>
                <w:sz w:val="20"/>
                <w:szCs w:val="20"/>
                <w:color w:val="auto"/>
              </w:rPr>
            </w:pPr>
          </w:p>
        </w:tc>
        <w:tc>
          <w:tcPr>
            <w:tcW w:w="1860" w:type="dxa"/>
            <w:vAlign w:val="bottom"/>
          </w:tcPr>
          <w:p>
            <w:pPr>
              <w:jc w:val="right"/>
              <w:spacing w:after="0"/>
              <w:rPr>
                <w:sz w:val="20"/>
                <w:szCs w:val="20"/>
                <w:color w:val="auto"/>
              </w:rPr>
            </w:pPr>
            <w:r>
              <w:rPr>
                <w:rFonts w:ascii="Arial" w:cs="Arial" w:eastAsia="Arial" w:hAnsi="Arial"/>
                <w:sz w:val="17"/>
                <w:szCs w:val="17"/>
                <w:color w:val="auto"/>
              </w:rPr>
              <w:t>18</w:t>
            </w:r>
          </w:p>
        </w:tc>
      </w:tr>
      <w:tr>
        <w:trPr>
          <w:trHeight w:val="238"/>
        </w:trPr>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80" w:type="dxa"/>
            <w:vAlign w:val="bottom"/>
            <w:gridSpan w:val="26"/>
          </w:tcPr>
          <w:p>
            <w:pPr>
              <w:spacing w:after="0"/>
              <w:rPr>
                <w:sz w:val="20"/>
                <w:szCs w:val="20"/>
                <w:color w:val="auto"/>
              </w:rPr>
            </w:pPr>
            <w:r>
              <w:rPr>
                <w:rFonts w:ascii="Arial" w:cs="Arial" w:eastAsia="Arial" w:hAnsi="Arial"/>
                <w:sz w:val="17"/>
                <w:szCs w:val="17"/>
                <w:color w:val="0000EE"/>
              </w:rPr>
              <w:t>Board Meetings and Attendance</w:t>
            </w:r>
          </w:p>
        </w:tc>
        <w:tc>
          <w:tcPr>
            <w:tcW w:w="1860" w:type="dxa"/>
            <w:vAlign w:val="bottom"/>
          </w:tcPr>
          <w:p>
            <w:pPr>
              <w:jc w:val="right"/>
              <w:spacing w:after="0"/>
              <w:rPr>
                <w:sz w:val="20"/>
                <w:szCs w:val="20"/>
                <w:color w:val="auto"/>
              </w:rPr>
            </w:pPr>
            <w:r>
              <w:rPr>
                <w:rFonts w:ascii="Arial" w:cs="Arial" w:eastAsia="Arial" w:hAnsi="Arial"/>
                <w:sz w:val="17"/>
                <w:szCs w:val="17"/>
                <w:color w:val="auto"/>
              </w:rPr>
              <w:t>19</w:t>
            </w:r>
          </w:p>
        </w:tc>
      </w:tr>
      <w:tr>
        <w:trPr>
          <w:trHeight w:val="20"/>
        </w:trPr>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40" w:type="dxa"/>
            <w:vAlign w:val="bottom"/>
            <w:gridSpan w:val="2"/>
            <w:shd w:val="clear" w:color="auto" w:fill="0000EE"/>
          </w:tcPr>
          <w:p>
            <w:pPr>
              <w:spacing w:after="0" w:line="20" w:lineRule="exact"/>
              <w:rPr>
                <w:sz w:val="1"/>
                <w:szCs w:val="1"/>
                <w:color w:val="auto"/>
              </w:rPr>
            </w:pPr>
          </w:p>
        </w:tc>
        <w:tc>
          <w:tcPr>
            <w:tcW w:w="1020" w:type="dxa"/>
            <w:vAlign w:val="bottom"/>
            <w:tcBorders>
              <w:left w:val="single" w:sz="8" w:color="0000EE"/>
              <w:right w:val="single" w:sz="8" w:color="0000EE"/>
            </w:tcBorders>
            <w:gridSpan w:val="8"/>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40" w:type="dxa"/>
            <w:vAlign w:val="bottom"/>
            <w:gridSpan w:val="3"/>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r>
        <w:trPr>
          <w:trHeight w:val="238"/>
        </w:trPr>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40" w:type="dxa"/>
            <w:vAlign w:val="bottom"/>
            <w:tcBorders>
              <w:bottom w:val="single" w:sz="8" w:color="0000EE"/>
            </w:tcBorders>
            <w:gridSpan w:val="12"/>
          </w:tcPr>
          <w:p>
            <w:pPr>
              <w:spacing w:after="0"/>
              <w:rPr>
                <w:sz w:val="20"/>
                <w:szCs w:val="20"/>
                <w:color w:val="auto"/>
              </w:rPr>
            </w:pPr>
            <w:r>
              <w:rPr>
                <w:rFonts w:ascii="Arial" w:cs="Arial" w:eastAsia="Arial" w:hAnsi="Arial"/>
                <w:sz w:val="17"/>
                <w:szCs w:val="17"/>
                <w:color w:val="0000EE"/>
              </w:rPr>
              <w:t>Committees of the Board of Directors</w:t>
            </w:r>
          </w:p>
        </w:tc>
        <w:tc>
          <w:tcPr>
            <w:tcW w:w="5440" w:type="dxa"/>
            <w:vAlign w:val="bottom"/>
            <w:gridSpan w:val="14"/>
          </w:tcPr>
          <w:p>
            <w:pPr>
              <w:spacing w:after="0"/>
              <w:rPr>
                <w:sz w:val="20"/>
                <w:szCs w:val="20"/>
                <w:color w:val="auto"/>
              </w:rPr>
            </w:pPr>
          </w:p>
        </w:tc>
        <w:tc>
          <w:tcPr>
            <w:tcW w:w="1860" w:type="dxa"/>
            <w:vAlign w:val="bottom"/>
          </w:tcPr>
          <w:p>
            <w:pPr>
              <w:jc w:val="right"/>
              <w:spacing w:after="0"/>
              <w:rPr>
                <w:sz w:val="20"/>
                <w:szCs w:val="20"/>
                <w:color w:val="auto"/>
              </w:rPr>
            </w:pPr>
            <w:r>
              <w:rPr>
                <w:rFonts w:ascii="Arial" w:cs="Arial" w:eastAsia="Arial" w:hAnsi="Arial"/>
                <w:sz w:val="17"/>
                <w:szCs w:val="17"/>
                <w:color w:val="auto"/>
              </w:rPr>
              <w:t>20</w:t>
            </w:r>
          </w:p>
        </w:tc>
      </w:tr>
      <w:tr>
        <w:trPr>
          <w:trHeight w:val="238"/>
        </w:trPr>
        <w:tc>
          <w:tcPr>
            <w:tcW w:w="180" w:type="dxa"/>
            <w:vAlign w:val="bottom"/>
          </w:tcPr>
          <w:p>
            <w:pPr>
              <w:spacing w:after="0"/>
              <w:rPr>
                <w:sz w:val="20"/>
                <w:szCs w:val="20"/>
                <w:color w:val="auto"/>
              </w:rPr>
            </w:pPr>
          </w:p>
        </w:tc>
        <w:tc>
          <w:tcPr>
            <w:tcW w:w="3720" w:type="dxa"/>
            <w:vAlign w:val="bottom"/>
            <w:tcBorders>
              <w:bottom w:val="single" w:sz="8" w:color="0000EE"/>
            </w:tcBorders>
            <w:gridSpan w:val="23"/>
          </w:tcPr>
          <w:p>
            <w:pPr>
              <w:spacing w:after="0"/>
              <w:rPr>
                <w:sz w:val="20"/>
                <w:szCs w:val="20"/>
                <w:color w:val="auto"/>
              </w:rPr>
            </w:pPr>
            <w:r>
              <w:rPr>
                <w:rFonts w:ascii="Arial" w:cs="Arial" w:eastAsia="Arial" w:hAnsi="Arial"/>
                <w:sz w:val="17"/>
                <w:szCs w:val="17"/>
                <w:b w:val="1"/>
                <w:bCs w:val="1"/>
                <w:color w:val="0000EE"/>
              </w:rPr>
              <w:t>Corporate Governance Policies and Practices</w:t>
            </w:r>
          </w:p>
        </w:tc>
        <w:tc>
          <w:tcPr>
            <w:tcW w:w="4720" w:type="dxa"/>
            <w:vAlign w:val="bottom"/>
            <w:gridSpan w:val="4"/>
          </w:tcPr>
          <w:p>
            <w:pPr>
              <w:spacing w:after="0"/>
              <w:rPr>
                <w:sz w:val="20"/>
                <w:szCs w:val="20"/>
                <w:color w:val="auto"/>
              </w:rPr>
            </w:pPr>
          </w:p>
        </w:tc>
        <w:tc>
          <w:tcPr>
            <w:tcW w:w="1860" w:type="dxa"/>
            <w:vAlign w:val="bottom"/>
          </w:tcPr>
          <w:p>
            <w:pPr>
              <w:jc w:val="right"/>
              <w:spacing w:after="0"/>
              <w:rPr>
                <w:sz w:val="20"/>
                <w:szCs w:val="20"/>
                <w:color w:val="auto"/>
              </w:rPr>
            </w:pPr>
            <w:r>
              <w:rPr>
                <w:rFonts w:ascii="Arial" w:cs="Arial" w:eastAsia="Arial" w:hAnsi="Arial"/>
                <w:sz w:val="17"/>
                <w:szCs w:val="17"/>
                <w:color w:val="auto"/>
              </w:rPr>
              <w:t>22</w:t>
            </w:r>
          </w:p>
        </w:tc>
      </w:tr>
      <w:tr>
        <w:trPr>
          <w:trHeight w:val="238"/>
        </w:trPr>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20" w:type="dxa"/>
            <w:vAlign w:val="bottom"/>
            <w:tcBorders>
              <w:bottom w:val="single" w:sz="8" w:color="0000EE"/>
            </w:tcBorders>
            <w:gridSpan w:val="11"/>
          </w:tcPr>
          <w:p>
            <w:pPr>
              <w:spacing w:after="0"/>
              <w:rPr>
                <w:sz w:val="20"/>
                <w:szCs w:val="20"/>
                <w:color w:val="auto"/>
              </w:rPr>
            </w:pPr>
            <w:r>
              <w:rPr>
                <w:rFonts w:ascii="Arial" w:cs="Arial" w:eastAsia="Arial" w:hAnsi="Arial"/>
                <w:sz w:val="17"/>
                <w:szCs w:val="17"/>
                <w:color w:val="0000EE"/>
              </w:rPr>
              <w:t>Corporate Governance Guidelines</w:t>
            </w:r>
          </w:p>
        </w:tc>
        <w:tc>
          <w:tcPr>
            <w:tcW w:w="5660" w:type="dxa"/>
            <w:vAlign w:val="bottom"/>
            <w:gridSpan w:val="15"/>
          </w:tcPr>
          <w:p>
            <w:pPr>
              <w:spacing w:after="0"/>
              <w:rPr>
                <w:sz w:val="20"/>
                <w:szCs w:val="20"/>
                <w:color w:val="auto"/>
              </w:rPr>
            </w:pPr>
          </w:p>
        </w:tc>
        <w:tc>
          <w:tcPr>
            <w:tcW w:w="1860" w:type="dxa"/>
            <w:vAlign w:val="bottom"/>
          </w:tcPr>
          <w:p>
            <w:pPr>
              <w:jc w:val="right"/>
              <w:spacing w:after="0"/>
              <w:rPr>
                <w:sz w:val="20"/>
                <w:szCs w:val="20"/>
                <w:color w:val="auto"/>
              </w:rPr>
            </w:pPr>
            <w:r>
              <w:rPr>
                <w:rFonts w:ascii="Arial" w:cs="Arial" w:eastAsia="Arial" w:hAnsi="Arial"/>
                <w:sz w:val="17"/>
                <w:szCs w:val="17"/>
                <w:color w:val="auto"/>
              </w:rPr>
              <w:t>22</w:t>
            </w:r>
          </w:p>
        </w:tc>
      </w:tr>
      <w:tr>
        <w:trPr>
          <w:trHeight w:val="238"/>
        </w:trPr>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80" w:type="dxa"/>
            <w:vAlign w:val="bottom"/>
            <w:gridSpan w:val="26"/>
          </w:tcPr>
          <w:p>
            <w:pPr>
              <w:spacing w:after="0"/>
              <w:rPr>
                <w:sz w:val="20"/>
                <w:szCs w:val="20"/>
                <w:color w:val="auto"/>
              </w:rPr>
            </w:pPr>
            <w:r>
              <w:rPr>
                <w:rFonts w:ascii="Arial" w:cs="Arial" w:eastAsia="Arial" w:hAnsi="Arial"/>
                <w:sz w:val="17"/>
                <w:szCs w:val="17"/>
                <w:color w:val="0000EE"/>
              </w:rPr>
              <w:t>Board and Committee Self-Evaluations</w:t>
            </w:r>
          </w:p>
        </w:tc>
        <w:tc>
          <w:tcPr>
            <w:tcW w:w="1860" w:type="dxa"/>
            <w:vAlign w:val="bottom"/>
          </w:tcPr>
          <w:p>
            <w:pPr>
              <w:jc w:val="right"/>
              <w:spacing w:after="0"/>
              <w:rPr>
                <w:sz w:val="20"/>
                <w:szCs w:val="20"/>
                <w:color w:val="auto"/>
              </w:rPr>
            </w:pPr>
            <w:r>
              <w:rPr>
                <w:rFonts w:ascii="Arial" w:cs="Arial" w:eastAsia="Arial" w:hAnsi="Arial"/>
                <w:sz w:val="17"/>
                <w:szCs w:val="17"/>
                <w:color w:val="auto"/>
              </w:rPr>
              <w:t>22</w:t>
            </w:r>
          </w:p>
        </w:tc>
      </w:tr>
      <w:tr>
        <w:trPr>
          <w:trHeight w:val="238"/>
        </w:trPr>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900" w:type="dxa"/>
            <w:vAlign w:val="bottom"/>
            <w:tcBorders>
              <w:top w:val="single" w:sz="8" w:color="0000EE"/>
              <w:bottom w:val="single" w:sz="8" w:color="0000EE"/>
            </w:tcBorders>
            <w:gridSpan w:val="13"/>
          </w:tcPr>
          <w:p>
            <w:pPr>
              <w:spacing w:after="0"/>
              <w:rPr>
                <w:sz w:val="20"/>
                <w:szCs w:val="20"/>
                <w:color w:val="auto"/>
              </w:rPr>
            </w:pPr>
            <w:r>
              <w:rPr>
                <w:rFonts w:ascii="Arial" w:cs="Arial" w:eastAsia="Arial" w:hAnsi="Arial"/>
                <w:sz w:val="17"/>
                <w:szCs w:val="17"/>
                <w:color w:val="0000EE"/>
              </w:rPr>
              <w:t>Code of Business Conduct and Ethics</w:t>
            </w:r>
          </w:p>
        </w:tc>
        <w:tc>
          <w:tcPr>
            <w:tcW w:w="60" w:type="dxa"/>
            <w:vAlign w:val="bottom"/>
            <w:tcBorders>
              <w:top w:val="single" w:sz="8" w:color="0000EE"/>
            </w:tcBorders>
            <w:gridSpan w:val="3"/>
          </w:tcPr>
          <w:p>
            <w:pPr>
              <w:spacing w:after="0"/>
              <w:rPr>
                <w:sz w:val="20"/>
                <w:szCs w:val="20"/>
                <w:color w:val="auto"/>
              </w:rPr>
            </w:pPr>
          </w:p>
        </w:tc>
        <w:tc>
          <w:tcPr>
            <w:tcW w:w="5320" w:type="dxa"/>
            <w:vAlign w:val="bottom"/>
            <w:gridSpan w:val="10"/>
          </w:tcPr>
          <w:p>
            <w:pPr>
              <w:spacing w:after="0"/>
              <w:rPr>
                <w:sz w:val="20"/>
                <w:szCs w:val="20"/>
                <w:color w:val="auto"/>
              </w:rPr>
            </w:pPr>
          </w:p>
        </w:tc>
        <w:tc>
          <w:tcPr>
            <w:tcW w:w="1860" w:type="dxa"/>
            <w:vAlign w:val="bottom"/>
          </w:tcPr>
          <w:p>
            <w:pPr>
              <w:jc w:val="right"/>
              <w:spacing w:after="0"/>
              <w:rPr>
                <w:sz w:val="20"/>
                <w:szCs w:val="20"/>
                <w:color w:val="auto"/>
              </w:rPr>
            </w:pPr>
            <w:r>
              <w:rPr>
                <w:rFonts w:ascii="Arial" w:cs="Arial" w:eastAsia="Arial" w:hAnsi="Arial"/>
                <w:sz w:val="17"/>
                <w:szCs w:val="17"/>
                <w:color w:val="auto"/>
              </w:rPr>
              <w:t>22</w:t>
            </w:r>
          </w:p>
        </w:tc>
      </w:tr>
      <w:tr>
        <w:trPr>
          <w:trHeight w:val="238"/>
        </w:trPr>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80" w:type="dxa"/>
            <w:vAlign w:val="bottom"/>
            <w:gridSpan w:val="26"/>
          </w:tcPr>
          <w:p>
            <w:pPr>
              <w:spacing w:after="0"/>
              <w:rPr>
                <w:sz w:val="20"/>
                <w:szCs w:val="20"/>
                <w:color w:val="auto"/>
              </w:rPr>
            </w:pPr>
            <w:r>
              <w:rPr>
                <w:rFonts w:ascii="Arial" w:cs="Arial" w:eastAsia="Arial" w:hAnsi="Arial"/>
                <w:sz w:val="17"/>
                <w:szCs w:val="17"/>
                <w:color w:val="0000EE"/>
              </w:rPr>
              <w:t>Promoting Integrity</w:t>
            </w:r>
          </w:p>
        </w:tc>
        <w:tc>
          <w:tcPr>
            <w:tcW w:w="1860" w:type="dxa"/>
            <w:vAlign w:val="bottom"/>
          </w:tcPr>
          <w:p>
            <w:pPr>
              <w:jc w:val="right"/>
              <w:spacing w:after="0"/>
              <w:rPr>
                <w:sz w:val="20"/>
                <w:szCs w:val="20"/>
                <w:color w:val="auto"/>
              </w:rPr>
            </w:pPr>
            <w:r>
              <w:rPr>
                <w:rFonts w:ascii="Arial" w:cs="Arial" w:eastAsia="Arial" w:hAnsi="Arial"/>
                <w:sz w:val="17"/>
                <w:szCs w:val="17"/>
                <w:color w:val="auto"/>
              </w:rPr>
              <w:t>23</w:t>
            </w:r>
          </w:p>
        </w:tc>
      </w:tr>
      <w:tr>
        <w:trPr>
          <w:trHeight w:val="20"/>
        </w:trPr>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40" w:type="dxa"/>
            <w:vAlign w:val="bottom"/>
            <w:gridSpan w:val="2"/>
            <w:shd w:val="clear" w:color="auto" w:fill="0000EE"/>
          </w:tcPr>
          <w:p>
            <w:pPr>
              <w:spacing w:after="0" w:line="20" w:lineRule="exact"/>
              <w:rPr>
                <w:sz w:val="1"/>
                <w:szCs w:val="1"/>
                <w:color w:val="auto"/>
              </w:rPr>
            </w:pPr>
          </w:p>
        </w:tc>
        <w:tc>
          <w:tcPr>
            <w:tcW w:w="1020" w:type="dxa"/>
            <w:vAlign w:val="bottom"/>
            <w:gridSpan w:val="8"/>
          </w:tcPr>
          <w:p>
            <w:pPr>
              <w:spacing w:after="0" w:line="20" w:lineRule="exact"/>
              <w:rPr>
                <w:sz w:val="1"/>
                <w:szCs w:val="1"/>
                <w:color w:val="auto"/>
              </w:rPr>
            </w:pPr>
          </w:p>
        </w:tc>
        <w:tc>
          <w:tcPr>
            <w:tcW w:w="980" w:type="dxa"/>
            <w:vAlign w:val="bottom"/>
            <w:gridSpan w:val="1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440" w:type="dxa"/>
            <w:vAlign w:val="bottom"/>
            <w:gridSpan w:val="3"/>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r>
        <w:trPr>
          <w:trHeight w:val="238"/>
        </w:trPr>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60" w:type="dxa"/>
            <w:vAlign w:val="bottom"/>
            <w:tcBorders>
              <w:bottom w:val="single" w:sz="8" w:color="0000EE"/>
            </w:tcBorders>
            <w:gridSpan w:val="10"/>
          </w:tcPr>
          <w:p>
            <w:pPr>
              <w:spacing w:after="0"/>
              <w:rPr>
                <w:sz w:val="20"/>
                <w:szCs w:val="20"/>
                <w:color w:val="auto"/>
              </w:rPr>
            </w:pPr>
            <w:r>
              <w:rPr>
                <w:rFonts w:ascii="Arial" w:cs="Arial" w:eastAsia="Arial" w:hAnsi="Arial"/>
                <w:sz w:val="17"/>
                <w:szCs w:val="17"/>
                <w:color w:val="0000EE"/>
              </w:rPr>
              <w:t>Communications with the Board</w:t>
            </w:r>
          </w:p>
        </w:tc>
        <w:tc>
          <w:tcPr>
            <w:tcW w:w="5820" w:type="dxa"/>
            <w:vAlign w:val="bottom"/>
            <w:gridSpan w:val="16"/>
          </w:tcPr>
          <w:p>
            <w:pPr>
              <w:spacing w:after="0"/>
              <w:rPr>
                <w:sz w:val="20"/>
                <w:szCs w:val="20"/>
                <w:color w:val="auto"/>
              </w:rPr>
            </w:pPr>
          </w:p>
        </w:tc>
        <w:tc>
          <w:tcPr>
            <w:tcW w:w="1860" w:type="dxa"/>
            <w:vAlign w:val="bottom"/>
          </w:tcPr>
          <w:p>
            <w:pPr>
              <w:jc w:val="right"/>
              <w:spacing w:after="0"/>
              <w:rPr>
                <w:sz w:val="20"/>
                <w:szCs w:val="20"/>
                <w:color w:val="auto"/>
              </w:rPr>
            </w:pPr>
            <w:r>
              <w:rPr>
                <w:rFonts w:ascii="Arial" w:cs="Arial" w:eastAsia="Arial" w:hAnsi="Arial"/>
                <w:sz w:val="17"/>
                <w:szCs w:val="17"/>
                <w:color w:val="auto"/>
              </w:rPr>
              <w:t>23</w:t>
            </w:r>
          </w:p>
        </w:tc>
      </w:tr>
      <w:tr>
        <w:trPr>
          <w:trHeight w:val="445"/>
        </w:trPr>
        <w:tc>
          <w:tcPr>
            <w:tcW w:w="3780" w:type="dxa"/>
            <w:vAlign w:val="bottom"/>
            <w:tcBorders>
              <w:bottom w:val="single" w:sz="8" w:color="0000EE"/>
            </w:tcBorders>
            <w:gridSpan w:val="22"/>
          </w:tcPr>
          <w:p>
            <w:pPr>
              <w:spacing w:after="0"/>
              <w:rPr>
                <w:sz w:val="20"/>
                <w:szCs w:val="20"/>
                <w:color w:val="auto"/>
              </w:rPr>
            </w:pPr>
            <w:r>
              <w:rPr>
                <w:rFonts w:ascii="Arial" w:cs="Arial" w:eastAsia="Arial" w:hAnsi="Arial"/>
                <w:sz w:val="17"/>
                <w:szCs w:val="17"/>
                <w:b w:val="1"/>
                <w:bCs w:val="1"/>
                <w:color w:val="0000EE"/>
              </w:rPr>
              <w:t>NON-EMPLOYEE DIRECTOR COMPENSATION</w:t>
            </w:r>
          </w:p>
        </w:tc>
        <w:tc>
          <w:tcPr>
            <w:tcW w:w="4840" w:type="dxa"/>
            <w:vAlign w:val="bottom"/>
            <w:gridSpan w:val="6"/>
          </w:tcPr>
          <w:p>
            <w:pPr>
              <w:spacing w:after="0"/>
              <w:rPr>
                <w:sz w:val="24"/>
                <w:szCs w:val="24"/>
                <w:color w:val="auto"/>
              </w:rPr>
            </w:pPr>
          </w:p>
        </w:tc>
        <w:tc>
          <w:tcPr>
            <w:tcW w:w="1860" w:type="dxa"/>
            <w:vAlign w:val="bottom"/>
          </w:tcPr>
          <w:p>
            <w:pPr>
              <w:jc w:val="right"/>
              <w:spacing w:after="0"/>
              <w:rPr>
                <w:sz w:val="20"/>
                <w:szCs w:val="20"/>
                <w:color w:val="auto"/>
              </w:rPr>
            </w:pPr>
            <w:r>
              <w:rPr>
                <w:rFonts w:ascii="Arial" w:cs="Arial" w:eastAsia="Arial" w:hAnsi="Arial"/>
                <w:sz w:val="17"/>
                <w:szCs w:val="17"/>
                <w:color w:val="auto"/>
              </w:rPr>
              <w:t>24</w:t>
            </w:r>
          </w:p>
        </w:tc>
      </w:tr>
      <w:tr>
        <w:trPr>
          <w:trHeight w:val="238"/>
        </w:trPr>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40" w:type="dxa"/>
            <w:vAlign w:val="bottom"/>
            <w:tcBorders>
              <w:bottom w:val="single" w:sz="8" w:color="0000EE"/>
            </w:tcBorders>
            <w:gridSpan w:val="23"/>
          </w:tcPr>
          <w:p>
            <w:pPr>
              <w:spacing w:after="0"/>
              <w:rPr>
                <w:sz w:val="20"/>
                <w:szCs w:val="20"/>
                <w:color w:val="auto"/>
              </w:rPr>
            </w:pPr>
            <w:r>
              <w:rPr>
                <w:rFonts w:ascii="Arial" w:cs="Arial" w:eastAsia="Arial" w:hAnsi="Arial"/>
                <w:sz w:val="17"/>
                <w:szCs w:val="17"/>
                <w:color w:val="0000EE"/>
              </w:rPr>
              <w:t>2022 Non-Employee Director Compensation Table</w:t>
            </w:r>
          </w:p>
        </w:tc>
        <w:tc>
          <w:tcPr>
            <w:tcW w:w="4440" w:type="dxa"/>
            <w:vAlign w:val="bottom"/>
            <w:gridSpan w:val="3"/>
          </w:tcPr>
          <w:p>
            <w:pPr>
              <w:spacing w:after="0"/>
              <w:rPr>
                <w:sz w:val="20"/>
                <w:szCs w:val="20"/>
                <w:color w:val="auto"/>
              </w:rPr>
            </w:pPr>
          </w:p>
        </w:tc>
        <w:tc>
          <w:tcPr>
            <w:tcW w:w="1860" w:type="dxa"/>
            <w:vAlign w:val="bottom"/>
          </w:tcPr>
          <w:p>
            <w:pPr>
              <w:jc w:val="right"/>
              <w:spacing w:after="0"/>
              <w:rPr>
                <w:sz w:val="20"/>
                <w:szCs w:val="20"/>
                <w:color w:val="auto"/>
              </w:rPr>
            </w:pPr>
            <w:r>
              <w:rPr>
                <w:rFonts w:ascii="Arial" w:cs="Arial" w:eastAsia="Arial" w:hAnsi="Arial"/>
                <w:sz w:val="17"/>
                <w:szCs w:val="17"/>
                <w:color w:val="auto"/>
              </w:rPr>
              <w:t>24</w:t>
            </w:r>
          </w:p>
        </w:tc>
      </w:tr>
      <w:tr>
        <w:trPr>
          <w:trHeight w:val="238"/>
        </w:trPr>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60" w:type="dxa"/>
            <w:vAlign w:val="bottom"/>
            <w:tcBorders>
              <w:bottom w:val="single" w:sz="8" w:color="0000EE"/>
            </w:tcBorders>
            <w:gridSpan w:val="21"/>
          </w:tcPr>
          <w:p>
            <w:pPr>
              <w:spacing w:after="0"/>
              <w:rPr>
                <w:sz w:val="20"/>
                <w:szCs w:val="20"/>
                <w:color w:val="auto"/>
              </w:rPr>
            </w:pPr>
            <w:r>
              <w:rPr>
                <w:rFonts w:ascii="Arial" w:cs="Arial" w:eastAsia="Arial" w:hAnsi="Arial"/>
                <w:sz w:val="17"/>
                <w:szCs w:val="17"/>
                <w:color w:val="0000EE"/>
              </w:rPr>
              <w:t>Non-Employee Director Compensation Policy</w:t>
            </w:r>
          </w:p>
        </w:tc>
        <w:tc>
          <w:tcPr>
            <w:tcW w:w="4820" w:type="dxa"/>
            <w:vAlign w:val="bottom"/>
            <w:gridSpan w:val="5"/>
          </w:tcPr>
          <w:p>
            <w:pPr>
              <w:spacing w:after="0"/>
              <w:rPr>
                <w:sz w:val="20"/>
                <w:szCs w:val="20"/>
                <w:color w:val="auto"/>
              </w:rPr>
            </w:pPr>
          </w:p>
        </w:tc>
        <w:tc>
          <w:tcPr>
            <w:tcW w:w="1860" w:type="dxa"/>
            <w:vAlign w:val="bottom"/>
          </w:tcPr>
          <w:p>
            <w:pPr>
              <w:jc w:val="right"/>
              <w:spacing w:after="0"/>
              <w:rPr>
                <w:sz w:val="20"/>
                <w:szCs w:val="20"/>
                <w:color w:val="auto"/>
              </w:rPr>
            </w:pPr>
            <w:r>
              <w:rPr>
                <w:rFonts w:ascii="Arial" w:cs="Arial" w:eastAsia="Arial" w:hAnsi="Arial"/>
                <w:sz w:val="17"/>
                <w:szCs w:val="17"/>
                <w:color w:val="auto"/>
              </w:rPr>
              <w:t>24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231775</wp:posOffset>
            </wp:positionH>
            <wp:positionV relativeFrom="paragraph">
              <wp:posOffset>155575</wp:posOffset>
            </wp:positionV>
            <wp:extent cx="6687820" cy="165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687820" cy="16510"/>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jc w:val="center"/>
        <w:ind w:right="-519"/>
        <w:spacing w:after="0"/>
        <w:rPr>
          <w:sz w:val="20"/>
          <w:szCs w:val="20"/>
          <w:color w:val="auto"/>
        </w:rPr>
      </w:pPr>
      <w:r>
        <w:rPr>
          <w:rFonts w:ascii="Arial" w:cs="Arial" w:eastAsia="Arial" w:hAnsi="Arial"/>
          <w:sz w:val="17"/>
          <w:szCs w:val="17"/>
          <w:color w:val="auto"/>
        </w:rPr>
        <w:t>i</w:t>
      </w:r>
    </w:p>
    <w:p>
      <w:pPr>
        <w:sectPr>
          <w:pgSz w:w="11900" w:h="16838" w:orient="portrait"/>
          <w:cols w:equalWidth="0" w:num="1">
            <w:col w:w="10840"/>
          </w:cols>
          <w:pgMar w:left="320" w:top="468" w:right="7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5397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9945" cy="53975"/>
                    </a:xfrm>
                    <a:prstGeom prst="rect">
                      <a:avLst/>
                    </a:prstGeom>
                    <a:noFill/>
                  </pic:spPr>
                </pic:pic>
              </a:graphicData>
            </a:graphic>
          </wp:anchor>
        </w:drawing>
        <w:t>Table of Contents</w:t>
      </w:r>
    </w:p>
    <w:p>
      <w:pPr>
        <w:spacing w:after="0" w:line="296" w:lineRule="exact"/>
        <w:rPr>
          <w:sz w:val="20"/>
          <w:szCs w:val="20"/>
          <w:color w:val="auto"/>
        </w:rPr>
      </w:pPr>
    </w:p>
    <w:p>
      <w:pPr>
        <w:ind w:left="360"/>
        <w:spacing w:after="0"/>
        <w:rPr>
          <w:sz w:val="20"/>
          <w:szCs w:val="20"/>
          <w:color w:val="auto"/>
        </w:rPr>
      </w:pPr>
      <w:r>
        <w:rPr>
          <w:rFonts w:ascii="Arial" w:cs="Arial" w:eastAsia="Arial" w:hAnsi="Arial"/>
          <w:sz w:val="17"/>
          <w:szCs w:val="17"/>
          <w:b w:val="1"/>
          <w:bCs w:val="1"/>
          <w:u w:val="single" w:color="auto"/>
          <w:color w:val="0000EE"/>
        </w:rPr>
        <w:t>PROPOSAL 2: ADVISORY VOTE TO APPROVE NAMED EXECUTIVE OFFICER COMPENSATION</w:t>
      </w:r>
    </w:p>
    <w:p>
      <w:pPr>
        <w:spacing w:after="0" w:line="269" w:lineRule="exact"/>
        <w:rPr>
          <w:sz w:val="20"/>
          <w:szCs w:val="20"/>
          <w:color w:val="auto"/>
        </w:rPr>
      </w:pPr>
    </w:p>
    <w:p>
      <w:pPr>
        <w:ind w:left="360"/>
        <w:spacing w:after="0"/>
        <w:rPr>
          <w:sz w:val="20"/>
          <w:szCs w:val="20"/>
          <w:color w:val="auto"/>
        </w:rPr>
      </w:pPr>
      <w:r>
        <w:rPr>
          <w:rFonts w:ascii="Arial" w:cs="Arial" w:eastAsia="Arial" w:hAnsi="Arial"/>
          <w:sz w:val="17"/>
          <w:szCs w:val="17"/>
          <w:b w:val="1"/>
          <w:bCs w:val="1"/>
          <w:u w:val="single" w:color="auto"/>
          <w:color w:val="0000EE"/>
        </w:rPr>
        <w:t>COMPENSATION DISCUSSION AND ANALYSIS</w:t>
      </w:r>
    </w:p>
    <w:p>
      <w:pPr>
        <w:spacing w:after="0" w:line="65" w:lineRule="exact"/>
        <w:rPr>
          <w:sz w:val="20"/>
          <w:szCs w:val="20"/>
          <w:color w:val="auto"/>
        </w:rPr>
      </w:pPr>
    </w:p>
    <w:p>
      <w:pPr>
        <w:ind w:left="700"/>
        <w:spacing w:after="0"/>
        <w:rPr>
          <w:sz w:val="20"/>
          <w:szCs w:val="20"/>
          <w:color w:val="auto"/>
        </w:rPr>
      </w:pPr>
      <w:r>
        <w:rPr>
          <w:rFonts w:ascii="Arial" w:cs="Arial" w:eastAsia="Arial" w:hAnsi="Arial"/>
          <w:sz w:val="17"/>
          <w:szCs w:val="17"/>
          <w:u w:val="single" w:color="auto"/>
          <w:color w:val="0000EE"/>
        </w:rPr>
        <w:t>Overview</w:t>
      </w:r>
    </w:p>
    <w:p>
      <w:pPr>
        <w:spacing w:after="0" w:line="63" w:lineRule="exact"/>
        <w:rPr>
          <w:sz w:val="20"/>
          <w:szCs w:val="20"/>
          <w:color w:val="auto"/>
        </w:rPr>
      </w:pPr>
    </w:p>
    <w:p>
      <w:pPr>
        <w:ind w:left="700"/>
        <w:spacing w:after="0"/>
        <w:rPr>
          <w:sz w:val="20"/>
          <w:szCs w:val="20"/>
          <w:color w:val="auto"/>
        </w:rPr>
      </w:pPr>
      <w:r>
        <w:rPr>
          <w:rFonts w:ascii="Arial" w:cs="Arial" w:eastAsia="Arial" w:hAnsi="Arial"/>
          <w:sz w:val="17"/>
          <w:szCs w:val="17"/>
          <w:u w:val="single" w:color="auto"/>
          <w:color w:val="0000EE"/>
        </w:rPr>
        <w:t>Executive Transitions</w:t>
      </w:r>
    </w:p>
    <w:p>
      <w:pPr>
        <w:spacing w:after="0" w:line="63" w:lineRule="exact"/>
        <w:rPr>
          <w:sz w:val="20"/>
          <w:szCs w:val="20"/>
          <w:color w:val="auto"/>
        </w:rPr>
      </w:pPr>
    </w:p>
    <w:p>
      <w:pPr>
        <w:ind w:left="700"/>
        <w:spacing w:after="0"/>
        <w:rPr>
          <w:sz w:val="20"/>
          <w:szCs w:val="20"/>
          <w:color w:val="auto"/>
        </w:rPr>
      </w:pPr>
      <w:r>
        <w:rPr>
          <w:rFonts w:ascii="Arial" w:cs="Arial" w:eastAsia="Arial" w:hAnsi="Arial"/>
          <w:sz w:val="17"/>
          <w:szCs w:val="17"/>
          <w:u w:val="single" w:color="auto"/>
          <w:color w:val="0000EE"/>
        </w:rPr>
        <w:t>2022 Executive Compensation Highlights</w:t>
      </w:r>
    </w:p>
    <w:p>
      <w:pPr>
        <w:spacing w:after="0" w:line="63" w:lineRule="exact"/>
        <w:rPr>
          <w:sz w:val="20"/>
          <w:szCs w:val="20"/>
          <w:color w:val="auto"/>
        </w:rPr>
      </w:pPr>
    </w:p>
    <w:p>
      <w:pPr>
        <w:ind w:left="700"/>
        <w:spacing w:after="0"/>
        <w:rPr>
          <w:sz w:val="20"/>
          <w:szCs w:val="20"/>
          <w:color w:val="auto"/>
        </w:rPr>
      </w:pPr>
      <w:r>
        <w:rPr>
          <w:rFonts w:ascii="Arial" w:cs="Arial" w:eastAsia="Arial" w:hAnsi="Arial"/>
          <w:sz w:val="17"/>
          <w:szCs w:val="17"/>
          <w:u w:val="single" w:color="auto"/>
          <w:color w:val="0000EE"/>
        </w:rPr>
        <w:t>Compensation Philosophy and Program</w:t>
      </w:r>
    </w:p>
    <w:p>
      <w:pPr>
        <w:spacing w:after="0" w:line="63" w:lineRule="exact"/>
        <w:rPr>
          <w:sz w:val="20"/>
          <w:szCs w:val="20"/>
          <w:color w:val="auto"/>
        </w:rPr>
      </w:pPr>
    </w:p>
    <w:p>
      <w:pPr>
        <w:ind w:left="700"/>
        <w:spacing w:after="0"/>
        <w:rPr>
          <w:sz w:val="20"/>
          <w:szCs w:val="20"/>
          <w:color w:val="auto"/>
        </w:rPr>
      </w:pPr>
      <w:r>
        <w:rPr>
          <w:rFonts w:ascii="Arial" w:cs="Arial" w:eastAsia="Arial" w:hAnsi="Arial"/>
          <w:sz w:val="17"/>
          <w:szCs w:val="17"/>
          <w:u w:val="single" w:color="auto"/>
          <w:color w:val="0000EE"/>
        </w:rPr>
        <w:t>Compensation-Setting Process</w:t>
      </w:r>
    </w:p>
    <w:p>
      <w:pPr>
        <w:spacing w:after="0" w:line="63" w:lineRule="exact"/>
        <w:rPr>
          <w:sz w:val="20"/>
          <w:szCs w:val="20"/>
          <w:color w:val="auto"/>
        </w:rPr>
      </w:pPr>
    </w:p>
    <w:p>
      <w:pPr>
        <w:ind w:left="700"/>
        <w:spacing w:after="0"/>
        <w:rPr>
          <w:sz w:val="20"/>
          <w:szCs w:val="20"/>
          <w:color w:val="auto"/>
        </w:rPr>
      </w:pPr>
      <w:r>
        <w:rPr>
          <w:rFonts w:ascii="Arial" w:cs="Arial" w:eastAsia="Arial" w:hAnsi="Arial"/>
          <w:sz w:val="17"/>
          <w:szCs w:val="17"/>
          <w:u w:val="single" w:color="auto"/>
          <w:color w:val="0000EE"/>
        </w:rPr>
        <w:t>Compensation Elements for 2022</w:t>
      </w:r>
    </w:p>
    <w:p>
      <w:pPr>
        <w:spacing w:after="0" w:line="63" w:lineRule="exact"/>
        <w:rPr>
          <w:sz w:val="20"/>
          <w:szCs w:val="20"/>
          <w:color w:val="auto"/>
        </w:rPr>
      </w:pPr>
    </w:p>
    <w:p>
      <w:pPr>
        <w:ind w:left="700"/>
        <w:spacing w:after="0"/>
        <w:rPr>
          <w:sz w:val="20"/>
          <w:szCs w:val="20"/>
          <w:color w:val="auto"/>
        </w:rPr>
      </w:pPr>
      <w:r>
        <w:rPr>
          <w:rFonts w:ascii="Arial" w:cs="Arial" w:eastAsia="Arial" w:hAnsi="Arial"/>
          <w:sz w:val="17"/>
          <w:szCs w:val="17"/>
          <w:u w:val="single" w:color="auto"/>
          <w:color w:val="0000EE"/>
        </w:rPr>
        <w:t>Other Compensation Policies and Practices</w:t>
      </w:r>
    </w:p>
    <w:p>
      <w:pPr>
        <w:spacing w:after="0" w:line="63" w:lineRule="exact"/>
        <w:rPr>
          <w:sz w:val="20"/>
          <w:szCs w:val="20"/>
          <w:color w:val="auto"/>
        </w:rPr>
      </w:pPr>
    </w:p>
    <w:p>
      <w:pPr>
        <w:ind w:left="700"/>
        <w:spacing w:after="0"/>
        <w:rPr>
          <w:sz w:val="20"/>
          <w:szCs w:val="20"/>
          <w:color w:val="auto"/>
        </w:rPr>
      </w:pPr>
      <w:r>
        <w:rPr>
          <w:rFonts w:ascii="Arial" w:cs="Arial" w:eastAsia="Arial" w:hAnsi="Arial"/>
          <w:sz w:val="17"/>
          <w:szCs w:val="17"/>
          <w:u w:val="single" w:color="auto"/>
          <w:color w:val="0000EE"/>
        </w:rPr>
        <w:t>Compensation Committee Report</w:t>
      </w:r>
    </w:p>
    <w:p>
      <w:pPr>
        <w:spacing w:after="0" w:line="267" w:lineRule="exact"/>
        <w:rPr>
          <w:sz w:val="20"/>
          <w:szCs w:val="20"/>
          <w:color w:val="auto"/>
        </w:rPr>
      </w:pPr>
    </w:p>
    <w:p>
      <w:pPr>
        <w:ind w:left="360"/>
        <w:spacing w:after="0"/>
        <w:rPr>
          <w:sz w:val="20"/>
          <w:szCs w:val="20"/>
          <w:color w:val="auto"/>
        </w:rPr>
      </w:pPr>
      <w:r>
        <w:rPr>
          <w:rFonts w:ascii="Arial" w:cs="Arial" w:eastAsia="Arial" w:hAnsi="Arial"/>
          <w:sz w:val="17"/>
          <w:szCs w:val="17"/>
          <w:b w:val="1"/>
          <w:bCs w:val="1"/>
          <w:u w:val="single" w:color="auto"/>
          <w:color w:val="0000EE"/>
        </w:rPr>
        <w:t>COMPENSATION TABLES</w:t>
      </w:r>
    </w:p>
    <w:p>
      <w:pPr>
        <w:spacing w:after="0" w:line="65" w:lineRule="exact"/>
        <w:rPr>
          <w:sz w:val="20"/>
          <w:szCs w:val="20"/>
          <w:color w:val="auto"/>
        </w:rPr>
      </w:pPr>
    </w:p>
    <w:p>
      <w:pPr>
        <w:ind w:left="700"/>
        <w:spacing w:after="0"/>
        <w:rPr>
          <w:sz w:val="20"/>
          <w:szCs w:val="20"/>
          <w:color w:val="auto"/>
        </w:rPr>
      </w:pPr>
      <w:r>
        <w:rPr>
          <w:rFonts w:ascii="Arial" w:cs="Arial" w:eastAsia="Arial" w:hAnsi="Arial"/>
          <w:sz w:val="17"/>
          <w:szCs w:val="17"/>
          <w:u w:val="single" w:color="auto"/>
          <w:color w:val="0000EE"/>
        </w:rPr>
        <w:t>Summary Compensation Table</w:t>
      </w:r>
    </w:p>
    <w:p>
      <w:pPr>
        <w:spacing w:after="0" w:line="63" w:lineRule="exact"/>
        <w:rPr>
          <w:sz w:val="20"/>
          <w:szCs w:val="20"/>
          <w:color w:val="auto"/>
        </w:rPr>
      </w:pPr>
    </w:p>
    <w:p>
      <w:pPr>
        <w:ind w:left="700"/>
        <w:spacing w:after="0"/>
        <w:rPr>
          <w:sz w:val="20"/>
          <w:szCs w:val="20"/>
          <w:color w:val="auto"/>
        </w:rPr>
      </w:pPr>
      <w:r>
        <w:rPr>
          <w:rFonts w:ascii="Arial" w:cs="Arial" w:eastAsia="Arial" w:hAnsi="Arial"/>
          <w:sz w:val="17"/>
          <w:szCs w:val="17"/>
          <w:u w:val="single" w:color="auto"/>
          <w:color w:val="0000EE"/>
        </w:rPr>
        <w:t>Grants of Plan-Based Awards</w:t>
      </w:r>
    </w:p>
    <w:p>
      <w:pPr>
        <w:spacing w:after="0" w:line="63" w:lineRule="exact"/>
        <w:rPr>
          <w:sz w:val="20"/>
          <w:szCs w:val="20"/>
          <w:color w:val="auto"/>
        </w:rPr>
      </w:pPr>
    </w:p>
    <w:p>
      <w:pPr>
        <w:ind w:left="700"/>
        <w:spacing w:after="0"/>
        <w:rPr>
          <w:sz w:val="20"/>
          <w:szCs w:val="20"/>
          <w:color w:val="auto"/>
        </w:rPr>
      </w:pPr>
      <w:r>
        <w:rPr>
          <w:rFonts w:ascii="Arial" w:cs="Arial" w:eastAsia="Arial" w:hAnsi="Arial"/>
          <w:sz w:val="17"/>
          <w:szCs w:val="17"/>
          <w:u w:val="single" w:color="auto"/>
          <w:color w:val="0000EE"/>
        </w:rPr>
        <w:t>Outstanding Equity Awards at 2022 Year-End</w:t>
      </w:r>
    </w:p>
    <w:p>
      <w:pPr>
        <w:spacing w:after="0" w:line="63" w:lineRule="exact"/>
        <w:rPr>
          <w:sz w:val="20"/>
          <w:szCs w:val="20"/>
          <w:color w:val="auto"/>
        </w:rPr>
      </w:pPr>
    </w:p>
    <w:p>
      <w:pPr>
        <w:ind w:left="700"/>
        <w:spacing w:after="0"/>
        <w:rPr>
          <w:sz w:val="20"/>
          <w:szCs w:val="20"/>
          <w:color w:val="auto"/>
        </w:rPr>
      </w:pPr>
      <w:r>
        <w:rPr>
          <w:rFonts w:ascii="Arial" w:cs="Arial" w:eastAsia="Arial" w:hAnsi="Arial"/>
          <w:sz w:val="17"/>
          <w:szCs w:val="17"/>
          <w:u w:val="single" w:color="auto"/>
          <w:color w:val="0000EE"/>
        </w:rPr>
        <w:t>Option Exercises and Stock Vested</w:t>
      </w:r>
    </w:p>
    <w:p>
      <w:pPr>
        <w:spacing w:after="0" w:line="63" w:lineRule="exact"/>
        <w:rPr>
          <w:sz w:val="20"/>
          <w:szCs w:val="20"/>
          <w:color w:val="auto"/>
        </w:rPr>
      </w:pPr>
    </w:p>
    <w:p>
      <w:pPr>
        <w:ind w:left="700"/>
        <w:spacing w:after="0"/>
        <w:rPr>
          <w:sz w:val="20"/>
          <w:szCs w:val="20"/>
          <w:color w:val="auto"/>
        </w:rPr>
      </w:pPr>
      <w:r>
        <w:rPr>
          <w:rFonts w:ascii="Arial" w:cs="Arial" w:eastAsia="Arial" w:hAnsi="Arial"/>
          <w:sz w:val="17"/>
          <w:szCs w:val="17"/>
          <w:u w:val="single" w:color="auto"/>
          <w:color w:val="0000EE"/>
        </w:rPr>
        <w:t>Non-Qualified Deferred Compensation</w:t>
      </w:r>
    </w:p>
    <w:p>
      <w:pPr>
        <w:spacing w:after="0" w:line="267" w:lineRule="exact"/>
        <w:rPr>
          <w:sz w:val="20"/>
          <w:szCs w:val="20"/>
          <w:color w:val="auto"/>
        </w:rPr>
      </w:pPr>
    </w:p>
    <w:p>
      <w:pPr>
        <w:ind w:left="360"/>
        <w:spacing w:after="0"/>
        <w:rPr>
          <w:sz w:val="20"/>
          <w:szCs w:val="20"/>
          <w:color w:val="auto"/>
        </w:rPr>
      </w:pPr>
      <w:r>
        <w:rPr>
          <w:rFonts w:ascii="Arial" w:cs="Arial" w:eastAsia="Arial" w:hAnsi="Arial"/>
          <w:sz w:val="17"/>
          <w:szCs w:val="17"/>
          <w:b w:val="1"/>
          <w:bCs w:val="1"/>
          <w:u w:val="single" w:color="auto"/>
          <w:color w:val="0000EE"/>
        </w:rPr>
        <w:t>POTENTIAL TERMINATION PAYMENTS</w:t>
      </w:r>
    </w:p>
    <w:p>
      <w:pPr>
        <w:spacing w:after="0" w:line="65" w:lineRule="exact"/>
        <w:rPr>
          <w:sz w:val="20"/>
          <w:szCs w:val="20"/>
          <w:color w:val="auto"/>
        </w:rPr>
      </w:pPr>
    </w:p>
    <w:p>
      <w:pPr>
        <w:ind w:left="700"/>
        <w:spacing w:after="0"/>
        <w:rPr>
          <w:sz w:val="20"/>
          <w:szCs w:val="20"/>
          <w:color w:val="auto"/>
        </w:rPr>
      </w:pPr>
      <w:r>
        <w:rPr>
          <w:rFonts w:ascii="Arial" w:cs="Arial" w:eastAsia="Arial" w:hAnsi="Arial"/>
          <w:sz w:val="17"/>
          <w:szCs w:val="17"/>
          <w:u w:val="single" w:color="auto"/>
          <w:color w:val="0000EE"/>
        </w:rPr>
        <w:t>Employment Agreements</w:t>
      </w:r>
    </w:p>
    <w:p>
      <w:pPr>
        <w:spacing w:after="0" w:line="63" w:lineRule="exact"/>
        <w:rPr>
          <w:sz w:val="20"/>
          <w:szCs w:val="20"/>
          <w:color w:val="auto"/>
        </w:rPr>
      </w:pPr>
    </w:p>
    <w:p>
      <w:pPr>
        <w:ind w:left="700"/>
        <w:spacing w:after="0"/>
        <w:rPr>
          <w:sz w:val="20"/>
          <w:szCs w:val="20"/>
          <w:color w:val="auto"/>
        </w:rPr>
      </w:pPr>
      <w:r>
        <w:rPr>
          <w:rFonts w:ascii="Arial" w:cs="Arial" w:eastAsia="Arial" w:hAnsi="Arial"/>
          <w:sz w:val="17"/>
          <w:szCs w:val="17"/>
          <w:u w:val="single" w:color="auto"/>
          <w:color w:val="0000EE"/>
        </w:rPr>
        <w:t>Potential Payments Upon Termination or Change in Control</w:t>
      </w:r>
    </w:p>
    <w:p>
      <w:pPr>
        <w:spacing w:after="0" w:line="63" w:lineRule="exact"/>
        <w:rPr>
          <w:sz w:val="20"/>
          <w:szCs w:val="20"/>
          <w:color w:val="auto"/>
        </w:rPr>
      </w:pPr>
    </w:p>
    <w:p>
      <w:pPr>
        <w:ind w:left="700"/>
        <w:spacing w:after="0"/>
        <w:rPr>
          <w:sz w:val="20"/>
          <w:szCs w:val="20"/>
          <w:color w:val="auto"/>
        </w:rPr>
      </w:pPr>
      <w:r>
        <w:rPr>
          <w:rFonts w:ascii="Arial" w:cs="Arial" w:eastAsia="Arial" w:hAnsi="Arial"/>
          <w:sz w:val="17"/>
          <w:szCs w:val="17"/>
          <w:u w:val="single" w:color="auto"/>
          <w:color w:val="0000EE"/>
        </w:rPr>
        <w:t>Potential Post-Employment Payments Table</w:t>
      </w:r>
    </w:p>
    <w:p>
      <w:pPr>
        <w:spacing w:after="0" w:line="267" w:lineRule="exact"/>
        <w:rPr>
          <w:sz w:val="20"/>
          <w:szCs w:val="20"/>
          <w:color w:val="auto"/>
        </w:rPr>
      </w:pPr>
    </w:p>
    <w:p>
      <w:pPr>
        <w:ind w:left="360"/>
        <w:spacing w:after="0"/>
        <w:rPr>
          <w:sz w:val="20"/>
          <w:szCs w:val="20"/>
          <w:color w:val="auto"/>
        </w:rPr>
      </w:pPr>
      <w:r>
        <w:rPr>
          <w:rFonts w:ascii="Arial" w:cs="Arial" w:eastAsia="Arial" w:hAnsi="Arial"/>
          <w:sz w:val="17"/>
          <w:szCs w:val="17"/>
          <w:b w:val="1"/>
          <w:bCs w:val="1"/>
          <w:u w:val="single" w:color="auto"/>
          <w:color w:val="0000EE"/>
        </w:rPr>
        <w:t>EQUITY COMPENSATION PLAN INFORMATION</w:t>
      </w:r>
    </w:p>
    <w:p>
      <w:pPr>
        <w:spacing w:after="0" w:line="65" w:lineRule="exact"/>
        <w:rPr>
          <w:sz w:val="20"/>
          <w:szCs w:val="20"/>
          <w:color w:val="auto"/>
        </w:rPr>
      </w:pPr>
    </w:p>
    <w:p>
      <w:pPr>
        <w:ind w:left="700"/>
        <w:spacing w:after="0"/>
        <w:rPr>
          <w:sz w:val="20"/>
          <w:szCs w:val="20"/>
          <w:color w:val="auto"/>
        </w:rPr>
      </w:pPr>
      <w:r>
        <w:rPr>
          <w:rFonts w:ascii="Arial" w:cs="Arial" w:eastAsia="Arial" w:hAnsi="Arial"/>
          <w:sz w:val="17"/>
          <w:szCs w:val="17"/>
          <w:u w:val="single" w:color="auto"/>
          <w:color w:val="0000EE"/>
        </w:rPr>
        <w:t>2020 Omnibus Incentive Plan</w:t>
      </w:r>
    </w:p>
    <w:p>
      <w:pPr>
        <w:spacing w:after="0" w:line="63" w:lineRule="exact"/>
        <w:rPr>
          <w:sz w:val="20"/>
          <w:szCs w:val="20"/>
          <w:color w:val="auto"/>
        </w:rPr>
      </w:pPr>
    </w:p>
    <w:p>
      <w:pPr>
        <w:ind w:left="700"/>
        <w:spacing w:after="0"/>
        <w:rPr>
          <w:sz w:val="20"/>
          <w:szCs w:val="20"/>
          <w:color w:val="auto"/>
        </w:rPr>
      </w:pPr>
      <w:r>
        <w:rPr>
          <w:rFonts w:ascii="Arial" w:cs="Arial" w:eastAsia="Arial" w:hAnsi="Arial"/>
          <w:sz w:val="17"/>
          <w:szCs w:val="17"/>
          <w:u w:val="single" w:color="auto"/>
          <w:color w:val="0000EE"/>
        </w:rPr>
        <w:t>Corporate Reorganization &amp; Distribution of Shares</w:t>
      </w:r>
    </w:p>
    <w:p>
      <w:pPr>
        <w:spacing w:after="0" w:line="267" w:lineRule="exact"/>
        <w:rPr>
          <w:sz w:val="20"/>
          <w:szCs w:val="20"/>
          <w:color w:val="auto"/>
        </w:rPr>
      </w:pPr>
    </w:p>
    <w:p>
      <w:pPr>
        <w:ind w:left="360"/>
        <w:spacing w:after="0"/>
        <w:rPr>
          <w:sz w:val="20"/>
          <w:szCs w:val="20"/>
          <w:color w:val="auto"/>
        </w:rPr>
      </w:pPr>
      <w:r>
        <w:rPr>
          <w:rFonts w:ascii="Arial" w:cs="Arial" w:eastAsia="Arial" w:hAnsi="Arial"/>
          <w:sz w:val="17"/>
          <w:szCs w:val="17"/>
          <w:b w:val="1"/>
          <w:bCs w:val="1"/>
          <w:u w:val="single" w:color="auto"/>
          <w:color w:val="0000EE"/>
        </w:rPr>
        <w:t>PAY VERSUS PERFORMANCE</w:t>
      </w:r>
    </w:p>
    <w:p>
      <w:pPr>
        <w:spacing w:after="0" w:line="65" w:lineRule="exact"/>
        <w:rPr>
          <w:sz w:val="20"/>
          <w:szCs w:val="20"/>
          <w:color w:val="auto"/>
        </w:rPr>
      </w:pPr>
    </w:p>
    <w:p>
      <w:pPr>
        <w:ind w:left="700"/>
        <w:spacing w:after="0"/>
        <w:rPr>
          <w:sz w:val="20"/>
          <w:szCs w:val="20"/>
          <w:color w:val="auto"/>
        </w:rPr>
      </w:pPr>
      <w:r>
        <w:rPr>
          <w:rFonts w:ascii="Arial" w:cs="Arial" w:eastAsia="Arial" w:hAnsi="Arial"/>
          <w:sz w:val="17"/>
          <w:szCs w:val="17"/>
          <w:u w:val="single" w:color="auto"/>
          <w:color w:val="0000EE"/>
        </w:rPr>
        <w:t>Pay Versus Performance Table</w:t>
      </w:r>
    </w:p>
    <w:p>
      <w:pPr>
        <w:spacing w:after="0" w:line="267" w:lineRule="exact"/>
        <w:rPr>
          <w:sz w:val="20"/>
          <w:szCs w:val="20"/>
          <w:color w:val="auto"/>
        </w:rPr>
      </w:pPr>
    </w:p>
    <w:p>
      <w:pPr>
        <w:ind w:left="360"/>
        <w:spacing w:after="0"/>
        <w:rPr>
          <w:sz w:val="20"/>
          <w:szCs w:val="20"/>
          <w:color w:val="auto"/>
        </w:rPr>
      </w:pPr>
      <w:r>
        <w:rPr>
          <w:rFonts w:ascii="Arial" w:cs="Arial" w:eastAsia="Arial" w:hAnsi="Arial"/>
          <w:sz w:val="17"/>
          <w:szCs w:val="17"/>
          <w:b w:val="1"/>
          <w:bCs w:val="1"/>
          <w:u w:val="single" w:color="auto"/>
          <w:color w:val="0000EE"/>
        </w:rPr>
        <w:t>CEO PAY RATIO</w:t>
      </w:r>
    </w:p>
    <w:p>
      <w:pPr>
        <w:spacing w:after="0" w:line="269" w:lineRule="exact"/>
        <w:rPr>
          <w:sz w:val="20"/>
          <w:szCs w:val="20"/>
          <w:color w:val="auto"/>
        </w:rPr>
      </w:pPr>
    </w:p>
    <w:p>
      <w:pPr>
        <w:ind w:left="360"/>
        <w:spacing w:after="0"/>
        <w:rPr>
          <w:sz w:val="20"/>
          <w:szCs w:val="20"/>
          <w:color w:val="auto"/>
        </w:rPr>
      </w:pPr>
      <w:r>
        <w:rPr>
          <w:rFonts w:ascii="Arial" w:cs="Arial" w:eastAsia="Arial" w:hAnsi="Arial"/>
          <w:sz w:val="17"/>
          <w:szCs w:val="17"/>
          <w:b w:val="1"/>
          <w:bCs w:val="1"/>
          <w:u w:val="single" w:color="auto"/>
          <w:color w:val="0000EE"/>
        </w:rPr>
        <w:t>PROPOSAL 3: RATIFICATION OF SELECTION OF INDEPENDENT REGISTERED PUBLIC ACCOUNTING FIRM</w:t>
      </w:r>
    </w:p>
    <w:p>
      <w:pPr>
        <w:spacing w:after="0" w:line="65" w:lineRule="exact"/>
        <w:rPr>
          <w:sz w:val="20"/>
          <w:szCs w:val="20"/>
          <w:color w:val="auto"/>
        </w:rPr>
      </w:pPr>
    </w:p>
    <w:p>
      <w:pPr>
        <w:ind w:left="700"/>
        <w:spacing w:after="0"/>
        <w:rPr>
          <w:sz w:val="20"/>
          <w:szCs w:val="20"/>
          <w:color w:val="auto"/>
        </w:rPr>
      </w:pPr>
      <w:r>
        <w:rPr>
          <w:rFonts w:ascii="Arial" w:cs="Arial" w:eastAsia="Arial" w:hAnsi="Arial"/>
          <w:sz w:val="17"/>
          <w:szCs w:val="17"/>
          <w:u w:val="single" w:color="auto"/>
          <w:color w:val="0000EE"/>
        </w:rPr>
        <w:t>Independent Registered Public Accounting Firm Fees</w:t>
      </w:r>
    </w:p>
    <w:p>
      <w:pPr>
        <w:spacing w:after="0" w:line="63" w:lineRule="exact"/>
        <w:rPr>
          <w:sz w:val="20"/>
          <w:szCs w:val="20"/>
          <w:color w:val="auto"/>
        </w:rPr>
      </w:pPr>
    </w:p>
    <w:p>
      <w:pPr>
        <w:ind w:left="700"/>
        <w:spacing w:after="0"/>
        <w:rPr>
          <w:sz w:val="20"/>
          <w:szCs w:val="20"/>
          <w:color w:val="auto"/>
        </w:rPr>
      </w:pPr>
      <w:r>
        <w:rPr>
          <w:rFonts w:ascii="Arial" w:cs="Arial" w:eastAsia="Arial" w:hAnsi="Arial"/>
          <w:sz w:val="17"/>
          <w:szCs w:val="17"/>
          <w:u w:val="single" w:color="auto"/>
          <w:color w:val="0000EE"/>
        </w:rPr>
        <w:t>Policy on Audit Committee’s Pre-Approval of Audit and Permissible Non-Audit Services of Independent Registered Public Accounting Firm</w:t>
      </w:r>
    </w:p>
    <w:p>
      <w:pPr>
        <w:spacing w:after="0" w:line="267" w:lineRule="exact"/>
        <w:rPr>
          <w:sz w:val="20"/>
          <w:szCs w:val="20"/>
          <w:color w:val="auto"/>
        </w:rPr>
      </w:pPr>
    </w:p>
    <w:p>
      <w:pPr>
        <w:ind w:left="360"/>
        <w:spacing w:after="0"/>
        <w:rPr>
          <w:sz w:val="20"/>
          <w:szCs w:val="20"/>
          <w:color w:val="auto"/>
        </w:rPr>
      </w:pPr>
      <w:r>
        <w:rPr>
          <w:rFonts w:ascii="Arial" w:cs="Arial" w:eastAsia="Arial" w:hAnsi="Arial"/>
          <w:sz w:val="17"/>
          <w:szCs w:val="17"/>
          <w:b w:val="1"/>
          <w:bCs w:val="1"/>
          <w:u w:val="single" w:color="auto"/>
          <w:color w:val="0000EE"/>
        </w:rPr>
        <w:t>AUDIT COMMITTEE REPORT</w:t>
      </w:r>
    </w:p>
    <w:p>
      <w:pPr>
        <w:spacing w:after="0" w:line="269" w:lineRule="exact"/>
        <w:rPr>
          <w:sz w:val="20"/>
          <w:szCs w:val="20"/>
          <w:color w:val="auto"/>
        </w:rPr>
      </w:pPr>
    </w:p>
    <w:p>
      <w:pPr>
        <w:ind w:left="360"/>
        <w:spacing w:after="0"/>
        <w:rPr>
          <w:sz w:val="20"/>
          <w:szCs w:val="20"/>
          <w:color w:val="auto"/>
        </w:rPr>
      </w:pPr>
      <w:r>
        <w:rPr>
          <w:rFonts w:ascii="Arial" w:cs="Arial" w:eastAsia="Arial" w:hAnsi="Arial"/>
          <w:sz w:val="17"/>
          <w:szCs w:val="17"/>
          <w:b w:val="1"/>
          <w:bCs w:val="1"/>
          <w:u w:val="single" w:color="auto"/>
          <w:color w:val="0000EE"/>
        </w:rPr>
        <w:t>SECURITY OWNERSHIP OF CERTAIN BENEFICIAL OWNERS AND MANAGEMENT</w:t>
      </w:r>
    </w:p>
    <w:p>
      <w:pPr>
        <w:spacing w:after="0" w:line="63" w:lineRule="exact"/>
        <w:rPr>
          <w:sz w:val="20"/>
          <w:szCs w:val="20"/>
          <w:color w:val="auto"/>
        </w:rPr>
      </w:pPr>
    </w:p>
    <w:p>
      <w:pPr>
        <w:ind w:left="360"/>
        <w:spacing w:after="0"/>
        <w:rPr>
          <w:sz w:val="20"/>
          <w:szCs w:val="20"/>
          <w:color w:val="auto"/>
        </w:rPr>
      </w:pPr>
      <w:r>
        <w:rPr>
          <w:rFonts w:ascii="Arial" w:cs="Arial" w:eastAsia="Arial" w:hAnsi="Arial"/>
          <w:sz w:val="17"/>
          <w:szCs w:val="17"/>
          <w:b w:val="1"/>
          <w:bCs w:val="1"/>
          <w:u w:val="single" w:color="auto"/>
          <w:color w:val="0000EE"/>
        </w:rPr>
        <w:t>CERTAIN RELATIONSHIPS AND RELATED PARTY TRANSACTIONS</w:t>
      </w:r>
    </w:p>
    <w:p>
      <w:pPr>
        <w:spacing w:after="0" w:line="65" w:lineRule="exact"/>
        <w:rPr>
          <w:sz w:val="20"/>
          <w:szCs w:val="20"/>
          <w:color w:val="auto"/>
        </w:rPr>
      </w:pPr>
    </w:p>
    <w:p>
      <w:pPr>
        <w:ind w:left="700"/>
        <w:spacing w:after="0"/>
        <w:rPr>
          <w:sz w:val="20"/>
          <w:szCs w:val="20"/>
          <w:color w:val="auto"/>
        </w:rPr>
      </w:pPr>
      <w:r>
        <w:rPr>
          <w:rFonts w:ascii="Arial" w:cs="Arial" w:eastAsia="Arial" w:hAnsi="Arial"/>
          <w:sz w:val="17"/>
          <w:szCs w:val="17"/>
          <w:u w:val="single" w:color="auto"/>
          <w:color w:val="0000EE"/>
        </w:rPr>
        <w:t>Registration Rights Agreement</w:t>
      </w:r>
    </w:p>
    <w:p>
      <w:pPr>
        <w:spacing w:after="0" w:line="63" w:lineRule="exact"/>
        <w:rPr>
          <w:sz w:val="20"/>
          <w:szCs w:val="20"/>
          <w:color w:val="auto"/>
        </w:rPr>
      </w:pPr>
    </w:p>
    <w:p>
      <w:pPr>
        <w:ind w:left="700"/>
        <w:spacing w:after="0"/>
        <w:rPr>
          <w:sz w:val="20"/>
          <w:szCs w:val="20"/>
          <w:color w:val="auto"/>
        </w:rPr>
      </w:pPr>
      <w:r>
        <w:rPr>
          <w:rFonts w:ascii="Arial" w:cs="Arial" w:eastAsia="Arial" w:hAnsi="Arial"/>
          <w:sz w:val="17"/>
          <w:szCs w:val="17"/>
          <w:u w:val="single" w:color="auto"/>
          <w:color w:val="0000EE"/>
        </w:rPr>
        <w:t>Stockholders’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231775</wp:posOffset>
            </wp:positionH>
            <wp:positionV relativeFrom="paragraph">
              <wp:posOffset>156845</wp:posOffset>
            </wp:positionV>
            <wp:extent cx="6687820" cy="165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687820" cy="1651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ii</w:t>
      </w:r>
    </w:p>
    <w:p>
      <w:pPr>
        <w:sectPr>
          <w:pgSz w:w="11900" w:h="16838" w:orient="portrait"/>
          <w:cols w:equalWidth="0" w:num="1">
            <w:col w:w="11200"/>
          </w:cols>
          <w:pgMar w:left="320" w:top="468" w:right="37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195"/>
        </w:trPr>
        <w:tc>
          <w:tcPr>
            <w:tcW w:w="130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7"/>
                <w:szCs w:val="17"/>
                <w:b w:val="1"/>
                <w:bCs w:val="1"/>
                <w:color w:val="0000EE"/>
                <w:w w:val="98"/>
              </w:rPr>
              <w:t>Table of Contents</w:t>
            </w:r>
          </w:p>
        </w:tc>
        <w:tc>
          <w:tcPr>
            <w:tcW w:w="9100" w:type="dxa"/>
            <w:vAlign w:val="bottom"/>
            <w:gridSpan w:val="7"/>
          </w:tcPr>
          <w:p>
            <w:pPr>
              <w:spacing w:after="0"/>
              <w:rPr>
                <w:sz w:val="17"/>
                <w:szCs w:val="17"/>
                <w:color w:val="auto"/>
              </w:rPr>
            </w:pPr>
          </w:p>
        </w:tc>
        <w:tc>
          <w:tcPr>
            <w:tcW w:w="500" w:type="dxa"/>
            <w:vAlign w:val="bottom"/>
          </w:tcPr>
          <w:p>
            <w:pPr>
              <w:spacing w:after="0"/>
              <w:rPr>
                <w:sz w:val="17"/>
                <w:szCs w:val="17"/>
                <w:color w:val="auto"/>
              </w:rPr>
            </w:pPr>
          </w:p>
        </w:tc>
      </w:tr>
      <w:tr>
        <w:trPr>
          <w:trHeight w:val="470"/>
        </w:trPr>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0" w:type="dxa"/>
            <w:vAlign w:val="bottom"/>
            <w:tcBorders>
              <w:bottom w:val="single" w:sz="8" w:color="0000EE"/>
            </w:tcBorders>
            <w:gridSpan w:val="6"/>
          </w:tcPr>
          <w:p>
            <w:pPr>
              <w:spacing w:after="0"/>
              <w:rPr>
                <w:sz w:val="20"/>
                <w:szCs w:val="20"/>
                <w:color w:val="auto"/>
              </w:rPr>
            </w:pPr>
            <w:r>
              <w:rPr>
                <w:rFonts w:ascii="Arial" w:cs="Arial" w:eastAsia="Arial" w:hAnsi="Arial"/>
                <w:sz w:val="17"/>
                <w:szCs w:val="17"/>
                <w:color w:val="0000EE"/>
              </w:rPr>
              <w:t>Limitation of Liability and Indemnification of Officers and Directors</w:t>
            </w:r>
          </w:p>
        </w:tc>
        <w:tc>
          <w:tcPr>
            <w:tcW w:w="4700" w:type="dxa"/>
            <w:vAlign w:val="bottom"/>
            <w:gridSpan w:val="2"/>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75</w:t>
            </w:r>
          </w:p>
        </w:tc>
      </w:tr>
      <w:tr>
        <w:trPr>
          <w:trHeight w:val="238"/>
        </w:trPr>
        <w:tc>
          <w:tcPr>
            <w:tcW w:w="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700" w:type="dxa"/>
            <w:vAlign w:val="bottom"/>
            <w:gridSpan w:val="8"/>
          </w:tcPr>
          <w:p>
            <w:pPr>
              <w:spacing w:after="0"/>
              <w:rPr>
                <w:sz w:val="20"/>
                <w:szCs w:val="20"/>
                <w:color w:val="auto"/>
              </w:rPr>
            </w:pPr>
            <w:r>
              <w:rPr>
                <w:rFonts w:ascii="Arial" w:cs="Arial" w:eastAsia="Arial" w:hAnsi="Arial"/>
                <w:sz w:val="17"/>
                <w:szCs w:val="17"/>
                <w:color w:val="0000EE"/>
              </w:rPr>
              <w:t>Policies and Procedures for Related Party Transactions</w:t>
            </w:r>
          </w:p>
        </w:tc>
        <w:tc>
          <w:tcPr>
            <w:tcW w:w="500" w:type="dxa"/>
            <w:vAlign w:val="bottom"/>
          </w:tcPr>
          <w:p>
            <w:pPr>
              <w:jc w:val="right"/>
              <w:spacing w:after="0"/>
              <w:rPr>
                <w:sz w:val="20"/>
                <w:szCs w:val="20"/>
                <w:color w:val="auto"/>
              </w:rPr>
            </w:pPr>
            <w:r>
              <w:rPr>
                <w:rFonts w:ascii="Arial" w:cs="Arial" w:eastAsia="Arial" w:hAnsi="Arial"/>
                <w:sz w:val="17"/>
                <w:szCs w:val="17"/>
                <w:color w:val="auto"/>
              </w:rPr>
              <w:t>76</w:t>
            </w:r>
          </w:p>
        </w:tc>
      </w:tr>
      <w:tr>
        <w:trPr>
          <w:trHeight w:val="20"/>
        </w:trPr>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00" w:type="dxa"/>
            <w:vAlign w:val="bottom"/>
            <w:gridSpan w:val="2"/>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52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445"/>
        </w:trPr>
        <w:tc>
          <w:tcPr>
            <w:tcW w:w="360" w:type="dxa"/>
            <w:vAlign w:val="bottom"/>
          </w:tcPr>
          <w:p>
            <w:pPr>
              <w:spacing w:after="0"/>
              <w:rPr>
                <w:sz w:val="24"/>
                <w:szCs w:val="24"/>
                <w:color w:val="auto"/>
              </w:rPr>
            </w:pPr>
          </w:p>
        </w:tc>
        <w:tc>
          <w:tcPr>
            <w:tcW w:w="10040" w:type="dxa"/>
            <w:vAlign w:val="bottom"/>
            <w:gridSpan w:val="9"/>
          </w:tcPr>
          <w:p>
            <w:pPr>
              <w:spacing w:after="0"/>
              <w:rPr>
                <w:sz w:val="20"/>
                <w:szCs w:val="20"/>
                <w:color w:val="auto"/>
              </w:rPr>
            </w:pPr>
            <w:r>
              <w:rPr>
                <w:rFonts w:ascii="Arial" w:cs="Arial" w:eastAsia="Arial" w:hAnsi="Arial"/>
                <w:sz w:val="17"/>
                <w:szCs w:val="17"/>
                <w:b w:val="1"/>
                <w:bCs w:val="1"/>
                <w:color w:val="0000EE"/>
              </w:rPr>
              <w:t>OTHER INFORMATION</w:t>
            </w:r>
          </w:p>
        </w:tc>
        <w:tc>
          <w:tcPr>
            <w:tcW w:w="500" w:type="dxa"/>
            <w:vAlign w:val="bottom"/>
          </w:tcPr>
          <w:p>
            <w:pPr>
              <w:jc w:val="right"/>
              <w:spacing w:after="0"/>
              <w:rPr>
                <w:sz w:val="20"/>
                <w:szCs w:val="20"/>
                <w:color w:val="auto"/>
              </w:rPr>
            </w:pPr>
            <w:r>
              <w:rPr>
                <w:rFonts w:ascii="Arial" w:cs="Arial" w:eastAsia="Arial" w:hAnsi="Arial"/>
                <w:sz w:val="17"/>
                <w:szCs w:val="17"/>
                <w:color w:val="auto"/>
              </w:rPr>
              <w:t>77</w:t>
            </w:r>
          </w:p>
        </w:tc>
      </w:tr>
      <w:tr>
        <w:trPr>
          <w:trHeight w:val="20"/>
        </w:trPr>
        <w:tc>
          <w:tcPr>
            <w:tcW w:w="36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500" w:type="dxa"/>
            <w:vAlign w:val="bottom"/>
            <w:gridSpan w:val="2"/>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90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238"/>
        </w:trPr>
        <w:tc>
          <w:tcPr>
            <w:tcW w:w="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160" w:type="dxa"/>
            <w:vAlign w:val="bottom"/>
            <w:tcBorders>
              <w:bottom w:val="single" w:sz="8" w:color="0000EE"/>
            </w:tcBorders>
            <w:gridSpan w:val="3"/>
          </w:tcPr>
          <w:p>
            <w:pPr>
              <w:spacing w:after="0"/>
              <w:rPr>
                <w:sz w:val="20"/>
                <w:szCs w:val="20"/>
                <w:color w:val="auto"/>
              </w:rPr>
            </w:pPr>
            <w:r>
              <w:rPr>
                <w:rFonts w:ascii="Arial" w:cs="Arial" w:eastAsia="Arial" w:hAnsi="Arial"/>
                <w:sz w:val="17"/>
                <w:szCs w:val="17"/>
                <w:color w:val="0000EE"/>
              </w:rPr>
              <w:t>2024 Stockholder Proposals</w:t>
            </w:r>
          </w:p>
        </w:tc>
        <w:tc>
          <w:tcPr>
            <w:tcW w:w="7540" w:type="dxa"/>
            <w:vAlign w:val="bottom"/>
            <w:gridSpan w:val="5"/>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77</w:t>
            </w:r>
          </w:p>
        </w:tc>
      </w:tr>
      <w:tr>
        <w:trPr>
          <w:trHeight w:val="238"/>
        </w:trPr>
        <w:tc>
          <w:tcPr>
            <w:tcW w:w="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700" w:type="dxa"/>
            <w:vAlign w:val="bottom"/>
            <w:gridSpan w:val="8"/>
          </w:tcPr>
          <w:p>
            <w:pPr>
              <w:spacing w:after="0"/>
              <w:rPr>
                <w:sz w:val="20"/>
                <w:szCs w:val="20"/>
                <w:color w:val="auto"/>
              </w:rPr>
            </w:pPr>
            <w:r>
              <w:rPr>
                <w:rFonts w:ascii="Arial" w:cs="Arial" w:eastAsia="Arial" w:hAnsi="Arial"/>
                <w:sz w:val="17"/>
                <w:szCs w:val="17"/>
                <w:color w:val="0000EE"/>
              </w:rPr>
              <w:t>Annual Meeting Advance Notice Requirements</w:t>
            </w:r>
          </w:p>
        </w:tc>
        <w:tc>
          <w:tcPr>
            <w:tcW w:w="500" w:type="dxa"/>
            <w:vAlign w:val="bottom"/>
          </w:tcPr>
          <w:p>
            <w:pPr>
              <w:jc w:val="right"/>
              <w:spacing w:after="0"/>
              <w:rPr>
                <w:sz w:val="20"/>
                <w:szCs w:val="20"/>
                <w:color w:val="auto"/>
              </w:rPr>
            </w:pPr>
            <w:r>
              <w:rPr>
                <w:rFonts w:ascii="Arial" w:cs="Arial" w:eastAsia="Arial" w:hAnsi="Arial"/>
                <w:sz w:val="17"/>
                <w:szCs w:val="17"/>
                <w:color w:val="auto"/>
              </w:rPr>
              <w:t>77</w:t>
            </w:r>
          </w:p>
        </w:tc>
      </w:tr>
      <w:tr>
        <w:trPr>
          <w:trHeight w:val="20"/>
        </w:trPr>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560" w:type="dxa"/>
            <w:vAlign w:val="bottom"/>
            <w:gridSpan w:val="4"/>
            <w:shd w:val="clear" w:color="auto" w:fill="0000EE"/>
          </w:tcPr>
          <w:p>
            <w:pPr>
              <w:spacing w:after="0" w:line="20" w:lineRule="exact"/>
              <w:rPr>
                <w:sz w:val="1"/>
                <w:szCs w:val="1"/>
                <w:color w:val="auto"/>
              </w:rPr>
            </w:pPr>
          </w:p>
        </w:tc>
        <w:tc>
          <w:tcPr>
            <w:tcW w:w="590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445"/>
        </w:trPr>
        <w:tc>
          <w:tcPr>
            <w:tcW w:w="360" w:type="dxa"/>
            <w:vAlign w:val="bottom"/>
          </w:tcPr>
          <w:p>
            <w:pPr>
              <w:spacing w:after="0"/>
              <w:rPr>
                <w:sz w:val="24"/>
                <w:szCs w:val="24"/>
                <w:color w:val="auto"/>
              </w:rPr>
            </w:pPr>
          </w:p>
        </w:tc>
        <w:tc>
          <w:tcPr>
            <w:tcW w:w="10040" w:type="dxa"/>
            <w:vAlign w:val="bottom"/>
            <w:gridSpan w:val="9"/>
          </w:tcPr>
          <w:p>
            <w:pPr>
              <w:spacing w:after="0"/>
              <w:rPr>
                <w:sz w:val="20"/>
                <w:szCs w:val="20"/>
                <w:color w:val="auto"/>
              </w:rPr>
            </w:pPr>
            <w:r>
              <w:rPr>
                <w:rFonts w:ascii="Arial" w:cs="Arial" w:eastAsia="Arial" w:hAnsi="Arial"/>
                <w:sz w:val="17"/>
                <w:szCs w:val="17"/>
                <w:b w:val="1"/>
                <w:bCs w:val="1"/>
                <w:color w:val="0000EE"/>
              </w:rPr>
              <w:t>QUESTIONS AND ANSWERS ABOUT THE PROXY STATEMENT AND OUR 2023 ANNUAL MEETING OF SHAREHOLDERS</w:t>
            </w:r>
          </w:p>
        </w:tc>
        <w:tc>
          <w:tcPr>
            <w:tcW w:w="500" w:type="dxa"/>
            <w:vAlign w:val="bottom"/>
          </w:tcPr>
          <w:p>
            <w:pPr>
              <w:jc w:val="right"/>
              <w:spacing w:after="0"/>
              <w:rPr>
                <w:sz w:val="20"/>
                <w:szCs w:val="20"/>
                <w:color w:val="auto"/>
              </w:rPr>
            </w:pPr>
            <w:r>
              <w:rPr>
                <w:rFonts w:ascii="Arial" w:cs="Arial" w:eastAsia="Arial" w:hAnsi="Arial"/>
                <w:sz w:val="17"/>
                <w:szCs w:val="17"/>
                <w:color w:val="auto"/>
              </w:rPr>
              <w:t>78</w:t>
            </w:r>
          </w:p>
        </w:tc>
      </w:tr>
      <w:tr>
        <w:trPr>
          <w:trHeight w:val="244"/>
        </w:trPr>
        <w:tc>
          <w:tcPr>
            <w:tcW w:w="360" w:type="dxa"/>
            <w:vAlign w:val="bottom"/>
          </w:tcPr>
          <w:p>
            <w:pPr>
              <w:spacing w:after="0"/>
              <w:rPr>
                <w:sz w:val="21"/>
                <w:szCs w:val="21"/>
                <w:color w:val="auto"/>
              </w:rPr>
            </w:pPr>
          </w:p>
        </w:tc>
        <w:tc>
          <w:tcPr>
            <w:tcW w:w="340" w:type="dxa"/>
            <w:vAlign w:val="bottom"/>
            <w:tcBorders>
              <w:top w:val="single" w:sz="8" w:color="0000EE"/>
              <w:bottom w:val="single" w:sz="8" w:color="00B0DB"/>
            </w:tcBorders>
          </w:tcPr>
          <w:p>
            <w:pPr>
              <w:spacing w:after="0"/>
              <w:rPr>
                <w:sz w:val="21"/>
                <w:szCs w:val="21"/>
                <w:color w:val="auto"/>
              </w:rPr>
            </w:pPr>
          </w:p>
        </w:tc>
        <w:tc>
          <w:tcPr>
            <w:tcW w:w="600" w:type="dxa"/>
            <w:vAlign w:val="bottom"/>
            <w:tcBorders>
              <w:top w:val="single" w:sz="8" w:color="0000EE"/>
              <w:bottom w:val="single" w:sz="8" w:color="00B0DB"/>
            </w:tcBorders>
          </w:tcPr>
          <w:p>
            <w:pPr>
              <w:spacing w:after="0"/>
              <w:rPr>
                <w:sz w:val="21"/>
                <w:szCs w:val="21"/>
                <w:color w:val="auto"/>
              </w:rPr>
            </w:pPr>
          </w:p>
        </w:tc>
        <w:tc>
          <w:tcPr>
            <w:tcW w:w="900" w:type="dxa"/>
            <w:vAlign w:val="bottom"/>
            <w:tcBorders>
              <w:top w:val="single" w:sz="8" w:color="0000EE"/>
              <w:bottom w:val="single" w:sz="8" w:color="00B0DB"/>
            </w:tcBorders>
          </w:tcPr>
          <w:p>
            <w:pPr>
              <w:spacing w:after="0"/>
              <w:rPr>
                <w:sz w:val="21"/>
                <w:szCs w:val="21"/>
                <w:color w:val="auto"/>
              </w:rPr>
            </w:pPr>
          </w:p>
        </w:tc>
        <w:tc>
          <w:tcPr>
            <w:tcW w:w="660" w:type="dxa"/>
            <w:vAlign w:val="bottom"/>
            <w:tcBorders>
              <w:top w:val="single" w:sz="8" w:color="0000EE"/>
              <w:bottom w:val="single" w:sz="8" w:color="00B0DB"/>
            </w:tcBorders>
          </w:tcPr>
          <w:p>
            <w:pPr>
              <w:spacing w:after="0"/>
              <w:rPr>
                <w:sz w:val="21"/>
                <w:szCs w:val="21"/>
                <w:color w:val="auto"/>
              </w:rPr>
            </w:pPr>
          </w:p>
        </w:tc>
        <w:tc>
          <w:tcPr>
            <w:tcW w:w="1400" w:type="dxa"/>
            <w:vAlign w:val="bottom"/>
            <w:tcBorders>
              <w:top w:val="single" w:sz="8" w:color="0000EE"/>
              <w:bottom w:val="single" w:sz="8" w:color="00B0DB"/>
            </w:tcBorders>
          </w:tcPr>
          <w:p>
            <w:pPr>
              <w:spacing w:after="0"/>
              <w:rPr>
                <w:sz w:val="21"/>
                <w:szCs w:val="21"/>
                <w:color w:val="auto"/>
              </w:rPr>
            </w:pPr>
          </w:p>
        </w:tc>
        <w:tc>
          <w:tcPr>
            <w:tcW w:w="660" w:type="dxa"/>
            <w:vAlign w:val="bottom"/>
            <w:tcBorders>
              <w:top w:val="single" w:sz="8" w:color="0000EE"/>
              <w:bottom w:val="single" w:sz="8" w:color="00B0DB"/>
            </w:tcBorders>
          </w:tcPr>
          <w:p>
            <w:pPr>
              <w:spacing w:after="0"/>
              <w:rPr>
                <w:sz w:val="21"/>
                <w:szCs w:val="21"/>
                <w:color w:val="auto"/>
              </w:rPr>
            </w:pPr>
          </w:p>
        </w:tc>
        <w:tc>
          <w:tcPr>
            <w:tcW w:w="780" w:type="dxa"/>
            <w:vAlign w:val="bottom"/>
            <w:tcBorders>
              <w:top w:val="single" w:sz="8" w:color="0000EE"/>
              <w:bottom w:val="single" w:sz="8" w:color="00B0DB"/>
            </w:tcBorders>
          </w:tcPr>
          <w:p>
            <w:pPr>
              <w:spacing w:after="0"/>
              <w:rPr>
                <w:sz w:val="21"/>
                <w:szCs w:val="21"/>
                <w:color w:val="auto"/>
              </w:rPr>
            </w:pPr>
          </w:p>
        </w:tc>
        <w:tc>
          <w:tcPr>
            <w:tcW w:w="4460" w:type="dxa"/>
            <w:vAlign w:val="bottom"/>
            <w:tcBorders>
              <w:top w:val="single" w:sz="8" w:color="0000EE"/>
              <w:bottom w:val="single" w:sz="8" w:color="00B0DB"/>
            </w:tcBorders>
          </w:tcPr>
          <w:p>
            <w:pPr>
              <w:spacing w:after="0"/>
              <w:rPr>
                <w:sz w:val="21"/>
                <w:szCs w:val="21"/>
                <w:color w:val="auto"/>
              </w:rPr>
            </w:pPr>
          </w:p>
        </w:tc>
        <w:tc>
          <w:tcPr>
            <w:tcW w:w="240" w:type="dxa"/>
            <w:vAlign w:val="bottom"/>
            <w:tcBorders>
              <w:bottom w:val="single" w:sz="8" w:color="00B0DB"/>
            </w:tcBorders>
          </w:tcPr>
          <w:p>
            <w:pPr>
              <w:spacing w:after="0"/>
              <w:rPr>
                <w:sz w:val="21"/>
                <w:szCs w:val="21"/>
                <w:color w:val="auto"/>
              </w:rPr>
            </w:pPr>
          </w:p>
        </w:tc>
        <w:tc>
          <w:tcPr>
            <w:tcW w:w="500" w:type="dxa"/>
            <w:vAlign w:val="bottom"/>
            <w:tcBorders>
              <w:bottom w:val="single" w:sz="8" w:color="00B0DB"/>
            </w:tcBorders>
          </w:tcPr>
          <w:p>
            <w:pPr>
              <w:spacing w:after="0"/>
              <w:rPr>
                <w:sz w:val="21"/>
                <w:szCs w:val="21"/>
                <w:color w:val="auto"/>
              </w:rPr>
            </w:pPr>
          </w:p>
        </w:tc>
      </w:tr>
      <w:tr>
        <w:trPr>
          <w:trHeight w:val="390"/>
        </w:trPr>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480" w:type="dxa"/>
            <w:vAlign w:val="bottom"/>
            <w:gridSpan w:val="3"/>
          </w:tcPr>
          <w:p>
            <w:pPr>
              <w:ind w:left="700"/>
              <w:spacing w:after="0"/>
              <w:rPr>
                <w:sz w:val="20"/>
                <w:szCs w:val="20"/>
                <w:color w:val="auto"/>
              </w:rPr>
            </w:pPr>
            <w:r>
              <w:rPr>
                <w:rFonts w:ascii="Arial" w:cs="Arial" w:eastAsia="Arial" w:hAnsi="Arial"/>
                <w:sz w:val="17"/>
                <w:szCs w:val="17"/>
                <w:color w:val="auto"/>
              </w:rPr>
              <w:t>iii</w:t>
            </w:r>
          </w:p>
        </w:tc>
        <w:tc>
          <w:tcPr>
            <w:tcW w:w="50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0900"/>
          </w:cols>
          <w:pgMar w:left="320" w:top="460" w:right="679" w:bottom="1440" w:gutter="0" w:footer="0" w:header="0"/>
        </w:sect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5397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9945" cy="53975"/>
                    </a:xfrm>
                    <a:prstGeom prst="rect">
                      <a:avLst/>
                    </a:prstGeom>
                    <a:noFill/>
                  </pic:spPr>
                </pic:pic>
              </a:graphicData>
            </a:graphic>
          </wp:anchor>
        </w:drawing>
      </w:r>
    </w:p>
    <w:bookmarkStart w:id="9" w:name="page10"/>
    <w:bookmarkEnd w:id="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539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9945" cy="53975"/>
                    </a:xfrm>
                    <a:prstGeom prst="rect">
                      <a:avLst/>
                    </a:prstGeom>
                    <a:noFill/>
                  </pic:spPr>
                </pic:pic>
              </a:graphicData>
            </a:graphic>
          </wp:anchor>
        </w:drawing>
        <w:t>Table of Contents</w:t>
      </w:r>
    </w:p>
    <w:p>
      <w:pPr>
        <w:spacing w:after="0" w:line="296" w:lineRule="exact"/>
        <w:rPr>
          <w:sz w:val="20"/>
          <w:szCs w:val="20"/>
          <w:color w:val="auto"/>
        </w:rPr>
      </w:pPr>
    </w:p>
    <w:p>
      <w:pPr>
        <w:jc w:val="right"/>
        <w:ind w:right="20"/>
        <w:spacing w:after="0"/>
        <w:rPr>
          <w:sz w:val="20"/>
          <w:szCs w:val="20"/>
          <w:color w:val="auto"/>
        </w:rPr>
      </w:pPr>
      <w:r>
        <w:rPr>
          <w:rFonts w:ascii="Arial" w:cs="Arial" w:eastAsia="Arial" w:hAnsi="Arial"/>
          <w:sz w:val="17"/>
          <w:szCs w:val="17"/>
          <w:b w:val="1"/>
          <w:bCs w:val="1"/>
          <w:color w:val="auto"/>
        </w:rPr>
        <w:t>Proxy Statement Summary</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Annual Meeting of Shareholders</w:t>
      </w:r>
    </w:p>
    <w:p>
      <w:pPr>
        <w:spacing w:after="0" w:line="90" w:lineRule="exact"/>
        <w:rPr>
          <w:sz w:val="20"/>
          <w:szCs w:val="20"/>
          <w:color w:val="auto"/>
        </w:rPr>
      </w:pPr>
    </w:p>
    <w:p>
      <w:pPr>
        <w:ind w:left="360"/>
        <w:spacing w:after="0"/>
        <w:rPr>
          <w:sz w:val="20"/>
          <w:szCs w:val="20"/>
          <w:color w:val="auto"/>
        </w:rPr>
      </w:pPr>
      <w:r>
        <w:rPr>
          <w:rFonts w:ascii="Arial" w:cs="Arial" w:eastAsia="Arial" w:hAnsi="Arial"/>
          <w:sz w:val="41"/>
          <w:szCs w:val="41"/>
          <w:b w:val="1"/>
          <w:bCs w:val="1"/>
          <w:color w:val="00B0DB"/>
        </w:rPr>
        <w:t>PROXY STATEMENT SUMMARY</w:t>
      </w:r>
    </w:p>
    <w:p>
      <w:pPr>
        <w:spacing w:after="0" w:line="239" w:lineRule="exact"/>
        <w:rPr>
          <w:sz w:val="20"/>
          <w:szCs w:val="20"/>
          <w:color w:val="auto"/>
        </w:rPr>
      </w:pPr>
    </w:p>
    <w:p>
      <w:pPr>
        <w:ind w:left="360" w:right="80"/>
        <w:spacing w:after="0" w:line="249" w:lineRule="auto"/>
        <w:rPr>
          <w:sz w:val="20"/>
          <w:szCs w:val="20"/>
          <w:color w:val="auto"/>
        </w:rPr>
      </w:pPr>
      <w:r>
        <w:rPr>
          <w:rFonts w:ascii="Arial" w:cs="Arial" w:eastAsia="Arial" w:hAnsi="Arial"/>
          <w:sz w:val="17"/>
          <w:szCs w:val="17"/>
          <w:i w:val="1"/>
          <w:iCs w:val="1"/>
          <w:color w:val="auto"/>
        </w:rPr>
        <w:t>Your proxy is being solicited on behalf of the board of directors (“Board”) of Sotera Health Company (“Sotera Health”, the “Company”, “we”, “us” or “our”) to vote at the 2023 Annual Meeting of Shareholders (“Annual Meeting”). We are making this Proxy Statement available to shareholders beginning on April 13, 2023. This summary represents only selected information. We encourage you to read the entire Proxy Statement before voting.</w:t>
      </w:r>
    </w:p>
    <w:p>
      <w:pPr>
        <w:spacing w:after="0" w:line="261" w:lineRule="exact"/>
        <w:rPr>
          <w:sz w:val="20"/>
          <w:szCs w:val="20"/>
          <w:color w:val="auto"/>
        </w:rPr>
      </w:pPr>
    </w:p>
    <w:p>
      <w:pPr>
        <w:ind w:left="360"/>
        <w:spacing w:after="0"/>
        <w:rPr>
          <w:sz w:val="20"/>
          <w:szCs w:val="20"/>
          <w:color w:val="auto"/>
        </w:rPr>
      </w:pPr>
      <w:r>
        <w:rPr>
          <w:rFonts w:ascii="Arial" w:cs="Arial" w:eastAsia="Arial" w:hAnsi="Arial"/>
          <w:sz w:val="31"/>
          <w:szCs w:val="31"/>
          <w:color w:val="00B0DB"/>
        </w:rPr>
        <w:t>Annual Meeting of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330200</wp:posOffset>
            </wp:positionH>
            <wp:positionV relativeFrom="paragraph">
              <wp:posOffset>208280</wp:posOffset>
            </wp:positionV>
            <wp:extent cx="270510" cy="2705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70510" cy="270510"/>
                    </a:xfrm>
                    <a:prstGeom prst="rect">
                      <a:avLst/>
                    </a:prstGeom>
                    <a:noFill/>
                  </pic:spPr>
                </pic:pic>
              </a:graphicData>
            </a:graphic>
          </wp:anchor>
        </w:drawing>
      </w:r>
    </w:p>
    <w:p>
      <w:pPr>
        <w:sectPr>
          <w:pgSz w:w="11900" w:h="16838" w:orient="portrait"/>
          <w:cols w:equalWidth="0" w:num="1">
            <w:col w:w="10900"/>
          </w:cols>
          <w:pgMar w:left="320" w:top="468" w:right="679" w:bottom="1440" w:gutter="0" w:footer="0" w:header="0"/>
        </w:sectPr>
      </w:pPr>
    </w:p>
    <w:p>
      <w:pPr>
        <w:spacing w:after="0" w:line="200" w:lineRule="exact"/>
        <w:rPr>
          <w:sz w:val="20"/>
          <w:szCs w:val="20"/>
          <w:color w:val="auto"/>
        </w:rPr>
      </w:pPr>
    </w:p>
    <w:p>
      <w:pPr>
        <w:spacing w:after="0" w:line="238" w:lineRule="exact"/>
        <w:rPr>
          <w:sz w:val="20"/>
          <w:szCs w:val="20"/>
          <w:color w:val="auto"/>
        </w:rPr>
      </w:pPr>
    </w:p>
    <w:p>
      <w:pPr>
        <w:ind w:left="1420"/>
        <w:spacing w:after="0"/>
        <w:rPr>
          <w:sz w:val="20"/>
          <w:szCs w:val="20"/>
          <w:color w:val="auto"/>
        </w:rPr>
      </w:pPr>
      <w:r>
        <w:rPr>
          <w:rFonts w:ascii="Arial" w:cs="Arial" w:eastAsia="Arial" w:hAnsi="Arial"/>
          <w:sz w:val="16"/>
          <w:szCs w:val="16"/>
          <w:b w:val="1"/>
          <w:bCs w:val="1"/>
          <w:color w:val="auto"/>
        </w:rPr>
        <w:t>Time and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239395</wp:posOffset>
            </wp:positionV>
            <wp:extent cx="303530" cy="262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03530" cy="262255"/>
                    </a:xfrm>
                    <a:prstGeom prst="rect">
                      <a:avLst/>
                    </a:prstGeom>
                    <a:noFill/>
                  </pic:spPr>
                </pic:pic>
              </a:graphicData>
            </a:graphic>
          </wp:anchor>
        </w:drawing>
      </w:r>
    </w:p>
    <w:p>
      <w:pPr>
        <w:spacing w:after="0" w:line="390" w:lineRule="exact"/>
        <w:rPr>
          <w:sz w:val="20"/>
          <w:szCs w:val="20"/>
          <w:color w:val="auto"/>
        </w:rPr>
      </w:pPr>
    </w:p>
    <w:p>
      <w:pPr>
        <w:ind w:left="1780"/>
        <w:spacing w:after="0"/>
        <w:rPr>
          <w:sz w:val="20"/>
          <w:szCs w:val="20"/>
          <w:color w:val="auto"/>
        </w:rPr>
      </w:pPr>
      <w:r>
        <w:rPr>
          <w:rFonts w:ascii="Arial" w:cs="Arial" w:eastAsia="Arial" w:hAnsi="Arial"/>
          <w:sz w:val="17"/>
          <w:szCs w:val="17"/>
          <w:b w:val="1"/>
          <w:bCs w:val="1"/>
          <w:color w:val="auto"/>
        </w:rPr>
        <w:t>Place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330200</wp:posOffset>
            </wp:positionH>
            <wp:positionV relativeFrom="paragraph">
              <wp:posOffset>207645</wp:posOffset>
            </wp:positionV>
            <wp:extent cx="270510" cy="2705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70510" cy="27051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left="1500"/>
        <w:spacing w:after="0"/>
        <w:rPr>
          <w:sz w:val="20"/>
          <w:szCs w:val="20"/>
          <w:color w:val="auto"/>
        </w:rPr>
      </w:pPr>
      <w:r>
        <w:rPr>
          <w:rFonts w:ascii="Arial" w:cs="Arial" w:eastAsia="Arial" w:hAnsi="Arial"/>
          <w:sz w:val="17"/>
          <w:szCs w:val="17"/>
          <w:b w:val="1"/>
          <w:bCs w:val="1"/>
          <w:color w:val="auto"/>
        </w:rPr>
        <w:t>Record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272415</wp:posOffset>
            </wp:positionH>
            <wp:positionV relativeFrom="paragraph">
              <wp:posOffset>182880</wp:posOffset>
            </wp:positionV>
            <wp:extent cx="385445" cy="2870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85445" cy="287020"/>
                    </a:xfrm>
                    <a:prstGeom prst="rect">
                      <a:avLst/>
                    </a:prstGeom>
                    <a:noFill/>
                  </pic:spPr>
                </pic:pic>
              </a:graphicData>
            </a:graphic>
          </wp:anchor>
        </w:drawing>
      </w:r>
    </w:p>
    <w:p>
      <w:pPr>
        <w:spacing w:after="0" w:line="378" w:lineRule="exact"/>
        <w:rPr>
          <w:sz w:val="20"/>
          <w:szCs w:val="20"/>
          <w:color w:val="auto"/>
        </w:rPr>
      </w:pPr>
    </w:p>
    <w:p>
      <w:pPr>
        <w:ind w:left="1740"/>
        <w:spacing w:after="0"/>
        <w:rPr>
          <w:sz w:val="20"/>
          <w:szCs w:val="20"/>
          <w:color w:val="auto"/>
        </w:rPr>
      </w:pPr>
      <w:r>
        <w:rPr>
          <w:rFonts w:ascii="Arial" w:cs="Arial" w:eastAsia="Arial" w:hAnsi="Arial"/>
          <w:sz w:val="17"/>
          <w:szCs w:val="17"/>
          <w:b w:val="1"/>
          <w:bCs w:val="1"/>
          <w:color w:val="auto"/>
        </w:rPr>
        <w:t>Voting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354330</wp:posOffset>
            </wp:positionH>
            <wp:positionV relativeFrom="paragraph">
              <wp:posOffset>207645</wp:posOffset>
            </wp:positionV>
            <wp:extent cx="229235" cy="262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29235" cy="262255"/>
                    </a:xfrm>
                    <a:prstGeom prst="rect">
                      <a:avLst/>
                    </a:prstGeom>
                    <a:noFill/>
                  </pic:spPr>
                </pic:pic>
              </a:graphicData>
            </a:graphic>
          </wp:anchor>
        </w:drawing>
      </w:r>
    </w:p>
    <w:p>
      <w:pPr>
        <w:spacing w:after="0" w:line="391" w:lineRule="exact"/>
        <w:rPr>
          <w:sz w:val="20"/>
          <w:szCs w:val="20"/>
          <w:color w:val="auto"/>
        </w:rPr>
      </w:pPr>
    </w:p>
    <w:p>
      <w:pPr>
        <w:ind w:left="1520"/>
        <w:spacing w:after="0"/>
        <w:rPr>
          <w:sz w:val="20"/>
          <w:szCs w:val="20"/>
          <w:color w:val="auto"/>
        </w:rPr>
      </w:pPr>
      <w:r>
        <w:rPr>
          <w:rFonts w:ascii="Arial" w:cs="Arial" w:eastAsia="Arial" w:hAnsi="Arial"/>
          <w:sz w:val="17"/>
          <w:szCs w:val="17"/>
          <w:b w:val="1"/>
          <w:bCs w:val="1"/>
          <w:color w:val="auto"/>
        </w:rPr>
        <w:t>Attendance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color w:val="auto"/>
        </w:rPr>
        <w:t>Thursday, May 25, 2023 at 9:00 a.m., Eastern Daylight Time</w:t>
      </w:r>
    </w:p>
    <w:p>
      <w:pPr>
        <w:spacing w:after="0" w:line="166" w:lineRule="exact"/>
        <w:rPr>
          <w:sz w:val="20"/>
          <w:szCs w:val="20"/>
          <w:color w:val="auto"/>
        </w:rPr>
      </w:pPr>
    </w:p>
    <w:p>
      <w:pPr>
        <w:ind w:right="480"/>
        <w:spacing w:after="0" w:line="256" w:lineRule="auto"/>
        <w:rPr>
          <w:sz w:val="20"/>
          <w:szCs w:val="20"/>
          <w:color w:val="auto"/>
        </w:rPr>
      </w:pPr>
      <w:r>
        <w:rPr>
          <w:rFonts w:ascii="Arial" w:cs="Arial" w:eastAsia="Arial" w:hAnsi="Arial"/>
          <w:sz w:val="17"/>
          <w:szCs w:val="17"/>
          <w:color w:val="auto"/>
        </w:rPr>
        <w:t>The Annual Meeting will be a virtual meeting held online at www.virtualshareholdermeeting.com/SHC2023 via a live audio webcast. Please see “Virtual Annual Meeting” on the following page for additional information.</w:t>
      </w:r>
    </w:p>
    <w:p>
      <w:pPr>
        <w:spacing w:after="0" w:line="239" w:lineRule="exact"/>
        <w:rPr>
          <w:sz w:val="20"/>
          <w:szCs w:val="20"/>
          <w:color w:val="auto"/>
        </w:rPr>
      </w:pPr>
    </w:p>
    <w:p>
      <w:pPr>
        <w:spacing w:after="0"/>
        <w:rPr>
          <w:sz w:val="20"/>
          <w:szCs w:val="20"/>
          <w:color w:val="auto"/>
        </w:rPr>
      </w:pPr>
      <w:r>
        <w:rPr>
          <w:rFonts w:ascii="Arial" w:cs="Arial" w:eastAsia="Arial" w:hAnsi="Arial"/>
          <w:sz w:val="17"/>
          <w:szCs w:val="17"/>
          <w:color w:val="auto"/>
        </w:rPr>
        <w:t>March 31, 2023</w:t>
      </w:r>
    </w:p>
    <w:p>
      <w:pPr>
        <w:spacing w:after="0" w:line="166" w:lineRule="exact"/>
        <w:rPr>
          <w:sz w:val="20"/>
          <w:szCs w:val="20"/>
          <w:color w:val="auto"/>
        </w:rPr>
      </w:pPr>
    </w:p>
    <w:p>
      <w:pPr>
        <w:ind w:right="60"/>
        <w:spacing w:after="0" w:line="256" w:lineRule="auto"/>
        <w:rPr>
          <w:sz w:val="20"/>
          <w:szCs w:val="20"/>
          <w:color w:val="auto"/>
        </w:rPr>
      </w:pPr>
      <w:r>
        <w:rPr>
          <w:rFonts w:ascii="Arial" w:cs="Arial" w:eastAsia="Arial" w:hAnsi="Arial"/>
          <w:sz w:val="17"/>
          <w:szCs w:val="17"/>
          <w:color w:val="auto"/>
        </w:rPr>
        <w:t>Only shareholders of record at the close of business on the Record Date are entitled to receive notice of, and vote at, the Annual Meeting. Each share of common stock is entitled to one vote on each director nominee and one vote on each of the proposals.</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color w:val="auto"/>
        </w:rPr>
        <w:t>Shareholders and their duly appointed proxies may attend the meeting.</w:t>
      </w:r>
    </w:p>
    <w:p>
      <w:pPr>
        <w:spacing w:after="0" w:line="200" w:lineRule="exact"/>
        <w:rPr>
          <w:sz w:val="20"/>
          <w:szCs w:val="20"/>
          <w:color w:val="auto"/>
        </w:rPr>
      </w:pPr>
    </w:p>
    <w:p>
      <w:pPr>
        <w:sectPr>
          <w:pgSz w:w="11900" w:h="16838" w:orient="portrait"/>
          <w:cols w:equalWidth="0" w:num="2">
            <w:col w:w="2580" w:space="300"/>
            <w:col w:w="8020"/>
          </w:cols>
          <w:pgMar w:left="320" w:top="468" w:right="679" w:bottom="1440" w:gutter="0" w:footer="0" w:header="0"/>
          <w:type w:val="continuous"/>
        </w:sectPr>
      </w:pPr>
    </w:p>
    <w:p>
      <w:pPr>
        <w:spacing w:after="0" w:line="214" w:lineRule="exact"/>
        <w:rPr>
          <w:sz w:val="20"/>
          <w:szCs w:val="20"/>
          <w:color w:val="auto"/>
        </w:rPr>
      </w:pPr>
    </w:p>
    <w:p>
      <w:pPr>
        <w:ind w:left="360"/>
        <w:spacing w:after="0"/>
        <w:rPr>
          <w:sz w:val="20"/>
          <w:szCs w:val="20"/>
          <w:color w:val="auto"/>
        </w:rPr>
      </w:pPr>
      <w:r>
        <w:rPr>
          <w:rFonts w:ascii="Arial" w:cs="Arial" w:eastAsia="Arial" w:hAnsi="Arial"/>
          <w:sz w:val="31"/>
          <w:szCs w:val="31"/>
          <w:color w:val="00B0DB"/>
        </w:rPr>
        <w:t>Proposals and Board Recommendations</w:t>
      </w:r>
    </w:p>
    <w:p>
      <w:pPr>
        <w:spacing w:after="0" w:line="249" w:lineRule="exact"/>
        <w:rPr>
          <w:sz w:val="20"/>
          <w:szCs w:val="20"/>
          <w:color w:val="auto"/>
        </w:rPr>
      </w:pPr>
    </w:p>
    <w:tbl>
      <w:tblPr>
        <w:tblLayout w:type="fixed"/>
        <w:tblInd w:w="360" w:type="dxa"/>
        <w:tblCellMar>
          <w:top w:w="0" w:type="dxa"/>
          <w:left w:w="0" w:type="dxa"/>
          <w:bottom w:w="0" w:type="dxa"/>
          <w:right w:w="0" w:type="dxa"/>
        </w:tblCellMar>
      </w:tblPr>
      <w:tr>
        <w:trPr>
          <w:trHeight w:val="195"/>
        </w:trPr>
        <w:tc>
          <w:tcPr>
            <w:tcW w:w="2880" w:type="dxa"/>
            <w:vAlign w:val="bottom"/>
            <w:tcBorders>
              <w:bottom w:val="single" w:sz="8" w:color="00467D"/>
            </w:tcBorders>
          </w:tcPr>
          <w:p>
            <w:pPr>
              <w:ind w:left="60"/>
              <w:spacing w:after="0"/>
              <w:rPr>
                <w:sz w:val="20"/>
                <w:szCs w:val="20"/>
                <w:color w:val="auto"/>
              </w:rPr>
            </w:pPr>
            <w:r>
              <w:rPr>
                <w:rFonts w:ascii="Arial" w:cs="Arial" w:eastAsia="Arial" w:hAnsi="Arial"/>
                <w:sz w:val="15"/>
                <w:szCs w:val="15"/>
                <w:b w:val="1"/>
                <w:bCs w:val="1"/>
                <w:color w:val="00467D"/>
              </w:rPr>
              <w:t>Proposal</w:t>
            </w:r>
          </w:p>
        </w:tc>
        <w:tc>
          <w:tcPr>
            <w:tcW w:w="4640" w:type="dxa"/>
            <w:vAlign w:val="bottom"/>
            <w:tcBorders>
              <w:bottom w:val="single" w:sz="8" w:color="00467D"/>
            </w:tcBorders>
          </w:tcPr>
          <w:p>
            <w:pPr>
              <w:ind w:left="2300"/>
              <w:spacing w:after="0"/>
              <w:rPr>
                <w:sz w:val="20"/>
                <w:szCs w:val="20"/>
                <w:color w:val="auto"/>
              </w:rPr>
            </w:pPr>
            <w:r>
              <w:rPr>
                <w:rFonts w:ascii="Arial" w:cs="Arial" w:eastAsia="Arial" w:hAnsi="Arial"/>
                <w:sz w:val="15"/>
                <w:szCs w:val="15"/>
                <w:b w:val="1"/>
                <w:bCs w:val="1"/>
                <w:color w:val="00467D"/>
              </w:rPr>
              <w:t>Description</w:t>
            </w:r>
          </w:p>
        </w:tc>
        <w:tc>
          <w:tcPr>
            <w:tcW w:w="3020" w:type="dxa"/>
            <w:vAlign w:val="bottom"/>
            <w:tcBorders>
              <w:bottom w:val="single" w:sz="8" w:color="00467D"/>
            </w:tcBorders>
          </w:tcPr>
          <w:p>
            <w:pPr>
              <w:jc w:val="center"/>
              <w:spacing w:after="0"/>
              <w:rPr>
                <w:sz w:val="20"/>
                <w:szCs w:val="20"/>
                <w:color w:val="auto"/>
              </w:rPr>
            </w:pPr>
            <w:r>
              <w:rPr>
                <w:rFonts w:ascii="Arial" w:cs="Arial" w:eastAsia="Arial" w:hAnsi="Arial"/>
                <w:sz w:val="15"/>
                <w:szCs w:val="15"/>
                <w:b w:val="1"/>
                <w:bCs w:val="1"/>
                <w:color w:val="00467D"/>
              </w:rPr>
              <w:t>Board Voting Recommendation</w:t>
            </w:r>
          </w:p>
        </w:tc>
        <w:tc>
          <w:tcPr>
            <w:tcW w:w="0" w:type="dxa"/>
            <w:vAlign w:val="bottom"/>
          </w:tcPr>
          <w:p>
            <w:pPr>
              <w:spacing w:after="0"/>
              <w:rPr>
                <w:sz w:val="1"/>
                <w:szCs w:val="1"/>
                <w:color w:val="auto"/>
              </w:rPr>
            </w:pPr>
          </w:p>
        </w:tc>
      </w:tr>
      <w:tr>
        <w:trPr>
          <w:trHeight w:val="260"/>
        </w:trPr>
        <w:tc>
          <w:tcPr>
            <w:tcW w:w="2880" w:type="dxa"/>
            <w:vAlign w:val="bottom"/>
          </w:tcPr>
          <w:p>
            <w:pPr>
              <w:spacing w:after="0"/>
              <w:rPr>
                <w:sz w:val="22"/>
                <w:szCs w:val="22"/>
                <w:color w:val="auto"/>
              </w:rPr>
            </w:pPr>
          </w:p>
        </w:tc>
        <w:tc>
          <w:tcPr>
            <w:tcW w:w="4640" w:type="dxa"/>
            <w:vAlign w:val="bottom"/>
          </w:tcPr>
          <w:p>
            <w:pPr>
              <w:ind w:left="1020"/>
              <w:spacing w:after="0"/>
              <w:rPr>
                <w:sz w:val="20"/>
                <w:szCs w:val="20"/>
                <w:color w:val="auto"/>
              </w:rPr>
            </w:pPr>
            <w:r>
              <w:rPr>
                <w:rFonts w:ascii="Arial" w:cs="Arial" w:eastAsia="Arial" w:hAnsi="Arial"/>
                <w:sz w:val="17"/>
                <w:szCs w:val="17"/>
                <w:color w:val="auto"/>
              </w:rPr>
              <w:t>Election of Sean L. Cunningham, Robert B.</w:t>
            </w:r>
          </w:p>
        </w:tc>
        <w:tc>
          <w:tcPr>
            <w:tcW w:w="3020" w:type="dxa"/>
            <w:vAlign w:val="bottom"/>
            <w:vMerge w:val="restart"/>
          </w:tcPr>
          <w:p>
            <w:pPr>
              <w:jc w:val="center"/>
              <w:spacing w:after="0"/>
              <w:rPr>
                <w:sz w:val="20"/>
                <w:szCs w:val="20"/>
                <w:color w:val="auto"/>
              </w:rPr>
            </w:pPr>
            <w:r>
              <w:rPr>
                <w:rFonts w:ascii="Arial" w:cs="Arial" w:eastAsia="Arial" w:hAnsi="Arial"/>
                <w:sz w:val="24"/>
                <w:szCs w:val="24"/>
                <w:b w:val="1"/>
                <w:bCs w:val="1"/>
                <w:color w:val="00467D"/>
                <w:w w:val="98"/>
              </w:rPr>
              <w:t>FOR</w:t>
            </w:r>
          </w:p>
        </w:tc>
        <w:tc>
          <w:tcPr>
            <w:tcW w:w="0" w:type="dxa"/>
            <w:vAlign w:val="bottom"/>
          </w:tcPr>
          <w:p>
            <w:pPr>
              <w:spacing w:after="0"/>
              <w:rPr>
                <w:sz w:val="1"/>
                <w:szCs w:val="1"/>
                <w:color w:val="auto"/>
              </w:rPr>
            </w:pPr>
          </w:p>
        </w:tc>
      </w:tr>
      <w:tr>
        <w:trPr>
          <w:trHeight w:val="194"/>
        </w:trPr>
        <w:tc>
          <w:tcPr>
            <w:tcW w:w="2880" w:type="dxa"/>
            <w:vAlign w:val="bottom"/>
            <w:vMerge w:val="restart"/>
          </w:tcPr>
          <w:p>
            <w:pPr>
              <w:ind w:left="100"/>
              <w:spacing w:after="0"/>
              <w:rPr>
                <w:sz w:val="20"/>
                <w:szCs w:val="20"/>
                <w:color w:val="auto"/>
              </w:rPr>
            </w:pPr>
            <w:r>
              <w:rPr>
                <w:rFonts w:ascii="Arial" w:cs="Arial" w:eastAsia="Arial" w:hAnsi="Arial"/>
                <w:sz w:val="17"/>
                <w:szCs w:val="17"/>
                <w:b w:val="1"/>
                <w:bCs w:val="1"/>
                <w:color w:val="00467D"/>
              </w:rPr>
              <w:t>1.</w:t>
            </w:r>
            <w:r>
              <w:rPr>
                <w:rFonts w:ascii="Arial" w:cs="Arial" w:eastAsia="Arial" w:hAnsi="Arial"/>
                <w:sz w:val="17"/>
                <w:szCs w:val="17"/>
                <w:color w:val="000000"/>
              </w:rPr>
              <w:t xml:space="preserve">   Election of directors</w:t>
            </w:r>
          </w:p>
        </w:tc>
        <w:tc>
          <w:tcPr>
            <w:tcW w:w="4640" w:type="dxa"/>
            <w:vAlign w:val="bottom"/>
          </w:tcPr>
          <w:p>
            <w:pPr>
              <w:ind w:left="1020"/>
              <w:spacing w:after="0" w:line="194" w:lineRule="exact"/>
              <w:rPr>
                <w:sz w:val="20"/>
                <w:szCs w:val="20"/>
                <w:color w:val="auto"/>
              </w:rPr>
            </w:pPr>
            <w:r>
              <w:rPr>
                <w:rFonts w:ascii="Arial" w:cs="Arial" w:eastAsia="Arial" w:hAnsi="Arial"/>
                <w:sz w:val="17"/>
                <w:szCs w:val="17"/>
                <w:color w:val="auto"/>
              </w:rPr>
              <w:t>Knauss, and Vincent K. Petrella as Class III</w:t>
            </w:r>
          </w:p>
        </w:tc>
        <w:tc>
          <w:tcPr>
            <w:tcW w:w="3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07"/>
        </w:trPr>
        <w:tc>
          <w:tcPr>
            <w:tcW w:w="2880" w:type="dxa"/>
            <w:vAlign w:val="bottom"/>
            <w:vMerge w:val="continue"/>
          </w:tcPr>
          <w:p>
            <w:pPr>
              <w:spacing w:after="0"/>
              <w:rPr>
                <w:sz w:val="9"/>
                <w:szCs w:val="9"/>
                <w:color w:val="auto"/>
              </w:rPr>
            </w:pPr>
          </w:p>
        </w:tc>
        <w:tc>
          <w:tcPr>
            <w:tcW w:w="4640" w:type="dxa"/>
            <w:vAlign w:val="bottom"/>
            <w:vMerge w:val="restart"/>
          </w:tcPr>
          <w:p>
            <w:pPr>
              <w:ind w:left="1020"/>
              <w:spacing w:after="0"/>
              <w:rPr>
                <w:sz w:val="20"/>
                <w:szCs w:val="20"/>
                <w:color w:val="auto"/>
              </w:rPr>
            </w:pPr>
            <w:r>
              <w:rPr>
                <w:rFonts w:ascii="Arial" w:cs="Arial" w:eastAsia="Arial" w:hAnsi="Arial"/>
                <w:sz w:val="17"/>
                <w:szCs w:val="17"/>
                <w:color w:val="auto"/>
              </w:rPr>
              <w:t>directors to serve a three-year term</w:t>
            </w:r>
          </w:p>
        </w:tc>
        <w:tc>
          <w:tcPr>
            <w:tcW w:w="3020" w:type="dxa"/>
            <w:vAlign w:val="bottom"/>
            <w:vMerge w:val="restart"/>
          </w:tcPr>
          <w:p>
            <w:pPr>
              <w:jc w:val="center"/>
              <w:spacing w:after="0"/>
              <w:rPr>
                <w:sz w:val="20"/>
                <w:szCs w:val="20"/>
                <w:color w:val="auto"/>
              </w:rPr>
            </w:pPr>
            <w:r>
              <w:rPr>
                <w:rFonts w:ascii="Arial" w:cs="Arial" w:eastAsia="Arial" w:hAnsi="Arial"/>
                <w:sz w:val="17"/>
                <w:szCs w:val="17"/>
                <w:color w:val="auto"/>
              </w:rPr>
              <w:t>these nominees</w:t>
            </w:r>
          </w:p>
        </w:tc>
        <w:tc>
          <w:tcPr>
            <w:tcW w:w="0" w:type="dxa"/>
            <w:vAlign w:val="bottom"/>
          </w:tcPr>
          <w:p>
            <w:pPr>
              <w:spacing w:after="0"/>
              <w:rPr>
                <w:sz w:val="1"/>
                <w:szCs w:val="1"/>
                <w:color w:val="auto"/>
              </w:rPr>
            </w:pPr>
          </w:p>
        </w:tc>
      </w:tr>
      <w:tr>
        <w:trPr>
          <w:trHeight w:val="119"/>
        </w:trPr>
        <w:tc>
          <w:tcPr>
            <w:tcW w:w="2880" w:type="dxa"/>
            <w:vAlign w:val="bottom"/>
          </w:tcPr>
          <w:p>
            <w:pPr>
              <w:spacing w:after="0"/>
              <w:rPr>
                <w:sz w:val="10"/>
                <w:szCs w:val="10"/>
                <w:color w:val="auto"/>
              </w:rPr>
            </w:pPr>
          </w:p>
        </w:tc>
        <w:tc>
          <w:tcPr>
            <w:tcW w:w="4640" w:type="dxa"/>
            <w:vAlign w:val="bottom"/>
            <w:vMerge w:val="continue"/>
          </w:tcPr>
          <w:p>
            <w:pPr>
              <w:spacing w:after="0"/>
              <w:rPr>
                <w:sz w:val="10"/>
                <w:szCs w:val="10"/>
                <w:color w:val="auto"/>
              </w:rPr>
            </w:pPr>
          </w:p>
        </w:tc>
        <w:tc>
          <w:tcPr>
            <w:tcW w:w="3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231775</wp:posOffset>
            </wp:positionH>
            <wp:positionV relativeFrom="paragraph">
              <wp:posOffset>72390</wp:posOffset>
            </wp:positionV>
            <wp:extent cx="66878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687820" cy="8255"/>
                    </a:xfrm>
                    <a:prstGeom prst="rect">
                      <a:avLst/>
                    </a:prstGeom>
                    <a:noFill/>
                  </pic:spPr>
                </pic:pic>
              </a:graphicData>
            </a:graphic>
          </wp:anchor>
        </w:drawing>
      </w:r>
    </w:p>
    <w:p>
      <w:pPr>
        <w:sectPr>
          <w:pgSz w:w="11900" w:h="16838" w:orient="portrait"/>
          <w:cols w:equalWidth="0" w:num="1">
            <w:col w:w="10900"/>
          </w:cols>
          <w:pgMar w:left="320" w:top="468" w:right="679" w:bottom="1440" w:gutter="0" w:footer="0" w:header="0"/>
          <w:type w:val="continuous"/>
        </w:sectPr>
      </w:pPr>
    </w:p>
    <w:p>
      <w:pPr>
        <w:spacing w:after="0" w:line="198" w:lineRule="exact"/>
        <w:rPr>
          <w:sz w:val="20"/>
          <w:szCs w:val="20"/>
          <w:color w:val="auto"/>
        </w:rPr>
      </w:pPr>
    </w:p>
    <w:p>
      <w:pPr>
        <w:jc w:val="both"/>
        <w:ind w:left="700" w:hanging="248"/>
        <w:spacing w:after="0" w:line="257" w:lineRule="auto"/>
        <w:rPr>
          <w:sz w:val="20"/>
          <w:szCs w:val="20"/>
          <w:color w:val="auto"/>
        </w:rPr>
      </w:pPr>
      <w:r>
        <w:rPr>
          <w:rFonts w:ascii="Arial" w:cs="Arial" w:eastAsia="Arial" w:hAnsi="Arial"/>
          <w:sz w:val="17"/>
          <w:szCs w:val="17"/>
          <w:b w:val="1"/>
          <w:bCs w:val="1"/>
          <w:color w:val="00467D"/>
        </w:rPr>
        <w:t>2.</w:t>
      </w:r>
      <w:r>
        <w:rPr>
          <w:rFonts w:ascii="Arial" w:cs="Arial" w:eastAsia="Arial" w:hAnsi="Arial"/>
          <w:sz w:val="17"/>
          <w:szCs w:val="17"/>
          <w:color w:val="000000"/>
        </w:rPr>
        <w:t xml:space="preserve">   Vote to approve, on an advisory basis,</w:t>
      </w:r>
      <w:r>
        <w:rPr>
          <w:rFonts w:ascii="Arial" w:cs="Arial" w:eastAsia="Arial" w:hAnsi="Arial"/>
          <w:sz w:val="17"/>
          <w:szCs w:val="17"/>
          <w:b w:val="1"/>
          <w:bCs w:val="1"/>
          <w:color w:val="00467D"/>
        </w:rPr>
        <w:t xml:space="preserve"> </w:t>
      </w:r>
      <w:r>
        <w:rPr>
          <w:rFonts w:ascii="Arial" w:cs="Arial" w:eastAsia="Arial" w:hAnsi="Arial"/>
          <w:sz w:val="17"/>
          <w:szCs w:val="17"/>
          <w:color w:val="000000"/>
        </w:rPr>
        <w:t>named executive officer compensation (Say-on-Pay)</w:t>
      </w:r>
    </w:p>
    <w:p>
      <w:pPr>
        <w:spacing w:after="0" w:line="20" w:lineRule="exact"/>
        <w:rPr>
          <w:sz w:val="20"/>
          <w:szCs w:val="20"/>
          <w:color w:val="auto"/>
        </w:rPr>
      </w:pPr>
      <w:r>
        <w:rPr>
          <w:sz w:val="20"/>
          <w:szCs w:val="20"/>
          <w:color w:val="auto"/>
        </w:rPr>
        <w:br w:type="column"/>
      </w:r>
    </w:p>
    <w:p>
      <w:pPr>
        <w:spacing w:after="0" w:line="271" w:lineRule="exact"/>
        <w:rPr>
          <w:sz w:val="20"/>
          <w:szCs w:val="20"/>
          <w:color w:val="auto"/>
        </w:rPr>
      </w:pPr>
    </w:p>
    <w:p>
      <w:pPr>
        <w:ind w:right="1340"/>
        <w:spacing w:after="0" w:line="274" w:lineRule="auto"/>
        <w:rPr>
          <w:sz w:val="20"/>
          <w:szCs w:val="20"/>
          <w:color w:val="auto"/>
        </w:rPr>
      </w:pPr>
      <w:r>
        <w:rPr>
          <w:rFonts w:ascii="Arial" w:cs="Arial" w:eastAsia="Arial" w:hAnsi="Arial"/>
          <w:sz w:val="17"/>
          <w:szCs w:val="17"/>
          <w:color w:val="auto"/>
        </w:rPr>
        <w:t>Advisory vote to approve our named executive officers’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-2472690</wp:posOffset>
            </wp:positionH>
            <wp:positionV relativeFrom="paragraph">
              <wp:posOffset>120650</wp:posOffset>
            </wp:positionV>
            <wp:extent cx="66878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6878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81" w:lineRule="exact"/>
        <w:rPr>
          <w:sz w:val="20"/>
          <w:szCs w:val="20"/>
          <w:color w:val="auto"/>
        </w:rPr>
      </w:pPr>
    </w:p>
    <w:p>
      <w:pPr>
        <w:spacing w:after="0"/>
        <w:rPr>
          <w:sz w:val="20"/>
          <w:szCs w:val="20"/>
          <w:color w:val="auto"/>
        </w:rPr>
      </w:pPr>
      <w:r>
        <w:rPr>
          <w:rFonts w:ascii="Arial" w:cs="Arial" w:eastAsia="Arial" w:hAnsi="Arial"/>
          <w:sz w:val="23"/>
          <w:szCs w:val="23"/>
          <w:b w:val="1"/>
          <w:bCs w:val="1"/>
          <w:color w:val="00467D"/>
        </w:rPr>
        <w:t>FOR</w:t>
      </w:r>
    </w:p>
    <w:p>
      <w:pPr>
        <w:spacing w:after="0" w:line="347" w:lineRule="exact"/>
        <w:rPr>
          <w:sz w:val="20"/>
          <w:szCs w:val="20"/>
          <w:color w:val="auto"/>
        </w:rPr>
      </w:pPr>
    </w:p>
    <w:p>
      <w:pPr>
        <w:sectPr>
          <w:pgSz w:w="11900" w:h="16838" w:orient="portrait"/>
          <w:cols w:equalWidth="0" w:num="3">
            <w:col w:w="3640" w:space="620"/>
            <w:col w:w="4120" w:space="720"/>
            <w:col w:w="1800"/>
          </w:cols>
          <w:pgMar w:left="320" w:top="468" w:right="679" w:bottom="1440" w:gutter="0" w:footer="0" w:header="0"/>
          <w:type w:val="continuous"/>
        </w:sectPr>
      </w:pPr>
    </w:p>
    <w:p>
      <w:pPr>
        <w:spacing w:after="0" w:line="153" w:lineRule="exact"/>
        <w:rPr>
          <w:sz w:val="20"/>
          <w:szCs w:val="20"/>
          <w:color w:val="auto"/>
        </w:rPr>
      </w:pPr>
    </w:p>
    <w:p>
      <w:pPr>
        <w:ind w:left="700" w:hanging="248"/>
        <w:spacing w:after="0" w:line="277" w:lineRule="auto"/>
        <w:rPr>
          <w:sz w:val="20"/>
          <w:szCs w:val="20"/>
          <w:color w:val="auto"/>
        </w:rPr>
      </w:pPr>
      <w:r>
        <w:rPr>
          <w:rFonts w:ascii="Arial" w:cs="Arial" w:eastAsia="Arial" w:hAnsi="Arial"/>
          <w:sz w:val="17"/>
          <w:szCs w:val="17"/>
          <w:b w:val="1"/>
          <w:bCs w:val="1"/>
          <w:color w:val="00467D"/>
        </w:rPr>
        <w:t>3.</w:t>
      </w:r>
      <w:r>
        <w:rPr>
          <w:rFonts w:ascii="Arial" w:cs="Arial" w:eastAsia="Arial" w:hAnsi="Arial"/>
          <w:sz w:val="17"/>
          <w:szCs w:val="17"/>
          <w:color w:val="000000"/>
        </w:rPr>
        <w:t xml:space="preserve">   Ratification of appointment of independent</w:t>
      </w:r>
      <w:r>
        <w:rPr>
          <w:rFonts w:ascii="Arial" w:cs="Arial" w:eastAsia="Arial" w:hAnsi="Arial"/>
          <w:sz w:val="17"/>
          <w:szCs w:val="17"/>
          <w:b w:val="1"/>
          <w:bCs w:val="1"/>
          <w:color w:val="00467D"/>
        </w:rPr>
        <w:t xml:space="preserve"> </w:t>
      </w:r>
      <w:r>
        <w:rPr>
          <w:rFonts w:ascii="Arial" w:cs="Arial" w:eastAsia="Arial" w:hAnsi="Arial"/>
          <w:sz w:val="17"/>
          <w:szCs w:val="17"/>
          <w:color w:val="000000"/>
        </w:rPr>
        <w:t>auditors</w:t>
      </w:r>
    </w:p>
    <w:p>
      <w:pPr>
        <w:spacing w:after="0" w:line="20" w:lineRule="exact"/>
        <w:rPr>
          <w:sz w:val="20"/>
          <w:szCs w:val="20"/>
          <w:color w:val="auto"/>
        </w:rPr>
      </w:pPr>
      <w:r>
        <w:rPr>
          <w:sz w:val="20"/>
          <w:szCs w:val="20"/>
          <w:color w:val="auto"/>
        </w:rPr>
        <w:br w:type="column"/>
      </w:r>
    </w:p>
    <w:p>
      <w:pPr>
        <w:ind w:right="840"/>
        <w:spacing w:after="0" w:line="256" w:lineRule="auto"/>
        <w:rPr>
          <w:sz w:val="20"/>
          <w:szCs w:val="20"/>
          <w:color w:val="auto"/>
        </w:rPr>
      </w:pPr>
      <w:r>
        <w:rPr>
          <w:rFonts w:ascii="Arial" w:cs="Arial" w:eastAsia="Arial" w:hAnsi="Arial"/>
          <w:sz w:val="17"/>
          <w:szCs w:val="17"/>
          <w:color w:val="auto"/>
        </w:rPr>
        <w:t>Ratification of the appointment of Ernst &amp; Young LLP as our independent auditors for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-2472690</wp:posOffset>
            </wp:positionH>
            <wp:positionV relativeFrom="paragraph">
              <wp:posOffset>64135</wp:posOffset>
            </wp:positionV>
            <wp:extent cx="66878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6878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rPr>
          <w:sz w:val="20"/>
          <w:szCs w:val="20"/>
          <w:color w:val="auto"/>
        </w:rPr>
      </w:pPr>
      <w:r>
        <w:rPr>
          <w:rFonts w:ascii="Arial" w:cs="Arial" w:eastAsia="Arial" w:hAnsi="Arial"/>
          <w:sz w:val="23"/>
          <w:szCs w:val="23"/>
          <w:b w:val="1"/>
          <w:bCs w:val="1"/>
          <w:color w:val="00467D"/>
        </w:rPr>
        <w:t>FOR</w:t>
      </w:r>
    </w:p>
    <w:p>
      <w:pPr>
        <w:spacing w:after="0" w:line="360" w:lineRule="exact"/>
        <w:rPr>
          <w:sz w:val="20"/>
          <w:szCs w:val="20"/>
          <w:color w:val="auto"/>
        </w:rPr>
      </w:pPr>
    </w:p>
    <w:p>
      <w:pPr>
        <w:sectPr>
          <w:pgSz w:w="11900" w:h="16838" w:orient="portrait"/>
          <w:cols w:equalWidth="0" w:num="3">
            <w:col w:w="3940" w:space="320"/>
            <w:col w:w="4120" w:space="720"/>
            <w:col w:w="1800"/>
          </w:cols>
          <w:pgMar w:left="320" w:top="468" w:right="679" w:bottom="1440" w:gutter="0" w:footer="0" w:header="0"/>
          <w:type w:val="continuous"/>
        </w:sectPr>
      </w:pPr>
    </w:p>
    <w:p>
      <w:pPr>
        <w:spacing w:after="0" w:line="197" w:lineRule="exact"/>
        <w:rPr>
          <w:sz w:val="20"/>
          <w:szCs w:val="20"/>
          <w:color w:val="auto"/>
        </w:rPr>
      </w:pPr>
    </w:p>
    <w:p>
      <w:pPr>
        <w:ind w:left="360"/>
        <w:spacing w:after="0"/>
        <w:rPr>
          <w:sz w:val="20"/>
          <w:szCs w:val="20"/>
          <w:color w:val="auto"/>
        </w:rPr>
      </w:pPr>
      <w:r>
        <w:rPr>
          <w:rFonts w:ascii="Arial" w:cs="Arial" w:eastAsia="Arial" w:hAnsi="Arial"/>
          <w:sz w:val="31"/>
          <w:szCs w:val="31"/>
          <w:color w:val="00B0DB"/>
        </w:rPr>
        <w:t>Information on Director Nominees</w:t>
      </w:r>
    </w:p>
    <w:p>
      <w:pPr>
        <w:spacing w:after="0" w:line="221" w:lineRule="exact"/>
        <w:rPr>
          <w:sz w:val="20"/>
          <w:szCs w:val="20"/>
          <w:color w:val="auto"/>
        </w:rPr>
      </w:pPr>
    </w:p>
    <w:p>
      <w:pPr>
        <w:ind w:left="360" w:right="500"/>
        <w:spacing w:after="0" w:line="274" w:lineRule="auto"/>
        <w:rPr>
          <w:sz w:val="20"/>
          <w:szCs w:val="20"/>
          <w:color w:val="auto"/>
        </w:rPr>
      </w:pPr>
      <w:r>
        <w:rPr>
          <w:rFonts w:ascii="Arial" w:cs="Arial" w:eastAsia="Arial" w:hAnsi="Arial"/>
          <w:sz w:val="17"/>
          <w:szCs w:val="17"/>
          <w:color w:val="auto"/>
        </w:rPr>
        <w:t>Information about the three nominees for Class III directors, as of March 31, 2023, is included below. Our Nominating and Corporate Governance Committee (“Governance Committee”) reviewed the individual director attributes and contributions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231775</wp:posOffset>
            </wp:positionH>
            <wp:positionV relativeFrom="paragraph">
              <wp:posOffset>79375</wp:posOffset>
            </wp:positionV>
            <wp:extent cx="6687820" cy="165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687820" cy="16510"/>
                    </a:xfrm>
                    <a:prstGeom prst="rect">
                      <a:avLst/>
                    </a:prstGeom>
                    <a:noFill/>
                  </pic:spPr>
                </pic:pic>
              </a:graphicData>
            </a:graphic>
          </wp:anchor>
        </w:drawing>
      </w:r>
    </w:p>
    <w:p>
      <w:pPr>
        <w:spacing w:after="0" w:line="295"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6443980</wp:posOffset>
            </wp:positionH>
            <wp:positionV relativeFrom="paragraph">
              <wp:posOffset>-113030</wp:posOffset>
            </wp:positionV>
            <wp:extent cx="475615" cy="15557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475615" cy="155575"/>
                    </a:xfrm>
                    <a:prstGeom prst="rect">
                      <a:avLst/>
                    </a:prstGeom>
                    <a:noFill/>
                  </pic:spPr>
                </pic:pic>
              </a:graphicData>
            </a:graphic>
          </wp:anchor>
        </w:drawing>
      </w:r>
    </w:p>
    <w:p>
      <w:pPr>
        <w:sectPr>
          <w:pgSz w:w="11900" w:h="16838" w:orient="portrait"/>
          <w:cols w:equalWidth="0" w:num="1">
            <w:col w:w="10900"/>
          </w:cols>
          <w:pgMar w:left="320" w:top="468" w:right="67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5397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9945" cy="53975"/>
                    </a:xfrm>
                    <a:prstGeom prst="rect">
                      <a:avLst/>
                    </a:prstGeom>
                    <a:noFill/>
                  </pic:spPr>
                </pic:pic>
              </a:graphicData>
            </a:graphic>
          </wp:anchor>
        </w:drawing>
        <w:t>Table of Contents</w:t>
      </w:r>
    </w:p>
    <w:p>
      <w:pPr>
        <w:spacing w:after="0" w:line="296"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auto"/>
        </w:rPr>
        <w:t>Proxy Statement Summary</w:t>
      </w:r>
    </w:p>
    <w:p>
      <w:pPr>
        <w:spacing w:after="0" w:line="21" w:lineRule="exact"/>
        <w:rPr>
          <w:sz w:val="20"/>
          <w:szCs w:val="20"/>
          <w:color w:val="auto"/>
        </w:rPr>
      </w:pPr>
    </w:p>
    <w:p>
      <w:pPr>
        <w:ind w:left="360"/>
        <w:spacing w:after="0"/>
        <w:rPr>
          <w:sz w:val="20"/>
          <w:szCs w:val="20"/>
          <w:color w:val="auto"/>
        </w:rPr>
      </w:pPr>
      <w:r>
        <w:rPr>
          <w:rFonts w:ascii="Arial" w:cs="Arial" w:eastAsia="Arial" w:hAnsi="Arial"/>
          <w:sz w:val="14"/>
          <w:szCs w:val="14"/>
          <w:b w:val="1"/>
          <w:bCs w:val="1"/>
          <w:color w:val="auto"/>
        </w:rPr>
        <w:t>Information on Director Nominees</w:t>
      </w:r>
    </w:p>
    <w:p>
      <w:pPr>
        <w:spacing w:after="0" w:line="114" w:lineRule="exact"/>
        <w:rPr>
          <w:sz w:val="20"/>
          <w:szCs w:val="20"/>
          <w:color w:val="auto"/>
        </w:rPr>
      </w:pPr>
    </w:p>
    <w:p>
      <w:pPr>
        <w:ind w:left="360" w:right="120"/>
        <w:spacing w:after="0" w:line="287" w:lineRule="auto"/>
        <w:rPr>
          <w:sz w:val="20"/>
          <w:szCs w:val="20"/>
          <w:color w:val="auto"/>
        </w:rPr>
      </w:pPr>
      <w:r>
        <w:rPr>
          <w:rFonts w:ascii="Arial" w:cs="Arial" w:eastAsia="Arial" w:hAnsi="Arial"/>
          <w:sz w:val="17"/>
          <w:szCs w:val="17"/>
          <w:color w:val="auto"/>
        </w:rPr>
        <w:t xml:space="preserve">of each of the nominees (without involvement in review or discussion of their own attributes or contributions), and the Board recommends that shareholders vote </w:t>
      </w:r>
      <w:r>
        <w:rPr>
          <w:rFonts w:ascii="Arial" w:cs="Arial" w:eastAsia="Arial" w:hAnsi="Arial"/>
          <w:sz w:val="17"/>
          <w:szCs w:val="17"/>
          <w:b w:val="1"/>
          <w:bCs w:val="1"/>
          <w:color w:val="auto"/>
        </w:rPr>
        <w:t>FOR</w:t>
      </w:r>
      <w:r>
        <w:rPr>
          <w:rFonts w:ascii="Arial" w:cs="Arial" w:eastAsia="Arial" w:hAnsi="Arial"/>
          <w:sz w:val="17"/>
          <w:szCs w:val="17"/>
          <w:color w:val="auto"/>
        </w:rPr>
        <w:t xml:space="preserve"> the election of each of these nominees.</w:t>
      </w:r>
    </w:p>
    <w:p>
      <w:pPr>
        <w:spacing w:after="0" w:line="155" w:lineRule="exact"/>
        <w:rPr>
          <w:sz w:val="20"/>
          <w:szCs w:val="20"/>
          <w:color w:val="auto"/>
        </w:rPr>
      </w:pPr>
    </w:p>
    <w:tbl>
      <w:tblPr>
        <w:tblLayout w:type="fixed"/>
        <w:tblInd w:w="360" w:type="dxa"/>
        <w:tblCellMar>
          <w:top w:w="0" w:type="dxa"/>
          <w:left w:w="0" w:type="dxa"/>
          <w:bottom w:w="0" w:type="dxa"/>
          <w:right w:w="0" w:type="dxa"/>
        </w:tblCellMar>
      </w:tblPr>
      <w:tr>
        <w:trPr>
          <w:trHeight w:val="181"/>
        </w:trPr>
        <w:tc>
          <w:tcPr>
            <w:tcW w:w="50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40" w:type="dxa"/>
            <w:vAlign w:val="bottom"/>
          </w:tcPr>
          <w:p>
            <w:pPr>
              <w:jc w:val="center"/>
              <w:spacing w:after="0"/>
              <w:rPr>
                <w:sz w:val="20"/>
                <w:szCs w:val="20"/>
                <w:color w:val="auto"/>
              </w:rPr>
            </w:pPr>
            <w:r>
              <w:rPr>
                <w:rFonts w:ascii="Arial" w:cs="Arial" w:eastAsia="Arial" w:hAnsi="Arial"/>
                <w:sz w:val="15"/>
                <w:szCs w:val="15"/>
                <w:b w:val="1"/>
                <w:bCs w:val="1"/>
                <w:color w:val="00467D"/>
              </w:rPr>
              <w:t>Director</w:t>
            </w:r>
          </w:p>
        </w:tc>
        <w:tc>
          <w:tcPr>
            <w:tcW w:w="128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5060" w:type="dxa"/>
            <w:vAlign w:val="bottom"/>
            <w:tcBorders>
              <w:bottom w:val="single" w:sz="8" w:color="00467D"/>
            </w:tcBorders>
          </w:tcPr>
          <w:p>
            <w:pPr>
              <w:ind w:left="60"/>
              <w:spacing w:after="0"/>
              <w:rPr>
                <w:sz w:val="20"/>
                <w:szCs w:val="20"/>
                <w:color w:val="auto"/>
              </w:rPr>
            </w:pPr>
            <w:r>
              <w:rPr>
                <w:rFonts w:ascii="Arial" w:cs="Arial" w:eastAsia="Arial" w:hAnsi="Arial"/>
                <w:sz w:val="15"/>
                <w:szCs w:val="15"/>
                <w:b w:val="1"/>
                <w:bCs w:val="1"/>
                <w:color w:val="00467D"/>
              </w:rPr>
              <w:t>Name and Occupation</w:t>
            </w:r>
          </w:p>
        </w:tc>
        <w:tc>
          <w:tcPr>
            <w:tcW w:w="660" w:type="dxa"/>
            <w:vAlign w:val="bottom"/>
            <w:tcBorders>
              <w:bottom w:val="single" w:sz="8" w:color="00467D"/>
            </w:tcBorders>
          </w:tcPr>
          <w:p>
            <w:pPr>
              <w:jc w:val="center"/>
              <w:spacing w:after="0"/>
              <w:rPr>
                <w:sz w:val="20"/>
                <w:szCs w:val="20"/>
                <w:color w:val="auto"/>
              </w:rPr>
            </w:pPr>
            <w:r>
              <w:rPr>
                <w:rFonts w:ascii="Arial" w:cs="Arial" w:eastAsia="Arial" w:hAnsi="Arial"/>
                <w:sz w:val="15"/>
                <w:szCs w:val="15"/>
                <w:b w:val="1"/>
                <w:bCs w:val="1"/>
                <w:color w:val="00467D"/>
              </w:rPr>
              <w:t>Age</w:t>
            </w:r>
          </w:p>
        </w:tc>
        <w:tc>
          <w:tcPr>
            <w:tcW w:w="940" w:type="dxa"/>
            <w:vAlign w:val="bottom"/>
            <w:tcBorders>
              <w:bottom w:val="single" w:sz="8" w:color="00467D"/>
            </w:tcBorders>
          </w:tcPr>
          <w:p>
            <w:pPr>
              <w:jc w:val="center"/>
              <w:spacing w:after="0" w:line="208" w:lineRule="exact"/>
              <w:rPr>
                <w:sz w:val="20"/>
                <w:szCs w:val="20"/>
                <w:color w:val="auto"/>
              </w:rPr>
            </w:pPr>
            <w:r>
              <w:rPr>
                <w:rFonts w:ascii="Arial" w:cs="Arial" w:eastAsia="Arial" w:hAnsi="Arial"/>
                <w:sz w:val="15"/>
                <w:szCs w:val="15"/>
                <w:b w:val="1"/>
                <w:bCs w:val="1"/>
                <w:color w:val="00467D"/>
                <w:w w:val="92"/>
              </w:rPr>
              <w:t xml:space="preserve">Since </w:t>
            </w:r>
            <w:r>
              <w:rPr>
                <w:rFonts w:ascii="Arial" w:cs="Arial" w:eastAsia="Arial" w:hAnsi="Arial"/>
                <w:sz w:val="23"/>
                <w:szCs w:val="23"/>
                <w:b w:val="1"/>
                <w:bCs w:val="1"/>
                <w:color w:val="00467D"/>
                <w:w w:val="92"/>
                <w:vertAlign w:val="superscript"/>
              </w:rPr>
              <w:t>(1)</w:t>
            </w:r>
          </w:p>
        </w:tc>
        <w:tc>
          <w:tcPr>
            <w:tcW w:w="1280" w:type="dxa"/>
            <w:vAlign w:val="bottom"/>
            <w:tcBorders>
              <w:bottom w:val="single" w:sz="8" w:color="00467D"/>
            </w:tcBorders>
          </w:tcPr>
          <w:p>
            <w:pPr>
              <w:jc w:val="center"/>
              <w:spacing w:after="0"/>
              <w:rPr>
                <w:sz w:val="20"/>
                <w:szCs w:val="20"/>
                <w:color w:val="auto"/>
              </w:rPr>
            </w:pPr>
            <w:r>
              <w:rPr>
                <w:rFonts w:ascii="Arial" w:cs="Arial" w:eastAsia="Arial" w:hAnsi="Arial"/>
                <w:sz w:val="15"/>
                <w:szCs w:val="15"/>
                <w:b w:val="1"/>
                <w:bCs w:val="1"/>
                <w:color w:val="00467D"/>
              </w:rPr>
              <w:t>Independent</w:t>
            </w:r>
          </w:p>
        </w:tc>
        <w:tc>
          <w:tcPr>
            <w:tcW w:w="2600" w:type="dxa"/>
            <w:vAlign w:val="bottom"/>
            <w:tcBorders>
              <w:bottom w:val="single" w:sz="8" w:color="00467D"/>
            </w:tcBorders>
          </w:tcPr>
          <w:p>
            <w:pPr>
              <w:ind w:left="940"/>
              <w:spacing w:after="0"/>
              <w:rPr>
                <w:sz w:val="20"/>
                <w:szCs w:val="20"/>
                <w:color w:val="auto"/>
              </w:rPr>
            </w:pPr>
            <w:r>
              <w:rPr>
                <w:rFonts w:ascii="Arial" w:cs="Arial" w:eastAsia="Arial" w:hAnsi="Arial"/>
                <w:sz w:val="15"/>
                <w:szCs w:val="15"/>
                <w:b w:val="1"/>
                <w:bCs w:val="1"/>
                <w:color w:val="00467D"/>
              </w:rPr>
              <w:t>Committees</w:t>
            </w:r>
          </w:p>
        </w:tc>
        <w:tc>
          <w:tcPr>
            <w:tcW w:w="0" w:type="dxa"/>
            <w:vAlign w:val="bottom"/>
          </w:tcPr>
          <w:p>
            <w:pPr>
              <w:spacing w:after="0"/>
              <w:rPr>
                <w:sz w:val="1"/>
                <w:szCs w:val="1"/>
                <w:color w:val="auto"/>
              </w:rPr>
            </w:pPr>
          </w:p>
        </w:tc>
      </w:tr>
      <w:tr>
        <w:trPr>
          <w:trHeight w:val="221"/>
        </w:trPr>
        <w:tc>
          <w:tcPr>
            <w:tcW w:w="5060" w:type="dxa"/>
            <w:vAlign w:val="bottom"/>
            <w:vMerge w:val="restart"/>
          </w:tcPr>
          <w:p>
            <w:pPr>
              <w:ind w:left="60"/>
              <w:spacing w:after="0"/>
              <w:rPr>
                <w:sz w:val="20"/>
                <w:szCs w:val="20"/>
                <w:color w:val="auto"/>
              </w:rPr>
            </w:pPr>
            <w:r>
              <w:rPr>
                <w:rFonts w:ascii="Arial" w:cs="Arial" w:eastAsia="Arial" w:hAnsi="Arial"/>
                <w:sz w:val="17"/>
                <w:szCs w:val="17"/>
                <w:color w:val="auto"/>
              </w:rPr>
              <w:t>Sean L. Cunningham</w:t>
            </w:r>
          </w:p>
        </w:tc>
        <w:tc>
          <w:tcPr>
            <w:tcW w:w="6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80" w:type="dxa"/>
            <w:vAlign w:val="bottom"/>
            <w:vMerge w:val="restart"/>
          </w:tcPr>
          <w:p>
            <w:pPr>
              <w:jc w:val="center"/>
              <w:spacing w:after="0" w:line="341" w:lineRule="exact"/>
              <w:rPr>
                <w:sz w:val="20"/>
                <w:szCs w:val="20"/>
                <w:color w:val="auto"/>
              </w:rPr>
            </w:pPr>
            <w:r>
              <w:rPr>
                <w:rFonts w:ascii="MS PGothic" w:cs="MS PGothic" w:eastAsia="MS PGothic" w:hAnsi="MS PGothic"/>
                <w:sz w:val="34"/>
                <w:szCs w:val="34"/>
                <w:color w:val="00467D"/>
                <w:w w:val="82"/>
              </w:rPr>
              <w:t>✓</w:t>
            </w:r>
          </w:p>
        </w:tc>
        <w:tc>
          <w:tcPr>
            <w:tcW w:w="2600" w:type="dxa"/>
            <w:vAlign w:val="bottom"/>
          </w:tcPr>
          <w:p>
            <w:pPr>
              <w:ind w:left="180"/>
              <w:spacing w:after="0"/>
              <w:rPr>
                <w:sz w:val="20"/>
                <w:szCs w:val="20"/>
                <w:color w:val="auto"/>
              </w:rPr>
            </w:pPr>
            <w:r>
              <w:rPr>
                <w:rFonts w:ascii="Arial" w:cs="Arial" w:eastAsia="Arial" w:hAnsi="Arial"/>
                <w:sz w:val="17"/>
                <w:szCs w:val="17"/>
                <w:color w:val="auto"/>
              </w:rPr>
              <w:t>Governance Committee;</w:t>
            </w:r>
          </w:p>
        </w:tc>
        <w:tc>
          <w:tcPr>
            <w:tcW w:w="0" w:type="dxa"/>
            <w:vAlign w:val="bottom"/>
          </w:tcPr>
          <w:p>
            <w:pPr>
              <w:spacing w:after="0"/>
              <w:rPr>
                <w:sz w:val="1"/>
                <w:szCs w:val="1"/>
                <w:color w:val="auto"/>
              </w:rPr>
            </w:pPr>
          </w:p>
        </w:tc>
      </w:tr>
      <w:tr>
        <w:trPr>
          <w:trHeight w:val="90"/>
        </w:trPr>
        <w:tc>
          <w:tcPr>
            <w:tcW w:w="5060" w:type="dxa"/>
            <w:vAlign w:val="bottom"/>
            <w:vMerge w:val="continue"/>
          </w:tcPr>
          <w:p>
            <w:pPr>
              <w:spacing w:after="0"/>
              <w:rPr>
                <w:sz w:val="7"/>
                <w:szCs w:val="7"/>
                <w:color w:val="auto"/>
              </w:rPr>
            </w:pPr>
          </w:p>
        </w:tc>
        <w:tc>
          <w:tcPr>
            <w:tcW w:w="660" w:type="dxa"/>
            <w:vAlign w:val="bottom"/>
            <w:vMerge w:val="restart"/>
          </w:tcPr>
          <w:p>
            <w:pPr>
              <w:jc w:val="center"/>
              <w:spacing w:after="0" w:line="194" w:lineRule="exact"/>
              <w:rPr>
                <w:sz w:val="20"/>
                <w:szCs w:val="20"/>
                <w:color w:val="auto"/>
              </w:rPr>
            </w:pPr>
            <w:r>
              <w:rPr>
                <w:rFonts w:ascii="Arial" w:cs="Arial" w:eastAsia="Arial" w:hAnsi="Arial"/>
                <w:sz w:val="17"/>
                <w:szCs w:val="17"/>
                <w:color w:val="auto"/>
                <w:w w:val="94"/>
              </w:rPr>
              <w:t>47</w:t>
            </w:r>
          </w:p>
        </w:tc>
        <w:tc>
          <w:tcPr>
            <w:tcW w:w="940" w:type="dxa"/>
            <w:vAlign w:val="bottom"/>
            <w:vMerge w:val="restart"/>
          </w:tcPr>
          <w:p>
            <w:pPr>
              <w:jc w:val="center"/>
              <w:spacing w:after="0" w:line="194" w:lineRule="exact"/>
              <w:rPr>
                <w:sz w:val="20"/>
                <w:szCs w:val="20"/>
                <w:color w:val="auto"/>
              </w:rPr>
            </w:pPr>
            <w:r>
              <w:rPr>
                <w:rFonts w:ascii="Arial" w:cs="Arial" w:eastAsia="Arial" w:hAnsi="Arial"/>
                <w:sz w:val="17"/>
                <w:szCs w:val="17"/>
                <w:color w:val="auto"/>
              </w:rPr>
              <w:t>2015</w:t>
            </w:r>
          </w:p>
        </w:tc>
        <w:tc>
          <w:tcPr>
            <w:tcW w:w="1280" w:type="dxa"/>
            <w:vAlign w:val="bottom"/>
            <w:vMerge w:val="continue"/>
          </w:tcPr>
          <w:p>
            <w:pPr>
              <w:spacing w:after="0"/>
              <w:rPr>
                <w:sz w:val="7"/>
                <w:szCs w:val="7"/>
                <w:color w:val="auto"/>
              </w:rPr>
            </w:pPr>
          </w:p>
        </w:tc>
        <w:tc>
          <w:tcPr>
            <w:tcW w:w="2600" w:type="dxa"/>
            <w:vAlign w:val="bottom"/>
            <w:vMerge w:val="restart"/>
          </w:tcPr>
          <w:p>
            <w:pPr>
              <w:ind w:left="180"/>
              <w:spacing w:after="0" w:line="194" w:lineRule="exact"/>
              <w:rPr>
                <w:sz w:val="20"/>
                <w:szCs w:val="20"/>
                <w:color w:val="auto"/>
              </w:rPr>
            </w:pPr>
            <w:r>
              <w:rPr>
                <w:rFonts w:ascii="Arial" w:cs="Arial" w:eastAsia="Arial" w:hAnsi="Arial"/>
                <w:sz w:val="17"/>
                <w:szCs w:val="17"/>
                <w:color w:val="auto"/>
              </w:rPr>
              <w:t>Nordion Pricing Committee; EO</w:t>
            </w:r>
          </w:p>
        </w:tc>
        <w:tc>
          <w:tcPr>
            <w:tcW w:w="0" w:type="dxa"/>
            <w:vAlign w:val="bottom"/>
          </w:tcPr>
          <w:p>
            <w:pPr>
              <w:spacing w:after="0"/>
              <w:rPr>
                <w:sz w:val="1"/>
                <w:szCs w:val="1"/>
                <w:color w:val="auto"/>
              </w:rPr>
            </w:pPr>
          </w:p>
        </w:tc>
      </w:tr>
      <w:tr>
        <w:trPr>
          <w:trHeight w:val="103"/>
        </w:trPr>
        <w:tc>
          <w:tcPr>
            <w:tcW w:w="5060" w:type="dxa"/>
            <w:vAlign w:val="bottom"/>
            <w:vMerge w:val="restart"/>
          </w:tcPr>
          <w:p>
            <w:pPr>
              <w:ind w:left="240"/>
              <w:spacing w:after="0"/>
              <w:rPr>
                <w:sz w:val="20"/>
                <w:szCs w:val="20"/>
                <w:color w:val="auto"/>
              </w:rPr>
            </w:pPr>
            <w:r>
              <w:rPr>
                <w:rFonts w:ascii="Arial" w:cs="Arial" w:eastAsia="Arial" w:hAnsi="Arial"/>
                <w:sz w:val="17"/>
                <w:szCs w:val="17"/>
                <w:color w:val="auto"/>
              </w:rPr>
              <w:t>Managing Director, GTCR, LLC</w:t>
            </w:r>
          </w:p>
        </w:tc>
        <w:tc>
          <w:tcPr>
            <w:tcW w:w="660" w:type="dxa"/>
            <w:vAlign w:val="bottom"/>
            <w:vMerge w:val="continue"/>
          </w:tcPr>
          <w:p>
            <w:pPr>
              <w:spacing w:after="0"/>
              <w:rPr>
                <w:sz w:val="8"/>
                <w:szCs w:val="8"/>
                <w:color w:val="auto"/>
              </w:rPr>
            </w:pPr>
          </w:p>
        </w:tc>
        <w:tc>
          <w:tcPr>
            <w:tcW w:w="940" w:type="dxa"/>
            <w:vAlign w:val="bottom"/>
            <w:vMerge w:val="continue"/>
          </w:tcPr>
          <w:p>
            <w:pPr>
              <w:spacing w:after="0"/>
              <w:rPr>
                <w:sz w:val="8"/>
                <w:szCs w:val="8"/>
                <w:color w:val="auto"/>
              </w:rPr>
            </w:pPr>
          </w:p>
        </w:tc>
        <w:tc>
          <w:tcPr>
            <w:tcW w:w="1280" w:type="dxa"/>
            <w:vAlign w:val="bottom"/>
            <w:vMerge w:val="continue"/>
          </w:tcPr>
          <w:p>
            <w:pPr>
              <w:spacing w:after="0"/>
              <w:rPr>
                <w:sz w:val="8"/>
                <w:szCs w:val="8"/>
                <w:color w:val="auto"/>
              </w:rPr>
            </w:pPr>
          </w:p>
        </w:tc>
        <w:tc>
          <w:tcPr>
            <w:tcW w:w="26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31"/>
        </w:trPr>
        <w:tc>
          <w:tcPr>
            <w:tcW w:w="5060" w:type="dxa"/>
            <w:vAlign w:val="bottom"/>
            <w:tcBorders>
              <w:bottom w:val="single" w:sz="8" w:color="99B5CB"/>
            </w:tcBorders>
            <w:vMerge w:val="continue"/>
          </w:tcPr>
          <w:p>
            <w:pPr>
              <w:spacing w:after="0"/>
              <w:rPr>
                <w:sz w:val="20"/>
                <w:szCs w:val="20"/>
                <w:color w:val="auto"/>
              </w:rPr>
            </w:pPr>
          </w:p>
        </w:tc>
        <w:tc>
          <w:tcPr>
            <w:tcW w:w="660" w:type="dxa"/>
            <w:vAlign w:val="bottom"/>
            <w:tcBorders>
              <w:bottom w:val="single" w:sz="8" w:color="99B5CB"/>
            </w:tcBorders>
          </w:tcPr>
          <w:p>
            <w:pPr>
              <w:spacing w:after="0"/>
              <w:rPr>
                <w:sz w:val="20"/>
                <w:szCs w:val="20"/>
                <w:color w:val="auto"/>
              </w:rPr>
            </w:pPr>
          </w:p>
        </w:tc>
        <w:tc>
          <w:tcPr>
            <w:tcW w:w="940" w:type="dxa"/>
            <w:vAlign w:val="bottom"/>
            <w:tcBorders>
              <w:bottom w:val="single" w:sz="8" w:color="99B5CB"/>
            </w:tcBorders>
          </w:tcPr>
          <w:p>
            <w:pPr>
              <w:spacing w:after="0"/>
              <w:rPr>
                <w:sz w:val="20"/>
                <w:szCs w:val="20"/>
                <w:color w:val="auto"/>
              </w:rPr>
            </w:pPr>
          </w:p>
        </w:tc>
        <w:tc>
          <w:tcPr>
            <w:tcW w:w="1280" w:type="dxa"/>
            <w:vAlign w:val="bottom"/>
            <w:tcBorders>
              <w:bottom w:val="single" w:sz="8" w:color="99B5CB"/>
            </w:tcBorders>
            <w:vMerge w:val="continue"/>
          </w:tcPr>
          <w:p>
            <w:pPr>
              <w:spacing w:after="0"/>
              <w:rPr>
                <w:sz w:val="20"/>
                <w:szCs w:val="20"/>
                <w:color w:val="auto"/>
              </w:rPr>
            </w:pPr>
          </w:p>
        </w:tc>
        <w:tc>
          <w:tcPr>
            <w:tcW w:w="2600" w:type="dxa"/>
            <w:vAlign w:val="bottom"/>
            <w:tcBorders>
              <w:bottom w:val="single" w:sz="8" w:color="99B5CB"/>
            </w:tcBorders>
          </w:tcPr>
          <w:p>
            <w:pPr>
              <w:ind w:left="180"/>
              <w:spacing w:after="0"/>
              <w:rPr>
                <w:sz w:val="20"/>
                <w:szCs w:val="20"/>
                <w:color w:val="auto"/>
              </w:rPr>
            </w:pPr>
            <w:r>
              <w:rPr>
                <w:rFonts w:ascii="Arial" w:cs="Arial" w:eastAsia="Arial" w:hAnsi="Arial"/>
                <w:sz w:val="17"/>
                <w:szCs w:val="17"/>
                <w:color w:val="auto"/>
              </w:rPr>
              <w:t>Litigation Committee</w:t>
            </w:r>
          </w:p>
        </w:tc>
        <w:tc>
          <w:tcPr>
            <w:tcW w:w="0" w:type="dxa"/>
            <w:vAlign w:val="bottom"/>
          </w:tcPr>
          <w:p>
            <w:pPr>
              <w:spacing w:after="0"/>
              <w:rPr>
                <w:sz w:val="1"/>
                <w:szCs w:val="1"/>
                <w:color w:val="auto"/>
              </w:rPr>
            </w:pPr>
          </w:p>
        </w:tc>
      </w:tr>
      <w:tr>
        <w:trPr>
          <w:trHeight w:val="239"/>
        </w:trPr>
        <w:tc>
          <w:tcPr>
            <w:tcW w:w="5060" w:type="dxa"/>
            <w:vAlign w:val="bottom"/>
          </w:tcPr>
          <w:p>
            <w:pPr>
              <w:ind w:left="60"/>
              <w:spacing w:after="0"/>
              <w:rPr>
                <w:sz w:val="20"/>
                <w:szCs w:val="20"/>
                <w:color w:val="auto"/>
              </w:rPr>
            </w:pPr>
            <w:r>
              <w:rPr>
                <w:rFonts w:ascii="Arial" w:cs="Arial" w:eastAsia="Arial" w:hAnsi="Arial"/>
                <w:sz w:val="17"/>
                <w:szCs w:val="17"/>
                <w:color w:val="auto"/>
              </w:rPr>
              <w:t>Robert B. Knauss</w:t>
            </w:r>
          </w:p>
        </w:tc>
        <w:tc>
          <w:tcPr>
            <w:tcW w:w="660" w:type="dxa"/>
            <w:vAlign w:val="bottom"/>
            <w:vMerge w:val="restart"/>
          </w:tcPr>
          <w:p>
            <w:pPr>
              <w:jc w:val="center"/>
              <w:spacing w:after="0"/>
              <w:rPr>
                <w:sz w:val="20"/>
                <w:szCs w:val="20"/>
                <w:color w:val="auto"/>
              </w:rPr>
            </w:pPr>
            <w:r>
              <w:rPr>
                <w:rFonts w:ascii="Arial" w:cs="Arial" w:eastAsia="Arial" w:hAnsi="Arial"/>
                <w:sz w:val="17"/>
                <w:szCs w:val="17"/>
                <w:color w:val="auto"/>
                <w:w w:val="94"/>
              </w:rPr>
              <w:t>69</w:t>
            </w:r>
          </w:p>
        </w:tc>
        <w:tc>
          <w:tcPr>
            <w:tcW w:w="940" w:type="dxa"/>
            <w:vAlign w:val="bottom"/>
            <w:vMerge w:val="restart"/>
          </w:tcPr>
          <w:p>
            <w:pPr>
              <w:jc w:val="center"/>
              <w:spacing w:after="0"/>
              <w:rPr>
                <w:sz w:val="20"/>
                <w:szCs w:val="20"/>
                <w:color w:val="auto"/>
              </w:rPr>
            </w:pPr>
            <w:r>
              <w:rPr>
                <w:rFonts w:ascii="Arial" w:cs="Arial" w:eastAsia="Arial" w:hAnsi="Arial"/>
                <w:sz w:val="17"/>
                <w:szCs w:val="17"/>
                <w:color w:val="auto"/>
              </w:rPr>
              <w:t>2022</w:t>
            </w:r>
          </w:p>
        </w:tc>
        <w:tc>
          <w:tcPr>
            <w:tcW w:w="1280" w:type="dxa"/>
            <w:vAlign w:val="bottom"/>
            <w:vMerge w:val="restart"/>
          </w:tcPr>
          <w:p>
            <w:pPr>
              <w:jc w:val="center"/>
              <w:spacing w:after="0" w:line="341" w:lineRule="exact"/>
              <w:rPr>
                <w:sz w:val="20"/>
                <w:szCs w:val="20"/>
                <w:color w:val="auto"/>
              </w:rPr>
            </w:pPr>
            <w:r>
              <w:rPr>
                <w:rFonts w:ascii="MS PGothic" w:cs="MS PGothic" w:eastAsia="MS PGothic" w:hAnsi="MS PGothic"/>
                <w:sz w:val="34"/>
                <w:szCs w:val="34"/>
                <w:color w:val="00467D"/>
                <w:w w:val="82"/>
              </w:rPr>
              <w:t>✓</w:t>
            </w:r>
          </w:p>
        </w:tc>
        <w:tc>
          <w:tcPr>
            <w:tcW w:w="2600" w:type="dxa"/>
            <w:vAlign w:val="bottom"/>
            <w:vMerge w:val="restart"/>
          </w:tcPr>
          <w:p>
            <w:pPr>
              <w:ind w:left="180"/>
              <w:spacing w:after="0"/>
              <w:rPr>
                <w:sz w:val="20"/>
                <w:szCs w:val="20"/>
                <w:color w:val="auto"/>
              </w:rPr>
            </w:pPr>
            <w:r>
              <w:rPr>
                <w:rFonts w:ascii="Arial" w:cs="Arial" w:eastAsia="Arial" w:hAnsi="Arial"/>
                <w:sz w:val="17"/>
                <w:szCs w:val="17"/>
                <w:color w:val="auto"/>
              </w:rPr>
              <w:t>EO Litigation Committee</w:t>
            </w:r>
          </w:p>
        </w:tc>
        <w:tc>
          <w:tcPr>
            <w:tcW w:w="0" w:type="dxa"/>
            <w:vAlign w:val="bottom"/>
          </w:tcPr>
          <w:p>
            <w:pPr>
              <w:spacing w:after="0"/>
              <w:rPr>
                <w:sz w:val="1"/>
                <w:szCs w:val="1"/>
                <w:color w:val="auto"/>
              </w:rPr>
            </w:pPr>
          </w:p>
        </w:tc>
      </w:tr>
      <w:tr>
        <w:trPr>
          <w:trHeight w:val="122"/>
        </w:trPr>
        <w:tc>
          <w:tcPr>
            <w:tcW w:w="5060" w:type="dxa"/>
            <w:vAlign w:val="bottom"/>
            <w:vMerge w:val="restart"/>
          </w:tcPr>
          <w:p>
            <w:pPr>
              <w:ind w:left="240"/>
              <w:spacing w:after="0"/>
              <w:rPr>
                <w:sz w:val="20"/>
                <w:szCs w:val="20"/>
                <w:color w:val="auto"/>
              </w:rPr>
            </w:pPr>
            <w:r>
              <w:rPr>
                <w:rFonts w:ascii="Arial" w:cs="Arial" w:eastAsia="Arial" w:hAnsi="Arial"/>
                <w:sz w:val="17"/>
                <w:szCs w:val="17"/>
                <w:color w:val="auto"/>
              </w:rPr>
              <w:t>Managing Director, Warburg Pincus, LLC</w:t>
            </w:r>
          </w:p>
        </w:tc>
        <w:tc>
          <w:tcPr>
            <w:tcW w:w="660" w:type="dxa"/>
            <w:vAlign w:val="bottom"/>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2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5060" w:type="dxa"/>
            <w:vAlign w:val="bottom"/>
            <w:tcBorders>
              <w:bottom w:val="single" w:sz="8" w:color="99B5CB"/>
            </w:tcBorders>
            <w:vMerge w:val="continue"/>
          </w:tcPr>
          <w:p>
            <w:pPr>
              <w:spacing w:after="0"/>
              <w:rPr>
                <w:sz w:val="11"/>
                <w:szCs w:val="11"/>
                <w:color w:val="auto"/>
              </w:rPr>
            </w:pPr>
          </w:p>
        </w:tc>
        <w:tc>
          <w:tcPr>
            <w:tcW w:w="660" w:type="dxa"/>
            <w:vAlign w:val="bottom"/>
            <w:tcBorders>
              <w:bottom w:val="single" w:sz="8" w:color="99B5CB"/>
            </w:tcBorders>
          </w:tcPr>
          <w:p>
            <w:pPr>
              <w:spacing w:after="0"/>
              <w:rPr>
                <w:sz w:val="11"/>
                <w:szCs w:val="11"/>
                <w:color w:val="auto"/>
              </w:rPr>
            </w:pPr>
          </w:p>
        </w:tc>
        <w:tc>
          <w:tcPr>
            <w:tcW w:w="940" w:type="dxa"/>
            <w:vAlign w:val="bottom"/>
            <w:tcBorders>
              <w:bottom w:val="single" w:sz="8" w:color="99B5CB"/>
            </w:tcBorders>
          </w:tcPr>
          <w:p>
            <w:pPr>
              <w:spacing w:after="0"/>
              <w:rPr>
                <w:sz w:val="11"/>
                <w:szCs w:val="11"/>
                <w:color w:val="auto"/>
              </w:rPr>
            </w:pPr>
          </w:p>
        </w:tc>
        <w:tc>
          <w:tcPr>
            <w:tcW w:w="1280" w:type="dxa"/>
            <w:vAlign w:val="bottom"/>
            <w:tcBorders>
              <w:bottom w:val="single" w:sz="8" w:color="99B5CB"/>
            </w:tcBorders>
            <w:vMerge w:val="continue"/>
          </w:tcPr>
          <w:p>
            <w:pPr>
              <w:spacing w:after="0"/>
              <w:rPr>
                <w:sz w:val="11"/>
                <w:szCs w:val="11"/>
                <w:color w:val="auto"/>
              </w:rPr>
            </w:pPr>
          </w:p>
        </w:tc>
        <w:tc>
          <w:tcPr>
            <w:tcW w:w="2600" w:type="dxa"/>
            <w:vAlign w:val="bottom"/>
            <w:tcBorders>
              <w:bottom w:val="single" w:sz="8" w:color="99B5CB"/>
            </w:tcBorders>
          </w:tcPr>
          <w:p>
            <w:pPr>
              <w:spacing w:after="0"/>
              <w:rPr>
                <w:sz w:val="11"/>
                <w:szCs w:val="11"/>
                <w:color w:val="auto"/>
              </w:rPr>
            </w:pPr>
          </w:p>
        </w:tc>
        <w:tc>
          <w:tcPr>
            <w:tcW w:w="0" w:type="dxa"/>
            <w:vAlign w:val="bottom"/>
          </w:tcPr>
          <w:p>
            <w:pPr>
              <w:spacing w:after="0"/>
              <w:rPr>
                <w:sz w:val="1"/>
                <w:szCs w:val="1"/>
                <w:color w:val="auto"/>
              </w:rPr>
            </w:pPr>
          </w:p>
        </w:tc>
      </w:tr>
      <w:tr>
        <w:trPr>
          <w:trHeight w:val="221"/>
        </w:trPr>
        <w:tc>
          <w:tcPr>
            <w:tcW w:w="5060" w:type="dxa"/>
            <w:vAlign w:val="bottom"/>
          </w:tcPr>
          <w:p>
            <w:pPr>
              <w:ind w:left="60"/>
              <w:spacing w:after="0"/>
              <w:rPr>
                <w:sz w:val="20"/>
                <w:szCs w:val="20"/>
                <w:color w:val="auto"/>
              </w:rPr>
            </w:pPr>
            <w:r>
              <w:rPr>
                <w:rFonts w:ascii="Arial" w:cs="Arial" w:eastAsia="Arial" w:hAnsi="Arial"/>
                <w:sz w:val="17"/>
                <w:szCs w:val="17"/>
                <w:color w:val="auto"/>
              </w:rPr>
              <w:t>Vincent K. Petrella</w:t>
            </w:r>
          </w:p>
        </w:tc>
        <w:tc>
          <w:tcPr>
            <w:tcW w:w="6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80" w:type="dxa"/>
            <w:vAlign w:val="bottom"/>
            <w:vMerge w:val="restart"/>
          </w:tcPr>
          <w:p>
            <w:pPr>
              <w:jc w:val="center"/>
              <w:spacing w:after="0" w:line="341" w:lineRule="exact"/>
              <w:rPr>
                <w:sz w:val="20"/>
                <w:szCs w:val="20"/>
                <w:color w:val="auto"/>
              </w:rPr>
            </w:pPr>
            <w:r>
              <w:rPr>
                <w:rFonts w:ascii="MS PGothic" w:cs="MS PGothic" w:eastAsia="MS PGothic" w:hAnsi="MS PGothic"/>
                <w:sz w:val="34"/>
                <w:szCs w:val="34"/>
                <w:color w:val="00467D"/>
                <w:w w:val="82"/>
              </w:rPr>
              <w:t>✓</w:t>
            </w:r>
          </w:p>
        </w:tc>
        <w:tc>
          <w:tcPr>
            <w:tcW w:w="2600" w:type="dxa"/>
            <w:vAlign w:val="bottom"/>
          </w:tcPr>
          <w:p>
            <w:pPr>
              <w:ind w:left="180"/>
              <w:spacing w:after="0"/>
              <w:rPr>
                <w:sz w:val="20"/>
                <w:szCs w:val="20"/>
                <w:color w:val="auto"/>
              </w:rPr>
            </w:pPr>
            <w:r>
              <w:rPr>
                <w:rFonts w:ascii="Arial" w:cs="Arial" w:eastAsia="Arial" w:hAnsi="Arial"/>
                <w:sz w:val="17"/>
                <w:szCs w:val="17"/>
                <w:color w:val="auto"/>
              </w:rPr>
              <w:t>Audit Committee (Chair);</w:t>
            </w:r>
          </w:p>
        </w:tc>
        <w:tc>
          <w:tcPr>
            <w:tcW w:w="0" w:type="dxa"/>
            <w:vAlign w:val="bottom"/>
          </w:tcPr>
          <w:p>
            <w:pPr>
              <w:spacing w:after="0"/>
              <w:rPr>
                <w:sz w:val="1"/>
                <w:szCs w:val="1"/>
                <w:color w:val="auto"/>
              </w:rPr>
            </w:pPr>
          </w:p>
        </w:tc>
      </w:tr>
      <w:tr>
        <w:trPr>
          <w:trHeight w:val="194"/>
        </w:trPr>
        <w:tc>
          <w:tcPr>
            <w:tcW w:w="5060" w:type="dxa"/>
            <w:vAlign w:val="bottom"/>
          </w:tcPr>
          <w:p>
            <w:pPr>
              <w:ind w:left="240"/>
              <w:spacing w:after="0" w:line="194" w:lineRule="exact"/>
              <w:rPr>
                <w:sz w:val="20"/>
                <w:szCs w:val="20"/>
                <w:color w:val="auto"/>
              </w:rPr>
            </w:pPr>
            <w:r>
              <w:rPr>
                <w:rFonts w:ascii="Arial" w:cs="Arial" w:eastAsia="Arial" w:hAnsi="Arial"/>
                <w:sz w:val="17"/>
                <w:szCs w:val="17"/>
                <w:color w:val="auto"/>
              </w:rPr>
              <w:t>Former Executive Vice President, Chief Financial Officer and</w:t>
            </w:r>
          </w:p>
        </w:tc>
        <w:tc>
          <w:tcPr>
            <w:tcW w:w="660" w:type="dxa"/>
            <w:vAlign w:val="bottom"/>
          </w:tcPr>
          <w:p>
            <w:pPr>
              <w:jc w:val="center"/>
              <w:spacing w:after="0" w:line="194" w:lineRule="exact"/>
              <w:rPr>
                <w:sz w:val="20"/>
                <w:szCs w:val="20"/>
                <w:color w:val="auto"/>
              </w:rPr>
            </w:pPr>
            <w:r>
              <w:rPr>
                <w:rFonts w:ascii="Arial" w:cs="Arial" w:eastAsia="Arial" w:hAnsi="Arial"/>
                <w:sz w:val="17"/>
                <w:szCs w:val="17"/>
                <w:color w:val="auto"/>
                <w:w w:val="94"/>
              </w:rPr>
              <w:t>62</w:t>
            </w:r>
          </w:p>
        </w:tc>
        <w:tc>
          <w:tcPr>
            <w:tcW w:w="940" w:type="dxa"/>
            <w:vAlign w:val="bottom"/>
          </w:tcPr>
          <w:p>
            <w:pPr>
              <w:jc w:val="center"/>
              <w:spacing w:after="0" w:line="194" w:lineRule="exact"/>
              <w:rPr>
                <w:sz w:val="20"/>
                <w:szCs w:val="20"/>
                <w:color w:val="auto"/>
              </w:rPr>
            </w:pPr>
            <w:r>
              <w:rPr>
                <w:rFonts w:ascii="Arial" w:cs="Arial" w:eastAsia="Arial" w:hAnsi="Arial"/>
                <w:sz w:val="17"/>
                <w:szCs w:val="17"/>
                <w:color w:val="auto"/>
              </w:rPr>
              <w:t>2020</w:t>
            </w:r>
          </w:p>
        </w:tc>
        <w:tc>
          <w:tcPr>
            <w:tcW w:w="1280" w:type="dxa"/>
            <w:vAlign w:val="bottom"/>
            <w:vMerge w:val="continue"/>
          </w:tcPr>
          <w:p>
            <w:pPr>
              <w:spacing w:after="0"/>
              <w:rPr>
                <w:sz w:val="16"/>
                <w:szCs w:val="16"/>
                <w:color w:val="auto"/>
              </w:rPr>
            </w:pPr>
          </w:p>
        </w:tc>
        <w:tc>
          <w:tcPr>
            <w:tcW w:w="2600" w:type="dxa"/>
            <w:vAlign w:val="bottom"/>
          </w:tcPr>
          <w:p>
            <w:pPr>
              <w:ind w:left="180"/>
              <w:spacing w:after="0" w:line="194" w:lineRule="exact"/>
              <w:rPr>
                <w:sz w:val="20"/>
                <w:szCs w:val="20"/>
                <w:color w:val="auto"/>
              </w:rPr>
            </w:pPr>
            <w:r>
              <w:rPr>
                <w:rFonts w:ascii="Arial" w:cs="Arial" w:eastAsia="Arial" w:hAnsi="Arial"/>
                <w:sz w:val="17"/>
                <w:szCs w:val="17"/>
                <w:color w:val="auto"/>
              </w:rPr>
              <w:t>Nordion Pricing Committee; EO</w:t>
            </w:r>
          </w:p>
        </w:tc>
        <w:tc>
          <w:tcPr>
            <w:tcW w:w="0" w:type="dxa"/>
            <w:vAlign w:val="bottom"/>
          </w:tcPr>
          <w:p>
            <w:pPr>
              <w:spacing w:after="0"/>
              <w:rPr>
                <w:sz w:val="1"/>
                <w:szCs w:val="1"/>
                <w:color w:val="auto"/>
              </w:rPr>
            </w:pPr>
          </w:p>
        </w:tc>
      </w:tr>
      <w:tr>
        <w:trPr>
          <w:trHeight w:val="231"/>
        </w:trPr>
        <w:tc>
          <w:tcPr>
            <w:tcW w:w="5060" w:type="dxa"/>
            <w:vAlign w:val="bottom"/>
            <w:tcBorders>
              <w:bottom w:val="single" w:sz="8" w:color="00467D"/>
            </w:tcBorders>
          </w:tcPr>
          <w:p>
            <w:pPr>
              <w:ind w:left="240"/>
              <w:spacing w:after="0"/>
              <w:rPr>
                <w:sz w:val="20"/>
                <w:szCs w:val="20"/>
                <w:color w:val="auto"/>
              </w:rPr>
            </w:pPr>
            <w:r>
              <w:rPr>
                <w:rFonts w:ascii="Arial" w:cs="Arial" w:eastAsia="Arial" w:hAnsi="Arial"/>
                <w:sz w:val="17"/>
                <w:szCs w:val="17"/>
                <w:color w:val="auto"/>
              </w:rPr>
              <w:t>Treasurer, Lincoln Electric Holdings</w:t>
            </w:r>
          </w:p>
        </w:tc>
        <w:tc>
          <w:tcPr>
            <w:tcW w:w="660" w:type="dxa"/>
            <w:vAlign w:val="bottom"/>
            <w:tcBorders>
              <w:bottom w:val="single" w:sz="8" w:color="00467D"/>
            </w:tcBorders>
          </w:tcPr>
          <w:p>
            <w:pPr>
              <w:spacing w:after="0"/>
              <w:rPr>
                <w:sz w:val="20"/>
                <w:szCs w:val="20"/>
                <w:color w:val="auto"/>
              </w:rPr>
            </w:pPr>
          </w:p>
        </w:tc>
        <w:tc>
          <w:tcPr>
            <w:tcW w:w="940" w:type="dxa"/>
            <w:vAlign w:val="bottom"/>
            <w:tcBorders>
              <w:bottom w:val="single" w:sz="8" w:color="00467D"/>
            </w:tcBorders>
          </w:tcPr>
          <w:p>
            <w:pPr>
              <w:spacing w:after="0"/>
              <w:rPr>
                <w:sz w:val="20"/>
                <w:szCs w:val="20"/>
                <w:color w:val="auto"/>
              </w:rPr>
            </w:pPr>
          </w:p>
        </w:tc>
        <w:tc>
          <w:tcPr>
            <w:tcW w:w="1280" w:type="dxa"/>
            <w:vAlign w:val="bottom"/>
            <w:tcBorders>
              <w:bottom w:val="single" w:sz="8" w:color="00467D"/>
            </w:tcBorders>
            <w:vMerge w:val="continue"/>
          </w:tcPr>
          <w:p>
            <w:pPr>
              <w:spacing w:after="0"/>
              <w:rPr>
                <w:sz w:val="20"/>
                <w:szCs w:val="20"/>
                <w:color w:val="auto"/>
              </w:rPr>
            </w:pPr>
          </w:p>
        </w:tc>
        <w:tc>
          <w:tcPr>
            <w:tcW w:w="2600" w:type="dxa"/>
            <w:vAlign w:val="bottom"/>
            <w:tcBorders>
              <w:bottom w:val="single" w:sz="8" w:color="00467D"/>
            </w:tcBorders>
          </w:tcPr>
          <w:p>
            <w:pPr>
              <w:ind w:left="180"/>
              <w:spacing w:after="0"/>
              <w:rPr>
                <w:sz w:val="20"/>
                <w:szCs w:val="20"/>
                <w:color w:val="auto"/>
              </w:rPr>
            </w:pPr>
            <w:r>
              <w:rPr>
                <w:rFonts w:ascii="Arial" w:cs="Arial" w:eastAsia="Arial" w:hAnsi="Arial"/>
                <w:sz w:val="17"/>
                <w:szCs w:val="17"/>
                <w:color w:val="auto"/>
              </w:rPr>
              <w:t>Litigation Committee</w:t>
            </w:r>
          </w:p>
        </w:tc>
        <w:tc>
          <w:tcPr>
            <w:tcW w:w="0" w:type="dxa"/>
            <w:vAlign w:val="bottom"/>
          </w:tcPr>
          <w:p>
            <w:pPr>
              <w:spacing w:after="0"/>
              <w:rPr>
                <w:sz w:val="1"/>
                <w:szCs w:val="1"/>
                <w:color w:val="auto"/>
              </w:rPr>
            </w:pPr>
          </w:p>
        </w:tc>
      </w:tr>
    </w:tbl>
    <w:p>
      <w:pPr>
        <w:spacing w:after="0" w:line="70" w:lineRule="exact"/>
        <w:rPr>
          <w:sz w:val="20"/>
          <w:szCs w:val="20"/>
          <w:color w:val="auto"/>
        </w:rPr>
      </w:pPr>
    </w:p>
    <w:p>
      <w:pPr>
        <w:ind w:left="780" w:hanging="422"/>
        <w:spacing w:after="0"/>
        <w:tabs>
          <w:tab w:leader="none" w:pos="780" w:val="left"/>
        </w:tabs>
        <w:numPr>
          <w:ilvl w:val="0"/>
          <w:numId w:val="7"/>
        </w:numPr>
        <w:rPr>
          <w:rFonts w:ascii="Arial" w:cs="Arial" w:eastAsia="Arial" w:hAnsi="Arial"/>
          <w:sz w:val="14"/>
          <w:szCs w:val="14"/>
          <w:color w:val="auto"/>
        </w:rPr>
      </w:pPr>
      <w:r>
        <w:rPr>
          <w:rFonts w:ascii="Arial" w:cs="Arial" w:eastAsia="Arial" w:hAnsi="Arial"/>
          <w:sz w:val="14"/>
          <w:szCs w:val="14"/>
          <w:color w:val="auto"/>
        </w:rPr>
        <w:t>Year in which director began service as a Company director or a member of Topco Parent’s (as defined below) board of managers.</w:t>
      </w:r>
    </w:p>
    <w:p>
      <w:pPr>
        <w:spacing w:after="0" w:line="285" w:lineRule="exact"/>
        <w:rPr>
          <w:sz w:val="20"/>
          <w:szCs w:val="20"/>
          <w:color w:val="auto"/>
        </w:rPr>
      </w:pPr>
    </w:p>
    <w:p>
      <w:pPr>
        <w:ind w:left="360"/>
        <w:spacing w:after="0"/>
        <w:rPr>
          <w:sz w:val="20"/>
          <w:szCs w:val="20"/>
          <w:color w:val="auto"/>
        </w:rPr>
      </w:pPr>
      <w:r>
        <w:rPr>
          <w:rFonts w:ascii="Arial" w:cs="Arial" w:eastAsia="Arial" w:hAnsi="Arial"/>
          <w:sz w:val="31"/>
          <w:szCs w:val="31"/>
          <w:color w:val="00B0DB"/>
        </w:rPr>
        <w:t>Virtual Annual Meeting</w:t>
      </w:r>
    </w:p>
    <w:p>
      <w:pPr>
        <w:spacing w:after="0" w:line="221" w:lineRule="exact"/>
        <w:rPr>
          <w:sz w:val="20"/>
          <w:szCs w:val="20"/>
          <w:color w:val="auto"/>
        </w:rPr>
      </w:pPr>
    </w:p>
    <w:p>
      <w:pPr>
        <w:ind w:left="360" w:right="100"/>
        <w:spacing w:after="0" w:line="243" w:lineRule="auto"/>
        <w:rPr>
          <w:sz w:val="20"/>
          <w:szCs w:val="20"/>
          <w:color w:val="auto"/>
        </w:rPr>
      </w:pPr>
      <w:r>
        <w:rPr>
          <w:rFonts w:ascii="Arial" w:cs="Arial" w:eastAsia="Arial" w:hAnsi="Arial"/>
          <w:sz w:val="17"/>
          <w:szCs w:val="17"/>
          <w:color w:val="auto"/>
        </w:rPr>
        <w:t xml:space="preserve">Our Annual Meeting will be held exclusively online, in a virtual format through a live audio webcast. You are entitled to participate in the Annual Meeting if you were a shareholder as of the close of business on March 31, 2023, the record date, or hold a valid proxy for the meeting. To be admitted to the Annual Meeting at </w:t>
      </w:r>
      <w:r>
        <w:rPr>
          <w:rFonts w:ascii="Arial" w:cs="Arial" w:eastAsia="Arial" w:hAnsi="Arial"/>
          <w:sz w:val="17"/>
          <w:szCs w:val="17"/>
          <w:b w:val="1"/>
          <w:bCs w:val="1"/>
          <w:color w:val="auto"/>
        </w:rPr>
        <w:t>www.virtualshareholdermeeting.com/SHC2023</w:t>
      </w:r>
      <w:r>
        <w:rPr>
          <w:rFonts w:ascii="Arial" w:cs="Arial" w:eastAsia="Arial" w:hAnsi="Arial"/>
          <w:sz w:val="17"/>
          <w:szCs w:val="17"/>
          <w:color w:val="auto"/>
        </w:rPr>
        <w:t>, you must enter the 16-digit control number found next to the label “Control Number” on your Notice of Internet Availability, proxy card, or the voting instructions you receive by email. Shareholders may vote their shares electronically during the Annual Meeting through the virtual meeting platform; for more information on how to vote your shares, please see “Questions and Answers About the Proxy Statement and Our 2023 Annual Meeting of Shareholders” on page 78.</w:t>
      </w:r>
    </w:p>
    <w:p>
      <w:pPr>
        <w:spacing w:after="0" w:line="176" w:lineRule="exact"/>
        <w:rPr>
          <w:sz w:val="20"/>
          <w:szCs w:val="20"/>
          <w:color w:val="auto"/>
        </w:rPr>
      </w:pPr>
    </w:p>
    <w:p>
      <w:pPr>
        <w:ind w:left="360" w:right="160"/>
        <w:spacing w:after="0" w:line="250" w:lineRule="auto"/>
        <w:rPr>
          <w:sz w:val="20"/>
          <w:szCs w:val="20"/>
          <w:color w:val="auto"/>
        </w:rPr>
      </w:pPr>
      <w:r>
        <w:rPr>
          <w:rFonts w:ascii="Arial" w:cs="Arial" w:eastAsia="Arial" w:hAnsi="Arial"/>
          <w:sz w:val="17"/>
          <w:szCs w:val="17"/>
          <w:color w:val="auto"/>
        </w:rPr>
        <w:t>We are committed to ensuring that shareholders who attend our virtual Annual Meeting are afforded the same rights and opportunities to participate as they receive at in-person meetings. Shareholders will be able to submit questions to Sotera Health’s management and directors online, during the Annual Meeting, using the virtual meeting platform, and we will answer as many properly submitted questions as possible.</w:t>
      </w:r>
    </w:p>
    <w:p>
      <w:pPr>
        <w:spacing w:after="0" w:line="166" w:lineRule="exact"/>
        <w:rPr>
          <w:sz w:val="20"/>
          <w:szCs w:val="20"/>
          <w:color w:val="auto"/>
        </w:rPr>
      </w:pPr>
    </w:p>
    <w:p>
      <w:pPr>
        <w:jc w:val="both"/>
        <w:ind w:left="360" w:right="180"/>
        <w:spacing w:after="0" w:line="245" w:lineRule="auto"/>
        <w:rPr>
          <w:sz w:val="20"/>
          <w:szCs w:val="20"/>
          <w:color w:val="auto"/>
        </w:rPr>
      </w:pPr>
      <w:r>
        <w:rPr>
          <w:rFonts w:ascii="Arial" w:cs="Arial" w:eastAsia="Arial" w:hAnsi="Arial"/>
          <w:sz w:val="17"/>
          <w:szCs w:val="17"/>
          <w:color w:val="auto"/>
        </w:rPr>
        <w:t>The Annual Meeting webcast will begin promptly at 9:00 a.m., Eastern Daylight Time, on May 25, 2023. Online access and check-in will begin approximately 15 minutes prior to the 9:00 a.m. start time. We encourage you to access the meeting prior to the start time to allow ample time for check-in procedures. If you encounter any difficulties accessing the virtual meeting during check-in or during the meeting, please call 844-986-0822 (US) or 303-562-9302 (International). If there are any technical issues in convening or hosting the meeting, we plan to promptly post information to our investor relations website, https://investors.soterahealth.com/, including information on when the meeting will be reconvened.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231775</wp:posOffset>
            </wp:positionH>
            <wp:positionV relativeFrom="paragraph">
              <wp:posOffset>94615</wp:posOffset>
            </wp:positionV>
            <wp:extent cx="6687820" cy="165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687820" cy="16510"/>
                    </a:xfrm>
                    <a:prstGeom prst="rect">
                      <a:avLst/>
                    </a:prstGeom>
                    <a:noFill/>
                  </pic:spPr>
                </pic:pic>
              </a:graphicData>
            </a:graphic>
          </wp:anchor>
        </w:drawing>
      </w:r>
    </w:p>
    <w:p>
      <w:pPr>
        <w:spacing w:after="0" w:line="319" w:lineRule="exact"/>
        <w:rPr>
          <w:sz w:val="20"/>
          <w:szCs w:val="20"/>
          <w:color w:val="auto"/>
        </w:rPr>
      </w:pPr>
    </w:p>
    <w:tbl>
      <w:tblPr>
        <w:tblLayout w:type="fixed"/>
        <w:tblInd w:w="360" w:type="dxa"/>
        <w:tblCellMar>
          <w:top w:w="0" w:type="dxa"/>
          <w:left w:w="0" w:type="dxa"/>
          <w:bottom w:w="0" w:type="dxa"/>
          <w:right w:w="0" w:type="dxa"/>
        </w:tblCellMar>
      </w:tblPr>
      <w:tr>
        <w:trPr>
          <w:trHeight w:val="226"/>
        </w:trPr>
        <w:tc>
          <w:tcPr>
            <w:tcW w:w="3920" w:type="dxa"/>
            <w:vAlign w:val="bottom"/>
          </w:tcPr>
          <w:p>
            <w:pPr>
              <w:spacing w:after="0"/>
              <w:rPr>
                <w:sz w:val="20"/>
                <w:szCs w:val="20"/>
                <w:color w:val="auto"/>
              </w:rPr>
            </w:pPr>
            <w:r>
              <w:rPr>
                <w:rFonts w:ascii="Arial" w:cs="Arial" w:eastAsia="Arial" w:hAnsi="Arial"/>
                <w:sz w:val="17"/>
                <w:szCs w:val="17"/>
                <w:color w:val="auto"/>
              </w:rPr>
              <w:t>2023 Notice and Proxy Statement</w:t>
            </w:r>
          </w:p>
        </w:tc>
        <w:tc>
          <w:tcPr>
            <w:tcW w:w="1460" w:type="dxa"/>
            <w:vAlign w:val="bottom"/>
          </w:tcPr>
          <w:p>
            <w:pPr>
              <w:jc w:val="right"/>
              <w:spacing w:after="0"/>
              <w:rPr>
                <w:sz w:val="20"/>
                <w:szCs w:val="20"/>
                <w:color w:val="auto"/>
              </w:rPr>
            </w:pPr>
            <w:r>
              <w:rPr>
                <w:rFonts w:ascii="Arial" w:cs="Arial" w:eastAsia="Arial" w:hAnsi="Arial"/>
                <w:sz w:val="17"/>
                <w:szCs w:val="17"/>
                <w:color w:val="auto"/>
              </w:rPr>
              <w:t>2</w:t>
            </w:r>
          </w:p>
        </w:tc>
      </w:tr>
    </w:tbl>
    <w:p>
      <w:pPr>
        <w:sectPr>
          <w:pgSz w:w="11900" w:h="16838" w:orient="portrait"/>
          <w:cols w:equalWidth="0" w:num="1">
            <w:col w:w="10900"/>
          </w:cols>
          <w:pgMar w:left="320" w:top="468" w:right="67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5397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9945"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231775</wp:posOffset>
            </wp:positionH>
            <wp:positionV relativeFrom="paragraph">
              <wp:posOffset>200025</wp:posOffset>
            </wp:positionV>
            <wp:extent cx="6884035" cy="885126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84035" cy="8851265"/>
                    </a:xfrm>
                    <a:prstGeom prst="rect">
                      <a:avLst/>
                    </a:prstGeom>
                    <a:noFill/>
                  </pic:spPr>
                </pic:pic>
              </a:graphicData>
            </a:graphic>
          </wp:anchor>
        </w:drawing>
      </w:r>
    </w:p>
    <w:p>
      <w:pPr>
        <w:sectPr>
          <w:pgSz w:w="11900" w:h="16838" w:orient="portrait"/>
          <w:cols w:equalWidth="0" w:num="1">
            <w:col w:w="10139"/>
          </w:cols>
          <w:pgMar w:left="320" w:top="468" w:right="1440"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5397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9945"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231775</wp:posOffset>
            </wp:positionH>
            <wp:positionV relativeFrom="paragraph">
              <wp:posOffset>200025</wp:posOffset>
            </wp:positionV>
            <wp:extent cx="6884035" cy="885126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84035" cy="8851265"/>
                    </a:xfrm>
                    <a:prstGeom prst="rect">
                      <a:avLst/>
                    </a:prstGeom>
                    <a:noFill/>
                  </pic:spPr>
                </pic:pic>
              </a:graphicData>
            </a:graphic>
          </wp:anchor>
        </w:drawing>
      </w:r>
    </w:p>
    <w:p>
      <w:pPr>
        <w:sectPr>
          <w:pgSz w:w="11900" w:h="16838" w:orient="portrait"/>
          <w:cols w:equalWidth="0" w:num="1">
            <w:col w:w="10139"/>
          </w:cols>
          <w:pgMar w:left="320" w:top="468" w:right="1440"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5397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9945" cy="53975"/>
                    </a:xfrm>
                    <a:prstGeom prst="rect">
                      <a:avLst/>
                    </a:prstGeom>
                    <a:noFill/>
                  </pic:spPr>
                </pic:pic>
              </a:graphicData>
            </a:graphic>
          </wp:anchor>
        </w:drawing>
        <w:t>Table of Contents</w:t>
      </w:r>
    </w:p>
    <w:p>
      <w:pPr>
        <w:spacing w:after="0" w:line="296" w:lineRule="exact"/>
        <w:rPr>
          <w:sz w:val="20"/>
          <w:szCs w:val="20"/>
          <w:color w:val="auto"/>
        </w:rPr>
      </w:pPr>
    </w:p>
    <w:p>
      <w:pPr>
        <w:ind w:left="8180"/>
        <w:spacing w:after="0"/>
        <w:rPr>
          <w:sz w:val="20"/>
          <w:szCs w:val="20"/>
          <w:color w:val="auto"/>
        </w:rPr>
      </w:pPr>
      <w:r>
        <w:rPr>
          <w:rFonts w:ascii="Arial" w:cs="Arial" w:eastAsia="Arial" w:hAnsi="Arial"/>
          <w:sz w:val="17"/>
          <w:szCs w:val="17"/>
          <w:b w:val="1"/>
          <w:bCs w:val="1"/>
          <w:color w:val="auto"/>
        </w:rPr>
        <w:t>Shareholder Engagement in 2022</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41"/>
          <w:szCs w:val="41"/>
          <w:b w:val="1"/>
          <w:bCs w:val="1"/>
          <w:color w:val="00B0DB"/>
        </w:rPr>
        <w:t>SHAREHOLDER ENGAGEMENT IN 2022</w:t>
      </w:r>
    </w:p>
    <w:p>
      <w:pPr>
        <w:spacing w:after="0" w:line="237" w:lineRule="exact"/>
        <w:rPr>
          <w:sz w:val="20"/>
          <w:szCs w:val="20"/>
          <w:color w:val="auto"/>
        </w:rPr>
      </w:pPr>
    </w:p>
    <w:p>
      <w:pPr>
        <w:ind w:left="360" w:right="40"/>
        <w:spacing w:after="0" w:line="242" w:lineRule="auto"/>
        <w:rPr>
          <w:sz w:val="20"/>
          <w:szCs w:val="20"/>
          <w:color w:val="auto"/>
        </w:rPr>
      </w:pPr>
      <w:r>
        <w:rPr>
          <w:rFonts w:ascii="Arial" w:cs="Arial" w:eastAsia="Arial" w:hAnsi="Arial"/>
          <w:sz w:val="17"/>
          <w:szCs w:val="17"/>
          <w:color w:val="auto"/>
        </w:rPr>
        <w:t>Shareholder feedback is a valuable input and is incorporated into relevant Board and committee discussions. Our executive ESG Committee, which reports to our Chief Executive Officer (“CEO”) and provides regular reports to the Governance Committee, seeks opportunities to connect with our investors to discuss current and ongoing ESG trends and hear their views about governance policies and practices. In 2022, we reached out to institutional shareholders representing approximately 60% of shares not held by affiliates to solicit feedback on ESG matters and address shareholder questions. An external ESG consultant also provides input on these discussions. These governance engagements are in addition to the discussions that our senior leadership and investor relations teams regularly have with institutional and other shareholders regarding governance and numerous other issues, which includes quarterly outreach to our largest shareholders after we release our earnings reports.</w:t>
      </w:r>
    </w:p>
    <w:p>
      <w:pPr>
        <w:spacing w:after="0" w:line="191" w:lineRule="exact"/>
        <w:rPr>
          <w:sz w:val="20"/>
          <w:szCs w:val="20"/>
          <w:color w:val="auto"/>
        </w:rPr>
      </w:pPr>
    </w:p>
    <w:tbl>
      <w:tblPr>
        <w:tblLayout w:type="fixed"/>
        <w:tblInd w:w="360" w:type="dxa"/>
        <w:tblCellMar>
          <w:top w:w="0" w:type="dxa"/>
          <w:left w:w="0" w:type="dxa"/>
          <w:bottom w:w="0" w:type="dxa"/>
          <w:right w:w="0" w:type="dxa"/>
        </w:tblCellMar>
      </w:tblPr>
      <w:tr>
        <w:trPr>
          <w:trHeight w:val="363"/>
        </w:trPr>
        <w:tc>
          <w:tcPr>
            <w:tcW w:w="5300" w:type="dxa"/>
            <w:vAlign w:val="bottom"/>
            <w:gridSpan w:val="2"/>
          </w:tcPr>
          <w:p>
            <w:pPr>
              <w:spacing w:after="0"/>
              <w:rPr>
                <w:sz w:val="20"/>
                <w:szCs w:val="20"/>
                <w:color w:val="auto"/>
              </w:rPr>
            </w:pPr>
            <w:r>
              <w:rPr>
                <w:rFonts w:ascii="Arial" w:cs="Arial" w:eastAsia="Arial" w:hAnsi="Arial"/>
                <w:sz w:val="28"/>
                <w:szCs w:val="28"/>
                <w:color w:val="00B0DB"/>
              </w:rPr>
              <w:t>Scope of Outreach</w:t>
            </w:r>
          </w:p>
        </w:tc>
        <w:tc>
          <w:tcPr>
            <w:tcW w:w="5220" w:type="dxa"/>
            <w:vAlign w:val="bottom"/>
          </w:tcPr>
          <w:p>
            <w:pPr>
              <w:ind w:left="100"/>
              <w:spacing w:after="0"/>
              <w:rPr>
                <w:sz w:val="20"/>
                <w:szCs w:val="20"/>
                <w:color w:val="auto"/>
              </w:rPr>
            </w:pPr>
            <w:r>
              <w:rPr>
                <w:rFonts w:ascii="Arial" w:cs="Arial" w:eastAsia="Arial" w:hAnsi="Arial"/>
                <w:sz w:val="28"/>
                <w:szCs w:val="28"/>
                <w:color w:val="00B0DB"/>
              </w:rPr>
              <w:t>Who We Met With</w:t>
            </w:r>
          </w:p>
        </w:tc>
        <w:tc>
          <w:tcPr>
            <w:tcW w:w="0" w:type="dxa"/>
            <w:vAlign w:val="bottom"/>
          </w:tcPr>
          <w:p>
            <w:pPr>
              <w:spacing w:after="0"/>
              <w:rPr>
                <w:sz w:val="1"/>
                <w:szCs w:val="1"/>
                <w:color w:val="auto"/>
              </w:rPr>
            </w:pPr>
          </w:p>
        </w:tc>
      </w:tr>
      <w:tr>
        <w:trPr>
          <w:trHeight w:val="373"/>
        </w:trPr>
        <w:tc>
          <w:tcPr>
            <w:tcW w:w="560" w:type="dxa"/>
            <w:vAlign w:val="bottom"/>
            <w:vMerge w:val="restart"/>
          </w:tcPr>
          <w:p>
            <w:pPr>
              <w:spacing w:after="0"/>
              <w:rPr>
                <w:sz w:val="20"/>
                <w:szCs w:val="20"/>
                <w:color w:val="auto"/>
              </w:rPr>
            </w:pPr>
            <w:r>
              <w:rPr>
                <w:rFonts w:ascii="Arial" w:cs="Arial" w:eastAsia="Arial" w:hAnsi="Arial"/>
                <w:sz w:val="24"/>
                <w:szCs w:val="24"/>
                <w:b w:val="1"/>
                <w:bCs w:val="1"/>
                <w:color w:val="00467D"/>
              </w:rPr>
              <w:t>60%</w:t>
            </w:r>
          </w:p>
        </w:tc>
        <w:tc>
          <w:tcPr>
            <w:tcW w:w="4740" w:type="dxa"/>
            <w:vAlign w:val="bottom"/>
          </w:tcPr>
          <w:p>
            <w:pPr>
              <w:ind w:left="80"/>
              <w:spacing w:after="0"/>
              <w:rPr>
                <w:sz w:val="20"/>
                <w:szCs w:val="20"/>
                <w:color w:val="auto"/>
              </w:rPr>
            </w:pPr>
            <w:r>
              <w:rPr>
                <w:rFonts w:ascii="Arial" w:cs="Arial" w:eastAsia="Arial" w:hAnsi="Arial"/>
                <w:sz w:val="17"/>
                <w:szCs w:val="17"/>
                <w:color w:val="auto"/>
              </w:rPr>
              <w:t>We reached out to shareholders representing approximately</w:t>
            </w:r>
          </w:p>
        </w:tc>
        <w:tc>
          <w:tcPr>
            <w:tcW w:w="5220" w:type="dxa"/>
            <w:vAlign w:val="bottom"/>
            <w:vMerge w:val="restart"/>
          </w:tcPr>
          <w:p>
            <w:pPr>
              <w:ind w:left="120"/>
              <w:spacing w:after="0"/>
              <w:rPr>
                <w:sz w:val="20"/>
                <w:szCs w:val="20"/>
                <w:color w:val="auto"/>
              </w:rPr>
            </w:pPr>
            <w:r>
              <w:rPr>
                <w:rFonts w:ascii="Arial" w:cs="Arial" w:eastAsia="Arial" w:hAnsi="Arial"/>
                <w:sz w:val="24"/>
                <w:szCs w:val="24"/>
                <w:b w:val="1"/>
                <w:bCs w:val="1"/>
                <w:color w:val="00467D"/>
              </w:rPr>
              <w:t xml:space="preserve">40% </w:t>
            </w:r>
            <w:r>
              <w:rPr>
                <w:rFonts w:ascii="Arial" w:cs="Arial" w:eastAsia="Arial" w:hAnsi="Arial"/>
                <w:sz w:val="17"/>
                <w:szCs w:val="17"/>
                <w:color w:val="000000"/>
              </w:rPr>
              <w:t>We met with shareholders representing approximately 40%</w:t>
            </w:r>
          </w:p>
        </w:tc>
        <w:tc>
          <w:tcPr>
            <w:tcW w:w="0" w:type="dxa"/>
            <w:vAlign w:val="bottom"/>
          </w:tcPr>
          <w:p>
            <w:pPr>
              <w:spacing w:after="0"/>
              <w:rPr>
                <w:sz w:val="1"/>
                <w:szCs w:val="1"/>
                <w:color w:val="auto"/>
              </w:rPr>
            </w:pPr>
          </w:p>
        </w:tc>
      </w:tr>
      <w:tr>
        <w:trPr>
          <w:trHeight w:val="194"/>
        </w:trPr>
        <w:tc>
          <w:tcPr>
            <w:tcW w:w="560" w:type="dxa"/>
            <w:vAlign w:val="bottom"/>
            <w:vMerge w:val="continue"/>
          </w:tcPr>
          <w:p>
            <w:pPr>
              <w:spacing w:after="0"/>
              <w:rPr>
                <w:sz w:val="16"/>
                <w:szCs w:val="16"/>
                <w:color w:val="auto"/>
              </w:rPr>
            </w:pPr>
          </w:p>
        </w:tc>
        <w:tc>
          <w:tcPr>
            <w:tcW w:w="4740" w:type="dxa"/>
            <w:vAlign w:val="bottom"/>
          </w:tcPr>
          <w:p>
            <w:pPr>
              <w:ind w:left="80"/>
              <w:spacing w:after="0" w:line="194" w:lineRule="exact"/>
              <w:rPr>
                <w:sz w:val="20"/>
                <w:szCs w:val="20"/>
                <w:color w:val="auto"/>
              </w:rPr>
            </w:pPr>
            <w:r>
              <w:rPr>
                <w:rFonts w:ascii="Arial" w:cs="Arial" w:eastAsia="Arial" w:hAnsi="Arial"/>
                <w:sz w:val="17"/>
                <w:szCs w:val="17"/>
                <w:color w:val="auto"/>
              </w:rPr>
              <w:t>60% of outstanding shares not held by affiliates on ESG</w:t>
            </w:r>
          </w:p>
        </w:tc>
        <w:tc>
          <w:tcPr>
            <w:tcW w:w="5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560" w:type="dxa"/>
            <w:vAlign w:val="bottom"/>
          </w:tcPr>
          <w:p>
            <w:pPr>
              <w:spacing w:after="0"/>
              <w:rPr>
                <w:sz w:val="19"/>
                <w:szCs w:val="19"/>
                <w:color w:val="auto"/>
              </w:rPr>
            </w:pPr>
          </w:p>
        </w:tc>
        <w:tc>
          <w:tcPr>
            <w:tcW w:w="4740" w:type="dxa"/>
            <w:vAlign w:val="bottom"/>
          </w:tcPr>
          <w:p>
            <w:pPr>
              <w:ind w:left="80"/>
              <w:spacing w:after="0"/>
              <w:rPr>
                <w:sz w:val="20"/>
                <w:szCs w:val="20"/>
                <w:color w:val="auto"/>
              </w:rPr>
            </w:pPr>
            <w:r>
              <w:rPr>
                <w:rFonts w:ascii="Arial" w:cs="Arial" w:eastAsia="Arial" w:hAnsi="Arial"/>
                <w:sz w:val="17"/>
                <w:szCs w:val="17"/>
                <w:color w:val="auto"/>
              </w:rPr>
              <w:t>topics</w:t>
            </w:r>
          </w:p>
        </w:tc>
        <w:tc>
          <w:tcPr>
            <w:tcW w:w="5220" w:type="dxa"/>
            <w:vAlign w:val="bottom"/>
          </w:tcPr>
          <w:p>
            <w:pPr>
              <w:ind w:left="720"/>
              <w:spacing w:after="0"/>
              <w:rPr>
                <w:sz w:val="20"/>
                <w:szCs w:val="20"/>
                <w:color w:val="auto"/>
              </w:rPr>
            </w:pPr>
            <w:r>
              <w:rPr>
                <w:rFonts w:ascii="Arial" w:cs="Arial" w:eastAsia="Arial" w:hAnsi="Arial"/>
                <w:sz w:val="17"/>
                <w:szCs w:val="17"/>
                <w:color w:val="auto"/>
              </w:rPr>
              <w:t>of outstanding shares not held by affiliates on ESG topics</w:t>
            </w:r>
          </w:p>
        </w:tc>
        <w:tc>
          <w:tcPr>
            <w:tcW w:w="0" w:type="dxa"/>
            <w:vAlign w:val="bottom"/>
          </w:tcPr>
          <w:p>
            <w:pPr>
              <w:spacing w:after="0"/>
              <w:rPr>
                <w:sz w:val="1"/>
                <w:szCs w:val="1"/>
                <w:color w:val="auto"/>
              </w:rPr>
            </w:pPr>
          </w:p>
        </w:tc>
      </w:tr>
    </w:tbl>
    <w:p>
      <w:pPr>
        <w:spacing w:after="0" w:line="174" w:lineRule="exact"/>
        <w:rPr>
          <w:sz w:val="20"/>
          <w:szCs w:val="20"/>
          <w:color w:val="auto"/>
        </w:rPr>
      </w:pPr>
    </w:p>
    <w:p>
      <w:pPr>
        <w:ind w:left="360" w:right="540"/>
        <w:spacing w:after="0" w:line="274" w:lineRule="auto"/>
        <w:rPr>
          <w:sz w:val="20"/>
          <w:szCs w:val="20"/>
          <w:color w:val="auto"/>
        </w:rPr>
      </w:pPr>
      <w:r>
        <w:rPr>
          <w:rFonts w:ascii="Arial" w:cs="Arial" w:eastAsia="Arial" w:hAnsi="Arial"/>
          <w:sz w:val="17"/>
          <w:szCs w:val="17"/>
          <w:color w:val="auto"/>
        </w:rPr>
        <w:t>The following table highlights key themes that shareholders raised about governance matters during our engagement and how management and the Board address these issues. Shareholder feedback is shared with the Governance Committee and the Board.</w:t>
      </w:r>
    </w:p>
    <w:p>
      <w:pPr>
        <w:spacing w:after="0" w:line="160" w:lineRule="exact"/>
        <w:rPr>
          <w:sz w:val="20"/>
          <w:szCs w:val="20"/>
          <w:color w:val="auto"/>
        </w:rPr>
      </w:pPr>
    </w:p>
    <w:tbl>
      <w:tblPr>
        <w:tblLayout w:type="fixed"/>
        <w:tblInd w:w="360" w:type="dxa"/>
        <w:tblCellMar>
          <w:top w:w="0" w:type="dxa"/>
          <w:left w:w="0" w:type="dxa"/>
          <w:bottom w:w="0" w:type="dxa"/>
          <w:right w:w="0" w:type="dxa"/>
        </w:tblCellMar>
      </w:tblPr>
      <w:tr>
        <w:trPr>
          <w:trHeight w:val="363"/>
        </w:trPr>
        <w:tc>
          <w:tcPr>
            <w:tcW w:w="5000" w:type="dxa"/>
            <w:vAlign w:val="bottom"/>
          </w:tcPr>
          <w:p>
            <w:pPr>
              <w:spacing w:after="0"/>
              <w:rPr>
                <w:sz w:val="20"/>
                <w:szCs w:val="20"/>
                <w:color w:val="auto"/>
              </w:rPr>
            </w:pPr>
            <w:r>
              <w:rPr>
                <w:rFonts w:ascii="Arial" w:cs="Arial" w:eastAsia="Arial" w:hAnsi="Arial"/>
                <w:sz w:val="28"/>
                <w:szCs w:val="28"/>
                <w:color w:val="00B0DB"/>
              </w:rPr>
              <w:t>What We Heard</w:t>
            </w:r>
          </w:p>
        </w:tc>
        <w:tc>
          <w:tcPr>
            <w:tcW w:w="5540" w:type="dxa"/>
            <w:vAlign w:val="bottom"/>
          </w:tcPr>
          <w:p>
            <w:pPr>
              <w:ind w:left="420"/>
              <w:spacing w:after="0"/>
              <w:rPr>
                <w:sz w:val="20"/>
                <w:szCs w:val="20"/>
                <w:color w:val="auto"/>
              </w:rPr>
            </w:pPr>
            <w:r>
              <w:rPr>
                <w:rFonts w:ascii="Arial" w:cs="Arial" w:eastAsia="Arial" w:hAnsi="Arial"/>
                <w:sz w:val="28"/>
                <w:szCs w:val="28"/>
                <w:color w:val="00B0DB"/>
              </w:rPr>
              <w:t>What We Do</w:t>
            </w:r>
          </w:p>
        </w:tc>
        <w:tc>
          <w:tcPr>
            <w:tcW w:w="0" w:type="dxa"/>
            <w:vAlign w:val="bottom"/>
          </w:tcPr>
          <w:p>
            <w:pPr>
              <w:spacing w:after="0"/>
              <w:rPr>
                <w:sz w:val="1"/>
                <w:szCs w:val="1"/>
                <w:color w:val="auto"/>
              </w:rPr>
            </w:pPr>
          </w:p>
        </w:tc>
      </w:tr>
      <w:tr>
        <w:trPr>
          <w:trHeight w:val="231"/>
        </w:trPr>
        <w:tc>
          <w:tcPr>
            <w:tcW w:w="5000" w:type="dxa"/>
            <w:vAlign w:val="bottom"/>
          </w:tcPr>
          <w:p>
            <w:pPr>
              <w:spacing w:after="0"/>
              <w:rPr>
                <w:sz w:val="20"/>
                <w:szCs w:val="20"/>
                <w:color w:val="auto"/>
              </w:rPr>
            </w:pPr>
          </w:p>
        </w:tc>
        <w:tc>
          <w:tcPr>
            <w:tcW w:w="5540" w:type="dxa"/>
            <w:vAlign w:val="bottom"/>
          </w:tcPr>
          <w:p>
            <w:pPr>
              <w:ind w:left="420"/>
              <w:spacing w:after="0"/>
              <w:rPr>
                <w:sz w:val="20"/>
                <w:szCs w:val="20"/>
                <w:color w:val="auto"/>
              </w:rPr>
            </w:pPr>
            <w:r>
              <w:rPr>
                <w:rFonts w:ascii="Arial" w:cs="Arial" w:eastAsia="Arial" w:hAnsi="Arial"/>
                <w:sz w:val="17"/>
                <w:szCs w:val="17"/>
                <w:color w:val="auto"/>
              </w:rPr>
              <w:t>Governance Committee regularly reviews board governance</w:t>
            </w:r>
          </w:p>
        </w:tc>
        <w:tc>
          <w:tcPr>
            <w:tcW w:w="0" w:type="dxa"/>
            <w:vAlign w:val="bottom"/>
          </w:tcPr>
          <w:p>
            <w:pPr>
              <w:spacing w:after="0"/>
              <w:rPr>
                <w:sz w:val="1"/>
                <w:szCs w:val="1"/>
                <w:color w:val="auto"/>
              </w:rPr>
            </w:pPr>
          </w:p>
        </w:tc>
      </w:tr>
      <w:tr>
        <w:trPr>
          <w:trHeight w:val="194"/>
        </w:trPr>
        <w:tc>
          <w:tcPr>
            <w:tcW w:w="5000" w:type="dxa"/>
            <w:vAlign w:val="bottom"/>
          </w:tcPr>
          <w:p>
            <w:pPr>
              <w:spacing w:after="0" w:line="194" w:lineRule="exact"/>
              <w:rPr>
                <w:sz w:val="20"/>
                <w:szCs w:val="20"/>
                <w:color w:val="auto"/>
              </w:rPr>
            </w:pPr>
            <w:r>
              <w:rPr>
                <w:rFonts w:ascii="Arial" w:cs="Arial" w:eastAsia="Arial" w:hAnsi="Arial"/>
                <w:sz w:val="17"/>
                <w:szCs w:val="17"/>
                <w:color w:val="auto"/>
              </w:rPr>
              <w:t>Classified board is disfavored by some investors</w:t>
            </w:r>
          </w:p>
        </w:tc>
        <w:tc>
          <w:tcPr>
            <w:tcW w:w="5540" w:type="dxa"/>
            <w:vAlign w:val="bottom"/>
          </w:tcPr>
          <w:p>
            <w:pPr>
              <w:ind w:left="420"/>
              <w:spacing w:after="0" w:line="194" w:lineRule="exact"/>
              <w:rPr>
                <w:sz w:val="20"/>
                <w:szCs w:val="20"/>
                <w:color w:val="auto"/>
              </w:rPr>
            </w:pPr>
            <w:r>
              <w:rPr>
                <w:rFonts w:ascii="Arial" w:cs="Arial" w:eastAsia="Arial" w:hAnsi="Arial"/>
                <w:sz w:val="17"/>
                <w:szCs w:val="17"/>
                <w:color w:val="auto"/>
              </w:rPr>
              <w:t>structure, including board classification, to confirm that a classified</w:t>
            </w:r>
          </w:p>
        </w:tc>
        <w:tc>
          <w:tcPr>
            <w:tcW w:w="0" w:type="dxa"/>
            <w:vAlign w:val="bottom"/>
          </w:tcPr>
          <w:p>
            <w:pPr>
              <w:spacing w:after="0"/>
              <w:rPr>
                <w:sz w:val="1"/>
                <w:szCs w:val="1"/>
                <w:color w:val="auto"/>
              </w:rPr>
            </w:pPr>
          </w:p>
        </w:tc>
      </w:tr>
      <w:tr>
        <w:trPr>
          <w:trHeight w:val="226"/>
        </w:trPr>
        <w:tc>
          <w:tcPr>
            <w:tcW w:w="5000" w:type="dxa"/>
            <w:vAlign w:val="bottom"/>
          </w:tcPr>
          <w:p>
            <w:pPr>
              <w:spacing w:after="0"/>
              <w:rPr>
                <w:sz w:val="19"/>
                <w:szCs w:val="19"/>
                <w:color w:val="auto"/>
              </w:rPr>
            </w:pPr>
          </w:p>
        </w:tc>
        <w:tc>
          <w:tcPr>
            <w:tcW w:w="5540" w:type="dxa"/>
            <w:vAlign w:val="bottom"/>
          </w:tcPr>
          <w:p>
            <w:pPr>
              <w:ind w:left="420"/>
              <w:spacing w:after="0"/>
              <w:rPr>
                <w:sz w:val="20"/>
                <w:szCs w:val="20"/>
                <w:color w:val="auto"/>
              </w:rPr>
            </w:pPr>
            <w:r>
              <w:rPr>
                <w:rFonts w:ascii="Arial" w:cs="Arial" w:eastAsia="Arial" w:hAnsi="Arial"/>
                <w:sz w:val="17"/>
                <w:szCs w:val="17"/>
                <w:color w:val="auto"/>
              </w:rPr>
              <w:t>board remains appropriate</w:t>
            </w:r>
          </w:p>
        </w:tc>
        <w:tc>
          <w:tcPr>
            <w:tcW w:w="0" w:type="dxa"/>
            <w:vAlign w:val="bottom"/>
          </w:tcPr>
          <w:p>
            <w:pPr>
              <w:spacing w:after="0"/>
              <w:rPr>
                <w:sz w:val="1"/>
                <w:szCs w:val="1"/>
                <w:color w:val="auto"/>
              </w:rPr>
            </w:pPr>
          </w:p>
        </w:tc>
      </w:tr>
      <w:tr>
        <w:trPr>
          <w:trHeight w:val="49"/>
        </w:trPr>
        <w:tc>
          <w:tcPr>
            <w:tcW w:w="5000" w:type="dxa"/>
            <w:vAlign w:val="bottom"/>
            <w:tcBorders>
              <w:bottom w:val="single" w:sz="8" w:color="CCCCCC"/>
            </w:tcBorders>
          </w:tcPr>
          <w:p>
            <w:pPr>
              <w:spacing w:after="0"/>
              <w:rPr>
                <w:sz w:val="4"/>
                <w:szCs w:val="4"/>
                <w:color w:val="auto"/>
              </w:rPr>
            </w:pPr>
          </w:p>
        </w:tc>
        <w:tc>
          <w:tcPr>
            <w:tcW w:w="5540" w:type="dxa"/>
            <w:vAlign w:val="bottom"/>
            <w:tcBorders>
              <w:bottom w:val="single" w:sz="8" w:color="CCCCCC"/>
            </w:tcBorders>
          </w:tcPr>
          <w:p>
            <w:pPr>
              <w:spacing w:after="0"/>
              <w:rPr>
                <w:sz w:val="4"/>
                <w:szCs w:val="4"/>
                <w:color w:val="auto"/>
              </w:rPr>
            </w:pPr>
          </w:p>
        </w:tc>
        <w:tc>
          <w:tcPr>
            <w:tcW w:w="0" w:type="dxa"/>
            <w:vAlign w:val="bottom"/>
          </w:tcPr>
          <w:p>
            <w:pPr>
              <w:spacing w:after="0"/>
              <w:rPr>
                <w:sz w:val="1"/>
                <w:szCs w:val="1"/>
                <w:color w:val="auto"/>
              </w:rPr>
            </w:pPr>
          </w:p>
        </w:tc>
      </w:tr>
      <w:tr>
        <w:trPr>
          <w:trHeight w:val="221"/>
        </w:trPr>
        <w:tc>
          <w:tcPr>
            <w:tcW w:w="5000" w:type="dxa"/>
            <w:vAlign w:val="bottom"/>
          </w:tcPr>
          <w:p>
            <w:pPr>
              <w:spacing w:after="0"/>
              <w:rPr>
                <w:sz w:val="19"/>
                <w:szCs w:val="19"/>
                <w:color w:val="auto"/>
              </w:rPr>
            </w:pPr>
          </w:p>
        </w:tc>
        <w:tc>
          <w:tcPr>
            <w:tcW w:w="5540" w:type="dxa"/>
            <w:vAlign w:val="bottom"/>
          </w:tcPr>
          <w:p>
            <w:pPr>
              <w:ind w:left="420"/>
              <w:spacing w:after="0"/>
              <w:rPr>
                <w:sz w:val="20"/>
                <w:szCs w:val="20"/>
                <w:color w:val="auto"/>
              </w:rPr>
            </w:pPr>
            <w:r>
              <w:rPr>
                <w:rFonts w:ascii="Arial" w:cs="Arial" w:eastAsia="Arial" w:hAnsi="Arial"/>
                <w:sz w:val="17"/>
                <w:szCs w:val="17"/>
                <w:color w:val="auto"/>
              </w:rPr>
              <w:t>ESG topics are regular agenda items for the Governance</w:t>
            </w:r>
          </w:p>
        </w:tc>
        <w:tc>
          <w:tcPr>
            <w:tcW w:w="0" w:type="dxa"/>
            <w:vAlign w:val="bottom"/>
          </w:tcPr>
          <w:p>
            <w:pPr>
              <w:spacing w:after="0"/>
              <w:rPr>
                <w:sz w:val="1"/>
                <w:szCs w:val="1"/>
                <w:color w:val="auto"/>
              </w:rPr>
            </w:pPr>
          </w:p>
        </w:tc>
      </w:tr>
      <w:tr>
        <w:trPr>
          <w:trHeight w:val="194"/>
        </w:trPr>
        <w:tc>
          <w:tcPr>
            <w:tcW w:w="5000" w:type="dxa"/>
            <w:vAlign w:val="bottom"/>
          </w:tcPr>
          <w:p>
            <w:pPr>
              <w:spacing w:after="0"/>
              <w:rPr>
                <w:sz w:val="16"/>
                <w:szCs w:val="16"/>
                <w:color w:val="auto"/>
              </w:rPr>
            </w:pPr>
          </w:p>
        </w:tc>
        <w:tc>
          <w:tcPr>
            <w:tcW w:w="5540" w:type="dxa"/>
            <w:vAlign w:val="bottom"/>
          </w:tcPr>
          <w:p>
            <w:pPr>
              <w:ind w:left="420"/>
              <w:spacing w:after="0" w:line="194" w:lineRule="exact"/>
              <w:rPr>
                <w:sz w:val="20"/>
                <w:szCs w:val="20"/>
                <w:color w:val="auto"/>
              </w:rPr>
            </w:pPr>
            <w:r>
              <w:rPr>
                <w:rFonts w:ascii="Arial" w:cs="Arial" w:eastAsia="Arial" w:hAnsi="Arial"/>
                <w:sz w:val="17"/>
                <w:szCs w:val="17"/>
                <w:color w:val="auto"/>
              </w:rPr>
              <w:t>Committee and full Board; management regularly reports to the</w:t>
            </w:r>
          </w:p>
        </w:tc>
        <w:tc>
          <w:tcPr>
            <w:tcW w:w="0" w:type="dxa"/>
            <w:vAlign w:val="bottom"/>
          </w:tcPr>
          <w:p>
            <w:pPr>
              <w:spacing w:after="0"/>
              <w:rPr>
                <w:sz w:val="1"/>
                <w:szCs w:val="1"/>
                <w:color w:val="auto"/>
              </w:rPr>
            </w:pPr>
          </w:p>
        </w:tc>
      </w:tr>
      <w:tr>
        <w:trPr>
          <w:trHeight w:val="194"/>
        </w:trPr>
        <w:tc>
          <w:tcPr>
            <w:tcW w:w="5000" w:type="dxa"/>
            <w:vAlign w:val="bottom"/>
          </w:tcPr>
          <w:p>
            <w:pPr>
              <w:spacing w:after="0" w:line="194" w:lineRule="exact"/>
              <w:rPr>
                <w:sz w:val="20"/>
                <w:szCs w:val="20"/>
                <w:color w:val="auto"/>
              </w:rPr>
            </w:pPr>
            <w:r>
              <w:rPr>
                <w:rFonts w:ascii="Arial" w:cs="Arial" w:eastAsia="Arial" w:hAnsi="Arial"/>
                <w:sz w:val="17"/>
                <w:szCs w:val="17"/>
                <w:color w:val="auto"/>
              </w:rPr>
              <w:t>Board and appropriate committees should review ESG topics</w:t>
            </w:r>
          </w:p>
        </w:tc>
        <w:tc>
          <w:tcPr>
            <w:tcW w:w="5540" w:type="dxa"/>
            <w:vAlign w:val="bottom"/>
          </w:tcPr>
          <w:p>
            <w:pPr>
              <w:ind w:left="420"/>
              <w:spacing w:after="0" w:line="194" w:lineRule="exact"/>
              <w:rPr>
                <w:sz w:val="20"/>
                <w:szCs w:val="20"/>
                <w:color w:val="auto"/>
              </w:rPr>
            </w:pPr>
            <w:r>
              <w:rPr>
                <w:rFonts w:ascii="Arial" w:cs="Arial" w:eastAsia="Arial" w:hAnsi="Arial"/>
                <w:sz w:val="17"/>
                <w:szCs w:val="17"/>
                <w:color w:val="auto"/>
              </w:rPr>
              <w:t>Governance Committee and Board on ESG topics; and the</w:t>
            </w:r>
          </w:p>
        </w:tc>
        <w:tc>
          <w:tcPr>
            <w:tcW w:w="0" w:type="dxa"/>
            <w:vAlign w:val="bottom"/>
          </w:tcPr>
          <w:p>
            <w:pPr>
              <w:spacing w:after="0"/>
              <w:rPr>
                <w:sz w:val="1"/>
                <w:szCs w:val="1"/>
                <w:color w:val="auto"/>
              </w:rPr>
            </w:pPr>
          </w:p>
        </w:tc>
      </w:tr>
      <w:tr>
        <w:trPr>
          <w:trHeight w:val="194"/>
        </w:trPr>
        <w:tc>
          <w:tcPr>
            <w:tcW w:w="5000" w:type="dxa"/>
            <w:vAlign w:val="bottom"/>
          </w:tcPr>
          <w:p>
            <w:pPr>
              <w:spacing w:after="0"/>
              <w:rPr>
                <w:sz w:val="16"/>
                <w:szCs w:val="16"/>
                <w:color w:val="auto"/>
              </w:rPr>
            </w:pPr>
          </w:p>
        </w:tc>
        <w:tc>
          <w:tcPr>
            <w:tcW w:w="5540" w:type="dxa"/>
            <w:vAlign w:val="bottom"/>
          </w:tcPr>
          <w:p>
            <w:pPr>
              <w:ind w:left="420"/>
              <w:spacing w:after="0" w:line="194" w:lineRule="exact"/>
              <w:rPr>
                <w:sz w:val="20"/>
                <w:szCs w:val="20"/>
                <w:color w:val="auto"/>
              </w:rPr>
            </w:pPr>
            <w:r>
              <w:rPr>
                <w:rFonts w:ascii="Arial" w:cs="Arial" w:eastAsia="Arial" w:hAnsi="Arial"/>
                <w:sz w:val="17"/>
                <w:szCs w:val="17"/>
                <w:color w:val="auto"/>
              </w:rPr>
              <w:t>Company published its first-ever Corporate Responsibility Report</w:t>
            </w:r>
          </w:p>
        </w:tc>
        <w:tc>
          <w:tcPr>
            <w:tcW w:w="0" w:type="dxa"/>
            <w:vAlign w:val="bottom"/>
          </w:tcPr>
          <w:p>
            <w:pPr>
              <w:spacing w:after="0"/>
              <w:rPr>
                <w:sz w:val="1"/>
                <w:szCs w:val="1"/>
                <w:color w:val="auto"/>
              </w:rPr>
            </w:pPr>
          </w:p>
        </w:tc>
      </w:tr>
      <w:tr>
        <w:trPr>
          <w:trHeight w:val="226"/>
        </w:trPr>
        <w:tc>
          <w:tcPr>
            <w:tcW w:w="5000" w:type="dxa"/>
            <w:vAlign w:val="bottom"/>
          </w:tcPr>
          <w:p>
            <w:pPr>
              <w:spacing w:after="0"/>
              <w:rPr>
                <w:sz w:val="19"/>
                <w:szCs w:val="19"/>
                <w:color w:val="auto"/>
              </w:rPr>
            </w:pPr>
          </w:p>
        </w:tc>
        <w:tc>
          <w:tcPr>
            <w:tcW w:w="5540" w:type="dxa"/>
            <w:vAlign w:val="bottom"/>
          </w:tcPr>
          <w:p>
            <w:pPr>
              <w:ind w:left="420"/>
              <w:spacing w:after="0"/>
              <w:rPr>
                <w:sz w:val="20"/>
                <w:szCs w:val="20"/>
                <w:color w:val="auto"/>
              </w:rPr>
            </w:pPr>
            <w:r>
              <w:rPr>
                <w:rFonts w:ascii="Arial" w:cs="Arial" w:eastAsia="Arial" w:hAnsi="Arial"/>
                <w:sz w:val="17"/>
                <w:szCs w:val="17"/>
                <w:color w:val="auto"/>
              </w:rPr>
              <w:t>in 2022</w:t>
            </w:r>
          </w:p>
        </w:tc>
        <w:tc>
          <w:tcPr>
            <w:tcW w:w="0" w:type="dxa"/>
            <w:vAlign w:val="bottom"/>
          </w:tcPr>
          <w:p>
            <w:pPr>
              <w:spacing w:after="0"/>
              <w:rPr>
                <w:sz w:val="1"/>
                <w:szCs w:val="1"/>
                <w:color w:val="auto"/>
              </w:rPr>
            </w:pPr>
          </w:p>
        </w:tc>
      </w:tr>
      <w:tr>
        <w:trPr>
          <w:trHeight w:val="49"/>
        </w:trPr>
        <w:tc>
          <w:tcPr>
            <w:tcW w:w="5000" w:type="dxa"/>
            <w:vAlign w:val="bottom"/>
            <w:tcBorders>
              <w:bottom w:val="single" w:sz="8" w:color="CCCCCC"/>
            </w:tcBorders>
          </w:tcPr>
          <w:p>
            <w:pPr>
              <w:spacing w:after="0"/>
              <w:rPr>
                <w:sz w:val="4"/>
                <w:szCs w:val="4"/>
                <w:color w:val="auto"/>
              </w:rPr>
            </w:pPr>
          </w:p>
        </w:tc>
        <w:tc>
          <w:tcPr>
            <w:tcW w:w="5540" w:type="dxa"/>
            <w:vAlign w:val="bottom"/>
            <w:tcBorders>
              <w:bottom w:val="single" w:sz="8" w:color="CCCCCC"/>
            </w:tcBorders>
          </w:tcPr>
          <w:p>
            <w:pPr>
              <w:spacing w:after="0"/>
              <w:rPr>
                <w:sz w:val="4"/>
                <w:szCs w:val="4"/>
                <w:color w:val="auto"/>
              </w:rPr>
            </w:pPr>
          </w:p>
        </w:tc>
        <w:tc>
          <w:tcPr>
            <w:tcW w:w="0" w:type="dxa"/>
            <w:vAlign w:val="bottom"/>
          </w:tcPr>
          <w:p>
            <w:pPr>
              <w:spacing w:after="0"/>
              <w:rPr>
                <w:sz w:val="1"/>
                <w:szCs w:val="1"/>
                <w:color w:val="auto"/>
              </w:rPr>
            </w:pPr>
          </w:p>
        </w:tc>
      </w:tr>
      <w:tr>
        <w:trPr>
          <w:trHeight w:val="221"/>
        </w:trPr>
        <w:tc>
          <w:tcPr>
            <w:tcW w:w="5000" w:type="dxa"/>
            <w:vAlign w:val="bottom"/>
            <w:vMerge w:val="restart"/>
          </w:tcPr>
          <w:p>
            <w:pPr>
              <w:spacing w:after="0"/>
              <w:rPr>
                <w:sz w:val="20"/>
                <w:szCs w:val="20"/>
                <w:color w:val="auto"/>
              </w:rPr>
            </w:pPr>
            <w:r>
              <w:rPr>
                <w:rFonts w:ascii="Arial" w:cs="Arial" w:eastAsia="Arial" w:hAnsi="Arial"/>
                <w:sz w:val="17"/>
                <w:szCs w:val="17"/>
                <w:color w:val="auto"/>
              </w:rPr>
              <w:t>Ensure directors are independent</w:t>
            </w:r>
          </w:p>
        </w:tc>
        <w:tc>
          <w:tcPr>
            <w:tcW w:w="5540" w:type="dxa"/>
            <w:vAlign w:val="bottom"/>
          </w:tcPr>
          <w:p>
            <w:pPr>
              <w:ind w:left="420"/>
              <w:spacing w:after="0"/>
              <w:rPr>
                <w:sz w:val="20"/>
                <w:szCs w:val="20"/>
                <w:color w:val="auto"/>
              </w:rPr>
            </w:pPr>
            <w:r>
              <w:rPr>
                <w:rFonts w:ascii="Arial" w:cs="Arial" w:eastAsia="Arial" w:hAnsi="Arial"/>
                <w:sz w:val="17"/>
                <w:szCs w:val="17"/>
                <w:color w:val="auto"/>
              </w:rPr>
              <w:t>All of our directors with the single exception of our CEO (i.e., 90%</w:t>
            </w:r>
          </w:p>
        </w:tc>
        <w:tc>
          <w:tcPr>
            <w:tcW w:w="0" w:type="dxa"/>
            <w:vAlign w:val="bottom"/>
          </w:tcPr>
          <w:p>
            <w:pPr>
              <w:spacing w:after="0"/>
              <w:rPr>
                <w:sz w:val="1"/>
                <w:szCs w:val="1"/>
                <w:color w:val="auto"/>
              </w:rPr>
            </w:pPr>
          </w:p>
        </w:tc>
      </w:tr>
      <w:tr>
        <w:trPr>
          <w:trHeight w:val="122"/>
        </w:trPr>
        <w:tc>
          <w:tcPr>
            <w:tcW w:w="5000" w:type="dxa"/>
            <w:vAlign w:val="bottom"/>
            <w:vMerge w:val="continue"/>
          </w:tcPr>
          <w:p>
            <w:pPr>
              <w:spacing w:after="0"/>
              <w:rPr>
                <w:sz w:val="10"/>
                <w:szCs w:val="10"/>
                <w:color w:val="auto"/>
              </w:rPr>
            </w:pPr>
          </w:p>
        </w:tc>
        <w:tc>
          <w:tcPr>
            <w:tcW w:w="5540" w:type="dxa"/>
            <w:vAlign w:val="bottom"/>
            <w:vMerge w:val="restart"/>
          </w:tcPr>
          <w:p>
            <w:pPr>
              <w:ind w:left="420"/>
              <w:spacing w:after="0"/>
              <w:rPr>
                <w:sz w:val="20"/>
                <w:szCs w:val="20"/>
                <w:color w:val="auto"/>
              </w:rPr>
            </w:pPr>
            <w:r>
              <w:rPr>
                <w:rFonts w:ascii="Arial" w:cs="Arial" w:eastAsia="Arial" w:hAnsi="Arial"/>
                <w:sz w:val="17"/>
                <w:szCs w:val="17"/>
                <w:color w:val="auto"/>
              </w:rPr>
              <w:t>of our Board) are independent under Nasdaq standards</w:t>
            </w:r>
          </w:p>
        </w:tc>
        <w:tc>
          <w:tcPr>
            <w:tcW w:w="0" w:type="dxa"/>
            <w:vAlign w:val="bottom"/>
          </w:tcPr>
          <w:p>
            <w:pPr>
              <w:spacing w:after="0"/>
              <w:rPr>
                <w:sz w:val="1"/>
                <w:szCs w:val="1"/>
                <w:color w:val="auto"/>
              </w:rPr>
            </w:pPr>
          </w:p>
        </w:tc>
      </w:tr>
      <w:tr>
        <w:trPr>
          <w:trHeight w:val="103"/>
        </w:trPr>
        <w:tc>
          <w:tcPr>
            <w:tcW w:w="5000" w:type="dxa"/>
            <w:vAlign w:val="bottom"/>
          </w:tcPr>
          <w:p>
            <w:pPr>
              <w:spacing w:after="0"/>
              <w:rPr>
                <w:sz w:val="8"/>
                <w:szCs w:val="8"/>
                <w:color w:val="auto"/>
              </w:rPr>
            </w:pPr>
          </w:p>
        </w:tc>
        <w:tc>
          <w:tcPr>
            <w:tcW w:w="55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5000" w:type="dxa"/>
            <w:vAlign w:val="bottom"/>
            <w:tcBorders>
              <w:bottom w:val="single" w:sz="8" w:color="CCCCCC"/>
            </w:tcBorders>
          </w:tcPr>
          <w:p>
            <w:pPr>
              <w:spacing w:after="0"/>
              <w:rPr>
                <w:sz w:val="9"/>
                <w:szCs w:val="9"/>
                <w:color w:val="auto"/>
              </w:rPr>
            </w:pPr>
          </w:p>
        </w:tc>
        <w:tc>
          <w:tcPr>
            <w:tcW w:w="5540" w:type="dxa"/>
            <w:vAlign w:val="bottom"/>
            <w:tcBorders>
              <w:bottom w:val="single" w:sz="8" w:color="CCCCCC"/>
            </w:tcBorders>
          </w:tcPr>
          <w:p>
            <w:pPr>
              <w:spacing w:after="0"/>
              <w:rPr>
                <w:sz w:val="9"/>
                <w:szCs w:val="9"/>
                <w:color w:val="auto"/>
              </w:rPr>
            </w:pPr>
          </w:p>
        </w:tc>
        <w:tc>
          <w:tcPr>
            <w:tcW w:w="0" w:type="dxa"/>
            <w:vAlign w:val="bottom"/>
          </w:tcPr>
          <w:p>
            <w:pPr>
              <w:spacing w:after="0"/>
              <w:rPr>
                <w:sz w:val="1"/>
                <w:szCs w:val="1"/>
                <w:color w:val="auto"/>
              </w:rPr>
            </w:pPr>
          </w:p>
        </w:tc>
      </w:tr>
      <w:tr>
        <w:trPr>
          <w:trHeight w:val="221"/>
        </w:trPr>
        <w:tc>
          <w:tcPr>
            <w:tcW w:w="5000" w:type="dxa"/>
            <w:vAlign w:val="bottom"/>
          </w:tcPr>
          <w:p>
            <w:pPr>
              <w:spacing w:after="0"/>
              <w:rPr>
                <w:sz w:val="19"/>
                <w:szCs w:val="19"/>
                <w:color w:val="auto"/>
              </w:rPr>
            </w:pPr>
          </w:p>
        </w:tc>
        <w:tc>
          <w:tcPr>
            <w:tcW w:w="5540" w:type="dxa"/>
            <w:vAlign w:val="bottom"/>
          </w:tcPr>
          <w:p>
            <w:pPr>
              <w:ind w:left="420"/>
              <w:spacing w:after="0"/>
              <w:rPr>
                <w:sz w:val="20"/>
                <w:szCs w:val="20"/>
                <w:color w:val="auto"/>
              </w:rPr>
            </w:pPr>
            <w:r>
              <w:rPr>
                <w:rFonts w:ascii="Arial" w:cs="Arial" w:eastAsia="Arial" w:hAnsi="Arial"/>
                <w:sz w:val="17"/>
                <w:szCs w:val="17"/>
                <w:color w:val="auto"/>
              </w:rPr>
              <w:t>Continued robust and transparent disclosure of EO risks and</w:t>
            </w:r>
          </w:p>
        </w:tc>
        <w:tc>
          <w:tcPr>
            <w:tcW w:w="0" w:type="dxa"/>
            <w:vAlign w:val="bottom"/>
          </w:tcPr>
          <w:p>
            <w:pPr>
              <w:spacing w:after="0"/>
              <w:rPr>
                <w:sz w:val="1"/>
                <w:szCs w:val="1"/>
                <w:color w:val="auto"/>
              </w:rPr>
            </w:pPr>
          </w:p>
        </w:tc>
      </w:tr>
      <w:tr>
        <w:trPr>
          <w:trHeight w:val="194"/>
        </w:trPr>
        <w:tc>
          <w:tcPr>
            <w:tcW w:w="5000" w:type="dxa"/>
            <w:vAlign w:val="bottom"/>
          </w:tcPr>
          <w:p>
            <w:pPr>
              <w:spacing w:after="0"/>
              <w:rPr>
                <w:sz w:val="16"/>
                <w:szCs w:val="16"/>
                <w:color w:val="auto"/>
              </w:rPr>
            </w:pPr>
          </w:p>
        </w:tc>
        <w:tc>
          <w:tcPr>
            <w:tcW w:w="5540" w:type="dxa"/>
            <w:vAlign w:val="bottom"/>
          </w:tcPr>
          <w:p>
            <w:pPr>
              <w:ind w:left="420"/>
              <w:spacing w:after="0" w:line="194" w:lineRule="exact"/>
              <w:rPr>
                <w:sz w:val="20"/>
                <w:szCs w:val="20"/>
                <w:color w:val="auto"/>
              </w:rPr>
            </w:pPr>
            <w:r>
              <w:rPr>
                <w:rFonts w:ascii="Arial" w:cs="Arial" w:eastAsia="Arial" w:hAnsi="Arial"/>
                <w:sz w:val="17"/>
                <w:szCs w:val="17"/>
                <w:color w:val="auto"/>
              </w:rPr>
              <w:t>developments in investor communications; website dedicated to</w:t>
            </w:r>
          </w:p>
        </w:tc>
        <w:tc>
          <w:tcPr>
            <w:tcW w:w="0" w:type="dxa"/>
            <w:vAlign w:val="bottom"/>
          </w:tcPr>
          <w:p>
            <w:pPr>
              <w:spacing w:after="0"/>
              <w:rPr>
                <w:sz w:val="1"/>
                <w:szCs w:val="1"/>
                <w:color w:val="auto"/>
              </w:rPr>
            </w:pPr>
          </w:p>
        </w:tc>
      </w:tr>
      <w:tr>
        <w:trPr>
          <w:trHeight w:val="194"/>
        </w:trPr>
        <w:tc>
          <w:tcPr>
            <w:tcW w:w="5000" w:type="dxa"/>
            <w:vAlign w:val="bottom"/>
          </w:tcPr>
          <w:p>
            <w:pPr>
              <w:spacing w:after="0" w:line="194" w:lineRule="exact"/>
              <w:rPr>
                <w:sz w:val="20"/>
                <w:szCs w:val="20"/>
                <w:color w:val="auto"/>
              </w:rPr>
            </w:pPr>
            <w:r>
              <w:rPr>
                <w:rFonts w:ascii="Arial" w:cs="Arial" w:eastAsia="Arial" w:hAnsi="Arial"/>
                <w:sz w:val="17"/>
                <w:szCs w:val="17"/>
                <w:color w:val="auto"/>
              </w:rPr>
              <w:t>Oversight and disclosure related to EO risks and litigation</w:t>
            </w:r>
          </w:p>
        </w:tc>
        <w:tc>
          <w:tcPr>
            <w:tcW w:w="5540" w:type="dxa"/>
            <w:vAlign w:val="bottom"/>
          </w:tcPr>
          <w:p>
            <w:pPr>
              <w:ind w:left="420"/>
              <w:spacing w:after="0" w:line="194" w:lineRule="exact"/>
              <w:rPr>
                <w:sz w:val="20"/>
                <w:szCs w:val="20"/>
                <w:color w:val="auto"/>
              </w:rPr>
            </w:pPr>
            <w:r>
              <w:rPr>
                <w:rFonts w:ascii="Arial" w:cs="Arial" w:eastAsia="Arial" w:hAnsi="Arial"/>
                <w:sz w:val="17"/>
                <w:szCs w:val="17"/>
                <w:color w:val="auto"/>
              </w:rPr>
              <w:t>EO education and updates; regular investor updates on EO</w:t>
            </w:r>
          </w:p>
        </w:tc>
        <w:tc>
          <w:tcPr>
            <w:tcW w:w="0" w:type="dxa"/>
            <w:vAlign w:val="bottom"/>
          </w:tcPr>
          <w:p>
            <w:pPr>
              <w:spacing w:after="0"/>
              <w:rPr>
                <w:sz w:val="1"/>
                <w:szCs w:val="1"/>
                <w:color w:val="auto"/>
              </w:rPr>
            </w:pPr>
          </w:p>
        </w:tc>
      </w:tr>
      <w:tr>
        <w:trPr>
          <w:trHeight w:val="194"/>
        </w:trPr>
        <w:tc>
          <w:tcPr>
            <w:tcW w:w="5000" w:type="dxa"/>
            <w:vAlign w:val="bottom"/>
          </w:tcPr>
          <w:p>
            <w:pPr>
              <w:spacing w:after="0"/>
              <w:rPr>
                <w:sz w:val="16"/>
                <w:szCs w:val="16"/>
                <w:color w:val="auto"/>
              </w:rPr>
            </w:pPr>
          </w:p>
        </w:tc>
        <w:tc>
          <w:tcPr>
            <w:tcW w:w="5540" w:type="dxa"/>
            <w:vAlign w:val="bottom"/>
          </w:tcPr>
          <w:p>
            <w:pPr>
              <w:ind w:left="420"/>
              <w:spacing w:after="0" w:line="194" w:lineRule="exact"/>
              <w:rPr>
                <w:sz w:val="20"/>
                <w:szCs w:val="20"/>
                <w:color w:val="auto"/>
              </w:rPr>
            </w:pPr>
            <w:r>
              <w:rPr>
                <w:rFonts w:ascii="Arial" w:cs="Arial" w:eastAsia="Arial" w:hAnsi="Arial"/>
                <w:sz w:val="17"/>
                <w:szCs w:val="17"/>
                <w:color w:val="auto"/>
              </w:rPr>
              <w:t>developments; and comprehensive Board oversight of EO risks</w:t>
            </w:r>
          </w:p>
        </w:tc>
        <w:tc>
          <w:tcPr>
            <w:tcW w:w="0" w:type="dxa"/>
            <w:vAlign w:val="bottom"/>
          </w:tcPr>
          <w:p>
            <w:pPr>
              <w:spacing w:after="0"/>
              <w:rPr>
                <w:sz w:val="1"/>
                <w:szCs w:val="1"/>
                <w:color w:val="auto"/>
              </w:rPr>
            </w:pPr>
          </w:p>
        </w:tc>
      </w:tr>
      <w:tr>
        <w:trPr>
          <w:trHeight w:val="226"/>
        </w:trPr>
        <w:tc>
          <w:tcPr>
            <w:tcW w:w="5000" w:type="dxa"/>
            <w:vAlign w:val="bottom"/>
          </w:tcPr>
          <w:p>
            <w:pPr>
              <w:spacing w:after="0"/>
              <w:rPr>
                <w:sz w:val="19"/>
                <w:szCs w:val="19"/>
                <w:color w:val="auto"/>
              </w:rPr>
            </w:pPr>
          </w:p>
        </w:tc>
        <w:tc>
          <w:tcPr>
            <w:tcW w:w="5540" w:type="dxa"/>
            <w:vAlign w:val="bottom"/>
          </w:tcPr>
          <w:p>
            <w:pPr>
              <w:ind w:left="420"/>
              <w:spacing w:after="0"/>
              <w:rPr>
                <w:sz w:val="20"/>
                <w:szCs w:val="20"/>
                <w:color w:val="auto"/>
              </w:rPr>
            </w:pPr>
            <w:r>
              <w:rPr>
                <w:rFonts w:ascii="Arial" w:cs="Arial" w:eastAsia="Arial" w:hAnsi="Arial"/>
                <w:sz w:val="17"/>
                <w:szCs w:val="17"/>
                <w:color w:val="auto"/>
              </w:rPr>
              <w:t>and litigation</w:t>
            </w:r>
          </w:p>
        </w:tc>
        <w:tc>
          <w:tcPr>
            <w:tcW w:w="0" w:type="dxa"/>
            <w:vAlign w:val="bottom"/>
          </w:tcPr>
          <w:p>
            <w:pPr>
              <w:spacing w:after="0"/>
              <w:rPr>
                <w:sz w:val="1"/>
                <w:szCs w:val="1"/>
                <w:color w:val="auto"/>
              </w:rPr>
            </w:pPr>
          </w:p>
        </w:tc>
      </w:tr>
      <w:tr>
        <w:trPr>
          <w:trHeight w:val="114"/>
        </w:trPr>
        <w:tc>
          <w:tcPr>
            <w:tcW w:w="5000" w:type="dxa"/>
            <w:vAlign w:val="bottom"/>
            <w:tcBorders>
              <w:bottom w:val="single" w:sz="8" w:color="CCCCCC"/>
            </w:tcBorders>
          </w:tcPr>
          <w:p>
            <w:pPr>
              <w:spacing w:after="0"/>
              <w:rPr>
                <w:sz w:val="9"/>
                <w:szCs w:val="9"/>
                <w:color w:val="auto"/>
              </w:rPr>
            </w:pPr>
          </w:p>
        </w:tc>
        <w:tc>
          <w:tcPr>
            <w:tcW w:w="5540" w:type="dxa"/>
            <w:vAlign w:val="bottom"/>
            <w:tcBorders>
              <w:bottom w:val="single" w:sz="8" w:color="CCCCCC"/>
            </w:tcBorders>
          </w:tcPr>
          <w:p>
            <w:pPr>
              <w:spacing w:after="0"/>
              <w:rPr>
                <w:sz w:val="9"/>
                <w:szCs w:val="9"/>
                <w:color w:val="auto"/>
              </w:rPr>
            </w:pPr>
          </w:p>
        </w:tc>
        <w:tc>
          <w:tcPr>
            <w:tcW w:w="0" w:type="dxa"/>
            <w:vAlign w:val="bottom"/>
          </w:tcPr>
          <w:p>
            <w:pPr>
              <w:spacing w:after="0"/>
              <w:rPr>
                <w:sz w:val="1"/>
                <w:szCs w:val="1"/>
                <w:color w:val="auto"/>
              </w:rPr>
            </w:pPr>
          </w:p>
        </w:tc>
      </w:tr>
      <w:tr>
        <w:trPr>
          <w:trHeight w:val="221"/>
        </w:trPr>
        <w:tc>
          <w:tcPr>
            <w:tcW w:w="5000" w:type="dxa"/>
            <w:vAlign w:val="bottom"/>
          </w:tcPr>
          <w:p>
            <w:pPr>
              <w:spacing w:after="0"/>
              <w:rPr>
                <w:sz w:val="19"/>
                <w:szCs w:val="19"/>
                <w:color w:val="auto"/>
              </w:rPr>
            </w:pPr>
          </w:p>
        </w:tc>
        <w:tc>
          <w:tcPr>
            <w:tcW w:w="5540" w:type="dxa"/>
            <w:vAlign w:val="bottom"/>
          </w:tcPr>
          <w:p>
            <w:pPr>
              <w:ind w:left="420"/>
              <w:spacing w:after="0"/>
              <w:rPr>
                <w:sz w:val="20"/>
                <w:szCs w:val="20"/>
                <w:color w:val="auto"/>
              </w:rPr>
            </w:pPr>
            <w:r>
              <w:rPr>
                <w:rFonts w:ascii="Arial" w:cs="Arial" w:eastAsia="Arial" w:hAnsi="Arial"/>
                <w:sz w:val="17"/>
                <w:szCs w:val="17"/>
                <w:color w:val="auto"/>
              </w:rPr>
              <w:t>Roll out of enterprise risk management program, reporting to the</w:t>
            </w:r>
          </w:p>
        </w:tc>
        <w:tc>
          <w:tcPr>
            <w:tcW w:w="0" w:type="dxa"/>
            <w:vAlign w:val="bottom"/>
          </w:tcPr>
          <w:p>
            <w:pPr>
              <w:spacing w:after="0"/>
              <w:rPr>
                <w:sz w:val="1"/>
                <w:szCs w:val="1"/>
                <w:color w:val="auto"/>
              </w:rPr>
            </w:pPr>
          </w:p>
        </w:tc>
      </w:tr>
      <w:tr>
        <w:trPr>
          <w:trHeight w:val="194"/>
        </w:trPr>
        <w:tc>
          <w:tcPr>
            <w:tcW w:w="5000" w:type="dxa"/>
            <w:vAlign w:val="bottom"/>
          </w:tcPr>
          <w:p>
            <w:pPr>
              <w:spacing w:after="0" w:line="194" w:lineRule="exact"/>
              <w:rPr>
                <w:sz w:val="20"/>
                <w:szCs w:val="20"/>
                <w:color w:val="auto"/>
              </w:rPr>
            </w:pPr>
            <w:r>
              <w:rPr>
                <w:rFonts w:ascii="Arial" w:cs="Arial" w:eastAsia="Arial" w:hAnsi="Arial"/>
                <w:sz w:val="17"/>
                <w:szCs w:val="17"/>
                <w:color w:val="auto"/>
              </w:rPr>
              <w:t>Appropriate governance oversight of business risk generally</w:t>
            </w:r>
          </w:p>
        </w:tc>
        <w:tc>
          <w:tcPr>
            <w:tcW w:w="5540" w:type="dxa"/>
            <w:vAlign w:val="bottom"/>
          </w:tcPr>
          <w:p>
            <w:pPr>
              <w:ind w:left="420"/>
              <w:spacing w:after="0" w:line="194" w:lineRule="exact"/>
              <w:rPr>
                <w:sz w:val="20"/>
                <w:szCs w:val="20"/>
                <w:color w:val="auto"/>
              </w:rPr>
            </w:pPr>
            <w:r>
              <w:rPr>
                <w:rFonts w:ascii="Arial" w:cs="Arial" w:eastAsia="Arial" w:hAnsi="Arial"/>
                <w:sz w:val="17"/>
                <w:szCs w:val="17"/>
                <w:color w:val="auto"/>
              </w:rPr>
              <w:t>Audit Committee, with each Board committee also considering risk</w:t>
            </w:r>
          </w:p>
        </w:tc>
        <w:tc>
          <w:tcPr>
            <w:tcW w:w="0" w:type="dxa"/>
            <w:vAlign w:val="bottom"/>
          </w:tcPr>
          <w:p>
            <w:pPr>
              <w:spacing w:after="0"/>
              <w:rPr>
                <w:sz w:val="1"/>
                <w:szCs w:val="1"/>
                <w:color w:val="auto"/>
              </w:rPr>
            </w:pPr>
          </w:p>
        </w:tc>
      </w:tr>
      <w:tr>
        <w:trPr>
          <w:trHeight w:val="226"/>
        </w:trPr>
        <w:tc>
          <w:tcPr>
            <w:tcW w:w="5000" w:type="dxa"/>
            <w:vAlign w:val="bottom"/>
          </w:tcPr>
          <w:p>
            <w:pPr>
              <w:spacing w:after="0"/>
              <w:rPr>
                <w:sz w:val="19"/>
                <w:szCs w:val="19"/>
                <w:color w:val="auto"/>
              </w:rPr>
            </w:pPr>
          </w:p>
        </w:tc>
        <w:tc>
          <w:tcPr>
            <w:tcW w:w="5540" w:type="dxa"/>
            <w:vAlign w:val="bottom"/>
          </w:tcPr>
          <w:p>
            <w:pPr>
              <w:ind w:left="420"/>
              <w:spacing w:after="0"/>
              <w:rPr>
                <w:sz w:val="20"/>
                <w:szCs w:val="20"/>
                <w:color w:val="auto"/>
              </w:rPr>
            </w:pPr>
            <w:r>
              <w:rPr>
                <w:rFonts w:ascii="Arial" w:cs="Arial" w:eastAsia="Arial" w:hAnsi="Arial"/>
                <w:sz w:val="17"/>
                <w:szCs w:val="17"/>
                <w:color w:val="auto"/>
              </w:rPr>
              <w:t>in its areas of oversight</w:t>
            </w:r>
          </w:p>
        </w:tc>
        <w:tc>
          <w:tcPr>
            <w:tcW w:w="0" w:type="dxa"/>
            <w:vAlign w:val="bottom"/>
          </w:tcPr>
          <w:p>
            <w:pPr>
              <w:spacing w:after="0"/>
              <w:rPr>
                <w:sz w:val="1"/>
                <w:szCs w:val="1"/>
                <w:color w:val="auto"/>
              </w:rPr>
            </w:pPr>
          </w:p>
        </w:tc>
      </w:tr>
      <w:tr>
        <w:trPr>
          <w:trHeight w:val="49"/>
        </w:trPr>
        <w:tc>
          <w:tcPr>
            <w:tcW w:w="5000" w:type="dxa"/>
            <w:vAlign w:val="bottom"/>
            <w:tcBorders>
              <w:bottom w:val="single" w:sz="8" w:color="CCCCCC"/>
            </w:tcBorders>
          </w:tcPr>
          <w:p>
            <w:pPr>
              <w:spacing w:after="0"/>
              <w:rPr>
                <w:sz w:val="4"/>
                <w:szCs w:val="4"/>
                <w:color w:val="auto"/>
              </w:rPr>
            </w:pPr>
          </w:p>
        </w:tc>
        <w:tc>
          <w:tcPr>
            <w:tcW w:w="5540" w:type="dxa"/>
            <w:vAlign w:val="bottom"/>
            <w:tcBorders>
              <w:bottom w:val="single" w:sz="8" w:color="CCCCCC"/>
            </w:tcBorders>
          </w:tcPr>
          <w:p>
            <w:pPr>
              <w:spacing w:after="0"/>
              <w:rPr>
                <w:sz w:val="4"/>
                <w:szCs w:val="4"/>
                <w:color w:val="auto"/>
              </w:rPr>
            </w:pPr>
          </w:p>
        </w:tc>
        <w:tc>
          <w:tcPr>
            <w:tcW w:w="0" w:type="dxa"/>
            <w:vAlign w:val="bottom"/>
          </w:tcPr>
          <w:p>
            <w:pPr>
              <w:spacing w:after="0"/>
              <w:rPr>
                <w:sz w:val="1"/>
                <w:szCs w:val="1"/>
                <w:color w:val="auto"/>
              </w:rPr>
            </w:pPr>
          </w:p>
        </w:tc>
      </w:tr>
      <w:tr>
        <w:trPr>
          <w:trHeight w:val="253"/>
        </w:trPr>
        <w:tc>
          <w:tcPr>
            <w:tcW w:w="5000" w:type="dxa"/>
            <w:vAlign w:val="bottom"/>
          </w:tcPr>
          <w:p>
            <w:pPr>
              <w:spacing w:after="0"/>
              <w:rPr>
                <w:sz w:val="20"/>
                <w:szCs w:val="20"/>
                <w:color w:val="auto"/>
              </w:rPr>
            </w:pPr>
            <w:r>
              <w:rPr>
                <w:rFonts w:ascii="Arial" w:cs="Arial" w:eastAsia="Arial" w:hAnsi="Arial"/>
                <w:sz w:val="17"/>
                <w:szCs w:val="17"/>
                <w:color w:val="auto"/>
              </w:rPr>
              <w:t>Enhance executive compensation disclosures</w:t>
            </w:r>
          </w:p>
        </w:tc>
        <w:tc>
          <w:tcPr>
            <w:tcW w:w="5540" w:type="dxa"/>
            <w:vAlign w:val="bottom"/>
          </w:tcPr>
          <w:p>
            <w:pPr>
              <w:ind w:left="420"/>
              <w:spacing w:after="0"/>
              <w:rPr>
                <w:sz w:val="20"/>
                <w:szCs w:val="20"/>
                <w:color w:val="auto"/>
              </w:rPr>
            </w:pPr>
            <w:r>
              <w:rPr>
                <w:rFonts w:ascii="Arial" w:cs="Arial" w:eastAsia="Arial" w:hAnsi="Arial"/>
                <w:sz w:val="17"/>
                <w:szCs w:val="17"/>
                <w:color w:val="auto"/>
              </w:rPr>
              <w:t>Expanded disclosures in both the 2022 and this Proxy Statement</w:t>
            </w:r>
          </w:p>
        </w:tc>
        <w:tc>
          <w:tcPr>
            <w:tcW w:w="0" w:type="dxa"/>
            <w:vAlign w:val="bottom"/>
          </w:tcPr>
          <w:p>
            <w:pPr>
              <w:spacing w:after="0"/>
              <w:rPr>
                <w:sz w:val="1"/>
                <w:szCs w:val="1"/>
                <w:color w:val="auto"/>
              </w:rPr>
            </w:pPr>
          </w:p>
        </w:tc>
      </w:tr>
      <w:tr>
        <w:trPr>
          <w:trHeight w:val="49"/>
        </w:trPr>
        <w:tc>
          <w:tcPr>
            <w:tcW w:w="5000" w:type="dxa"/>
            <w:vAlign w:val="bottom"/>
            <w:tcBorders>
              <w:bottom w:val="single" w:sz="8" w:color="CCCCCC"/>
            </w:tcBorders>
          </w:tcPr>
          <w:p>
            <w:pPr>
              <w:spacing w:after="0"/>
              <w:rPr>
                <w:sz w:val="4"/>
                <w:szCs w:val="4"/>
                <w:color w:val="auto"/>
              </w:rPr>
            </w:pPr>
          </w:p>
        </w:tc>
        <w:tc>
          <w:tcPr>
            <w:tcW w:w="5540" w:type="dxa"/>
            <w:vAlign w:val="bottom"/>
            <w:tcBorders>
              <w:bottom w:val="single" w:sz="8" w:color="CCCCCC"/>
            </w:tcBorders>
          </w:tcPr>
          <w:p>
            <w:pPr>
              <w:spacing w:after="0"/>
              <w:rPr>
                <w:sz w:val="4"/>
                <w:szCs w:val="4"/>
                <w:color w:val="auto"/>
              </w:rPr>
            </w:pPr>
          </w:p>
        </w:tc>
        <w:tc>
          <w:tcPr>
            <w:tcW w:w="0" w:type="dxa"/>
            <w:vAlign w:val="bottom"/>
          </w:tcPr>
          <w:p>
            <w:pPr>
              <w:spacing w:after="0"/>
              <w:rPr>
                <w:sz w:val="1"/>
                <w:szCs w:val="1"/>
                <w:color w:val="auto"/>
              </w:rPr>
            </w:pPr>
          </w:p>
        </w:tc>
      </w:tr>
      <w:tr>
        <w:trPr>
          <w:trHeight w:val="221"/>
        </w:trPr>
        <w:tc>
          <w:tcPr>
            <w:tcW w:w="5000" w:type="dxa"/>
            <w:vAlign w:val="bottom"/>
            <w:vMerge w:val="restart"/>
          </w:tcPr>
          <w:p>
            <w:pPr>
              <w:spacing w:after="0"/>
              <w:rPr>
                <w:sz w:val="20"/>
                <w:szCs w:val="20"/>
                <w:color w:val="auto"/>
              </w:rPr>
            </w:pPr>
            <w:r>
              <w:rPr>
                <w:rFonts w:ascii="Arial" w:cs="Arial" w:eastAsia="Arial" w:hAnsi="Arial"/>
                <w:sz w:val="17"/>
                <w:szCs w:val="17"/>
                <w:color w:val="auto"/>
              </w:rPr>
              <w:t>Disclosure of more information around ESG goals and metrics</w:t>
            </w:r>
          </w:p>
        </w:tc>
        <w:tc>
          <w:tcPr>
            <w:tcW w:w="5540" w:type="dxa"/>
            <w:vAlign w:val="bottom"/>
          </w:tcPr>
          <w:p>
            <w:pPr>
              <w:ind w:left="420"/>
              <w:spacing w:after="0"/>
              <w:rPr>
                <w:sz w:val="20"/>
                <w:szCs w:val="20"/>
                <w:color w:val="auto"/>
              </w:rPr>
            </w:pPr>
            <w:r>
              <w:rPr>
                <w:rFonts w:ascii="Arial" w:cs="Arial" w:eastAsia="Arial" w:hAnsi="Arial"/>
                <w:sz w:val="17"/>
                <w:szCs w:val="17"/>
                <w:color w:val="auto"/>
              </w:rPr>
              <w:t>Published Corporate Responsibility Report, with further</w:t>
            </w:r>
          </w:p>
        </w:tc>
        <w:tc>
          <w:tcPr>
            <w:tcW w:w="0" w:type="dxa"/>
            <w:vAlign w:val="bottom"/>
          </w:tcPr>
          <w:p>
            <w:pPr>
              <w:spacing w:after="0"/>
              <w:rPr>
                <w:sz w:val="1"/>
                <w:szCs w:val="1"/>
                <w:color w:val="auto"/>
              </w:rPr>
            </w:pPr>
          </w:p>
        </w:tc>
      </w:tr>
      <w:tr>
        <w:trPr>
          <w:trHeight w:val="122"/>
        </w:trPr>
        <w:tc>
          <w:tcPr>
            <w:tcW w:w="5000" w:type="dxa"/>
            <w:vAlign w:val="bottom"/>
            <w:vMerge w:val="continue"/>
          </w:tcPr>
          <w:p>
            <w:pPr>
              <w:spacing w:after="0"/>
              <w:rPr>
                <w:sz w:val="10"/>
                <w:szCs w:val="10"/>
                <w:color w:val="auto"/>
              </w:rPr>
            </w:pPr>
          </w:p>
        </w:tc>
        <w:tc>
          <w:tcPr>
            <w:tcW w:w="5540" w:type="dxa"/>
            <w:vAlign w:val="bottom"/>
            <w:vMerge w:val="restart"/>
          </w:tcPr>
          <w:p>
            <w:pPr>
              <w:ind w:left="420"/>
              <w:spacing w:after="0"/>
              <w:rPr>
                <w:sz w:val="20"/>
                <w:szCs w:val="20"/>
                <w:color w:val="auto"/>
              </w:rPr>
            </w:pPr>
            <w:r>
              <w:rPr>
                <w:rFonts w:ascii="Arial" w:cs="Arial" w:eastAsia="Arial" w:hAnsi="Arial"/>
                <w:sz w:val="17"/>
                <w:szCs w:val="17"/>
                <w:color w:val="auto"/>
              </w:rPr>
              <w:t>refinements around goals and metrics planned for future</w:t>
            </w:r>
          </w:p>
        </w:tc>
        <w:tc>
          <w:tcPr>
            <w:tcW w:w="0" w:type="dxa"/>
            <w:vAlign w:val="bottom"/>
          </w:tcPr>
          <w:p>
            <w:pPr>
              <w:spacing w:after="0"/>
              <w:rPr>
                <w:sz w:val="1"/>
                <w:szCs w:val="1"/>
                <w:color w:val="auto"/>
              </w:rPr>
            </w:pPr>
          </w:p>
        </w:tc>
      </w:tr>
      <w:tr>
        <w:trPr>
          <w:trHeight w:val="103"/>
        </w:trPr>
        <w:tc>
          <w:tcPr>
            <w:tcW w:w="5000" w:type="dxa"/>
            <w:vAlign w:val="bottom"/>
          </w:tcPr>
          <w:p>
            <w:pPr>
              <w:spacing w:after="0"/>
              <w:rPr>
                <w:sz w:val="8"/>
                <w:szCs w:val="8"/>
                <w:color w:val="auto"/>
              </w:rPr>
            </w:pPr>
          </w:p>
        </w:tc>
        <w:tc>
          <w:tcPr>
            <w:tcW w:w="55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5000" w:type="dxa"/>
            <w:vAlign w:val="bottom"/>
            <w:tcBorders>
              <w:bottom w:val="single" w:sz="8" w:color="00467D"/>
            </w:tcBorders>
          </w:tcPr>
          <w:p>
            <w:pPr>
              <w:spacing w:after="0"/>
              <w:rPr>
                <w:sz w:val="9"/>
                <w:szCs w:val="9"/>
                <w:color w:val="auto"/>
              </w:rPr>
            </w:pPr>
          </w:p>
        </w:tc>
        <w:tc>
          <w:tcPr>
            <w:tcW w:w="5540" w:type="dxa"/>
            <w:vAlign w:val="bottom"/>
            <w:tcBorders>
              <w:bottom w:val="single" w:sz="8" w:color="00467D"/>
            </w:tcBorders>
          </w:tcPr>
          <w:p>
            <w:pPr>
              <w:spacing w:after="0"/>
              <w:rPr>
                <w:sz w:val="9"/>
                <w:szCs w:val="9"/>
                <w:color w:val="auto"/>
              </w:rPr>
            </w:pPr>
          </w:p>
        </w:tc>
        <w:tc>
          <w:tcPr>
            <w:tcW w:w="0" w:type="dxa"/>
            <w:vAlign w:val="bottom"/>
          </w:tcPr>
          <w:p>
            <w:pPr>
              <w:spacing w:after="0"/>
              <w:rPr>
                <w:sz w:val="1"/>
                <w:szCs w:val="1"/>
                <w:color w:val="auto"/>
              </w:rPr>
            </w:pPr>
          </w:p>
        </w:tc>
      </w:tr>
      <w:tr>
        <w:trPr>
          <w:trHeight w:val="167"/>
        </w:trPr>
        <w:tc>
          <w:tcPr>
            <w:tcW w:w="5000" w:type="dxa"/>
            <w:vAlign w:val="bottom"/>
            <w:tcBorders>
              <w:bottom w:val="single" w:sz="8" w:color="00B0DB"/>
            </w:tcBorders>
          </w:tcPr>
          <w:p>
            <w:pPr>
              <w:spacing w:after="0"/>
              <w:rPr>
                <w:sz w:val="14"/>
                <w:szCs w:val="14"/>
                <w:color w:val="auto"/>
              </w:rPr>
            </w:pPr>
          </w:p>
        </w:tc>
        <w:tc>
          <w:tcPr>
            <w:tcW w:w="5540" w:type="dxa"/>
            <w:vAlign w:val="bottom"/>
            <w:tcBorders>
              <w:bottom w:val="single" w:sz="8" w:color="00B0DB"/>
            </w:tcBorders>
          </w:tcPr>
          <w:p>
            <w:pPr>
              <w:spacing w:after="0"/>
              <w:rPr>
                <w:sz w:val="14"/>
                <w:szCs w:val="14"/>
                <w:color w:val="auto"/>
              </w:rPr>
            </w:pPr>
          </w:p>
        </w:tc>
        <w:tc>
          <w:tcPr>
            <w:tcW w:w="0" w:type="dxa"/>
            <w:vAlign w:val="bottom"/>
          </w:tcPr>
          <w:p>
            <w:pPr>
              <w:spacing w:after="0"/>
              <w:rPr>
                <w:sz w:val="1"/>
                <w:szCs w:val="1"/>
                <w:color w:val="auto"/>
              </w:rPr>
            </w:pPr>
          </w:p>
        </w:tc>
      </w:tr>
      <w:tr>
        <w:trPr>
          <w:trHeight w:val="390"/>
        </w:trPr>
        <w:tc>
          <w:tcPr>
            <w:tcW w:w="5000" w:type="dxa"/>
            <w:vAlign w:val="bottom"/>
          </w:tcPr>
          <w:p>
            <w:pPr>
              <w:spacing w:after="0"/>
              <w:rPr>
                <w:sz w:val="24"/>
                <w:szCs w:val="24"/>
                <w:color w:val="auto"/>
              </w:rPr>
            </w:pPr>
          </w:p>
        </w:tc>
        <w:tc>
          <w:tcPr>
            <w:tcW w:w="5540" w:type="dxa"/>
            <w:vAlign w:val="bottom"/>
          </w:tcPr>
          <w:p>
            <w:pPr>
              <w:ind w:left="280"/>
              <w:spacing w:after="0"/>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6443980</wp:posOffset>
            </wp:positionH>
            <wp:positionV relativeFrom="paragraph">
              <wp:posOffset>-132080</wp:posOffset>
            </wp:positionV>
            <wp:extent cx="475615" cy="15557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475615" cy="155575"/>
                    </a:xfrm>
                    <a:prstGeom prst="rect">
                      <a:avLst/>
                    </a:prstGeom>
                    <a:noFill/>
                  </pic:spPr>
                </pic:pic>
              </a:graphicData>
            </a:graphic>
          </wp:anchor>
        </w:drawing>
      </w:r>
    </w:p>
    <w:p>
      <w:pPr>
        <w:sectPr>
          <w:pgSz w:w="11900" w:h="16838" w:orient="portrait"/>
          <w:cols w:equalWidth="0" w:num="1">
            <w:col w:w="10900"/>
          </w:cols>
          <w:pgMar w:left="320" w:top="468" w:right="67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5397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9945" cy="53975"/>
                    </a:xfrm>
                    <a:prstGeom prst="rect">
                      <a:avLst/>
                    </a:prstGeom>
                    <a:noFill/>
                  </pic:spPr>
                </pic:pic>
              </a:graphicData>
            </a:graphic>
          </wp:anchor>
        </w:drawing>
        <w:t>Table of Contents</w:t>
      </w:r>
    </w:p>
    <w:p>
      <w:pPr>
        <w:spacing w:after="0" w:line="296"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auto"/>
        </w:rPr>
        <w:t>Board Composition, Nominations Process and Director Qualifications</w:t>
      </w:r>
    </w:p>
    <w:p>
      <w:pPr>
        <w:spacing w:after="0" w:line="21" w:lineRule="exact"/>
        <w:rPr>
          <w:sz w:val="20"/>
          <w:szCs w:val="20"/>
          <w:color w:val="auto"/>
        </w:rPr>
      </w:pPr>
    </w:p>
    <w:p>
      <w:pPr>
        <w:ind w:left="360"/>
        <w:spacing w:after="0"/>
        <w:rPr>
          <w:sz w:val="20"/>
          <w:szCs w:val="20"/>
          <w:color w:val="auto"/>
        </w:rPr>
      </w:pPr>
      <w:r>
        <w:rPr>
          <w:rFonts w:ascii="Arial" w:cs="Arial" w:eastAsia="Arial" w:hAnsi="Arial"/>
          <w:sz w:val="14"/>
          <w:szCs w:val="14"/>
          <w:b w:val="1"/>
          <w:bCs w:val="1"/>
          <w:color w:val="auto"/>
        </w:rPr>
        <w:t>Board Composition</w:t>
      </w:r>
    </w:p>
    <w:p>
      <w:pPr>
        <w:spacing w:after="0" w:line="90" w:lineRule="exact"/>
        <w:rPr>
          <w:sz w:val="20"/>
          <w:szCs w:val="20"/>
          <w:color w:val="auto"/>
        </w:rPr>
      </w:pPr>
    </w:p>
    <w:p>
      <w:pPr>
        <w:ind w:left="360" w:right="700"/>
        <w:spacing w:after="0" w:line="293" w:lineRule="auto"/>
        <w:rPr>
          <w:sz w:val="20"/>
          <w:szCs w:val="20"/>
          <w:color w:val="auto"/>
        </w:rPr>
      </w:pPr>
      <w:r>
        <w:rPr>
          <w:rFonts w:ascii="Arial" w:cs="Arial" w:eastAsia="Arial" w:hAnsi="Arial"/>
          <w:sz w:val="41"/>
          <w:szCs w:val="41"/>
          <w:b w:val="1"/>
          <w:bCs w:val="1"/>
          <w:color w:val="00B0DB"/>
        </w:rPr>
        <w:t>BOARD COMPOSITION, NOMINATIONS PROCESS AND DIRECTOR QUALIFICATIONS</w:t>
      </w:r>
    </w:p>
    <w:p>
      <w:pPr>
        <w:spacing w:after="0" w:line="26" w:lineRule="exact"/>
        <w:rPr>
          <w:sz w:val="20"/>
          <w:szCs w:val="20"/>
          <w:color w:val="auto"/>
        </w:rPr>
      </w:pPr>
    </w:p>
    <w:p>
      <w:pPr>
        <w:ind w:left="360"/>
        <w:spacing w:after="0"/>
        <w:rPr>
          <w:sz w:val="20"/>
          <w:szCs w:val="20"/>
          <w:color w:val="auto"/>
        </w:rPr>
      </w:pPr>
      <w:r>
        <w:rPr>
          <w:rFonts w:ascii="Arial" w:cs="Arial" w:eastAsia="Arial" w:hAnsi="Arial"/>
          <w:sz w:val="31"/>
          <w:szCs w:val="31"/>
          <w:color w:val="00B0DB"/>
        </w:rPr>
        <w:t>Board Composition</w:t>
      </w:r>
    </w:p>
    <w:p>
      <w:pPr>
        <w:spacing w:after="0" w:line="221" w:lineRule="exact"/>
        <w:rPr>
          <w:sz w:val="20"/>
          <w:szCs w:val="20"/>
          <w:color w:val="auto"/>
        </w:rPr>
      </w:pPr>
    </w:p>
    <w:p>
      <w:pPr>
        <w:ind w:left="360" w:right="20"/>
        <w:spacing w:after="0" w:line="241" w:lineRule="auto"/>
        <w:rPr>
          <w:sz w:val="20"/>
          <w:szCs w:val="20"/>
          <w:color w:val="auto"/>
        </w:rPr>
      </w:pPr>
      <w:r>
        <w:rPr>
          <w:rFonts w:ascii="Arial" w:cs="Arial" w:eastAsia="Arial" w:hAnsi="Arial"/>
          <w:sz w:val="17"/>
          <w:szCs w:val="17"/>
          <w:color w:val="auto"/>
        </w:rPr>
        <w:t>Our Board of Directors represents the interests of our shareholders and oversees our business and affairs. Our Board currently consists of ten members, six of whom were members of the board of managers (“Board of Managers”) of our predecessor company, Sotera Health Topco Parent, L.P. (“Topco Parent”). Pursuant to the terms of the corporate reorganization we completed in connection with our initial public offering (“IPO”) in November 2020, Topco Parent distributed shares of Sotera Health common stock to its partners, including investment funds and entities affiliated with Warburg Pincus LLC (“Warburg Pincus”) and GTCR, LLC (“GTCR” and, together with Warburg Pincus, the “Sponsors”). At the time of our IPO, the Company, our Sponsors and certain holders of our common stock entered into a stockholders’ agreement (the “Stockholders’ Agreement”), pursuant to which our Sponsors are entitled to designate certain numbers of our directors, which are reviewed by the Governance Committee, until such time as the Sponsors’ holdings of our common stock is reduced below particular thresholds as described further therein. Six of our ten directors were designated by our Sponsors. Warburg Pincus designated Messrs. Chen, Knauss and Neary, and may currently designate up to two additional directors for election to our Board, and GTCR designated Messrs. Cunningham, Donnini and Mihas.</w:t>
      </w:r>
    </w:p>
    <w:p>
      <w:pPr>
        <w:spacing w:after="0" w:line="151" w:lineRule="exact"/>
        <w:rPr>
          <w:sz w:val="20"/>
          <w:szCs w:val="20"/>
          <w:color w:val="auto"/>
        </w:rPr>
      </w:pPr>
    </w:p>
    <w:p>
      <w:pPr>
        <w:ind w:left="360" w:right="20"/>
        <w:spacing w:after="0" w:line="247" w:lineRule="auto"/>
        <w:rPr>
          <w:sz w:val="20"/>
          <w:szCs w:val="20"/>
          <w:color w:val="auto"/>
        </w:rPr>
      </w:pPr>
      <w:r>
        <w:rPr>
          <w:rFonts w:ascii="Arial" w:cs="Arial" w:eastAsia="Arial" w:hAnsi="Arial"/>
          <w:sz w:val="17"/>
          <w:szCs w:val="17"/>
          <w:color w:val="auto"/>
        </w:rPr>
        <w:t>Ms. Geveda, who had been a Warburg Pincus designee since 2020, resigned from our Board effective October 7, 2022, in connection with her departure from Warburg Pincus. Pursuant to the Stockholders’ Agreement, Warburg Pincus designated Mr. Knauss to succeed</w:t>
      </w:r>
    </w:p>
    <w:p>
      <w:pPr>
        <w:spacing w:after="0" w:line="1" w:lineRule="exact"/>
        <w:rPr>
          <w:sz w:val="20"/>
          <w:szCs w:val="20"/>
          <w:color w:val="auto"/>
        </w:rPr>
      </w:pPr>
    </w:p>
    <w:p>
      <w:pPr>
        <w:ind w:left="360" w:right="140"/>
        <w:spacing w:after="0" w:line="243" w:lineRule="auto"/>
        <w:rPr>
          <w:sz w:val="20"/>
          <w:szCs w:val="20"/>
          <w:color w:val="auto"/>
        </w:rPr>
      </w:pPr>
      <w:r>
        <w:rPr>
          <w:rFonts w:ascii="Arial" w:cs="Arial" w:eastAsia="Arial" w:hAnsi="Arial"/>
          <w:sz w:val="17"/>
          <w:szCs w:val="17"/>
          <w:color w:val="auto"/>
        </w:rPr>
        <w:t>Ms. Geveda as a director of the Company. The Governance Committee evaluated Mr. Knauss and, after taking into consideration the factors as further described in “Director Nominee Criteria and Process,” recommended that the Board appoint Mr. Knauss as a director in Class III, with a term expiring at this Annual Meeting. The Board approved Mr. Knauss’ appointment as a director, effective October 12, 2022.</w:t>
      </w:r>
    </w:p>
    <w:p>
      <w:pPr>
        <w:spacing w:after="0" w:line="135" w:lineRule="exact"/>
        <w:rPr>
          <w:sz w:val="20"/>
          <w:szCs w:val="20"/>
          <w:color w:val="auto"/>
        </w:rPr>
      </w:pPr>
    </w:p>
    <w:p>
      <w:pPr>
        <w:ind w:left="360" w:right="160"/>
        <w:spacing w:after="0" w:line="246" w:lineRule="auto"/>
        <w:rPr>
          <w:sz w:val="20"/>
          <w:szCs w:val="20"/>
          <w:color w:val="auto"/>
        </w:rPr>
      </w:pPr>
      <w:r>
        <w:rPr>
          <w:rFonts w:ascii="Arial" w:cs="Arial" w:eastAsia="Arial" w:hAnsi="Arial"/>
          <w:sz w:val="17"/>
          <w:szCs w:val="17"/>
          <w:color w:val="auto"/>
        </w:rPr>
        <w:t>Each of the three current members of Class III (Messrs. Cunningham, Knauss and Petrella) will stand for election at our Annual Meeting. Our directors hold office until their successors have been elected and qualified or until the earlier of their resignation or removal. The following table provides summary information, as of March 31, 2023, about each director, including the three nominees for election at our Annual Meeting. Additional information about each directors’ background and experience can be found in the sections “Board Skills, Experience and Attributes”, “Board Diversity” and “Proposal 1 — Election of Directors”.</w:t>
      </w:r>
    </w:p>
    <w:p>
      <w:pPr>
        <w:spacing w:after="0" w:line="189" w:lineRule="exact"/>
        <w:rPr>
          <w:sz w:val="20"/>
          <w:szCs w:val="20"/>
          <w:color w:val="auto"/>
        </w:rPr>
      </w:pPr>
    </w:p>
    <w:p>
      <w:pPr>
        <w:ind w:left="420"/>
        <w:spacing w:after="0"/>
        <w:rPr>
          <w:sz w:val="20"/>
          <w:szCs w:val="20"/>
          <w:color w:val="auto"/>
        </w:rPr>
      </w:pPr>
      <w:r>
        <w:rPr>
          <w:rFonts w:ascii="Arial" w:cs="Arial" w:eastAsia="Arial" w:hAnsi="Arial"/>
          <w:sz w:val="21"/>
          <w:szCs w:val="21"/>
          <w:b w:val="1"/>
          <w:bCs w:val="1"/>
          <w:color w:val="00467D"/>
        </w:rPr>
        <w:t>Members of the Board and Standing Committees</w:t>
      </w:r>
    </w:p>
    <w:p>
      <w:pPr>
        <w:spacing w:after="0" w:line="17" w:lineRule="exact"/>
        <w:rPr>
          <w:sz w:val="20"/>
          <w:szCs w:val="20"/>
          <w:color w:val="auto"/>
        </w:rPr>
      </w:pPr>
    </w:p>
    <w:tbl>
      <w:tblPr>
        <w:tblLayout w:type="fixed"/>
        <w:tblInd w:w="360" w:type="dxa"/>
        <w:tblCellMar>
          <w:top w:w="0" w:type="dxa"/>
          <w:left w:w="0" w:type="dxa"/>
          <w:bottom w:w="0" w:type="dxa"/>
          <w:right w:w="0" w:type="dxa"/>
        </w:tblCellMar>
      </w:tblPr>
      <w:tr>
        <w:trPr>
          <w:trHeight w:val="159"/>
        </w:trPr>
        <w:tc>
          <w:tcPr>
            <w:tcW w:w="2160" w:type="dxa"/>
            <w:vAlign w:val="bottom"/>
            <w:tcBorders>
              <w:top w:val="single" w:sz="8" w:color="00467D"/>
            </w:tcBorders>
          </w:tcPr>
          <w:p>
            <w:pPr>
              <w:spacing w:after="0"/>
              <w:rPr>
                <w:sz w:val="13"/>
                <w:szCs w:val="13"/>
                <w:color w:val="auto"/>
              </w:rPr>
            </w:pPr>
          </w:p>
        </w:tc>
        <w:tc>
          <w:tcPr>
            <w:tcW w:w="800" w:type="dxa"/>
            <w:vAlign w:val="bottom"/>
            <w:tcBorders>
              <w:top w:val="single" w:sz="8" w:color="00467D"/>
            </w:tcBorders>
          </w:tcPr>
          <w:p>
            <w:pPr>
              <w:spacing w:after="0"/>
              <w:rPr>
                <w:sz w:val="13"/>
                <w:szCs w:val="13"/>
                <w:color w:val="auto"/>
              </w:rPr>
            </w:pPr>
          </w:p>
        </w:tc>
        <w:tc>
          <w:tcPr>
            <w:tcW w:w="1680" w:type="dxa"/>
            <w:vAlign w:val="bottom"/>
            <w:tcBorders>
              <w:top w:val="single" w:sz="8" w:color="00467D"/>
            </w:tcBorders>
            <w:vMerge w:val="restart"/>
          </w:tcPr>
          <w:p>
            <w:pPr>
              <w:jc w:val="center"/>
              <w:spacing w:after="0"/>
              <w:rPr>
                <w:sz w:val="20"/>
                <w:szCs w:val="20"/>
                <w:color w:val="auto"/>
              </w:rPr>
            </w:pPr>
            <w:r>
              <w:rPr>
                <w:rFonts w:ascii="Arial" w:cs="Arial" w:eastAsia="Arial" w:hAnsi="Arial"/>
                <w:sz w:val="15"/>
                <w:szCs w:val="15"/>
                <w:b w:val="1"/>
                <w:bCs w:val="1"/>
                <w:color w:val="00467D"/>
              </w:rPr>
              <w:t>Class and Year in</w:t>
            </w:r>
          </w:p>
        </w:tc>
        <w:tc>
          <w:tcPr>
            <w:tcW w:w="940" w:type="dxa"/>
            <w:vAlign w:val="bottom"/>
            <w:tcBorders>
              <w:top w:val="single" w:sz="8" w:color="00467D"/>
            </w:tcBorders>
          </w:tcPr>
          <w:p>
            <w:pPr>
              <w:spacing w:after="0"/>
              <w:rPr>
                <w:sz w:val="13"/>
                <w:szCs w:val="13"/>
                <w:color w:val="auto"/>
              </w:rPr>
            </w:pPr>
          </w:p>
        </w:tc>
        <w:tc>
          <w:tcPr>
            <w:tcW w:w="1260" w:type="dxa"/>
            <w:vAlign w:val="bottom"/>
            <w:tcBorders>
              <w:top w:val="single" w:sz="8" w:color="00467D"/>
            </w:tcBorders>
          </w:tcPr>
          <w:p>
            <w:pPr>
              <w:spacing w:after="0"/>
              <w:rPr>
                <w:sz w:val="13"/>
                <w:szCs w:val="13"/>
                <w:color w:val="auto"/>
              </w:rPr>
            </w:pPr>
          </w:p>
        </w:tc>
        <w:tc>
          <w:tcPr>
            <w:tcW w:w="1140" w:type="dxa"/>
            <w:vAlign w:val="bottom"/>
            <w:tcBorders>
              <w:top w:val="single" w:sz="8" w:color="00467D"/>
            </w:tcBorders>
          </w:tcPr>
          <w:p>
            <w:pPr>
              <w:spacing w:after="0"/>
              <w:rPr>
                <w:sz w:val="13"/>
                <w:szCs w:val="13"/>
                <w:color w:val="auto"/>
              </w:rPr>
            </w:pPr>
          </w:p>
        </w:tc>
        <w:tc>
          <w:tcPr>
            <w:tcW w:w="1480" w:type="dxa"/>
            <w:vAlign w:val="bottom"/>
            <w:tcBorders>
              <w:top w:val="single" w:sz="8" w:color="00467D"/>
            </w:tcBorders>
          </w:tcPr>
          <w:p>
            <w:pPr>
              <w:jc w:val="center"/>
              <w:spacing w:after="0" w:line="159" w:lineRule="exact"/>
              <w:rPr>
                <w:sz w:val="20"/>
                <w:szCs w:val="20"/>
                <w:color w:val="auto"/>
              </w:rPr>
            </w:pPr>
            <w:r>
              <w:rPr>
                <w:rFonts w:ascii="Arial" w:cs="Arial" w:eastAsia="Arial" w:hAnsi="Arial"/>
                <w:sz w:val="15"/>
                <w:szCs w:val="15"/>
                <w:b w:val="1"/>
                <w:bCs w:val="1"/>
                <w:color w:val="00467D"/>
              </w:rPr>
              <w:t>Leadership</w:t>
            </w:r>
          </w:p>
        </w:tc>
        <w:tc>
          <w:tcPr>
            <w:tcW w:w="1080" w:type="dxa"/>
            <w:vAlign w:val="bottom"/>
            <w:tcBorders>
              <w:top w:val="single" w:sz="8" w:color="00467D"/>
            </w:tcBorders>
          </w:tcPr>
          <w:p>
            <w:pPr>
              <w:jc w:val="center"/>
              <w:ind w:left="81"/>
              <w:spacing w:after="0" w:line="159" w:lineRule="exact"/>
              <w:rPr>
                <w:sz w:val="20"/>
                <w:szCs w:val="20"/>
                <w:color w:val="auto"/>
              </w:rPr>
            </w:pPr>
            <w:r>
              <w:rPr>
                <w:rFonts w:ascii="Arial" w:cs="Arial" w:eastAsia="Arial" w:hAnsi="Arial"/>
                <w:sz w:val="15"/>
                <w:szCs w:val="15"/>
                <w:b w:val="1"/>
                <w:bCs w:val="1"/>
                <w:color w:val="00467D"/>
              </w:rPr>
              <w:t>Nominating</w:t>
            </w:r>
          </w:p>
        </w:tc>
        <w:tc>
          <w:tcPr>
            <w:tcW w:w="0" w:type="dxa"/>
            <w:vAlign w:val="bottom"/>
          </w:tcPr>
          <w:p>
            <w:pPr>
              <w:spacing w:after="0"/>
              <w:rPr>
                <w:sz w:val="1"/>
                <w:szCs w:val="1"/>
                <w:color w:val="auto"/>
              </w:rPr>
            </w:pPr>
          </w:p>
        </w:tc>
      </w:tr>
      <w:tr>
        <w:trPr>
          <w:trHeight w:val="168"/>
        </w:trPr>
        <w:tc>
          <w:tcPr>
            <w:tcW w:w="2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80" w:type="dxa"/>
            <w:vAlign w:val="bottom"/>
            <w:vMerge w:val="continue"/>
          </w:tcPr>
          <w:p>
            <w:pPr>
              <w:spacing w:after="0"/>
              <w:rPr>
                <w:sz w:val="14"/>
                <w:szCs w:val="14"/>
                <w:color w:val="auto"/>
              </w:rPr>
            </w:pPr>
          </w:p>
        </w:tc>
        <w:tc>
          <w:tcPr>
            <w:tcW w:w="9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80" w:type="dxa"/>
            <w:vAlign w:val="bottom"/>
          </w:tcPr>
          <w:p>
            <w:pPr>
              <w:jc w:val="center"/>
              <w:spacing w:after="0" w:line="168" w:lineRule="exact"/>
              <w:rPr>
                <w:sz w:val="20"/>
                <w:szCs w:val="20"/>
                <w:color w:val="auto"/>
              </w:rPr>
            </w:pPr>
            <w:r>
              <w:rPr>
                <w:rFonts w:ascii="Arial" w:cs="Arial" w:eastAsia="Arial" w:hAnsi="Arial"/>
                <w:sz w:val="15"/>
                <w:szCs w:val="15"/>
                <w:b w:val="1"/>
                <w:bCs w:val="1"/>
                <w:color w:val="00467D"/>
              </w:rPr>
              <w:t>Development &amp;</w:t>
            </w:r>
          </w:p>
        </w:tc>
        <w:tc>
          <w:tcPr>
            <w:tcW w:w="1080" w:type="dxa"/>
            <w:vAlign w:val="bottom"/>
          </w:tcPr>
          <w:p>
            <w:pPr>
              <w:jc w:val="center"/>
              <w:ind w:left="81"/>
              <w:spacing w:after="0" w:line="168" w:lineRule="exact"/>
              <w:rPr>
                <w:sz w:val="20"/>
                <w:szCs w:val="20"/>
                <w:color w:val="auto"/>
              </w:rPr>
            </w:pPr>
            <w:r>
              <w:rPr>
                <w:rFonts w:ascii="Arial" w:cs="Arial" w:eastAsia="Arial" w:hAnsi="Arial"/>
                <w:sz w:val="15"/>
                <w:szCs w:val="15"/>
                <w:b w:val="1"/>
                <w:bCs w:val="1"/>
                <w:color w:val="00467D"/>
              </w:rPr>
              <w:t>&amp; Corporate</w:t>
            </w:r>
          </w:p>
        </w:tc>
        <w:tc>
          <w:tcPr>
            <w:tcW w:w="0" w:type="dxa"/>
            <w:vAlign w:val="bottom"/>
          </w:tcPr>
          <w:p>
            <w:pPr>
              <w:spacing w:after="0"/>
              <w:rPr>
                <w:sz w:val="1"/>
                <w:szCs w:val="1"/>
                <w:color w:val="auto"/>
              </w:rPr>
            </w:pPr>
          </w:p>
        </w:tc>
      </w:tr>
      <w:tr>
        <w:trPr>
          <w:trHeight w:val="181"/>
        </w:trPr>
        <w:tc>
          <w:tcPr>
            <w:tcW w:w="2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80" w:type="dxa"/>
            <w:vAlign w:val="bottom"/>
          </w:tcPr>
          <w:p>
            <w:pPr>
              <w:jc w:val="center"/>
              <w:spacing w:after="0"/>
              <w:rPr>
                <w:sz w:val="20"/>
                <w:szCs w:val="20"/>
                <w:color w:val="auto"/>
              </w:rPr>
            </w:pPr>
            <w:r>
              <w:rPr>
                <w:rFonts w:ascii="Arial" w:cs="Arial" w:eastAsia="Arial" w:hAnsi="Arial"/>
                <w:sz w:val="15"/>
                <w:szCs w:val="15"/>
                <w:b w:val="1"/>
                <w:bCs w:val="1"/>
                <w:color w:val="00467D"/>
              </w:rPr>
              <w:t>Which Current</w:t>
            </w:r>
          </w:p>
        </w:tc>
        <w:tc>
          <w:tcPr>
            <w:tcW w:w="940" w:type="dxa"/>
            <w:vAlign w:val="bottom"/>
          </w:tcPr>
          <w:p>
            <w:pPr>
              <w:jc w:val="center"/>
              <w:spacing w:after="0"/>
              <w:rPr>
                <w:sz w:val="20"/>
                <w:szCs w:val="20"/>
                <w:color w:val="auto"/>
              </w:rPr>
            </w:pPr>
            <w:r>
              <w:rPr>
                <w:rFonts w:ascii="Arial" w:cs="Arial" w:eastAsia="Arial" w:hAnsi="Arial"/>
                <w:sz w:val="15"/>
                <w:szCs w:val="15"/>
                <w:b w:val="1"/>
                <w:bCs w:val="1"/>
                <w:color w:val="00467D"/>
              </w:rPr>
              <w:t>Director</w:t>
            </w:r>
          </w:p>
        </w:tc>
        <w:tc>
          <w:tcPr>
            <w:tcW w:w="1260" w:type="dxa"/>
            <w:vAlign w:val="bottom"/>
          </w:tcPr>
          <w:p>
            <w:pPr>
              <w:spacing w:after="0"/>
              <w:rPr>
                <w:sz w:val="15"/>
                <w:szCs w:val="15"/>
                <w:color w:val="auto"/>
              </w:rPr>
            </w:pPr>
          </w:p>
        </w:tc>
        <w:tc>
          <w:tcPr>
            <w:tcW w:w="1140" w:type="dxa"/>
            <w:vAlign w:val="bottom"/>
          </w:tcPr>
          <w:p>
            <w:pPr>
              <w:jc w:val="center"/>
              <w:spacing w:after="0"/>
              <w:rPr>
                <w:sz w:val="20"/>
                <w:szCs w:val="20"/>
                <w:color w:val="auto"/>
              </w:rPr>
            </w:pPr>
            <w:r>
              <w:rPr>
                <w:rFonts w:ascii="Arial" w:cs="Arial" w:eastAsia="Arial" w:hAnsi="Arial"/>
                <w:sz w:val="15"/>
                <w:szCs w:val="15"/>
                <w:b w:val="1"/>
                <w:bCs w:val="1"/>
                <w:color w:val="00467D"/>
              </w:rPr>
              <w:t>Audit</w:t>
            </w:r>
          </w:p>
        </w:tc>
        <w:tc>
          <w:tcPr>
            <w:tcW w:w="1480" w:type="dxa"/>
            <w:vAlign w:val="bottom"/>
          </w:tcPr>
          <w:p>
            <w:pPr>
              <w:jc w:val="center"/>
              <w:spacing w:after="0"/>
              <w:rPr>
                <w:sz w:val="20"/>
                <w:szCs w:val="20"/>
                <w:color w:val="auto"/>
              </w:rPr>
            </w:pPr>
            <w:r>
              <w:rPr>
                <w:rFonts w:ascii="Arial" w:cs="Arial" w:eastAsia="Arial" w:hAnsi="Arial"/>
                <w:sz w:val="15"/>
                <w:szCs w:val="15"/>
                <w:b w:val="1"/>
                <w:bCs w:val="1"/>
                <w:color w:val="00467D"/>
              </w:rPr>
              <w:t>Compensation</w:t>
            </w:r>
          </w:p>
        </w:tc>
        <w:tc>
          <w:tcPr>
            <w:tcW w:w="1080" w:type="dxa"/>
            <w:vAlign w:val="bottom"/>
          </w:tcPr>
          <w:p>
            <w:pPr>
              <w:jc w:val="center"/>
              <w:ind w:left="81"/>
              <w:spacing w:after="0"/>
              <w:rPr>
                <w:sz w:val="20"/>
                <w:szCs w:val="20"/>
                <w:color w:val="auto"/>
              </w:rPr>
            </w:pPr>
            <w:r>
              <w:rPr>
                <w:rFonts w:ascii="Arial" w:cs="Arial" w:eastAsia="Arial" w:hAnsi="Arial"/>
                <w:sz w:val="15"/>
                <w:szCs w:val="15"/>
                <w:b w:val="1"/>
                <w:bCs w:val="1"/>
                <w:color w:val="00467D"/>
              </w:rPr>
              <w:t>Governance</w:t>
            </w:r>
          </w:p>
        </w:tc>
        <w:tc>
          <w:tcPr>
            <w:tcW w:w="0" w:type="dxa"/>
            <w:vAlign w:val="bottom"/>
          </w:tcPr>
          <w:p>
            <w:pPr>
              <w:spacing w:after="0"/>
              <w:rPr>
                <w:sz w:val="1"/>
                <w:szCs w:val="1"/>
                <w:color w:val="auto"/>
              </w:rPr>
            </w:pPr>
          </w:p>
        </w:tc>
      </w:tr>
      <w:tr>
        <w:trPr>
          <w:trHeight w:val="208"/>
        </w:trPr>
        <w:tc>
          <w:tcPr>
            <w:tcW w:w="2160" w:type="dxa"/>
            <w:vAlign w:val="bottom"/>
            <w:tcBorders>
              <w:bottom w:val="single" w:sz="8" w:color="00467D"/>
            </w:tcBorders>
          </w:tcPr>
          <w:p>
            <w:pPr>
              <w:ind w:left="60"/>
              <w:spacing w:after="0"/>
              <w:rPr>
                <w:sz w:val="20"/>
                <w:szCs w:val="20"/>
                <w:color w:val="auto"/>
              </w:rPr>
            </w:pPr>
            <w:r>
              <w:rPr>
                <w:rFonts w:ascii="Arial" w:cs="Arial" w:eastAsia="Arial" w:hAnsi="Arial"/>
                <w:sz w:val="15"/>
                <w:szCs w:val="15"/>
                <w:b w:val="1"/>
                <w:bCs w:val="1"/>
                <w:color w:val="00467D"/>
              </w:rPr>
              <w:t>Name</w:t>
            </w:r>
          </w:p>
        </w:tc>
        <w:tc>
          <w:tcPr>
            <w:tcW w:w="800" w:type="dxa"/>
            <w:vAlign w:val="bottom"/>
            <w:tcBorders>
              <w:bottom w:val="single" w:sz="8" w:color="00467D"/>
            </w:tcBorders>
          </w:tcPr>
          <w:p>
            <w:pPr>
              <w:jc w:val="center"/>
              <w:spacing w:after="0"/>
              <w:rPr>
                <w:sz w:val="20"/>
                <w:szCs w:val="20"/>
                <w:color w:val="auto"/>
              </w:rPr>
            </w:pPr>
            <w:r>
              <w:rPr>
                <w:rFonts w:ascii="Arial" w:cs="Arial" w:eastAsia="Arial" w:hAnsi="Arial"/>
                <w:sz w:val="15"/>
                <w:szCs w:val="15"/>
                <w:b w:val="1"/>
                <w:bCs w:val="1"/>
                <w:color w:val="00467D"/>
                <w:w w:val="98"/>
              </w:rPr>
              <w:t>Age</w:t>
            </w:r>
          </w:p>
        </w:tc>
        <w:tc>
          <w:tcPr>
            <w:tcW w:w="1680" w:type="dxa"/>
            <w:vAlign w:val="bottom"/>
            <w:tcBorders>
              <w:bottom w:val="single" w:sz="8" w:color="00467D"/>
            </w:tcBorders>
          </w:tcPr>
          <w:p>
            <w:pPr>
              <w:jc w:val="center"/>
              <w:spacing w:after="0"/>
              <w:rPr>
                <w:sz w:val="20"/>
                <w:szCs w:val="20"/>
                <w:color w:val="auto"/>
              </w:rPr>
            </w:pPr>
            <w:r>
              <w:rPr>
                <w:rFonts w:ascii="Arial" w:cs="Arial" w:eastAsia="Arial" w:hAnsi="Arial"/>
                <w:sz w:val="15"/>
                <w:szCs w:val="15"/>
                <w:b w:val="1"/>
                <w:bCs w:val="1"/>
                <w:color w:val="00467D"/>
              </w:rPr>
              <w:t>Term Will Expire</w:t>
            </w:r>
          </w:p>
        </w:tc>
        <w:tc>
          <w:tcPr>
            <w:tcW w:w="940" w:type="dxa"/>
            <w:vAlign w:val="bottom"/>
            <w:tcBorders>
              <w:bottom w:val="single" w:sz="8" w:color="00467D"/>
            </w:tcBorders>
          </w:tcPr>
          <w:p>
            <w:pPr>
              <w:jc w:val="center"/>
              <w:spacing w:after="0" w:line="208" w:lineRule="exact"/>
              <w:rPr>
                <w:sz w:val="20"/>
                <w:szCs w:val="20"/>
                <w:color w:val="auto"/>
              </w:rPr>
            </w:pPr>
            <w:r>
              <w:rPr>
                <w:rFonts w:ascii="Arial" w:cs="Arial" w:eastAsia="Arial" w:hAnsi="Arial"/>
                <w:sz w:val="15"/>
                <w:szCs w:val="15"/>
                <w:b w:val="1"/>
                <w:bCs w:val="1"/>
                <w:color w:val="00467D"/>
                <w:w w:val="95"/>
              </w:rPr>
              <w:t xml:space="preserve">Since </w:t>
            </w:r>
            <w:r>
              <w:rPr>
                <w:rFonts w:ascii="Arial" w:cs="Arial" w:eastAsia="Arial" w:hAnsi="Arial"/>
                <w:sz w:val="23"/>
                <w:szCs w:val="23"/>
                <w:b w:val="1"/>
                <w:bCs w:val="1"/>
                <w:color w:val="00467D"/>
                <w:w w:val="95"/>
                <w:vertAlign w:val="superscript"/>
              </w:rPr>
              <w:t>(1)</w:t>
            </w:r>
          </w:p>
        </w:tc>
        <w:tc>
          <w:tcPr>
            <w:tcW w:w="1260" w:type="dxa"/>
            <w:vAlign w:val="bottom"/>
            <w:tcBorders>
              <w:bottom w:val="single" w:sz="8" w:color="00467D"/>
            </w:tcBorders>
          </w:tcPr>
          <w:p>
            <w:pPr>
              <w:jc w:val="center"/>
              <w:spacing w:after="0"/>
              <w:rPr>
                <w:sz w:val="20"/>
                <w:szCs w:val="20"/>
                <w:color w:val="auto"/>
              </w:rPr>
            </w:pPr>
            <w:r>
              <w:rPr>
                <w:rFonts w:ascii="Arial" w:cs="Arial" w:eastAsia="Arial" w:hAnsi="Arial"/>
                <w:sz w:val="15"/>
                <w:szCs w:val="15"/>
                <w:b w:val="1"/>
                <w:bCs w:val="1"/>
                <w:color w:val="00467D"/>
              </w:rPr>
              <w:t>Independent</w:t>
            </w:r>
          </w:p>
        </w:tc>
        <w:tc>
          <w:tcPr>
            <w:tcW w:w="1140" w:type="dxa"/>
            <w:vAlign w:val="bottom"/>
            <w:tcBorders>
              <w:bottom w:val="single" w:sz="8" w:color="00467D"/>
            </w:tcBorders>
          </w:tcPr>
          <w:p>
            <w:pPr>
              <w:jc w:val="center"/>
              <w:spacing w:after="0"/>
              <w:rPr>
                <w:sz w:val="20"/>
                <w:szCs w:val="20"/>
                <w:color w:val="auto"/>
              </w:rPr>
            </w:pPr>
            <w:r>
              <w:rPr>
                <w:rFonts w:ascii="Arial" w:cs="Arial" w:eastAsia="Arial" w:hAnsi="Arial"/>
                <w:sz w:val="15"/>
                <w:szCs w:val="15"/>
                <w:b w:val="1"/>
                <w:bCs w:val="1"/>
                <w:color w:val="00467D"/>
              </w:rPr>
              <w:t>Committee</w:t>
            </w:r>
          </w:p>
        </w:tc>
        <w:tc>
          <w:tcPr>
            <w:tcW w:w="1480" w:type="dxa"/>
            <w:vAlign w:val="bottom"/>
            <w:tcBorders>
              <w:bottom w:val="single" w:sz="8" w:color="00467D"/>
            </w:tcBorders>
          </w:tcPr>
          <w:p>
            <w:pPr>
              <w:jc w:val="center"/>
              <w:spacing w:after="0"/>
              <w:rPr>
                <w:sz w:val="20"/>
                <w:szCs w:val="20"/>
                <w:color w:val="auto"/>
              </w:rPr>
            </w:pPr>
            <w:r>
              <w:rPr>
                <w:rFonts w:ascii="Arial" w:cs="Arial" w:eastAsia="Arial" w:hAnsi="Arial"/>
                <w:sz w:val="15"/>
                <w:szCs w:val="15"/>
                <w:b w:val="1"/>
                <w:bCs w:val="1"/>
                <w:color w:val="00467D"/>
              </w:rPr>
              <w:t>Committee</w:t>
            </w:r>
          </w:p>
        </w:tc>
        <w:tc>
          <w:tcPr>
            <w:tcW w:w="1080" w:type="dxa"/>
            <w:vAlign w:val="bottom"/>
            <w:tcBorders>
              <w:bottom w:val="single" w:sz="8" w:color="00467D"/>
            </w:tcBorders>
          </w:tcPr>
          <w:p>
            <w:pPr>
              <w:jc w:val="center"/>
              <w:ind w:left="81"/>
              <w:spacing w:after="0"/>
              <w:rPr>
                <w:sz w:val="20"/>
                <w:szCs w:val="20"/>
                <w:color w:val="auto"/>
              </w:rPr>
            </w:pPr>
            <w:r>
              <w:rPr>
                <w:rFonts w:ascii="Arial" w:cs="Arial" w:eastAsia="Arial" w:hAnsi="Arial"/>
                <w:sz w:val="15"/>
                <w:szCs w:val="15"/>
                <w:b w:val="1"/>
                <w:bCs w:val="1"/>
                <w:color w:val="00467D"/>
              </w:rPr>
              <w:t>Committee</w:t>
            </w:r>
          </w:p>
        </w:tc>
        <w:tc>
          <w:tcPr>
            <w:tcW w:w="0" w:type="dxa"/>
            <w:vAlign w:val="bottom"/>
          </w:tcPr>
          <w:p>
            <w:pPr>
              <w:spacing w:after="0"/>
              <w:rPr>
                <w:sz w:val="1"/>
                <w:szCs w:val="1"/>
                <w:color w:val="auto"/>
              </w:rPr>
            </w:pPr>
          </w:p>
        </w:tc>
      </w:tr>
      <w:tr>
        <w:trPr>
          <w:trHeight w:val="251"/>
        </w:trPr>
        <w:tc>
          <w:tcPr>
            <w:tcW w:w="2160" w:type="dxa"/>
            <w:vAlign w:val="bottom"/>
          </w:tcPr>
          <w:p>
            <w:pPr>
              <w:ind w:left="60"/>
              <w:spacing w:after="0"/>
              <w:rPr>
                <w:sz w:val="20"/>
                <w:szCs w:val="20"/>
                <w:color w:val="auto"/>
              </w:rPr>
            </w:pPr>
            <w:r>
              <w:rPr>
                <w:rFonts w:ascii="Arial" w:cs="Arial" w:eastAsia="Arial" w:hAnsi="Arial"/>
                <w:sz w:val="17"/>
                <w:szCs w:val="17"/>
                <w:b w:val="1"/>
                <w:bCs w:val="1"/>
                <w:color w:val="auto"/>
              </w:rPr>
              <w:t>Nominees for Election</w:t>
            </w:r>
          </w:p>
        </w:tc>
        <w:tc>
          <w:tcPr>
            <w:tcW w:w="80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2160" w:type="dxa"/>
            <w:vAlign w:val="bottom"/>
            <w:tcBorders>
              <w:bottom w:val="single" w:sz="8" w:color="99B5CB"/>
            </w:tcBorders>
          </w:tcPr>
          <w:p>
            <w:pPr>
              <w:spacing w:after="0"/>
              <w:rPr>
                <w:sz w:val="2"/>
                <w:szCs w:val="2"/>
                <w:color w:val="auto"/>
              </w:rPr>
            </w:pPr>
          </w:p>
        </w:tc>
        <w:tc>
          <w:tcPr>
            <w:tcW w:w="800" w:type="dxa"/>
            <w:vAlign w:val="bottom"/>
            <w:tcBorders>
              <w:bottom w:val="single" w:sz="8" w:color="99B5CB"/>
            </w:tcBorders>
          </w:tcPr>
          <w:p>
            <w:pPr>
              <w:spacing w:after="0"/>
              <w:rPr>
                <w:sz w:val="2"/>
                <w:szCs w:val="2"/>
                <w:color w:val="auto"/>
              </w:rPr>
            </w:pPr>
          </w:p>
        </w:tc>
        <w:tc>
          <w:tcPr>
            <w:tcW w:w="1680" w:type="dxa"/>
            <w:vAlign w:val="bottom"/>
            <w:tcBorders>
              <w:bottom w:val="single" w:sz="8" w:color="99B5CB"/>
            </w:tcBorders>
          </w:tcPr>
          <w:p>
            <w:pPr>
              <w:spacing w:after="0"/>
              <w:rPr>
                <w:sz w:val="2"/>
                <w:szCs w:val="2"/>
                <w:color w:val="auto"/>
              </w:rPr>
            </w:pPr>
          </w:p>
        </w:tc>
        <w:tc>
          <w:tcPr>
            <w:tcW w:w="940" w:type="dxa"/>
            <w:vAlign w:val="bottom"/>
            <w:tcBorders>
              <w:bottom w:val="single" w:sz="8" w:color="99B5CB"/>
            </w:tcBorders>
          </w:tcPr>
          <w:p>
            <w:pPr>
              <w:spacing w:after="0"/>
              <w:rPr>
                <w:sz w:val="2"/>
                <w:szCs w:val="2"/>
                <w:color w:val="auto"/>
              </w:rPr>
            </w:pPr>
          </w:p>
        </w:tc>
        <w:tc>
          <w:tcPr>
            <w:tcW w:w="1260" w:type="dxa"/>
            <w:vAlign w:val="bottom"/>
            <w:tcBorders>
              <w:bottom w:val="single" w:sz="8" w:color="99B5CB"/>
            </w:tcBorders>
          </w:tcPr>
          <w:p>
            <w:pPr>
              <w:spacing w:after="0"/>
              <w:rPr>
                <w:sz w:val="2"/>
                <w:szCs w:val="2"/>
                <w:color w:val="auto"/>
              </w:rPr>
            </w:pPr>
          </w:p>
        </w:tc>
        <w:tc>
          <w:tcPr>
            <w:tcW w:w="1140" w:type="dxa"/>
            <w:vAlign w:val="bottom"/>
            <w:tcBorders>
              <w:bottom w:val="single" w:sz="8" w:color="99B5CB"/>
            </w:tcBorders>
          </w:tcPr>
          <w:p>
            <w:pPr>
              <w:spacing w:after="0"/>
              <w:rPr>
                <w:sz w:val="2"/>
                <w:szCs w:val="2"/>
                <w:color w:val="auto"/>
              </w:rPr>
            </w:pPr>
          </w:p>
        </w:tc>
        <w:tc>
          <w:tcPr>
            <w:tcW w:w="1480" w:type="dxa"/>
            <w:vAlign w:val="bottom"/>
            <w:tcBorders>
              <w:bottom w:val="single" w:sz="8" w:color="99B5CB"/>
            </w:tcBorders>
          </w:tcPr>
          <w:p>
            <w:pPr>
              <w:spacing w:after="0"/>
              <w:rPr>
                <w:sz w:val="2"/>
                <w:szCs w:val="2"/>
                <w:color w:val="auto"/>
              </w:rPr>
            </w:pPr>
          </w:p>
        </w:tc>
        <w:tc>
          <w:tcPr>
            <w:tcW w:w="1080" w:type="dxa"/>
            <w:vAlign w:val="bottom"/>
            <w:tcBorders>
              <w:bottom w:val="single" w:sz="8" w:color="99B5CB"/>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2160" w:type="dxa"/>
            <w:vAlign w:val="bottom"/>
          </w:tcPr>
          <w:p>
            <w:pPr>
              <w:ind w:left="60"/>
              <w:spacing w:after="0"/>
              <w:rPr>
                <w:sz w:val="20"/>
                <w:szCs w:val="20"/>
                <w:color w:val="auto"/>
              </w:rPr>
            </w:pPr>
            <w:r>
              <w:rPr>
                <w:rFonts w:ascii="Arial" w:cs="Arial" w:eastAsia="Arial" w:hAnsi="Arial"/>
                <w:sz w:val="17"/>
                <w:szCs w:val="17"/>
                <w:color w:val="auto"/>
              </w:rPr>
              <w:t>Sean L. Cunningham</w:t>
            </w:r>
          </w:p>
        </w:tc>
        <w:tc>
          <w:tcPr>
            <w:tcW w:w="800" w:type="dxa"/>
            <w:vAlign w:val="bottom"/>
          </w:tcPr>
          <w:p>
            <w:pPr>
              <w:jc w:val="center"/>
              <w:spacing w:after="0"/>
              <w:rPr>
                <w:sz w:val="20"/>
                <w:szCs w:val="20"/>
                <w:color w:val="auto"/>
              </w:rPr>
            </w:pPr>
            <w:r>
              <w:rPr>
                <w:rFonts w:ascii="Arial" w:cs="Arial" w:eastAsia="Arial" w:hAnsi="Arial"/>
                <w:sz w:val="17"/>
                <w:szCs w:val="17"/>
                <w:color w:val="auto"/>
              </w:rPr>
              <w:t>47</w:t>
            </w:r>
          </w:p>
        </w:tc>
        <w:tc>
          <w:tcPr>
            <w:tcW w:w="1680" w:type="dxa"/>
            <w:vAlign w:val="bottom"/>
          </w:tcPr>
          <w:p>
            <w:pPr>
              <w:jc w:val="center"/>
              <w:spacing w:after="0"/>
              <w:rPr>
                <w:sz w:val="20"/>
                <w:szCs w:val="20"/>
                <w:color w:val="auto"/>
              </w:rPr>
            </w:pPr>
            <w:r>
              <w:rPr>
                <w:rFonts w:ascii="Arial" w:cs="Arial" w:eastAsia="Arial" w:hAnsi="Arial"/>
                <w:sz w:val="17"/>
                <w:szCs w:val="17"/>
                <w:color w:val="auto"/>
              </w:rPr>
              <w:t>Class III — 2023</w:t>
            </w:r>
          </w:p>
        </w:tc>
        <w:tc>
          <w:tcPr>
            <w:tcW w:w="940" w:type="dxa"/>
            <w:vAlign w:val="bottom"/>
          </w:tcPr>
          <w:p>
            <w:pPr>
              <w:jc w:val="center"/>
              <w:spacing w:after="0"/>
              <w:rPr>
                <w:sz w:val="20"/>
                <w:szCs w:val="20"/>
                <w:color w:val="auto"/>
              </w:rPr>
            </w:pPr>
            <w:r>
              <w:rPr>
                <w:rFonts w:ascii="Arial" w:cs="Arial" w:eastAsia="Arial" w:hAnsi="Arial"/>
                <w:sz w:val="17"/>
                <w:szCs w:val="17"/>
                <w:color w:val="auto"/>
              </w:rPr>
              <w:t>2015</w:t>
            </w:r>
          </w:p>
        </w:tc>
        <w:tc>
          <w:tcPr>
            <w:tcW w:w="1260" w:type="dxa"/>
            <w:vAlign w:val="bottom"/>
          </w:tcPr>
          <w:p>
            <w:pPr>
              <w:jc w:val="center"/>
              <w:spacing w:after="0"/>
              <w:rPr>
                <w:sz w:val="20"/>
                <w:szCs w:val="20"/>
                <w:color w:val="auto"/>
              </w:rPr>
            </w:pPr>
            <w:r>
              <w:rPr>
                <w:rFonts w:ascii="Arial" w:cs="Arial" w:eastAsia="Arial" w:hAnsi="Arial"/>
                <w:sz w:val="17"/>
                <w:szCs w:val="17"/>
                <w:color w:val="auto"/>
                <w:w w:val="95"/>
              </w:rPr>
              <w:t>Yes</w:t>
            </w:r>
          </w:p>
        </w:tc>
        <w:tc>
          <w:tcPr>
            <w:tcW w:w="11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080" w:type="dxa"/>
            <w:vAlign w:val="bottom"/>
          </w:tcPr>
          <w:p>
            <w:pPr>
              <w:jc w:val="center"/>
              <w:ind w:left="81"/>
              <w:spacing w:after="0" w:line="171" w:lineRule="exact"/>
              <w:rPr>
                <w:sz w:val="20"/>
                <w:szCs w:val="20"/>
                <w:color w:val="auto"/>
              </w:rPr>
            </w:pPr>
            <w:r>
              <w:rPr>
                <w:rFonts w:ascii="MS PGothic" w:cs="MS PGothic" w:eastAsia="MS PGothic" w:hAnsi="MS PGothic"/>
                <w:sz w:val="17"/>
                <w:szCs w:val="17"/>
                <w:color w:val="auto"/>
                <w:w w:val="93"/>
              </w:rPr>
              <w:t>✓</w:t>
            </w:r>
          </w:p>
        </w:tc>
        <w:tc>
          <w:tcPr>
            <w:tcW w:w="0" w:type="dxa"/>
            <w:vAlign w:val="bottom"/>
          </w:tcPr>
          <w:p>
            <w:pPr>
              <w:spacing w:after="0"/>
              <w:rPr>
                <w:sz w:val="1"/>
                <w:szCs w:val="1"/>
                <w:color w:val="auto"/>
              </w:rPr>
            </w:pPr>
          </w:p>
        </w:tc>
      </w:tr>
      <w:tr>
        <w:trPr>
          <w:trHeight w:val="27"/>
        </w:trPr>
        <w:tc>
          <w:tcPr>
            <w:tcW w:w="2160" w:type="dxa"/>
            <w:vAlign w:val="bottom"/>
            <w:tcBorders>
              <w:bottom w:val="single" w:sz="8" w:color="99B5CB"/>
            </w:tcBorders>
          </w:tcPr>
          <w:p>
            <w:pPr>
              <w:spacing w:after="0"/>
              <w:rPr>
                <w:sz w:val="2"/>
                <w:szCs w:val="2"/>
                <w:color w:val="auto"/>
              </w:rPr>
            </w:pPr>
          </w:p>
        </w:tc>
        <w:tc>
          <w:tcPr>
            <w:tcW w:w="800" w:type="dxa"/>
            <w:vAlign w:val="bottom"/>
            <w:tcBorders>
              <w:bottom w:val="single" w:sz="8" w:color="99B5CB"/>
            </w:tcBorders>
          </w:tcPr>
          <w:p>
            <w:pPr>
              <w:spacing w:after="0"/>
              <w:rPr>
                <w:sz w:val="2"/>
                <w:szCs w:val="2"/>
                <w:color w:val="auto"/>
              </w:rPr>
            </w:pPr>
          </w:p>
        </w:tc>
        <w:tc>
          <w:tcPr>
            <w:tcW w:w="1680" w:type="dxa"/>
            <w:vAlign w:val="bottom"/>
            <w:tcBorders>
              <w:bottom w:val="single" w:sz="8" w:color="99B5CB"/>
            </w:tcBorders>
          </w:tcPr>
          <w:p>
            <w:pPr>
              <w:spacing w:after="0"/>
              <w:rPr>
                <w:sz w:val="2"/>
                <w:szCs w:val="2"/>
                <w:color w:val="auto"/>
              </w:rPr>
            </w:pPr>
          </w:p>
        </w:tc>
        <w:tc>
          <w:tcPr>
            <w:tcW w:w="940" w:type="dxa"/>
            <w:vAlign w:val="bottom"/>
            <w:tcBorders>
              <w:bottom w:val="single" w:sz="8" w:color="99B5CB"/>
            </w:tcBorders>
          </w:tcPr>
          <w:p>
            <w:pPr>
              <w:spacing w:after="0"/>
              <w:rPr>
                <w:sz w:val="2"/>
                <w:szCs w:val="2"/>
                <w:color w:val="auto"/>
              </w:rPr>
            </w:pPr>
          </w:p>
        </w:tc>
        <w:tc>
          <w:tcPr>
            <w:tcW w:w="1260" w:type="dxa"/>
            <w:vAlign w:val="bottom"/>
            <w:tcBorders>
              <w:bottom w:val="single" w:sz="8" w:color="99B5CB"/>
            </w:tcBorders>
          </w:tcPr>
          <w:p>
            <w:pPr>
              <w:spacing w:after="0"/>
              <w:rPr>
                <w:sz w:val="2"/>
                <w:szCs w:val="2"/>
                <w:color w:val="auto"/>
              </w:rPr>
            </w:pPr>
          </w:p>
        </w:tc>
        <w:tc>
          <w:tcPr>
            <w:tcW w:w="1140" w:type="dxa"/>
            <w:vAlign w:val="bottom"/>
            <w:tcBorders>
              <w:bottom w:val="single" w:sz="8" w:color="99B5CB"/>
            </w:tcBorders>
          </w:tcPr>
          <w:p>
            <w:pPr>
              <w:spacing w:after="0"/>
              <w:rPr>
                <w:sz w:val="2"/>
                <w:szCs w:val="2"/>
                <w:color w:val="auto"/>
              </w:rPr>
            </w:pPr>
          </w:p>
        </w:tc>
        <w:tc>
          <w:tcPr>
            <w:tcW w:w="1480" w:type="dxa"/>
            <w:vAlign w:val="bottom"/>
            <w:tcBorders>
              <w:bottom w:val="single" w:sz="8" w:color="99B5CB"/>
            </w:tcBorders>
          </w:tcPr>
          <w:p>
            <w:pPr>
              <w:spacing w:after="0"/>
              <w:rPr>
                <w:sz w:val="2"/>
                <w:szCs w:val="2"/>
                <w:color w:val="auto"/>
              </w:rPr>
            </w:pPr>
          </w:p>
        </w:tc>
        <w:tc>
          <w:tcPr>
            <w:tcW w:w="1080" w:type="dxa"/>
            <w:vAlign w:val="bottom"/>
            <w:tcBorders>
              <w:bottom w:val="single" w:sz="8" w:color="99B5CB"/>
            </w:tcBorders>
          </w:tcPr>
          <w:p>
            <w:pPr>
              <w:spacing w:after="0"/>
              <w:rPr>
                <w:sz w:val="2"/>
                <w:szCs w:val="2"/>
                <w:color w:val="auto"/>
              </w:rPr>
            </w:pPr>
          </w:p>
        </w:tc>
        <w:tc>
          <w:tcPr>
            <w:tcW w:w="0" w:type="dxa"/>
            <w:vAlign w:val="bottom"/>
          </w:tcPr>
          <w:p>
            <w:pPr>
              <w:spacing w:after="0"/>
              <w:rPr>
                <w:sz w:val="1"/>
                <w:szCs w:val="1"/>
                <w:color w:val="auto"/>
              </w:rPr>
            </w:pPr>
          </w:p>
        </w:tc>
      </w:tr>
      <w:tr>
        <w:trPr>
          <w:trHeight w:val="241"/>
        </w:trPr>
        <w:tc>
          <w:tcPr>
            <w:tcW w:w="2160" w:type="dxa"/>
            <w:vAlign w:val="bottom"/>
          </w:tcPr>
          <w:p>
            <w:pPr>
              <w:ind w:left="60"/>
              <w:spacing w:after="0"/>
              <w:rPr>
                <w:sz w:val="20"/>
                <w:szCs w:val="20"/>
                <w:color w:val="auto"/>
              </w:rPr>
            </w:pPr>
            <w:r>
              <w:rPr>
                <w:rFonts w:ascii="Arial" w:cs="Arial" w:eastAsia="Arial" w:hAnsi="Arial"/>
                <w:sz w:val="17"/>
                <w:szCs w:val="17"/>
                <w:color w:val="auto"/>
              </w:rPr>
              <w:t>Robert B. Knauss</w:t>
            </w:r>
          </w:p>
        </w:tc>
        <w:tc>
          <w:tcPr>
            <w:tcW w:w="800" w:type="dxa"/>
            <w:vAlign w:val="bottom"/>
          </w:tcPr>
          <w:p>
            <w:pPr>
              <w:jc w:val="center"/>
              <w:spacing w:after="0"/>
              <w:rPr>
                <w:sz w:val="20"/>
                <w:szCs w:val="20"/>
                <w:color w:val="auto"/>
              </w:rPr>
            </w:pPr>
            <w:r>
              <w:rPr>
                <w:rFonts w:ascii="Arial" w:cs="Arial" w:eastAsia="Arial" w:hAnsi="Arial"/>
                <w:sz w:val="17"/>
                <w:szCs w:val="17"/>
                <w:color w:val="auto"/>
              </w:rPr>
              <w:t>69</w:t>
            </w:r>
          </w:p>
        </w:tc>
        <w:tc>
          <w:tcPr>
            <w:tcW w:w="1680" w:type="dxa"/>
            <w:vAlign w:val="bottom"/>
          </w:tcPr>
          <w:p>
            <w:pPr>
              <w:jc w:val="center"/>
              <w:spacing w:after="0"/>
              <w:rPr>
                <w:sz w:val="20"/>
                <w:szCs w:val="20"/>
                <w:color w:val="auto"/>
              </w:rPr>
            </w:pPr>
            <w:r>
              <w:rPr>
                <w:rFonts w:ascii="Arial" w:cs="Arial" w:eastAsia="Arial" w:hAnsi="Arial"/>
                <w:sz w:val="17"/>
                <w:szCs w:val="17"/>
                <w:color w:val="auto"/>
              </w:rPr>
              <w:t>Class III — 2023</w:t>
            </w:r>
          </w:p>
        </w:tc>
        <w:tc>
          <w:tcPr>
            <w:tcW w:w="940" w:type="dxa"/>
            <w:vAlign w:val="bottom"/>
          </w:tcPr>
          <w:p>
            <w:pPr>
              <w:jc w:val="center"/>
              <w:spacing w:after="0"/>
              <w:rPr>
                <w:sz w:val="20"/>
                <w:szCs w:val="20"/>
                <w:color w:val="auto"/>
              </w:rPr>
            </w:pPr>
            <w:r>
              <w:rPr>
                <w:rFonts w:ascii="Arial" w:cs="Arial" w:eastAsia="Arial" w:hAnsi="Arial"/>
                <w:sz w:val="17"/>
                <w:szCs w:val="17"/>
                <w:color w:val="auto"/>
              </w:rPr>
              <w:t>2022</w:t>
            </w:r>
          </w:p>
        </w:tc>
        <w:tc>
          <w:tcPr>
            <w:tcW w:w="1260" w:type="dxa"/>
            <w:vAlign w:val="bottom"/>
          </w:tcPr>
          <w:p>
            <w:pPr>
              <w:jc w:val="center"/>
              <w:spacing w:after="0"/>
              <w:rPr>
                <w:sz w:val="20"/>
                <w:szCs w:val="20"/>
                <w:color w:val="auto"/>
              </w:rPr>
            </w:pPr>
            <w:r>
              <w:rPr>
                <w:rFonts w:ascii="Arial" w:cs="Arial" w:eastAsia="Arial" w:hAnsi="Arial"/>
                <w:sz w:val="17"/>
                <w:szCs w:val="17"/>
                <w:color w:val="auto"/>
                <w:w w:val="95"/>
              </w:rPr>
              <w:t>Yes</w:t>
            </w:r>
          </w:p>
        </w:tc>
        <w:tc>
          <w:tcPr>
            <w:tcW w:w="11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160" w:type="dxa"/>
            <w:vAlign w:val="bottom"/>
            <w:tcBorders>
              <w:bottom w:val="single" w:sz="8" w:color="99B5CB"/>
            </w:tcBorders>
          </w:tcPr>
          <w:p>
            <w:pPr>
              <w:spacing w:after="0"/>
              <w:rPr>
                <w:sz w:val="3"/>
                <w:szCs w:val="3"/>
                <w:color w:val="auto"/>
              </w:rPr>
            </w:pPr>
          </w:p>
        </w:tc>
        <w:tc>
          <w:tcPr>
            <w:tcW w:w="800" w:type="dxa"/>
            <w:vAlign w:val="bottom"/>
            <w:tcBorders>
              <w:bottom w:val="single" w:sz="8" w:color="99B5CB"/>
            </w:tcBorders>
          </w:tcPr>
          <w:p>
            <w:pPr>
              <w:spacing w:after="0"/>
              <w:rPr>
                <w:sz w:val="3"/>
                <w:szCs w:val="3"/>
                <w:color w:val="auto"/>
              </w:rPr>
            </w:pPr>
          </w:p>
        </w:tc>
        <w:tc>
          <w:tcPr>
            <w:tcW w:w="1680" w:type="dxa"/>
            <w:vAlign w:val="bottom"/>
            <w:tcBorders>
              <w:bottom w:val="single" w:sz="8" w:color="99B5CB"/>
            </w:tcBorders>
          </w:tcPr>
          <w:p>
            <w:pPr>
              <w:spacing w:after="0"/>
              <w:rPr>
                <w:sz w:val="3"/>
                <w:szCs w:val="3"/>
                <w:color w:val="auto"/>
              </w:rPr>
            </w:pPr>
          </w:p>
        </w:tc>
        <w:tc>
          <w:tcPr>
            <w:tcW w:w="940" w:type="dxa"/>
            <w:vAlign w:val="bottom"/>
            <w:tcBorders>
              <w:bottom w:val="single" w:sz="8" w:color="99B5CB"/>
            </w:tcBorders>
          </w:tcPr>
          <w:p>
            <w:pPr>
              <w:spacing w:after="0"/>
              <w:rPr>
                <w:sz w:val="3"/>
                <w:szCs w:val="3"/>
                <w:color w:val="auto"/>
              </w:rPr>
            </w:pPr>
          </w:p>
        </w:tc>
        <w:tc>
          <w:tcPr>
            <w:tcW w:w="1260" w:type="dxa"/>
            <w:vAlign w:val="bottom"/>
            <w:tcBorders>
              <w:bottom w:val="single" w:sz="8" w:color="99B5CB"/>
            </w:tcBorders>
          </w:tcPr>
          <w:p>
            <w:pPr>
              <w:spacing w:after="0"/>
              <w:rPr>
                <w:sz w:val="3"/>
                <w:szCs w:val="3"/>
                <w:color w:val="auto"/>
              </w:rPr>
            </w:pPr>
          </w:p>
        </w:tc>
        <w:tc>
          <w:tcPr>
            <w:tcW w:w="1140" w:type="dxa"/>
            <w:vAlign w:val="bottom"/>
            <w:tcBorders>
              <w:bottom w:val="single" w:sz="8" w:color="99B5CB"/>
            </w:tcBorders>
          </w:tcPr>
          <w:p>
            <w:pPr>
              <w:spacing w:after="0"/>
              <w:rPr>
                <w:sz w:val="3"/>
                <w:szCs w:val="3"/>
                <w:color w:val="auto"/>
              </w:rPr>
            </w:pPr>
          </w:p>
        </w:tc>
        <w:tc>
          <w:tcPr>
            <w:tcW w:w="1480" w:type="dxa"/>
            <w:vAlign w:val="bottom"/>
            <w:tcBorders>
              <w:bottom w:val="single" w:sz="8" w:color="99B5CB"/>
            </w:tcBorders>
          </w:tcPr>
          <w:p>
            <w:pPr>
              <w:spacing w:after="0"/>
              <w:rPr>
                <w:sz w:val="3"/>
                <w:szCs w:val="3"/>
                <w:color w:val="auto"/>
              </w:rPr>
            </w:pPr>
          </w:p>
        </w:tc>
        <w:tc>
          <w:tcPr>
            <w:tcW w:w="1080" w:type="dxa"/>
            <w:vAlign w:val="bottom"/>
            <w:tcBorders>
              <w:bottom w:val="single" w:sz="8" w:color="99B5CB"/>
            </w:tcBorders>
          </w:tcPr>
          <w:p>
            <w:pPr>
              <w:spacing w:after="0"/>
              <w:rPr>
                <w:sz w:val="3"/>
                <w:szCs w:val="3"/>
                <w:color w:val="auto"/>
              </w:rPr>
            </w:pPr>
          </w:p>
        </w:tc>
        <w:tc>
          <w:tcPr>
            <w:tcW w:w="0" w:type="dxa"/>
            <w:vAlign w:val="bottom"/>
          </w:tcPr>
          <w:p>
            <w:pPr>
              <w:spacing w:after="0"/>
              <w:rPr>
                <w:sz w:val="1"/>
                <w:szCs w:val="1"/>
                <w:color w:val="auto"/>
              </w:rPr>
            </w:pPr>
          </w:p>
        </w:tc>
      </w:tr>
      <w:tr>
        <w:trPr>
          <w:trHeight w:val="241"/>
        </w:trPr>
        <w:tc>
          <w:tcPr>
            <w:tcW w:w="2160" w:type="dxa"/>
            <w:vAlign w:val="bottom"/>
          </w:tcPr>
          <w:p>
            <w:pPr>
              <w:ind w:left="60"/>
              <w:spacing w:after="0"/>
              <w:rPr>
                <w:sz w:val="20"/>
                <w:szCs w:val="20"/>
                <w:color w:val="auto"/>
              </w:rPr>
            </w:pPr>
            <w:r>
              <w:rPr>
                <w:rFonts w:ascii="Arial" w:cs="Arial" w:eastAsia="Arial" w:hAnsi="Arial"/>
                <w:sz w:val="17"/>
                <w:szCs w:val="17"/>
                <w:color w:val="auto"/>
              </w:rPr>
              <w:t>Vincent K. Petrella</w:t>
            </w:r>
          </w:p>
        </w:tc>
        <w:tc>
          <w:tcPr>
            <w:tcW w:w="800" w:type="dxa"/>
            <w:vAlign w:val="bottom"/>
          </w:tcPr>
          <w:p>
            <w:pPr>
              <w:jc w:val="center"/>
              <w:spacing w:after="0"/>
              <w:rPr>
                <w:sz w:val="20"/>
                <w:szCs w:val="20"/>
                <w:color w:val="auto"/>
              </w:rPr>
            </w:pPr>
            <w:r>
              <w:rPr>
                <w:rFonts w:ascii="Arial" w:cs="Arial" w:eastAsia="Arial" w:hAnsi="Arial"/>
                <w:sz w:val="17"/>
                <w:szCs w:val="17"/>
                <w:color w:val="auto"/>
              </w:rPr>
              <w:t>62</w:t>
            </w:r>
          </w:p>
        </w:tc>
        <w:tc>
          <w:tcPr>
            <w:tcW w:w="1680" w:type="dxa"/>
            <w:vAlign w:val="bottom"/>
          </w:tcPr>
          <w:p>
            <w:pPr>
              <w:jc w:val="center"/>
              <w:spacing w:after="0"/>
              <w:rPr>
                <w:sz w:val="20"/>
                <w:szCs w:val="20"/>
                <w:color w:val="auto"/>
              </w:rPr>
            </w:pPr>
            <w:r>
              <w:rPr>
                <w:rFonts w:ascii="Arial" w:cs="Arial" w:eastAsia="Arial" w:hAnsi="Arial"/>
                <w:sz w:val="17"/>
                <w:szCs w:val="17"/>
                <w:color w:val="auto"/>
              </w:rPr>
              <w:t>Class III — 2023</w:t>
            </w:r>
          </w:p>
        </w:tc>
        <w:tc>
          <w:tcPr>
            <w:tcW w:w="940" w:type="dxa"/>
            <w:vAlign w:val="bottom"/>
          </w:tcPr>
          <w:p>
            <w:pPr>
              <w:jc w:val="center"/>
              <w:spacing w:after="0"/>
              <w:rPr>
                <w:sz w:val="20"/>
                <w:szCs w:val="20"/>
                <w:color w:val="auto"/>
              </w:rPr>
            </w:pPr>
            <w:r>
              <w:rPr>
                <w:rFonts w:ascii="Arial" w:cs="Arial" w:eastAsia="Arial" w:hAnsi="Arial"/>
                <w:sz w:val="17"/>
                <w:szCs w:val="17"/>
                <w:color w:val="auto"/>
              </w:rPr>
              <w:t>2020</w:t>
            </w:r>
          </w:p>
        </w:tc>
        <w:tc>
          <w:tcPr>
            <w:tcW w:w="1260" w:type="dxa"/>
            <w:vAlign w:val="bottom"/>
          </w:tcPr>
          <w:p>
            <w:pPr>
              <w:jc w:val="center"/>
              <w:spacing w:after="0"/>
              <w:rPr>
                <w:sz w:val="20"/>
                <w:szCs w:val="20"/>
                <w:color w:val="auto"/>
              </w:rPr>
            </w:pPr>
            <w:r>
              <w:rPr>
                <w:rFonts w:ascii="Arial" w:cs="Arial" w:eastAsia="Arial" w:hAnsi="Arial"/>
                <w:sz w:val="17"/>
                <w:szCs w:val="17"/>
                <w:color w:val="auto"/>
                <w:w w:val="95"/>
              </w:rPr>
              <w:t>Yes</w:t>
            </w:r>
          </w:p>
        </w:tc>
        <w:tc>
          <w:tcPr>
            <w:tcW w:w="1140" w:type="dxa"/>
            <w:vAlign w:val="bottom"/>
          </w:tcPr>
          <w:p>
            <w:pPr>
              <w:jc w:val="center"/>
              <w:spacing w:after="0"/>
              <w:rPr>
                <w:sz w:val="20"/>
                <w:szCs w:val="20"/>
                <w:color w:val="auto"/>
              </w:rPr>
            </w:pPr>
            <w:r>
              <w:rPr>
                <w:rFonts w:ascii="Arial" w:cs="Arial" w:eastAsia="Arial" w:hAnsi="Arial"/>
                <w:sz w:val="17"/>
                <w:szCs w:val="17"/>
                <w:color w:val="auto"/>
                <w:w w:val="97"/>
              </w:rPr>
              <w:t>C</w:t>
            </w:r>
          </w:p>
        </w:tc>
        <w:tc>
          <w:tcPr>
            <w:tcW w:w="14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160" w:type="dxa"/>
            <w:vAlign w:val="bottom"/>
            <w:tcBorders>
              <w:bottom w:val="single" w:sz="8" w:color="99B5CB"/>
            </w:tcBorders>
          </w:tcPr>
          <w:p>
            <w:pPr>
              <w:spacing w:after="0"/>
              <w:rPr>
                <w:sz w:val="3"/>
                <w:szCs w:val="3"/>
                <w:color w:val="auto"/>
              </w:rPr>
            </w:pPr>
          </w:p>
        </w:tc>
        <w:tc>
          <w:tcPr>
            <w:tcW w:w="800" w:type="dxa"/>
            <w:vAlign w:val="bottom"/>
            <w:tcBorders>
              <w:bottom w:val="single" w:sz="8" w:color="99B5CB"/>
            </w:tcBorders>
          </w:tcPr>
          <w:p>
            <w:pPr>
              <w:spacing w:after="0"/>
              <w:rPr>
                <w:sz w:val="3"/>
                <w:szCs w:val="3"/>
                <w:color w:val="auto"/>
              </w:rPr>
            </w:pPr>
          </w:p>
        </w:tc>
        <w:tc>
          <w:tcPr>
            <w:tcW w:w="1680" w:type="dxa"/>
            <w:vAlign w:val="bottom"/>
            <w:tcBorders>
              <w:bottom w:val="single" w:sz="8" w:color="99B5CB"/>
            </w:tcBorders>
          </w:tcPr>
          <w:p>
            <w:pPr>
              <w:spacing w:after="0"/>
              <w:rPr>
                <w:sz w:val="3"/>
                <w:szCs w:val="3"/>
                <w:color w:val="auto"/>
              </w:rPr>
            </w:pPr>
          </w:p>
        </w:tc>
        <w:tc>
          <w:tcPr>
            <w:tcW w:w="940" w:type="dxa"/>
            <w:vAlign w:val="bottom"/>
            <w:tcBorders>
              <w:bottom w:val="single" w:sz="8" w:color="99B5CB"/>
            </w:tcBorders>
          </w:tcPr>
          <w:p>
            <w:pPr>
              <w:spacing w:after="0"/>
              <w:rPr>
                <w:sz w:val="3"/>
                <w:szCs w:val="3"/>
                <w:color w:val="auto"/>
              </w:rPr>
            </w:pPr>
          </w:p>
        </w:tc>
        <w:tc>
          <w:tcPr>
            <w:tcW w:w="1260" w:type="dxa"/>
            <w:vAlign w:val="bottom"/>
            <w:tcBorders>
              <w:bottom w:val="single" w:sz="8" w:color="99B5CB"/>
            </w:tcBorders>
          </w:tcPr>
          <w:p>
            <w:pPr>
              <w:spacing w:after="0"/>
              <w:rPr>
                <w:sz w:val="3"/>
                <w:szCs w:val="3"/>
                <w:color w:val="auto"/>
              </w:rPr>
            </w:pPr>
          </w:p>
        </w:tc>
        <w:tc>
          <w:tcPr>
            <w:tcW w:w="1140" w:type="dxa"/>
            <w:vAlign w:val="bottom"/>
            <w:tcBorders>
              <w:bottom w:val="single" w:sz="8" w:color="99B5CB"/>
            </w:tcBorders>
          </w:tcPr>
          <w:p>
            <w:pPr>
              <w:spacing w:after="0"/>
              <w:rPr>
                <w:sz w:val="3"/>
                <w:szCs w:val="3"/>
                <w:color w:val="auto"/>
              </w:rPr>
            </w:pPr>
          </w:p>
        </w:tc>
        <w:tc>
          <w:tcPr>
            <w:tcW w:w="1480" w:type="dxa"/>
            <w:vAlign w:val="bottom"/>
            <w:tcBorders>
              <w:bottom w:val="single" w:sz="8" w:color="99B5CB"/>
            </w:tcBorders>
          </w:tcPr>
          <w:p>
            <w:pPr>
              <w:spacing w:after="0"/>
              <w:rPr>
                <w:sz w:val="3"/>
                <w:szCs w:val="3"/>
                <w:color w:val="auto"/>
              </w:rPr>
            </w:pPr>
          </w:p>
        </w:tc>
        <w:tc>
          <w:tcPr>
            <w:tcW w:w="1080" w:type="dxa"/>
            <w:vAlign w:val="bottom"/>
            <w:tcBorders>
              <w:bottom w:val="single" w:sz="8" w:color="99B5CB"/>
            </w:tcBorders>
          </w:tcPr>
          <w:p>
            <w:pPr>
              <w:spacing w:after="0"/>
              <w:rPr>
                <w:sz w:val="3"/>
                <w:szCs w:val="3"/>
                <w:color w:val="auto"/>
              </w:rPr>
            </w:pPr>
          </w:p>
        </w:tc>
        <w:tc>
          <w:tcPr>
            <w:tcW w:w="0" w:type="dxa"/>
            <w:vAlign w:val="bottom"/>
          </w:tcPr>
          <w:p>
            <w:pPr>
              <w:spacing w:after="0"/>
              <w:rPr>
                <w:sz w:val="1"/>
                <w:szCs w:val="1"/>
                <w:color w:val="auto"/>
              </w:rPr>
            </w:pPr>
          </w:p>
        </w:tc>
      </w:tr>
      <w:tr>
        <w:trPr>
          <w:trHeight w:val="251"/>
        </w:trPr>
        <w:tc>
          <w:tcPr>
            <w:tcW w:w="2160" w:type="dxa"/>
            <w:vAlign w:val="bottom"/>
          </w:tcPr>
          <w:p>
            <w:pPr>
              <w:ind w:left="60"/>
              <w:spacing w:after="0"/>
              <w:rPr>
                <w:sz w:val="20"/>
                <w:szCs w:val="20"/>
                <w:color w:val="auto"/>
              </w:rPr>
            </w:pPr>
            <w:r>
              <w:rPr>
                <w:rFonts w:ascii="Arial" w:cs="Arial" w:eastAsia="Arial" w:hAnsi="Arial"/>
                <w:sz w:val="17"/>
                <w:szCs w:val="17"/>
                <w:b w:val="1"/>
                <w:bCs w:val="1"/>
                <w:color w:val="auto"/>
              </w:rPr>
              <w:t>Continuing Directors</w:t>
            </w:r>
          </w:p>
        </w:tc>
        <w:tc>
          <w:tcPr>
            <w:tcW w:w="80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2160" w:type="dxa"/>
            <w:vAlign w:val="bottom"/>
            <w:tcBorders>
              <w:bottom w:val="single" w:sz="8" w:color="99B5CB"/>
            </w:tcBorders>
          </w:tcPr>
          <w:p>
            <w:pPr>
              <w:spacing w:after="0"/>
              <w:rPr>
                <w:sz w:val="2"/>
                <w:szCs w:val="2"/>
                <w:color w:val="auto"/>
              </w:rPr>
            </w:pPr>
          </w:p>
        </w:tc>
        <w:tc>
          <w:tcPr>
            <w:tcW w:w="800" w:type="dxa"/>
            <w:vAlign w:val="bottom"/>
            <w:tcBorders>
              <w:bottom w:val="single" w:sz="8" w:color="99B5CB"/>
            </w:tcBorders>
          </w:tcPr>
          <w:p>
            <w:pPr>
              <w:spacing w:after="0"/>
              <w:rPr>
                <w:sz w:val="2"/>
                <w:szCs w:val="2"/>
                <w:color w:val="auto"/>
              </w:rPr>
            </w:pPr>
          </w:p>
        </w:tc>
        <w:tc>
          <w:tcPr>
            <w:tcW w:w="1680" w:type="dxa"/>
            <w:vAlign w:val="bottom"/>
            <w:tcBorders>
              <w:bottom w:val="single" w:sz="8" w:color="99B5CB"/>
            </w:tcBorders>
          </w:tcPr>
          <w:p>
            <w:pPr>
              <w:spacing w:after="0"/>
              <w:rPr>
                <w:sz w:val="2"/>
                <w:szCs w:val="2"/>
                <w:color w:val="auto"/>
              </w:rPr>
            </w:pPr>
          </w:p>
        </w:tc>
        <w:tc>
          <w:tcPr>
            <w:tcW w:w="940" w:type="dxa"/>
            <w:vAlign w:val="bottom"/>
            <w:tcBorders>
              <w:bottom w:val="single" w:sz="8" w:color="99B5CB"/>
            </w:tcBorders>
          </w:tcPr>
          <w:p>
            <w:pPr>
              <w:spacing w:after="0"/>
              <w:rPr>
                <w:sz w:val="2"/>
                <w:szCs w:val="2"/>
                <w:color w:val="auto"/>
              </w:rPr>
            </w:pPr>
          </w:p>
        </w:tc>
        <w:tc>
          <w:tcPr>
            <w:tcW w:w="1260" w:type="dxa"/>
            <w:vAlign w:val="bottom"/>
            <w:tcBorders>
              <w:bottom w:val="single" w:sz="8" w:color="99B5CB"/>
            </w:tcBorders>
          </w:tcPr>
          <w:p>
            <w:pPr>
              <w:spacing w:after="0"/>
              <w:rPr>
                <w:sz w:val="2"/>
                <w:szCs w:val="2"/>
                <w:color w:val="auto"/>
              </w:rPr>
            </w:pPr>
          </w:p>
        </w:tc>
        <w:tc>
          <w:tcPr>
            <w:tcW w:w="1140" w:type="dxa"/>
            <w:vAlign w:val="bottom"/>
            <w:tcBorders>
              <w:bottom w:val="single" w:sz="8" w:color="99B5CB"/>
            </w:tcBorders>
          </w:tcPr>
          <w:p>
            <w:pPr>
              <w:spacing w:after="0"/>
              <w:rPr>
                <w:sz w:val="2"/>
                <w:szCs w:val="2"/>
                <w:color w:val="auto"/>
              </w:rPr>
            </w:pPr>
          </w:p>
        </w:tc>
        <w:tc>
          <w:tcPr>
            <w:tcW w:w="1480" w:type="dxa"/>
            <w:vAlign w:val="bottom"/>
            <w:tcBorders>
              <w:bottom w:val="single" w:sz="8" w:color="99B5CB"/>
            </w:tcBorders>
          </w:tcPr>
          <w:p>
            <w:pPr>
              <w:spacing w:after="0"/>
              <w:rPr>
                <w:sz w:val="2"/>
                <w:szCs w:val="2"/>
                <w:color w:val="auto"/>
              </w:rPr>
            </w:pPr>
          </w:p>
        </w:tc>
        <w:tc>
          <w:tcPr>
            <w:tcW w:w="1080" w:type="dxa"/>
            <w:vAlign w:val="bottom"/>
            <w:tcBorders>
              <w:bottom w:val="single" w:sz="8" w:color="99B5CB"/>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2160" w:type="dxa"/>
            <w:vAlign w:val="bottom"/>
          </w:tcPr>
          <w:p>
            <w:pPr>
              <w:ind w:left="60"/>
              <w:spacing w:after="0"/>
              <w:rPr>
                <w:sz w:val="20"/>
                <w:szCs w:val="20"/>
                <w:color w:val="auto"/>
              </w:rPr>
            </w:pPr>
            <w:r>
              <w:rPr>
                <w:rFonts w:ascii="Arial" w:cs="Arial" w:eastAsia="Arial" w:hAnsi="Arial"/>
                <w:sz w:val="17"/>
                <w:szCs w:val="17"/>
                <w:color w:val="auto"/>
              </w:rPr>
              <w:t>Constantine S. Mihas</w:t>
            </w:r>
          </w:p>
        </w:tc>
        <w:tc>
          <w:tcPr>
            <w:tcW w:w="800" w:type="dxa"/>
            <w:vAlign w:val="bottom"/>
          </w:tcPr>
          <w:p>
            <w:pPr>
              <w:jc w:val="center"/>
              <w:spacing w:after="0"/>
              <w:rPr>
                <w:sz w:val="20"/>
                <w:szCs w:val="20"/>
                <w:color w:val="auto"/>
              </w:rPr>
            </w:pPr>
            <w:r>
              <w:rPr>
                <w:rFonts w:ascii="Arial" w:cs="Arial" w:eastAsia="Arial" w:hAnsi="Arial"/>
                <w:sz w:val="17"/>
                <w:szCs w:val="17"/>
                <w:color w:val="auto"/>
              </w:rPr>
              <w:t>56</w:t>
            </w:r>
          </w:p>
        </w:tc>
        <w:tc>
          <w:tcPr>
            <w:tcW w:w="1680" w:type="dxa"/>
            <w:vAlign w:val="bottom"/>
          </w:tcPr>
          <w:p>
            <w:pPr>
              <w:jc w:val="center"/>
              <w:spacing w:after="0"/>
              <w:rPr>
                <w:sz w:val="20"/>
                <w:szCs w:val="20"/>
                <w:color w:val="auto"/>
              </w:rPr>
            </w:pPr>
            <w:r>
              <w:rPr>
                <w:rFonts w:ascii="Arial" w:cs="Arial" w:eastAsia="Arial" w:hAnsi="Arial"/>
                <w:sz w:val="17"/>
                <w:szCs w:val="17"/>
                <w:color w:val="auto"/>
              </w:rPr>
              <w:t>Class I — 2024</w:t>
            </w:r>
          </w:p>
        </w:tc>
        <w:tc>
          <w:tcPr>
            <w:tcW w:w="940" w:type="dxa"/>
            <w:vAlign w:val="bottom"/>
          </w:tcPr>
          <w:p>
            <w:pPr>
              <w:jc w:val="center"/>
              <w:spacing w:after="0"/>
              <w:rPr>
                <w:sz w:val="20"/>
                <w:szCs w:val="20"/>
                <w:color w:val="auto"/>
              </w:rPr>
            </w:pPr>
            <w:r>
              <w:rPr>
                <w:rFonts w:ascii="Arial" w:cs="Arial" w:eastAsia="Arial" w:hAnsi="Arial"/>
                <w:sz w:val="17"/>
                <w:szCs w:val="17"/>
                <w:color w:val="auto"/>
              </w:rPr>
              <w:t>2015</w:t>
            </w:r>
          </w:p>
        </w:tc>
        <w:tc>
          <w:tcPr>
            <w:tcW w:w="1260" w:type="dxa"/>
            <w:vAlign w:val="bottom"/>
          </w:tcPr>
          <w:p>
            <w:pPr>
              <w:jc w:val="center"/>
              <w:spacing w:after="0"/>
              <w:rPr>
                <w:sz w:val="20"/>
                <w:szCs w:val="20"/>
                <w:color w:val="auto"/>
              </w:rPr>
            </w:pPr>
            <w:r>
              <w:rPr>
                <w:rFonts w:ascii="Arial" w:cs="Arial" w:eastAsia="Arial" w:hAnsi="Arial"/>
                <w:sz w:val="17"/>
                <w:szCs w:val="17"/>
                <w:color w:val="auto"/>
                <w:w w:val="95"/>
              </w:rPr>
              <w:t>Yes</w:t>
            </w:r>
          </w:p>
        </w:tc>
        <w:tc>
          <w:tcPr>
            <w:tcW w:w="1140" w:type="dxa"/>
            <w:vAlign w:val="bottom"/>
          </w:tcPr>
          <w:p>
            <w:pPr>
              <w:spacing w:after="0"/>
              <w:rPr>
                <w:sz w:val="22"/>
                <w:szCs w:val="22"/>
                <w:color w:val="auto"/>
              </w:rPr>
            </w:pPr>
          </w:p>
        </w:tc>
        <w:tc>
          <w:tcPr>
            <w:tcW w:w="1480" w:type="dxa"/>
            <w:vAlign w:val="bottom"/>
          </w:tcPr>
          <w:p>
            <w:pPr>
              <w:jc w:val="center"/>
              <w:spacing w:after="0" w:line="171" w:lineRule="exact"/>
              <w:rPr>
                <w:sz w:val="20"/>
                <w:szCs w:val="20"/>
                <w:color w:val="auto"/>
              </w:rPr>
            </w:pPr>
            <w:r>
              <w:rPr>
                <w:rFonts w:ascii="MS PGothic" w:cs="MS PGothic" w:eastAsia="MS PGothic" w:hAnsi="MS PGothic"/>
                <w:sz w:val="17"/>
                <w:szCs w:val="17"/>
                <w:color w:val="auto"/>
                <w:w w:val="82"/>
              </w:rPr>
              <w:t>✓</w:t>
            </w: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2160" w:type="dxa"/>
            <w:vAlign w:val="bottom"/>
            <w:tcBorders>
              <w:bottom w:val="single" w:sz="8" w:color="99B5CB"/>
            </w:tcBorders>
          </w:tcPr>
          <w:p>
            <w:pPr>
              <w:spacing w:after="0"/>
              <w:rPr>
                <w:sz w:val="2"/>
                <w:szCs w:val="2"/>
                <w:color w:val="auto"/>
              </w:rPr>
            </w:pPr>
          </w:p>
        </w:tc>
        <w:tc>
          <w:tcPr>
            <w:tcW w:w="800" w:type="dxa"/>
            <w:vAlign w:val="bottom"/>
            <w:tcBorders>
              <w:bottom w:val="single" w:sz="8" w:color="99B5CB"/>
            </w:tcBorders>
          </w:tcPr>
          <w:p>
            <w:pPr>
              <w:spacing w:after="0"/>
              <w:rPr>
                <w:sz w:val="2"/>
                <w:szCs w:val="2"/>
                <w:color w:val="auto"/>
              </w:rPr>
            </w:pPr>
          </w:p>
        </w:tc>
        <w:tc>
          <w:tcPr>
            <w:tcW w:w="1680" w:type="dxa"/>
            <w:vAlign w:val="bottom"/>
            <w:tcBorders>
              <w:bottom w:val="single" w:sz="8" w:color="99B5CB"/>
            </w:tcBorders>
          </w:tcPr>
          <w:p>
            <w:pPr>
              <w:spacing w:after="0"/>
              <w:rPr>
                <w:sz w:val="2"/>
                <w:szCs w:val="2"/>
                <w:color w:val="auto"/>
              </w:rPr>
            </w:pPr>
          </w:p>
        </w:tc>
        <w:tc>
          <w:tcPr>
            <w:tcW w:w="940" w:type="dxa"/>
            <w:vAlign w:val="bottom"/>
            <w:tcBorders>
              <w:bottom w:val="single" w:sz="8" w:color="99B5CB"/>
            </w:tcBorders>
          </w:tcPr>
          <w:p>
            <w:pPr>
              <w:spacing w:after="0"/>
              <w:rPr>
                <w:sz w:val="2"/>
                <w:szCs w:val="2"/>
                <w:color w:val="auto"/>
              </w:rPr>
            </w:pPr>
          </w:p>
        </w:tc>
        <w:tc>
          <w:tcPr>
            <w:tcW w:w="1260" w:type="dxa"/>
            <w:vAlign w:val="bottom"/>
            <w:tcBorders>
              <w:bottom w:val="single" w:sz="8" w:color="99B5CB"/>
            </w:tcBorders>
          </w:tcPr>
          <w:p>
            <w:pPr>
              <w:spacing w:after="0"/>
              <w:rPr>
                <w:sz w:val="2"/>
                <w:szCs w:val="2"/>
                <w:color w:val="auto"/>
              </w:rPr>
            </w:pPr>
          </w:p>
        </w:tc>
        <w:tc>
          <w:tcPr>
            <w:tcW w:w="1140" w:type="dxa"/>
            <w:vAlign w:val="bottom"/>
            <w:tcBorders>
              <w:bottom w:val="single" w:sz="8" w:color="99B5CB"/>
            </w:tcBorders>
          </w:tcPr>
          <w:p>
            <w:pPr>
              <w:spacing w:after="0"/>
              <w:rPr>
                <w:sz w:val="2"/>
                <w:szCs w:val="2"/>
                <w:color w:val="auto"/>
              </w:rPr>
            </w:pPr>
          </w:p>
        </w:tc>
        <w:tc>
          <w:tcPr>
            <w:tcW w:w="1480" w:type="dxa"/>
            <w:vAlign w:val="bottom"/>
            <w:tcBorders>
              <w:bottom w:val="single" w:sz="8" w:color="99B5CB"/>
            </w:tcBorders>
          </w:tcPr>
          <w:p>
            <w:pPr>
              <w:spacing w:after="0"/>
              <w:rPr>
                <w:sz w:val="2"/>
                <w:szCs w:val="2"/>
                <w:color w:val="auto"/>
              </w:rPr>
            </w:pPr>
          </w:p>
        </w:tc>
        <w:tc>
          <w:tcPr>
            <w:tcW w:w="1080" w:type="dxa"/>
            <w:vAlign w:val="bottom"/>
            <w:tcBorders>
              <w:bottom w:val="single" w:sz="8" w:color="99B5CB"/>
            </w:tcBorders>
          </w:tcPr>
          <w:p>
            <w:pPr>
              <w:spacing w:after="0"/>
              <w:rPr>
                <w:sz w:val="2"/>
                <w:szCs w:val="2"/>
                <w:color w:val="auto"/>
              </w:rPr>
            </w:pPr>
          </w:p>
        </w:tc>
        <w:tc>
          <w:tcPr>
            <w:tcW w:w="0" w:type="dxa"/>
            <w:vAlign w:val="bottom"/>
          </w:tcPr>
          <w:p>
            <w:pPr>
              <w:spacing w:after="0"/>
              <w:rPr>
                <w:sz w:val="1"/>
                <w:szCs w:val="1"/>
                <w:color w:val="auto"/>
              </w:rPr>
            </w:pPr>
          </w:p>
        </w:tc>
      </w:tr>
      <w:tr>
        <w:trPr>
          <w:trHeight w:val="241"/>
        </w:trPr>
        <w:tc>
          <w:tcPr>
            <w:tcW w:w="2160" w:type="dxa"/>
            <w:vAlign w:val="bottom"/>
          </w:tcPr>
          <w:p>
            <w:pPr>
              <w:ind w:left="60"/>
              <w:spacing w:after="0"/>
              <w:rPr>
                <w:sz w:val="20"/>
                <w:szCs w:val="20"/>
                <w:color w:val="auto"/>
              </w:rPr>
            </w:pPr>
            <w:r>
              <w:rPr>
                <w:rFonts w:ascii="Arial" w:cs="Arial" w:eastAsia="Arial" w:hAnsi="Arial"/>
                <w:sz w:val="17"/>
                <w:szCs w:val="17"/>
                <w:color w:val="auto"/>
              </w:rPr>
              <w:t>James C. Neary</w:t>
            </w:r>
          </w:p>
        </w:tc>
        <w:tc>
          <w:tcPr>
            <w:tcW w:w="800" w:type="dxa"/>
            <w:vAlign w:val="bottom"/>
          </w:tcPr>
          <w:p>
            <w:pPr>
              <w:jc w:val="center"/>
              <w:spacing w:after="0"/>
              <w:rPr>
                <w:sz w:val="20"/>
                <w:szCs w:val="20"/>
                <w:color w:val="auto"/>
              </w:rPr>
            </w:pPr>
            <w:r>
              <w:rPr>
                <w:rFonts w:ascii="Arial" w:cs="Arial" w:eastAsia="Arial" w:hAnsi="Arial"/>
                <w:sz w:val="17"/>
                <w:szCs w:val="17"/>
                <w:color w:val="auto"/>
              </w:rPr>
              <w:t>58</w:t>
            </w:r>
          </w:p>
        </w:tc>
        <w:tc>
          <w:tcPr>
            <w:tcW w:w="1680" w:type="dxa"/>
            <w:vAlign w:val="bottom"/>
          </w:tcPr>
          <w:p>
            <w:pPr>
              <w:jc w:val="center"/>
              <w:spacing w:after="0"/>
              <w:rPr>
                <w:sz w:val="20"/>
                <w:szCs w:val="20"/>
                <w:color w:val="auto"/>
              </w:rPr>
            </w:pPr>
            <w:r>
              <w:rPr>
                <w:rFonts w:ascii="Arial" w:cs="Arial" w:eastAsia="Arial" w:hAnsi="Arial"/>
                <w:sz w:val="17"/>
                <w:szCs w:val="17"/>
                <w:color w:val="auto"/>
              </w:rPr>
              <w:t>Class I — 2024</w:t>
            </w:r>
          </w:p>
        </w:tc>
        <w:tc>
          <w:tcPr>
            <w:tcW w:w="940" w:type="dxa"/>
            <w:vAlign w:val="bottom"/>
          </w:tcPr>
          <w:p>
            <w:pPr>
              <w:jc w:val="center"/>
              <w:spacing w:after="0"/>
              <w:rPr>
                <w:sz w:val="20"/>
                <w:szCs w:val="20"/>
                <w:color w:val="auto"/>
              </w:rPr>
            </w:pPr>
            <w:r>
              <w:rPr>
                <w:rFonts w:ascii="Arial" w:cs="Arial" w:eastAsia="Arial" w:hAnsi="Arial"/>
                <w:sz w:val="17"/>
                <w:szCs w:val="17"/>
                <w:color w:val="auto"/>
              </w:rPr>
              <w:t>2015</w:t>
            </w:r>
          </w:p>
        </w:tc>
        <w:tc>
          <w:tcPr>
            <w:tcW w:w="1260" w:type="dxa"/>
            <w:vAlign w:val="bottom"/>
          </w:tcPr>
          <w:p>
            <w:pPr>
              <w:jc w:val="center"/>
              <w:spacing w:after="0"/>
              <w:rPr>
                <w:sz w:val="20"/>
                <w:szCs w:val="20"/>
                <w:color w:val="auto"/>
              </w:rPr>
            </w:pPr>
            <w:r>
              <w:rPr>
                <w:rFonts w:ascii="Arial" w:cs="Arial" w:eastAsia="Arial" w:hAnsi="Arial"/>
                <w:sz w:val="17"/>
                <w:szCs w:val="17"/>
                <w:color w:val="auto"/>
                <w:w w:val="95"/>
              </w:rPr>
              <w:t>Yes</w:t>
            </w:r>
          </w:p>
        </w:tc>
        <w:tc>
          <w:tcPr>
            <w:tcW w:w="1140" w:type="dxa"/>
            <w:vAlign w:val="bottom"/>
          </w:tcPr>
          <w:p>
            <w:pPr>
              <w:spacing w:after="0"/>
              <w:rPr>
                <w:sz w:val="20"/>
                <w:szCs w:val="20"/>
                <w:color w:val="auto"/>
              </w:rPr>
            </w:pPr>
          </w:p>
        </w:tc>
        <w:tc>
          <w:tcPr>
            <w:tcW w:w="1480" w:type="dxa"/>
            <w:vAlign w:val="bottom"/>
          </w:tcPr>
          <w:p>
            <w:pPr>
              <w:jc w:val="center"/>
              <w:spacing w:after="0"/>
              <w:rPr>
                <w:sz w:val="20"/>
                <w:szCs w:val="20"/>
                <w:color w:val="auto"/>
              </w:rPr>
            </w:pPr>
            <w:r>
              <w:rPr>
                <w:rFonts w:ascii="Arial" w:cs="Arial" w:eastAsia="Arial" w:hAnsi="Arial"/>
                <w:sz w:val="17"/>
                <w:szCs w:val="17"/>
                <w:color w:val="auto"/>
                <w:w w:val="97"/>
              </w:rPr>
              <w:t>C</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160" w:type="dxa"/>
            <w:vAlign w:val="bottom"/>
            <w:tcBorders>
              <w:bottom w:val="single" w:sz="8" w:color="99B5CB"/>
            </w:tcBorders>
          </w:tcPr>
          <w:p>
            <w:pPr>
              <w:spacing w:after="0"/>
              <w:rPr>
                <w:sz w:val="3"/>
                <w:szCs w:val="3"/>
                <w:color w:val="auto"/>
              </w:rPr>
            </w:pPr>
          </w:p>
        </w:tc>
        <w:tc>
          <w:tcPr>
            <w:tcW w:w="800" w:type="dxa"/>
            <w:vAlign w:val="bottom"/>
            <w:tcBorders>
              <w:bottom w:val="single" w:sz="8" w:color="99B5CB"/>
            </w:tcBorders>
          </w:tcPr>
          <w:p>
            <w:pPr>
              <w:spacing w:after="0"/>
              <w:rPr>
                <w:sz w:val="3"/>
                <w:szCs w:val="3"/>
                <w:color w:val="auto"/>
              </w:rPr>
            </w:pPr>
          </w:p>
        </w:tc>
        <w:tc>
          <w:tcPr>
            <w:tcW w:w="1680" w:type="dxa"/>
            <w:vAlign w:val="bottom"/>
            <w:tcBorders>
              <w:bottom w:val="single" w:sz="8" w:color="99B5CB"/>
            </w:tcBorders>
          </w:tcPr>
          <w:p>
            <w:pPr>
              <w:spacing w:after="0"/>
              <w:rPr>
                <w:sz w:val="3"/>
                <w:szCs w:val="3"/>
                <w:color w:val="auto"/>
              </w:rPr>
            </w:pPr>
          </w:p>
        </w:tc>
        <w:tc>
          <w:tcPr>
            <w:tcW w:w="940" w:type="dxa"/>
            <w:vAlign w:val="bottom"/>
            <w:tcBorders>
              <w:bottom w:val="single" w:sz="8" w:color="99B5CB"/>
            </w:tcBorders>
          </w:tcPr>
          <w:p>
            <w:pPr>
              <w:spacing w:after="0"/>
              <w:rPr>
                <w:sz w:val="3"/>
                <w:szCs w:val="3"/>
                <w:color w:val="auto"/>
              </w:rPr>
            </w:pPr>
          </w:p>
        </w:tc>
        <w:tc>
          <w:tcPr>
            <w:tcW w:w="1260" w:type="dxa"/>
            <w:vAlign w:val="bottom"/>
            <w:tcBorders>
              <w:bottom w:val="single" w:sz="8" w:color="99B5CB"/>
            </w:tcBorders>
          </w:tcPr>
          <w:p>
            <w:pPr>
              <w:spacing w:after="0"/>
              <w:rPr>
                <w:sz w:val="3"/>
                <w:szCs w:val="3"/>
                <w:color w:val="auto"/>
              </w:rPr>
            </w:pPr>
          </w:p>
        </w:tc>
        <w:tc>
          <w:tcPr>
            <w:tcW w:w="1140" w:type="dxa"/>
            <w:vAlign w:val="bottom"/>
            <w:tcBorders>
              <w:bottom w:val="single" w:sz="8" w:color="99B5CB"/>
            </w:tcBorders>
          </w:tcPr>
          <w:p>
            <w:pPr>
              <w:spacing w:after="0"/>
              <w:rPr>
                <w:sz w:val="3"/>
                <w:szCs w:val="3"/>
                <w:color w:val="auto"/>
              </w:rPr>
            </w:pPr>
          </w:p>
        </w:tc>
        <w:tc>
          <w:tcPr>
            <w:tcW w:w="1480" w:type="dxa"/>
            <w:vAlign w:val="bottom"/>
            <w:tcBorders>
              <w:bottom w:val="single" w:sz="8" w:color="99B5CB"/>
            </w:tcBorders>
          </w:tcPr>
          <w:p>
            <w:pPr>
              <w:spacing w:after="0"/>
              <w:rPr>
                <w:sz w:val="3"/>
                <w:szCs w:val="3"/>
                <w:color w:val="auto"/>
              </w:rPr>
            </w:pPr>
          </w:p>
        </w:tc>
        <w:tc>
          <w:tcPr>
            <w:tcW w:w="1080" w:type="dxa"/>
            <w:vAlign w:val="bottom"/>
            <w:tcBorders>
              <w:bottom w:val="single" w:sz="8" w:color="99B5CB"/>
            </w:tcBorders>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160" w:type="dxa"/>
            <w:vAlign w:val="bottom"/>
          </w:tcPr>
          <w:p>
            <w:pPr>
              <w:ind w:left="60"/>
              <w:spacing w:after="0"/>
              <w:rPr>
                <w:sz w:val="20"/>
                <w:szCs w:val="20"/>
                <w:color w:val="auto"/>
              </w:rPr>
            </w:pPr>
            <w:r>
              <w:rPr>
                <w:rFonts w:ascii="Arial" w:cs="Arial" w:eastAsia="Arial" w:hAnsi="Arial"/>
                <w:sz w:val="17"/>
                <w:szCs w:val="17"/>
                <w:color w:val="auto"/>
              </w:rPr>
              <w:t>Michael B. Petras, Jr.</w:t>
            </w:r>
          </w:p>
        </w:tc>
        <w:tc>
          <w:tcPr>
            <w:tcW w:w="800" w:type="dxa"/>
            <w:vAlign w:val="bottom"/>
            <w:vMerge w:val="restart"/>
          </w:tcPr>
          <w:p>
            <w:pPr>
              <w:jc w:val="center"/>
              <w:spacing w:after="0"/>
              <w:rPr>
                <w:sz w:val="20"/>
                <w:szCs w:val="20"/>
                <w:color w:val="auto"/>
              </w:rPr>
            </w:pPr>
            <w:r>
              <w:rPr>
                <w:rFonts w:ascii="Arial" w:cs="Arial" w:eastAsia="Arial" w:hAnsi="Arial"/>
                <w:sz w:val="17"/>
                <w:szCs w:val="17"/>
                <w:color w:val="auto"/>
              </w:rPr>
              <w:t>55</w:t>
            </w:r>
          </w:p>
        </w:tc>
        <w:tc>
          <w:tcPr>
            <w:tcW w:w="1680" w:type="dxa"/>
            <w:vAlign w:val="bottom"/>
            <w:vMerge w:val="restart"/>
          </w:tcPr>
          <w:p>
            <w:pPr>
              <w:jc w:val="center"/>
              <w:spacing w:after="0"/>
              <w:rPr>
                <w:sz w:val="20"/>
                <w:szCs w:val="20"/>
                <w:color w:val="auto"/>
              </w:rPr>
            </w:pPr>
            <w:r>
              <w:rPr>
                <w:rFonts w:ascii="Arial" w:cs="Arial" w:eastAsia="Arial" w:hAnsi="Arial"/>
                <w:sz w:val="17"/>
                <w:szCs w:val="17"/>
                <w:color w:val="auto"/>
              </w:rPr>
              <w:t>Class I — 2024</w:t>
            </w:r>
          </w:p>
        </w:tc>
        <w:tc>
          <w:tcPr>
            <w:tcW w:w="940" w:type="dxa"/>
            <w:vAlign w:val="bottom"/>
            <w:vMerge w:val="restart"/>
          </w:tcPr>
          <w:p>
            <w:pPr>
              <w:jc w:val="center"/>
              <w:spacing w:after="0"/>
              <w:rPr>
                <w:sz w:val="20"/>
                <w:szCs w:val="20"/>
                <w:color w:val="auto"/>
              </w:rPr>
            </w:pPr>
            <w:r>
              <w:rPr>
                <w:rFonts w:ascii="Arial" w:cs="Arial" w:eastAsia="Arial" w:hAnsi="Arial"/>
                <w:sz w:val="17"/>
                <w:szCs w:val="17"/>
                <w:color w:val="auto"/>
              </w:rPr>
              <w:t>2016</w:t>
            </w:r>
          </w:p>
        </w:tc>
        <w:tc>
          <w:tcPr>
            <w:tcW w:w="1260" w:type="dxa"/>
            <w:vAlign w:val="bottom"/>
            <w:vMerge w:val="restart"/>
          </w:tcPr>
          <w:p>
            <w:pPr>
              <w:jc w:val="center"/>
              <w:spacing w:after="0"/>
              <w:rPr>
                <w:sz w:val="20"/>
                <w:szCs w:val="20"/>
                <w:color w:val="auto"/>
              </w:rPr>
            </w:pPr>
            <w:r>
              <w:rPr>
                <w:rFonts w:ascii="Arial" w:cs="Arial" w:eastAsia="Arial" w:hAnsi="Arial"/>
                <w:sz w:val="17"/>
                <w:szCs w:val="17"/>
                <w:color w:val="auto"/>
              </w:rPr>
              <w:t>No</w:t>
            </w:r>
          </w:p>
        </w:tc>
        <w:tc>
          <w:tcPr>
            <w:tcW w:w="11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160" w:type="dxa"/>
            <w:vAlign w:val="bottom"/>
            <w:vMerge w:val="restart"/>
          </w:tcPr>
          <w:p>
            <w:pPr>
              <w:ind w:left="160"/>
              <w:spacing w:after="0"/>
              <w:rPr>
                <w:sz w:val="20"/>
                <w:szCs w:val="20"/>
                <w:color w:val="auto"/>
              </w:rPr>
            </w:pPr>
            <w:r>
              <w:rPr>
                <w:rFonts w:ascii="Arial" w:cs="Arial" w:eastAsia="Arial" w:hAnsi="Arial"/>
                <w:sz w:val="17"/>
                <w:szCs w:val="17"/>
                <w:i w:val="1"/>
                <w:iCs w:val="1"/>
                <w:color w:val="auto"/>
              </w:rPr>
              <w:t>Chairman and CEO</w:t>
            </w:r>
          </w:p>
        </w:tc>
        <w:tc>
          <w:tcPr>
            <w:tcW w:w="800" w:type="dxa"/>
            <w:vAlign w:val="bottom"/>
            <w:vMerge w:val="continue"/>
          </w:tcPr>
          <w:p>
            <w:pPr>
              <w:spacing w:after="0"/>
              <w:rPr>
                <w:sz w:val="9"/>
                <w:szCs w:val="9"/>
                <w:color w:val="auto"/>
              </w:rPr>
            </w:pPr>
          </w:p>
        </w:tc>
        <w:tc>
          <w:tcPr>
            <w:tcW w:w="168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126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14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6"/>
        </w:trPr>
        <w:tc>
          <w:tcPr>
            <w:tcW w:w="2160" w:type="dxa"/>
            <w:vAlign w:val="bottom"/>
            <w:vMerge w:val="continue"/>
          </w:tcPr>
          <w:p>
            <w:pPr>
              <w:spacing w:after="0"/>
              <w:rPr>
                <w:sz w:val="10"/>
                <w:szCs w:val="10"/>
                <w:color w:val="auto"/>
              </w:rPr>
            </w:pPr>
          </w:p>
        </w:tc>
        <w:tc>
          <w:tcPr>
            <w:tcW w:w="80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9"/>
        </w:trPr>
        <w:tc>
          <w:tcPr>
            <w:tcW w:w="2160" w:type="dxa"/>
            <w:vAlign w:val="bottom"/>
            <w:tcBorders>
              <w:bottom w:val="single" w:sz="8" w:color="99B5CB"/>
            </w:tcBorders>
          </w:tcPr>
          <w:p>
            <w:pPr>
              <w:spacing w:after="0"/>
              <w:rPr>
                <w:sz w:val="4"/>
                <w:szCs w:val="4"/>
                <w:color w:val="auto"/>
              </w:rPr>
            </w:pPr>
          </w:p>
        </w:tc>
        <w:tc>
          <w:tcPr>
            <w:tcW w:w="800" w:type="dxa"/>
            <w:vAlign w:val="bottom"/>
            <w:tcBorders>
              <w:bottom w:val="single" w:sz="8" w:color="99B5CB"/>
            </w:tcBorders>
          </w:tcPr>
          <w:p>
            <w:pPr>
              <w:spacing w:after="0"/>
              <w:rPr>
                <w:sz w:val="4"/>
                <w:szCs w:val="4"/>
                <w:color w:val="auto"/>
              </w:rPr>
            </w:pPr>
          </w:p>
        </w:tc>
        <w:tc>
          <w:tcPr>
            <w:tcW w:w="1680" w:type="dxa"/>
            <w:vAlign w:val="bottom"/>
            <w:tcBorders>
              <w:bottom w:val="single" w:sz="8" w:color="99B5CB"/>
            </w:tcBorders>
          </w:tcPr>
          <w:p>
            <w:pPr>
              <w:spacing w:after="0"/>
              <w:rPr>
                <w:sz w:val="4"/>
                <w:szCs w:val="4"/>
                <w:color w:val="auto"/>
              </w:rPr>
            </w:pPr>
          </w:p>
        </w:tc>
        <w:tc>
          <w:tcPr>
            <w:tcW w:w="940" w:type="dxa"/>
            <w:vAlign w:val="bottom"/>
            <w:tcBorders>
              <w:bottom w:val="single" w:sz="8" w:color="99B5CB"/>
            </w:tcBorders>
          </w:tcPr>
          <w:p>
            <w:pPr>
              <w:spacing w:after="0"/>
              <w:rPr>
                <w:sz w:val="4"/>
                <w:szCs w:val="4"/>
                <w:color w:val="auto"/>
              </w:rPr>
            </w:pPr>
          </w:p>
        </w:tc>
        <w:tc>
          <w:tcPr>
            <w:tcW w:w="1260" w:type="dxa"/>
            <w:vAlign w:val="bottom"/>
            <w:tcBorders>
              <w:bottom w:val="single" w:sz="8" w:color="99B5CB"/>
            </w:tcBorders>
          </w:tcPr>
          <w:p>
            <w:pPr>
              <w:spacing w:after="0"/>
              <w:rPr>
                <w:sz w:val="4"/>
                <w:szCs w:val="4"/>
                <w:color w:val="auto"/>
              </w:rPr>
            </w:pPr>
          </w:p>
        </w:tc>
        <w:tc>
          <w:tcPr>
            <w:tcW w:w="1140" w:type="dxa"/>
            <w:vAlign w:val="bottom"/>
            <w:tcBorders>
              <w:bottom w:val="single" w:sz="8" w:color="99B5CB"/>
            </w:tcBorders>
          </w:tcPr>
          <w:p>
            <w:pPr>
              <w:spacing w:after="0"/>
              <w:rPr>
                <w:sz w:val="4"/>
                <w:szCs w:val="4"/>
                <w:color w:val="auto"/>
              </w:rPr>
            </w:pPr>
          </w:p>
        </w:tc>
        <w:tc>
          <w:tcPr>
            <w:tcW w:w="1480" w:type="dxa"/>
            <w:vAlign w:val="bottom"/>
            <w:tcBorders>
              <w:bottom w:val="single" w:sz="8" w:color="99B5CB"/>
            </w:tcBorders>
          </w:tcPr>
          <w:p>
            <w:pPr>
              <w:spacing w:after="0"/>
              <w:rPr>
                <w:sz w:val="4"/>
                <w:szCs w:val="4"/>
                <w:color w:val="auto"/>
              </w:rPr>
            </w:pPr>
          </w:p>
        </w:tc>
        <w:tc>
          <w:tcPr>
            <w:tcW w:w="1080" w:type="dxa"/>
            <w:vAlign w:val="bottom"/>
            <w:tcBorders>
              <w:bottom w:val="single" w:sz="8" w:color="99B5CB"/>
            </w:tcBorders>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2160" w:type="dxa"/>
            <w:vAlign w:val="bottom"/>
          </w:tcPr>
          <w:p>
            <w:pPr>
              <w:ind w:left="60"/>
              <w:spacing w:after="0"/>
              <w:rPr>
                <w:sz w:val="20"/>
                <w:szCs w:val="20"/>
                <w:color w:val="auto"/>
              </w:rPr>
            </w:pPr>
            <w:r>
              <w:rPr>
                <w:rFonts w:ascii="Arial" w:cs="Arial" w:eastAsia="Arial" w:hAnsi="Arial"/>
                <w:sz w:val="17"/>
                <w:szCs w:val="17"/>
                <w:color w:val="auto"/>
              </w:rPr>
              <w:t>David E. Wheadon</w:t>
            </w:r>
          </w:p>
        </w:tc>
        <w:tc>
          <w:tcPr>
            <w:tcW w:w="800" w:type="dxa"/>
            <w:vAlign w:val="bottom"/>
          </w:tcPr>
          <w:p>
            <w:pPr>
              <w:jc w:val="center"/>
              <w:spacing w:after="0"/>
              <w:rPr>
                <w:sz w:val="20"/>
                <w:szCs w:val="20"/>
                <w:color w:val="auto"/>
              </w:rPr>
            </w:pPr>
            <w:r>
              <w:rPr>
                <w:rFonts w:ascii="Arial" w:cs="Arial" w:eastAsia="Arial" w:hAnsi="Arial"/>
                <w:sz w:val="17"/>
                <w:szCs w:val="17"/>
                <w:color w:val="auto"/>
              </w:rPr>
              <w:t>65</w:t>
            </w:r>
          </w:p>
        </w:tc>
        <w:tc>
          <w:tcPr>
            <w:tcW w:w="1680" w:type="dxa"/>
            <w:vAlign w:val="bottom"/>
          </w:tcPr>
          <w:p>
            <w:pPr>
              <w:jc w:val="center"/>
              <w:spacing w:after="0"/>
              <w:rPr>
                <w:sz w:val="20"/>
                <w:szCs w:val="20"/>
                <w:color w:val="auto"/>
              </w:rPr>
            </w:pPr>
            <w:r>
              <w:rPr>
                <w:rFonts w:ascii="Arial" w:cs="Arial" w:eastAsia="Arial" w:hAnsi="Arial"/>
                <w:sz w:val="17"/>
                <w:szCs w:val="17"/>
                <w:color w:val="auto"/>
              </w:rPr>
              <w:t>Class I — 2024</w:t>
            </w:r>
          </w:p>
        </w:tc>
        <w:tc>
          <w:tcPr>
            <w:tcW w:w="940" w:type="dxa"/>
            <w:vAlign w:val="bottom"/>
          </w:tcPr>
          <w:p>
            <w:pPr>
              <w:jc w:val="center"/>
              <w:spacing w:after="0"/>
              <w:rPr>
                <w:sz w:val="20"/>
                <w:szCs w:val="20"/>
                <w:color w:val="auto"/>
              </w:rPr>
            </w:pPr>
            <w:r>
              <w:rPr>
                <w:rFonts w:ascii="Arial" w:cs="Arial" w:eastAsia="Arial" w:hAnsi="Arial"/>
                <w:sz w:val="17"/>
                <w:szCs w:val="17"/>
                <w:color w:val="auto"/>
              </w:rPr>
              <w:t>2021</w:t>
            </w:r>
          </w:p>
        </w:tc>
        <w:tc>
          <w:tcPr>
            <w:tcW w:w="1260" w:type="dxa"/>
            <w:vAlign w:val="bottom"/>
          </w:tcPr>
          <w:p>
            <w:pPr>
              <w:jc w:val="center"/>
              <w:spacing w:after="0"/>
              <w:rPr>
                <w:sz w:val="20"/>
                <w:szCs w:val="20"/>
                <w:color w:val="auto"/>
              </w:rPr>
            </w:pPr>
            <w:r>
              <w:rPr>
                <w:rFonts w:ascii="Arial" w:cs="Arial" w:eastAsia="Arial" w:hAnsi="Arial"/>
                <w:sz w:val="17"/>
                <w:szCs w:val="17"/>
                <w:color w:val="auto"/>
                <w:w w:val="95"/>
              </w:rPr>
              <w:t>Yes</w:t>
            </w:r>
          </w:p>
        </w:tc>
        <w:tc>
          <w:tcPr>
            <w:tcW w:w="1140" w:type="dxa"/>
            <w:vAlign w:val="bottom"/>
          </w:tcPr>
          <w:p>
            <w:pPr>
              <w:jc w:val="center"/>
              <w:spacing w:after="0" w:line="171" w:lineRule="exact"/>
              <w:rPr>
                <w:sz w:val="20"/>
                <w:szCs w:val="20"/>
                <w:color w:val="auto"/>
              </w:rPr>
            </w:pPr>
            <w:r>
              <w:rPr>
                <w:rFonts w:ascii="MS PGothic" w:cs="MS PGothic" w:eastAsia="MS PGothic" w:hAnsi="MS PGothic"/>
                <w:sz w:val="17"/>
                <w:szCs w:val="17"/>
                <w:color w:val="auto"/>
                <w:w w:val="82"/>
              </w:rPr>
              <w:t>✓</w:t>
            </w:r>
          </w:p>
        </w:tc>
        <w:tc>
          <w:tcPr>
            <w:tcW w:w="1480" w:type="dxa"/>
            <w:vAlign w:val="bottom"/>
          </w:tcPr>
          <w:p>
            <w:pPr>
              <w:spacing w:after="0"/>
              <w:rPr>
                <w:sz w:val="22"/>
                <w:szCs w:val="22"/>
                <w:color w:val="auto"/>
              </w:rPr>
            </w:pPr>
          </w:p>
        </w:tc>
        <w:tc>
          <w:tcPr>
            <w:tcW w:w="1080" w:type="dxa"/>
            <w:vAlign w:val="bottom"/>
          </w:tcPr>
          <w:p>
            <w:pPr>
              <w:jc w:val="center"/>
              <w:ind w:left="81"/>
              <w:spacing w:after="0" w:line="171" w:lineRule="exact"/>
              <w:rPr>
                <w:sz w:val="20"/>
                <w:szCs w:val="20"/>
                <w:color w:val="auto"/>
              </w:rPr>
            </w:pPr>
            <w:r>
              <w:rPr>
                <w:rFonts w:ascii="MS PGothic" w:cs="MS PGothic" w:eastAsia="MS PGothic" w:hAnsi="MS PGothic"/>
                <w:sz w:val="17"/>
                <w:szCs w:val="17"/>
                <w:color w:val="auto"/>
                <w:w w:val="93"/>
              </w:rPr>
              <w:t>✓</w:t>
            </w:r>
          </w:p>
        </w:tc>
        <w:tc>
          <w:tcPr>
            <w:tcW w:w="0" w:type="dxa"/>
            <w:vAlign w:val="bottom"/>
          </w:tcPr>
          <w:p>
            <w:pPr>
              <w:spacing w:after="0"/>
              <w:rPr>
                <w:sz w:val="1"/>
                <w:szCs w:val="1"/>
                <w:color w:val="auto"/>
              </w:rPr>
            </w:pPr>
          </w:p>
        </w:tc>
      </w:tr>
      <w:tr>
        <w:trPr>
          <w:trHeight w:val="27"/>
        </w:trPr>
        <w:tc>
          <w:tcPr>
            <w:tcW w:w="2160" w:type="dxa"/>
            <w:vAlign w:val="bottom"/>
            <w:tcBorders>
              <w:bottom w:val="single" w:sz="8" w:color="99B5CB"/>
            </w:tcBorders>
          </w:tcPr>
          <w:p>
            <w:pPr>
              <w:spacing w:after="0"/>
              <w:rPr>
                <w:sz w:val="2"/>
                <w:szCs w:val="2"/>
                <w:color w:val="auto"/>
              </w:rPr>
            </w:pPr>
          </w:p>
        </w:tc>
        <w:tc>
          <w:tcPr>
            <w:tcW w:w="800" w:type="dxa"/>
            <w:vAlign w:val="bottom"/>
            <w:tcBorders>
              <w:bottom w:val="single" w:sz="8" w:color="99B5CB"/>
            </w:tcBorders>
          </w:tcPr>
          <w:p>
            <w:pPr>
              <w:spacing w:after="0"/>
              <w:rPr>
                <w:sz w:val="2"/>
                <w:szCs w:val="2"/>
                <w:color w:val="auto"/>
              </w:rPr>
            </w:pPr>
          </w:p>
        </w:tc>
        <w:tc>
          <w:tcPr>
            <w:tcW w:w="1680" w:type="dxa"/>
            <w:vAlign w:val="bottom"/>
            <w:tcBorders>
              <w:bottom w:val="single" w:sz="8" w:color="99B5CB"/>
            </w:tcBorders>
          </w:tcPr>
          <w:p>
            <w:pPr>
              <w:spacing w:after="0"/>
              <w:rPr>
                <w:sz w:val="2"/>
                <w:szCs w:val="2"/>
                <w:color w:val="auto"/>
              </w:rPr>
            </w:pPr>
          </w:p>
        </w:tc>
        <w:tc>
          <w:tcPr>
            <w:tcW w:w="940" w:type="dxa"/>
            <w:vAlign w:val="bottom"/>
            <w:tcBorders>
              <w:bottom w:val="single" w:sz="8" w:color="99B5CB"/>
            </w:tcBorders>
          </w:tcPr>
          <w:p>
            <w:pPr>
              <w:spacing w:after="0"/>
              <w:rPr>
                <w:sz w:val="2"/>
                <w:szCs w:val="2"/>
                <w:color w:val="auto"/>
              </w:rPr>
            </w:pPr>
          </w:p>
        </w:tc>
        <w:tc>
          <w:tcPr>
            <w:tcW w:w="1260" w:type="dxa"/>
            <w:vAlign w:val="bottom"/>
            <w:tcBorders>
              <w:bottom w:val="single" w:sz="8" w:color="99B5CB"/>
            </w:tcBorders>
          </w:tcPr>
          <w:p>
            <w:pPr>
              <w:spacing w:after="0"/>
              <w:rPr>
                <w:sz w:val="2"/>
                <w:szCs w:val="2"/>
                <w:color w:val="auto"/>
              </w:rPr>
            </w:pPr>
          </w:p>
        </w:tc>
        <w:tc>
          <w:tcPr>
            <w:tcW w:w="1140" w:type="dxa"/>
            <w:vAlign w:val="bottom"/>
            <w:tcBorders>
              <w:bottom w:val="single" w:sz="8" w:color="99B5CB"/>
            </w:tcBorders>
          </w:tcPr>
          <w:p>
            <w:pPr>
              <w:spacing w:after="0"/>
              <w:rPr>
                <w:sz w:val="2"/>
                <w:szCs w:val="2"/>
                <w:color w:val="auto"/>
              </w:rPr>
            </w:pPr>
          </w:p>
        </w:tc>
        <w:tc>
          <w:tcPr>
            <w:tcW w:w="1480" w:type="dxa"/>
            <w:vAlign w:val="bottom"/>
            <w:tcBorders>
              <w:bottom w:val="single" w:sz="8" w:color="99B5CB"/>
            </w:tcBorders>
          </w:tcPr>
          <w:p>
            <w:pPr>
              <w:spacing w:after="0"/>
              <w:rPr>
                <w:sz w:val="2"/>
                <w:szCs w:val="2"/>
                <w:color w:val="auto"/>
              </w:rPr>
            </w:pPr>
          </w:p>
        </w:tc>
        <w:tc>
          <w:tcPr>
            <w:tcW w:w="1080" w:type="dxa"/>
            <w:vAlign w:val="bottom"/>
            <w:tcBorders>
              <w:bottom w:val="single" w:sz="8" w:color="99B5CB"/>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2160" w:type="dxa"/>
            <w:vAlign w:val="bottom"/>
          </w:tcPr>
          <w:p>
            <w:pPr>
              <w:ind w:left="60"/>
              <w:spacing w:after="0"/>
              <w:rPr>
                <w:sz w:val="20"/>
                <w:szCs w:val="20"/>
                <w:color w:val="auto"/>
              </w:rPr>
            </w:pPr>
            <w:r>
              <w:rPr>
                <w:rFonts w:ascii="Arial" w:cs="Arial" w:eastAsia="Arial" w:hAnsi="Arial"/>
                <w:sz w:val="17"/>
                <w:szCs w:val="17"/>
                <w:color w:val="auto"/>
              </w:rPr>
              <w:t>Ruoxi Chen</w:t>
            </w:r>
          </w:p>
        </w:tc>
        <w:tc>
          <w:tcPr>
            <w:tcW w:w="800" w:type="dxa"/>
            <w:vAlign w:val="bottom"/>
          </w:tcPr>
          <w:p>
            <w:pPr>
              <w:jc w:val="center"/>
              <w:spacing w:after="0"/>
              <w:rPr>
                <w:sz w:val="20"/>
                <w:szCs w:val="20"/>
                <w:color w:val="auto"/>
              </w:rPr>
            </w:pPr>
            <w:r>
              <w:rPr>
                <w:rFonts w:ascii="Arial" w:cs="Arial" w:eastAsia="Arial" w:hAnsi="Arial"/>
                <w:sz w:val="17"/>
                <w:szCs w:val="17"/>
                <w:color w:val="auto"/>
              </w:rPr>
              <w:t>39</w:t>
            </w:r>
          </w:p>
        </w:tc>
        <w:tc>
          <w:tcPr>
            <w:tcW w:w="1680" w:type="dxa"/>
            <w:vAlign w:val="bottom"/>
          </w:tcPr>
          <w:p>
            <w:pPr>
              <w:jc w:val="center"/>
              <w:spacing w:after="0"/>
              <w:rPr>
                <w:sz w:val="20"/>
                <w:szCs w:val="20"/>
                <w:color w:val="auto"/>
              </w:rPr>
            </w:pPr>
            <w:r>
              <w:rPr>
                <w:rFonts w:ascii="Arial" w:cs="Arial" w:eastAsia="Arial" w:hAnsi="Arial"/>
                <w:sz w:val="17"/>
                <w:szCs w:val="17"/>
                <w:color w:val="auto"/>
              </w:rPr>
              <w:t>Class II — 2025</w:t>
            </w:r>
          </w:p>
        </w:tc>
        <w:tc>
          <w:tcPr>
            <w:tcW w:w="940" w:type="dxa"/>
            <w:vAlign w:val="bottom"/>
          </w:tcPr>
          <w:p>
            <w:pPr>
              <w:jc w:val="center"/>
              <w:spacing w:after="0"/>
              <w:rPr>
                <w:sz w:val="20"/>
                <w:szCs w:val="20"/>
                <w:color w:val="auto"/>
              </w:rPr>
            </w:pPr>
            <w:r>
              <w:rPr>
                <w:rFonts w:ascii="Arial" w:cs="Arial" w:eastAsia="Arial" w:hAnsi="Arial"/>
                <w:sz w:val="17"/>
                <w:szCs w:val="17"/>
                <w:color w:val="auto"/>
              </w:rPr>
              <w:t>2020</w:t>
            </w:r>
          </w:p>
        </w:tc>
        <w:tc>
          <w:tcPr>
            <w:tcW w:w="1260" w:type="dxa"/>
            <w:vAlign w:val="bottom"/>
          </w:tcPr>
          <w:p>
            <w:pPr>
              <w:jc w:val="center"/>
              <w:spacing w:after="0"/>
              <w:rPr>
                <w:sz w:val="20"/>
                <w:szCs w:val="20"/>
                <w:color w:val="auto"/>
              </w:rPr>
            </w:pPr>
            <w:r>
              <w:rPr>
                <w:rFonts w:ascii="Arial" w:cs="Arial" w:eastAsia="Arial" w:hAnsi="Arial"/>
                <w:sz w:val="17"/>
                <w:szCs w:val="17"/>
                <w:color w:val="auto"/>
                <w:w w:val="95"/>
              </w:rPr>
              <w:t>Yes</w:t>
            </w:r>
          </w:p>
        </w:tc>
        <w:tc>
          <w:tcPr>
            <w:tcW w:w="11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080" w:type="dxa"/>
            <w:vAlign w:val="bottom"/>
          </w:tcPr>
          <w:p>
            <w:pPr>
              <w:jc w:val="center"/>
              <w:ind w:left="81"/>
              <w:spacing w:after="0" w:line="171" w:lineRule="exact"/>
              <w:rPr>
                <w:sz w:val="20"/>
                <w:szCs w:val="20"/>
                <w:color w:val="auto"/>
              </w:rPr>
            </w:pPr>
            <w:r>
              <w:rPr>
                <w:rFonts w:ascii="MS PGothic" w:cs="MS PGothic" w:eastAsia="MS PGothic" w:hAnsi="MS PGothic"/>
                <w:sz w:val="17"/>
                <w:szCs w:val="17"/>
                <w:color w:val="auto"/>
                <w:w w:val="93"/>
              </w:rPr>
              <w:t>✓</w:t>
            </w:r>
          </w:p>
        </w:tc>
        <w:tc>
          <w:tcPr>
            <w:tcW w:w="0" w:type="dxa"/>
            <w:vAlign w:val="bottom"/>
          </w:tcPr>
          <w:p>
            <w:pPr>
              <w:spacing w:after="0"/>
              <w:rPr>
                <w:sz w:val="1"/>
                <w:szCs w:val="1"/>
                <w:color w:val="auto"/>
              </w:rPr>
            </w:pPr>
          </w:p>
        </w:tc>
      </w:tr>
      <w:tr>
        <w:trPr>
          <w:trHeight w:val="27"/>
        </w:trPr>
        <w:tc>
          <w:tcPr>
            <w:tcW w:w="2160" w:type="dxa"/>
            <w:vAlign w:val="bottom"/>
            <w:tcBorders>
              <w:bottom w:val="single" w:sz="8" w:color="99B5CB"/>
            </w:tcBorders>
          </w:tcPr>
          <w:p>
            <w:pPr>
              <w:spacing w:after="0"/>
              <w:rPr>
                <w:sz w:val="2"/>
                <w:szCs w:val="2"/>
                <w:color w:val="auto"/>
              </w:rPr>
            </w:pPr>
          </w:p>
        </w:tc>
        <w:tc>
          <w:tcPr>
            <w:tcW w:w="800" w:type="dxa"/>
            <w:vAlign w:val="bottom"/>
            <w:tcBorders>
              <w:bottom w:val="single" w:sz="8" w:color="99B5CB"/>
            </w:tcBorders>
          </w:tcPr>
          <w:p>
            <w:pPr>
              <w:spacing w:after="0"/>
              <w:rPr>
                <w:sz w:val="2"/>
                <w:szCs w:val="2"/>
                <w:color w:val="auto"/>
              </w:rPr>
            </w:pPr>
          </w:p>
        </w:tc>
        <w:tc>
          <w:tcPr>
            <w:tcW w:w="1680" w:type="dxa"/>
            <w:vAlign w:val="bottom"/>
            <w:tcBorders>
              <w:bottom w:val="single" w:sz="8" w:color="99B5CB"/>
            </w:tcBorders>
          </w:tcPr>
          <w:p>
            <w:pPr>
              <w:spacing w:after="0"/>
              <w:rPr>
                <w:sz w:val="2"/>
                <w:szCs w:val="2"/>
                <w:color w:val="auto"/>
              </w:rPr>
            </w:pPr>
          </w:p>
        </w:tc>
        <w:tc>
          <w:tcPr>
            <w:tcW w:w="940" w:type="dxa"/>
            <w:vAlign w:val="bottom"/>
            <w:tcBorders>
              <w:bottom w:val="single" w:sz="8" w:color="99B5CB"/>
            </w:tcBorders>
          </w:tcPr>
          <w:p>
            <w:pPr>
              <w:spacing w:after="0"/>
              <w:rPr>
                <w:sz w:val="2"/>
                <w:szCs w:val="2"/>
                <w:color w:val="auto"/>
              </w:rPr>
            </w:pPr>
          </w:p>
        </w:tc>
        <w:tc>
          <w:tcPr>
            <w:tcW w:w="1260" w:type="dxa"/>
            <w:vAlign w:val="bottom"/>
            <w:tcBorders>
              <w:bottom w:val="single" w:sz="8" w:color="99B5CB"/>
            </w:tcBorders>
          </w:tcPr>
          <w:p>
            <w:pPr>
              <w:spacing w:after="0"/>
              <w:rPr>
                <w:sz w:val="2"/>
                <w:szCs w:val="2"/>
                <w:color w:val="auto"/>
              </w:rPr>
            </w:pPr>
          </w:p>
        </w:tc>
        <w:tc>
          <w:tcPr>
            <w:tcW w:w="1140" w:type="dxa"/>
            <w:vAlign w:val="bottom"/>
            <w:tcBorders>
              <w:bottom w:val="single" w:sz="8" w:color="99B5CB"/>
            </w:tcBorders>
          </w:tcPr>
          <w:p>
            <w:pPr>
              <w:spacing w:after="0"/>
              <w:rPr>
                <w:sz w:val="2"/>
                <w:szCs w:val="2"/>
                <w:color w:val="auto"/>
              </w:rPr>
            </w:pPr>
          </w:p>
        </w:tc>
        <w:tc>
          <w:tcPr>
            <w:tcW w:w="1480" w:type="dxa"/>
            <w:vAlign w:val="bottom"/>
            <w:tcBorders>
              <w:bottom w:val="single" w:sz="8" w:color="99B5CB"/>
            </w:tcBorders>
          </w:tcPr>
          <w:p>
            <w:pPr>
              <w:spacing w:after="0"/>
              <w:rPr>
                <w:sz w:val="2"/>
                <w:szCs w:val="2"/>
                <w:color w:val="auto"/>
              </w:rPr>
            </w:pPr>
          </w:p>
        </w:tc>
        <w:tc>
          <w:tcPr>
            <w:tcW w:w="1080" w:type="dxa"/>
            <w:vAlign w:val="bottom"/>
            <w:tcBorders>
              <w:bottom w:val="single" w:sz="8" w:color="99B5CB"/>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2160" w:type="dxa"/>
            <w:vAlign w:val="bottom"/>
          </w:tcPr>
          <w:p>
            <w:pPr>
              <w:ind w:left="60"/>
              <w:spacing w:after="0"/>
              <w:rPr>
                <w:sz w:val="20"/>
                <w:szCs w:val="20"/>
                <w:color w:val="auto"/>
              </w:rPr>
            </w:pPr>
            <w:r>
              <w:rPr>
                <w:rFonts w:ascii="Arial" w:cs="Arial" w:eastAsia="Arial" w:hAnsi="Arial"/>
                <w:sz w:val="17"/>
                <w:szCs w:val="17"/>
                <w:color w:val="auto"/>
              </w:rPr>
              <w:t>David A. Donnini</w:t>
            </w:r>
          </w:p>
        </w:tc>
        <w:tc>
          <w:tcPr>
            <w:tcW w:w="800" w:type="dxa"/>
            <w:vAlign w:val="bottom"/>
          </w:tcPr>
          <w:p>
            <w:pPr>
              <w:jc w:val="center"/>
              <w:spacing w:after="0"/>
              <w:rPr>
                <w:sz w:val="20"/>
                <w:szCs w:val="20"/>
                <w:color w:val="auto"/>
              </w:rPr>
            </w:pPr>
            <w:r>
              <w:rPr>
                <w:rFonts w:ascii="Arial" w:cs="Arial" w:eastAsia="Arial" w:hAnsi="Arial"/>
                <w:sz w:val="17"/>
                <w:szCs w:val="17"/>
                <w:color w:val="auto"/>
              </w:rPr>
              <w:t>57</w:t>
            </w:r>
          </w:p>
        </w:tc>
        <w:tc>
          <w:tcPr>
            <w:tcW w:w="1680" w:type="dxa"/>
            <w:vAlign w:val="bottom"/>
          </w:tcPr>
          <w:p>
            <w:pPr>
              <w:jc w:val="center"/>
              <w:spacing w:after="0"/>
              <w:rPr>
                <w:sz w:val="20"/>
                <w:szCs w:val="20"/>
                <w:color w:val="auto"/>
              </w:rPr>
            </w:pPr>
            <w:r>
              <w:rPr>
                <w:rFonts w:ascii="Arial" w:cs="Arial" w:eastAsia="Arial" w:hAnsi="Arial"/>
                <w:sz w:val="17"/>
                <w:szCs w:val="17"/>
                <w:color w:val="auto"/>
              </w:rPr>
              <w:t>Class II — 2025</w:t>
            </w:r>
          </w:p>
        </w:tc>
        <w:tc>
          <w:tcPr>
            <w:tcW w:w="940" w:type="dxa"/>
            <w:vAlign w:val="bottom"/>
          </w:tcPr>
          <w:p>
            <w:pPr>
              <w:jc w:val="center"/>
              <w:spacing w:after="0"/>
              <w:rPr>
                <w:sz w:val="20"/>
                <w:szCs w:val="20"/>
                <w:color w:val="auto"/>
              </w:rPr>
            </w:pPr>
            <w:r>
              <w:rPr>
                <w:rFonts w:ascii="Arial" w:cs="Arial" w:eastAsia="Arial" w:hAnsi="Arial"/>
                <w:sz w:val="17"/>
                <w:szCs w:val="17"/>
                <w:color w:val="auto"/>
              </w:rPr>
              <w:t>2015</w:t>
            </w:r>
          </w:p>
        </w:tc>
        <w:tc>
          <w:tcPr>
            <w:tcW w:w="1260" w:type="dxa"/>
            <w:vAlign w:val="bottom"/>
          </w:tcPr>
          <w:p>
            <w:pPr>
              <w:jc w:val="center"/>
              <w:spacing w:after="0"/>
              <w:rPr>
                <w:sz w:val="20"/>
                <w:szCs w:val="20"/>
                <w:color w:val="auto"/>
              </w:rPr>
            </w:pPr>
            <w:r>
              <w:rPr>
                <w:rFonts w:ascii="Arial" w:cs="Arial" w:eastAsia="Arial" w:hAnsi="Arial"/>
                <w:sz w:val="17"/>
                <w:szCs w:val="17"/>
                <w:color w:val="auto"/>
                <w:w w:val="95"/>
              </w:rPr>
              <w:t>Yes</w:t>
            </w:r>
          </w:p>
        </w:tc>
        <w:tc>
          <w:tcPr>
            <w:tcW w:w="11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080" w:type="dxa"/>
            <w:vAlign w:val="bottom"/>
          </w:tcPr>
          <w:p>
            <w:pPr>
              <w:jc w:val="center"/>
              <w:ind w:left="81"/>
              <w:spacing w:after="0" w:line="171" w:lineRule="exact"/>
              <w:rPr>
                <w:sz w:val="20"/>
                <w:szCs w:val="20"/>
                <w:color w:val="auto"/>
              </w:rPr>
            </w:pPr>
            <w:r>
              <w:rPr>
                <w:rFonts w:ascii="MS PGothic" w:cs="MS PGothic" w:eastAsia="MS PGothic" w:hAnsi="MS PGothic"/>
                <w:sz w:val="17"/>
                <w:szCs w:val="17"/>
                <w:color w:val="auto"/>
                <w:w w:val="93"/>
              </w:rPr>
              <w:t>✓</w:t>
            </w:r>
          </w:p>
        </w:tc>
        <w:tc>
          <w:tcPr>
            <w:tcW w:w="0" w:type="dxa"/>
            <w:vAlign w:val="bottom"/>
          </w:tcPr>
          <w:p>
            <w:pPr>
              <w:spacing w:after="0"/>
              <w:rPr>
                <w:sz w:val="1"/>
                <w:szCs w:val="1"/>
                <w:color w:val="auto"/>
              </w:rPr>
            </w:pPr>
          </w:p>
        </w:tc>
      </w:tr>
      <w:tr>
        <w:trPr>
          <w:trHeight w:val="27"/>
        </w:trPr>
        <w:tc>
          <w:tcPr>
            <w:tcW w:w="2160" w:type="dxa"/>
            <w:vAlign w:val="bottom"/>
            <w:tcBorders>
              <w:bottom w:val="single" w:sz="8" w:color="99B5CB"/>
            </w:tcBorders>
          </w:tcPr>
          <w:p>
            <w:pPr>
              <w:spacing w:after="0"/>
              <w:rPr>
                <w:sz w:val="2"/>
                <w:szCs w:val="2"/>
                <w:color w:val="auto"/>
              </w:rPr>
            </w:pPr>
          </w:p>
        </w:tc>
        <w:tc>
          <w:tcPr>
            <w:tcW w:w="800" w:type="dxa"/>
            <w:vAlign w:val="bottom"/>
            <w:tcBorders>
              <w:bottom w:val="single" w:sz="8" w:color="99B5CB"/>
            </w:tcBorders>
          </w:tcPr>
          <w:p>
            <w:pPr>
              <w:spacing w:after="0"/>
              <w:rPr>
                <w:sz w:val="2"/>
                <w:szCs w:val="2"/>
                <w:color w:val="auto"/>
              </w:rPr>
            </w:pPr>
          </w:p>
        </w:tc>
        <w:tc>
          <w:tcPr>
            <w:tcW w:w="1680" w:type="dxa"/>
            <w:vAlign w:val="bottom"/>
            <w:tcBorders>
              <w:bottom w:val="single" w:sz="8" w:color="99B5CB"/>
            </w:tcBorders>
          </w:tcPr>
          <w:p>
            <w:pPr>
              <w:spacing w:after="0"/>
              <w:rPr>
                <w:sz w:val="2"/>
                <w:szCs w:val="2"/>
                <w:color w:val="auto"/>
              </w:rPr>
            </w:pPr>
          </w:p>
        </w:tc>
        <w:tc>
          <w:tcPr>
            <w:tcW w:w="940" w:type="dxa"/>
            <w:vAlign w:val="bottom"/>
            <w:tcBorders>
              <w:bottom w:val="single" w:sz="8" w:color="99B5CB"/>
            </w:tcBorders>
          </w:tcPr>
          <w:p>
            <w:pPr>
              <w:spacing w:after="0"/>
              <w:rPr>
                <w:sz w:val="2"/>
                <w:szCs w:val="2"/>
                <w:color w:val="auto"/>
              </w:rPr>
            </w:pPr>
          </w:p>
        </w:tc>
        <w:tc>
          <w:tcPr>
            <w:tcW w:w="1260" w:type="dxa"/>
            <w:vAlign w:val="bottom"/>
            <w:tcBorders>
              <w:bottom w:val="single" w:sz="8" w:color="99B5CB"/>
            </w:tcBorders>
          </w:tcPr>
          <w:p>
            <w:pPr>
              <w:spacing w:after="0"/>
              <w:rPr>
                <w:sz w:val="2"/>
                <w:szCs w:val="2"/>
                <w:color w:val="auto"/>
              </w:rPr>
            </w:pPr>
          </w:p>
        </w:tc>
        <w:tc>
          <w:tcPr>
            <w:tcW w:w="1140" w:type="dxa"/>
            <w:vAlign w:val="bottom"/>
            <w:tcBorders>
              <w:bottom w:val="single" w:sz="8" w:color="99B5CB"/>
            </w:tcBorders>
          </w:tcPr>
          <w:p>
            <w:pPr>
              <w:spacing w:after="0"/>
              <w:rPr>
                <w:sz w:val="2"/>
                <w:szCs w:val="2"/>
                <w:color w:val="auto"/>
              </w:rPr>
            </w:pPr>
          </w:p>
        </w:tc>
        <w:tc>
          <w:tcPr>
            <w:tcW w:w="1480" w:type="dxa"/>
            <w:vAlign w:val="bottom"/>
            <w:tcBorders>
              <w:bottom w:val="single" w:sz="8" w:color="99B5CB"/>
            </w:tcBorders>
          </w:tcPr>
          <w:p>
            <w:pPr>
              <w:spacing w:after="0"/>
              <w:rPr>
                <w:sz w:val="2"/>
                <w:szCs w:val="2"/>
                <w:color w:val="auto"/>
              </w:rPr>
            </w:pPr>
          </w:p>
        </w:tc>
        <w:tc>
          <w:tcPr>
            <w:tcW w:w="1080" w:type="dxa"/>
            <w:vAlign w:val="bottom"/>
            <w:tcBorders>
              <w:bottom w:val="single" w:sz="8" w:color="99B5CB"/>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2160" w:type="dxa"/>
            <w:vAlign w:val="bottom"/>
          </w:tcPr>
          <w:p>
            <w:pPr>
              <w:ind w:left="60"/>
              <w:spacing w:after="0"/>
              <w:rPr>
                <w:sz w:val="20"/>
                <w:szCs w:val="20"/>
                <w:color w:val="auto"/>
              </w:rPr>
            </w:pPr>
            <w:r>
              <w:rPr>
                <w:rFonts w:ascii="Arial" w:cs="Arial" w:eastAsia="Arial" w:hAnsi="Arial"/>
                <w:sz w:val="17"/>
                <w:szCs w:val="17"/>
                <w:color w:val="auto"/>
              </w:rPr>
              <w:t>Ann R. Klee</w:t>
            </w:r>
          </w:p>
        </w:tc>
        <w:tc>
          <w:tcPr>
            <w:tcW w:w="800" w:type="dxa"/>
            <w:vAlign w:val="bottom"/>
          </w:tcPr>
          <w:p>
            <w:pPr>
              <w:jc w:val="center"/>
              <w:spacing w:after="0"/>
              <w:rPr>
                <w:sz w:val="20"/>
                <w:szCs w:val="20"/>
                <w:color w:val="auto"/>
              </w:rPr>
            </w:pPr>
            <w:r>
              <w:rPr>
                <w:rFonts w:ascii="Arial" w:cs="Arial" w:eastAsia="Arial" w:hAnsi="Arial"/>
                <w:sz w:val="17"/>
                <w:szCs w:val="17"/>
                <w:color w:val="auto"/>
              </w:rPr>
              <w:t>61</w:t>
            </w:r>
          </w:p>
        </w:tc>
        <w:tc>
          <w:tcPr>
            <w:tcW w:w="1680" w:type="dxa"/>
            <w:vAlign w:val="bottom"/>
          </w:tcPr>
          <w:p>
            <w:pPr>
              <w:jc w:val="center"/>
              <w:spacing w:after="0"/>
              <w:rPr>
                <w:sz w:val="20"/>
                <w:szCs w:val="20"/>
                <w:color w:val="auto"/>
              </w:rPr>
            </w:pPr>
            <w:r>
              <w:rPr>
                <w:rFonts w:ascii="Arial" w:cs="Arial" w:eastAsia="Arial" w:hAnsi="Arial"/>
                <w:sz w:val="17"/>
                <w:szCs w:val="17"/>
                <w:color w:val="auto"/>
              </w:rPr>
              <w:t>Class II — 2025</w:t>
            </w:r>
          </w:p>
        </w:tc>
        <w:tc>
          <w:tcPr>
            <w:tcW w:w="940" w:type="dxa"/>
            <w:vAlign w:val="bottom"/>
          </w:tcPr>
          <w:p>
            <w:pPr>
              <w:jc w:val="center"/>
              <w:spacing w:after="0"/>
              <w:rPr>
                <w:sz w:val="20"/>
                <w:szCs w:val="20"/>
                <w:color w:val="auto"/>
              </w:rPr>
            </w:pPr>
            <w:r>
              <w:rPr>
                <w:rFonts w:ascii="Arial" w:cs="Arial" w:eastAsia="Arial" w:hAnsi="Arial"/>
                <w:sz w:val="17"/>
                <w:szCs w:val="17"/>
                <w:color w:val="auto"/>
              </w:rPr>
              <w:t>2020</w:t>
            </w:r>
          </w:p>
        </w:tc>
        <w:tc>
          <w:tcPr>
            <w:tcW w:w="1260" w:type="dxa"/>
            <w:vAlign w:val="bottom"/>
          </w:tcPr>
          <w:p>
            <w:pPr>
              <w:jc w:val="center"/>
              <w:spacing w:after="0"/>
              <w:rPr>
                <w:sz w:val="20"/>
                <w:szCs w:val="20"/>
                <w:color w:val="auto"/>
              </w:rPr>
            </w:pPr>
            <w:r>
              <w:rPr>
                <w:rFonts w:ascii="Arial" w:cs="Arial" w:eastAsia="Arial" w:hAnsi="Arial"/>
                <w:sz w:val="17"/>
                <w:szCs w:val="17"/>
                <w:color w:val="auto"/>
                <w:w w:val="95"/>
              </w:rPr>
              <w:t>Yes</w:t>
            </w:r>
          </w:p>
        </w:tc>
        <w:tc>
          <w:tcPr>
            <w:tcW w:w="1140" w:type="dxa"/>
            <w:vAlign w:val="bottom"/>
          </w:tcPr>
          <w:p>
            <w:pPr>
              <w:jc w:val="center"/>
              <w:spacing w:after="0" w:line="171" w:lineRule="exact"/>
              <w:rPr>
                <w:sz w:val="20"/>
                <w:szCs w:val="20"/>
                <w:color w:val="auto"/>
              </w:rPr>
            </w:pPr>
            <w:r>
              <w:rPr>
                <w:rFonts w:ascii="MS PGothic" w:cs="MS PGothic" w:eastAsia="MS PGothic" w:hAnsi="MS PGothic"/>
                <w:sz w:val="17"/>
                <w:szCs w:val="17"/>
                <w:color w:val="auto"/>
                <w:w w:val="82"/>
              </w:rPr>
              <w:t>✓</w:t>
            </w:r>
          </w:p>
        </w:tc>
        <w:tc>
          <w:tcPr>
            <w:tcW w:w="1480" w:type="dxa"/>
            <w:vAlign w:val="bottom"/>
          </w:tcPr>
          <w:p>
            <w:pPr>
              <w:spacing w:after="0"/>
              <w:rPr>
                <w:sz w:val="22"/>
                <w:szCs w:val="22"/>
                <w:color w:val="auto"/>
              </w:rPr>
            </w:pPr>
          </w:p>
        </w:tc>
        <w:tc>
          <w:tcPr>
            <w:tcW w:w="1080" w:type="dxa"/>
            <w:vAlign w:val="bottom"/>
          </w:tcPr>
          <w:p>
            <w:pPr>
              <w:jc w:val="center"/>
              <w:ind w:left="81"/>
              <w:spacing w:after="0"/>
              <w:rPr>
                <w:sz w:val="20"/>
                <w:szCs w:val="20"/>
                <w:color w:val="auto"/>
              </w:rPr>
            </w:pPr>
            <w:r>
              <w:rPr>
                <w:rFonts w:ascii="Arial" w:cs="Arial" w:eastAsia="Arial" w:hAnsi="Arial"/>
                <w:sz w:val="17"/>
                <w:szCs w:val="17"/>
                <w:color w:val="auto"/>
                <w:w w:val="97"/>
              </w:rPr>
              <w:t>C</w:t>
            </w:r>
          </w:p>
        </w:tc>
        <w:tc>
          <w:tcPr>
            <w:tcW w:w="0" w:type="dxa"/>
            <w:vAlign w:val="bottom"/>
          </w:tcPr>
          <w:p>
            <w:pPr>
              <w:spacing w:after="0"/>
              <w:rPr>
                <w:sz w:val="1"/>
                <w:szCs w:val="1"/>
                <w:color w:val="auto"/>
              </w:rPr>
            </w:pPr>
          </w:p>
        </w:tc>
      </w:tr>
      <w:tr>
        <w:trPr>
          <w:trHeight w:val="27"/>
        </w:trPr>
        <w:tc>
          <w:tcPr>
            <w:tcW w:w="7980" w:type="dxa"/>
            <w:vAlign w:val="bottom"/>
            <w:tcBorders>
              <w:bottom w:val="single" w:sz="8" w:color="00467D"/>
            </w:tcBorders>
            <w:gridSpan w:val="6"/>
          </w:tcPr>
          <w:p>
            <w:pPr>
              <w:spacing w:after="0"/>
              <w:rPr>
                <w:sz w:val="2"/>
                <w:szCs w:val="2"/>
                <w:color w:val="auto"/>
              </w:rPr>
            </w:pPr>
          </w:p>
        </w:tc>
        <w:tc>
          <w:tcPr>
            <w:tcW w:w="1480" w:type="dxa"/>
            <w:vAlign w:val="bottom"/>
            <w:tcBorders>
              <w:bottom w:val="single" w:sz="8" w:color="00467D"/>
            </w:tcBorders>
          </w:tcPr>
          <w:p>
            <w:pPr>
              <w:spacing w:after="0"/>
              <w:rPr>
                <w:sz w:val="2"/>
                <w:szCs w:val="2"/>
                <w:color w:val="auto"/>
              </w:rPr>
            </w:pPr>
          </w:p>
        </w:tc>
        <w:tc>
          <w:tcPr>
            <w:tcW w:w="1080" w:type="dxa"/>
            <w:vAlign w:val="bottom"/>
            <w:tcBorders>
              <w:bottom w:val="single" w:sz="8" w:color="00467D"/>
            </w:tcBorders>
          </w:tcPr>
          <w:p>
            <w:pPr>
              <w:spacing w:after="0"/>
              <w:rPr>
                <w:sz w:val="2"/>
                <w:szCs w:val="2"/>
                <w:color w:val="auto"/>
              </w:rPr>
            </w:pPr>
          </w:p>
        </w:tc>
        <w:tc>
          <w:tcPr>
            <w:tcW w:w="0" w:type="dxa"/>
            <w:vAlign w:val="bottom"/>
          </w:tcPr>
          <w:p>
            <w:pPr>
              <w:spacing w:after="0"/>
              <w:rPr>
                <w:sz w:val="1"/>
                <w:szCs w:val="1"/>
                <w:color w:val="auto"/>
              </w:rPr>
            </w:pPr>
          </w:p>
        </w:tc>
      </w:tr>
      <w:tr>
        <w:trPr>
          <w:trHeight w:val="229"/>
        </w:trPr>
        <w:tc>
          <w:tcPr>
            <w:tcW w:w="7980" w:type="dxa"/>
            <w:vAlign w:val="bottom"/>
            <w:gridSpan w:val="6"/>
          </w:tcPr>
          <w:p>
            <w:pPr>
              <w:spacing w:after="0"/>
              <w:rPr>
                <w:sz w:val="20"/>
                <w:szCs w:val="20"/>
                <w:color w:val="auto"/>
              </w:rPr>
            </w:pPr>
            <w:r>
              <w:rPr>
                <w:rFonts w:ascii="Arial" w:cs="Arial" w:eastAsia="Arial" w:hAnsi="Arial"/>
                <w:sz w:val="14"/>
                <w:szCs w:val="14"/>
                <w:color w:val="auto"/>
              </w:rPr>
              <w:t>1.    Year in which director began service as a Company director or a member of Topco Parent’s Board of Managers.</w:t>
            </w:r>
          </w:p>
        </w:tc>
        <w:tc>
          <w:tcPr>
            <w:tcW w:w="1480" w:type="dxa"/>
            <w:vAlign w:val="bottom"/>
          </w:tcPr>
          <w:p>
            <w:pPr>
              <w:spacing w:after="0"/>
              <w:rPr>
                <w:sz w:val="19"/>
                <w:szCs w:val="19"/>
                <w:color w:val="auto"/>
              </w:rPr>
            </w:pPr>
          </w:p>
        </w:tc>
        <w:tc>
          <w:tcPr>
            <w:tcW w:w="1080" w:type="dxa"/>
            <w:vAlign w:val="bottom"/>
          </w:tcPr>
          <w:p>
            <w:pPr>
              <w:jc w:val="right"/>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b w:val="1"/>
                <w:bCs w:val="1"/>
                <w:color w:val="auto"/>
              </w:rPr>
              <w:t xml:space="preserve"> Member</w:t>
            </w:r>
          </w:p>
        </w:tc>
        <w:tc>
          <w:tcPr>
            <w:tcW w:w="0" w:type="dxa"/>
            <w:vAlign w:val="bottom"/>
          </w:tcPr>
          <w:p>
            <w:pPr>
              <w:spacing w:after="0"/>
              <w:rPr>
                <w:sz w:val="1"/>
                <w:szCs w:val="1"/>
                <w:color w:val="auto"/>
              </w:rPr>
            </w:pPr>
          </w:p>
        </w:tc>
      </w:tr>
      <w:tr>
        <w:trPr>
          <w:trHeight w:val="155"/>
        </w:trPr>
        <w:tc>
          <w:tcPr>
            <w:tcW w:w="2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08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C Committee</w:t>
            </w:r>
          </w:p>
        </w:tc>
        <w:tc>
          <w:tcPr>
            <w:tcW w:w="0" w:type="dxa"/>
            <w:vAlign w:val="bottom"/>
          </w:tcPr>
          <w:p>
            <w:pPr>
              <w:spacing w:after="0"/>
              <w:rPr>
                <w:sz w:val="1"/>
                <w:szCs w:val="1"/>
                <w:color w:val="auto"/>
              </w:rPr>
            </w:pPr>
          </w:p>
        </w:tc>
      </w:tr>
      <w:tr>
        <w:trPr>
          <w:trHeight w:val="189"/>
        </w:trPr>
        <w:tc>
          <w:tcPr>
            <w:tcW w:w="2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Chair</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231775</wp:posOffset>
            </wp:positionH>
            <wp:positionV relativeFrom="paragraph">
              <wp:posOffset>99695</wp:posOffset>
            </wp:positionV>
            <wp:extent cx="6687820" cy="165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687820" cy="16510"/>
                    </a:xfrm>
                    <a:prstGeom prst="rect">
                      <a:avLst/>
                    </a:prstGeom>
                    <a:noFill/>
                  </pic:spPr>
                </pic:pic>
              </a:graphicData>
            </a:graphic>
          </wp:anchor>
        </w:drawing>
      </w:r>
    </w:p>
    <w:p>
      <w:pPr>
        <w:sectPr>
          <w:pgSz w:w="11900" w:h="16838" w:orient="portrait"/>
          <w:cols w:equalWidth="0" w:num="1">
            <w:col w:w="10900"/>
          </w:cols>
          <w:pgMar w:left="320" w:top="468" w:right="679" w:bottom="1440" w:gutter="0" w:footer="0" w:header="0"/>
        </w:sectPr>
      </w:pPr>
    </w:p>
    <w:p>
      <w:pPr>
        <w:spacing w:after="0" w:line="346" w:lineRule="exact"/>
        <w:rPr>
          <w:sz w:val="20"/>
          <w:szCs w:val="20"/>
          <w:color w:val="auto"/>
        </w:rPr>
      </w:pPr>
    </w:p>
    <w:p>
      <w:pPr>
        <w:ind w:left="360"/>
        <w:spacing w:after="0"/>
        <w:tabs>
          <w:tab w:leader="none" w:pos="5620" w:val="left"/>
        </w:tabs>
        <w:rPr>
          <w:sz w:val="20"/>
          <w:szCs w:val="20"/>
          <w:color w:val="auto"/>
        </w:rPr>
      </w:pPr>
      <w:r>
        <w:rPr>
          <w:rFonts w:ascii="Arial" w:cs="Arial" w:eastAsia="Arial" w:hAnsi="Arial"/>
          <w:sz w:val="17"/>
          <w:szCs w:val="17"/>
          <w:color w:val="auto"/>
        </w:rPr>
        <w:t>2023 Notice and Proxy Statement</w:t>
      </w:r>
      <w:r>
        <w:rPr>
          <w:sz w:val="20"/>
          <w:szCs w:val="20"/>
          <w:color w:val="auto"/>
        </w:rPr>
        <w:tab/>
      </w:r>
      <w:r>
        <w:rPr>
          <w:rFonts w:ascii="Arial" w:cs="Arial" w:eastAsia="Arial" w:hAnsi="Arial"/>
          <w:sz w:val="17"/>
          <w:szCs w:val="17"/>
          <w:color w:val="auto"/>
        </w:rPr>
        <w:t>6</w:t>
      </w:r>
    </w:p>
    <w:p>
      <w:pPr>
        <w:sectPr>
          <w:pgSz w:w="11900" w:h="16838" w:orient="portrait"/>
          <w:cols w:equalWidth="0" w:num="1">
            <w:col w:w="10900"/>
          </w:cols>
          <w:pgMar w:left="320" w:top="468" w:right="67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5397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9945" cy="53975"/>
                    </a:xfrm>
                    <a:prstGeom prst="rect">
                      <a:avLst/>
                    </a:prstGeom>
                    <a:noFill/>
                  </pic:spPr>
                </pic:pic>
              </a:graphicData>
            </a:graphic>
          </wp:anchor>
        </w:drawing>
        <w:t>Table of Contents</w:t>
      </w:r>
    </w:p>
    <w:p>
      <w:pPr>
        <w:spacing w:after="0" w:line="296" w:lineRule="exact"/>
        <w:rPr>
          <w:sz w:val="20"/>
          <w:szCs w:val="20"/>
          <w:color w:val="auto"/>
        </w:rPr>
      </w:pPr>
    </w:p>
    <w:p>
      <w:pPr>
        <w:ind w:left="5200"/>
        <w:spacing w:after="0"/>
        <w:rPr>
          <w:sz w:val="20"/>
          <w:szCs w:val="20"/>
          <w:color w:val="auto"/>
        </w:rPr>
      </w:pPr>
      <w:r>
        <w:rPr>
          <w:rFonts w:ascii="Arial" w:cs="Arial" w:eastAsia="Arial" w:hAnsi="Arial"/>
          <w:sz w:val="17"/>
          <w:szCs w:val="17"/>
          <w:b w:val="1"/>
          <w:bCs w:val="1"/>
          <w:color w:val="auto"/>
        </w:rPr>
        <w:t>Board Composition, Nominations Process and Director Qualifications</w:t>
      </w:r>
    </w:p>
    <w:p>
      <w:pPr>
        <w:spacing w:after="0" w:line="21" w:lineRule="exact"/>
        <w:rPr>
          <w:sz w:val="20"/>
          <w:szCs w:val="20"/>
          <w:color w:val="auto"/>
        </w:rPr>
      </w:pPr>
    </w:p>
    <w:p>
      <w:pPr>
        <w:ind w:left="8320"/>
        <w:spacing w:after="0"/>
        <w:rPr>
          <w:sz w:val="20"/>
          <w:szCs w:val="20"/>
          <w:color w:val="auto"/>
        </w:rPr>
      </w:pPr>
      <w:r>
        <w:rPr>
          <w:rFonts w:ascii="Arial" w:cs="Arial" w:eastAsia="Arial" w:hAnsi="Arial"/>
          <w:sz w:val="13"/>
          <w:szCs w:val="13"/>
          <w:b w:val="1"/>
          <w:bCs w:val="1"/>
          <w:color w:val="auto"/>
        </w:rPr>
        <w:t>Board Skills, Experience and Attributes</w:t>
      </w:r>
    </w:p>
    <w:p>
      <w:pPr>
        <w:spacing w:after="0" w:line="116" w:lineRule="exact"/>
        <w:rPr>
          <w:sz w:val="20"/>
          <w:szCs w:val="20"/>
          <w:color w:val="auto"/>
        </w:rPr>
      </w:pPr>
    </w:p>
    <w:p>
      <w:pPr>
        <w:ind w:left="360"/>
        <w:spacing w:after="0"/>
        <w:rPr>
          <w:sz w:val="20"/>
          <w:szCs w:val="20"/>
          <w:color w:val="auto"/>
        </w:rPr>
      </w:pPr>
      <w:r>
        <w:rPr>
          <w:rFonts w:ascii="Arial" w:cs="Arial" w:eastAsia="Arial" w:hAnsi="Arial"/>
          <w:sz w:val="31"/>
          <w:szCs w:val="31"/>
          <w:color w:val="00B0DB"/>
        </w:rPr>
        <w:t>Board Skills, Experience and Attributes</w:t>
      </w:r>
    </w:p>
    <w:p>
      <w:pPr>
        <w:spacing w:after="0" w:line="221" w:lineRule="exact"/>
        <w:rPr>
          <w:sz w:val="20"/>
          <w:szCs w:val="20"/>
          <w:color w:val="auto"/>
        </w:rPr>
      </w:pPr>
    </w:p>
    <w:p>
      <w:pPr>
        <w:ind w:left="360" w:right="180"/>
        <w:spacing w:after="0" w:line="246" w:lineRule="auto"/>
        <w:rPr>
          <w:sz w:val="20"/>
          <w:szCs w:val="20"/>
          <w:color w:val="auto"/>
        </w:rPr>
      </w:pPr>
      <w:r>
        <w:rPr>
          <w:rFonts w:ascii="Arial" w:cs="Arial" w:eastAsia="Arial" w:hAnsi="Arial"/>
          <w:sz w:val="17"/>
          <w:szCs w:val="17"/>
          <w:color w:val="auto"/>
        </w:rPr>
        <w:t>Our Board is comprised of a group of individuals with diverse skills, experience and attributes, which provides us with a wide range of perspectives and judgment necessary to guide our strategies, monitor their execution, and advance the interests of our shareholders. As described in further detail in “Director Nominee Criteria and Process,” our Governance Committee regularly evaluates the composition of our Board. The table below summarizes several of the key characteristics of each of our directors relevant to their Board service. The table is intended as a high-level summary and not an exhaustive list of each director’s skills or contributions to our Board.</w:t>
      </w:r>
    </w:p>
    <w:p>
      <w:pPr>
        <w:spacing w:after="0" w:line="180" w:lineRule="exact"/>
        <w:rPr>
          <w:sz w:val="20"/>
          <w:szCs w:val="20"/>
          <w:color w:val="auto"/>
        </w:rPr>
      </w:pPr>
    </w:p>
    <w:tbl>
      <w:tblPr>
        <w:tblLayout w:type="fixed"/>
        <w:tblInd w:w="360" w:type="dxa"/>
        <w:tblCellMar>
          <w:top w:w="0" w:type="dxa"/>
          <w:left w:w="0" w:type="dxa"/>
          <w:bottom w:w="0" w:type="dxa"/>
          <w:right w:w="0" w:type="dxa"/>
        </w:tblCellMar>
      </w:tblPr>
      <w:tr>
        <w:trPr>
          <w:trHeight w:val="172"/>
        </w:trPr>
        <w:tc>
          <w:tcPr>
            <w:tcW w:w="288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5"/>
                <w:szCs w:val="15"/>
                <w:b w:val="1"/>
                <w:bCs w:val="1"/>
                <w:color w:val="00467D"/>
                <w:w w:val="97"/>
              </w:rPr>
              <w:t>Service on</w:t>
            </w:r>
          </w:p>
        </w:tc>
        <w:tc>
          <w:tcPr>
            <w:tcW w:w="0" w:type="dxa"/>
            <w:vAlign w:val="bottom"/>
          </w:tcPr>
          <w:p>
            <w:pPr>
              <w:spacing w:after="0"/>
              <w:rPr>
                <w:sz w:val="1"/>
                <w:szCs w:val="1"/>
                <w:color w:val="auto"/>
              </w:rPr>
            </w:pPr>
          </w:p>
        </w:tc>
      </w:tr>
      <w:tr>
        <w:trPr>
          <w:trHeight w:val="155"/>
        </w:trPr>
        <w:tc>
          <w:tcPr>
            <w:tcW w:w="2880" w:type="dxa"/>
            <w:vAlign w:val="bottom"/>
            <w:vMerge w:val="restart"/>
          </w:tcPr>
          <w:p>
            <w:pPr>
              <w:ind w:left="2040"/>
              <w:spacing w:after="0"/>
              <w:rPr>
                <w:sz w:val="20"/>
                <w:szCs w:val="20"/>
                <w:color w:val="auto"/>
              </w:rPr>
            </w:pPr>
            <w:r>
              <w:rPr>
                <w:rFonts w:ascii="Arial" w:cs="Arial" w:eastAsia="Arial" w:hAnsi="Arial"/>
                <w:sz w:val="15"/>
                <w:szCs w:val="15"/>
                <w:b w:val="1"/>
                <w:bCs w:val="1"/>
                <w:color w:val="00467D"/>
              </w:rPr>
              <w:t>Healthcare/</w:t>
            </w:r>
          </w:p>
        </w:tc>
        <w:tc>
          <w:tcPr>
            <w:tcW w:w="2600" w:type="dxa"/>
            <w:vAlign w:val="bottom"/>
            <w:vMerge w:val="restart"/>
          </w:tcPr>
          <w:p>
            <w:pPr>
              <w:ind w:left="1940"/>
              <w:spacing w:after="0"/>
              <w:rPr>
                <w:sz w:val="20"/>
                <w:szCs w:val="20"/>
                <w:color w:val="auto"/>
              </w:rPr>
            </w:pPr>
            <w:r>
              <w:rPr>
                <w:rFonts w:ascii="Arial" w:cs="Arial" w:eastAsia="Arial" w:hAnsi="Arial"/>
                <w:sz w:val="15"/>
                <w:szCs w:val="15"/>
                <w:b w:val="1"/>
                <w:bCs w:val="1"/>
                <w:color w:val="00467D"/>
              </w:rPr>
              <w:t>Legal/</w:t>
            </w:r>
          </w:p>
        </w:tc>
        <w:tc>
          <w:tcPr>
            <w:tcW w:w="980" w:type="dxa"/>
            <w:vAlign w:val="bottom"/>
            <w:vMerge w:val="restart"/>
          </w:tcPr>
          <w:p>
            <w:pPr>
              <w:jc w:val="center"/>
              <w:spacing w:after="0"/>
              <w:rPr>
                <w:sz w:val="20"/>
                <w:szCs w:val="20"/>
                <w:color w:val="auto"/>
              </w:rPr>
            </w:pPr>
            <w:r>
              <w:rPr>
                <w:rFonts w:ascii="Arial" w:cs="Arial" w:eastAsia="Arial" w:hAnsi="Arial"/>
                <w:sz w:val="15"/>
                <w:szCs w:val="15"/>
                <w:b w:val="1"/>
                <w:bCs w:val="1"/>
                <w:color w:val="00467D"/>
                <w:w w:val="97"/>
              </w:rPr>
              <w:t>Technology</w:t>
            </w:r>
          </w:p>
        </w:tc>
        <w:tc>
          <w:tcPr>
            <w:tcW w:w="3120" w:type="dxa"/>
            <w:vAlign w:val="bottom"/>
            <w:vMerge w:val="restart"/>
          </w:tcPr>
          <w:p>
            <w:pPr>
              <w:ind w:left="740"/>
              <w:spacing w:after="0"/>
              <w:rPr>
                <w:sz w:val="20"/>
                <w:szCs w:val="20"/>
                <w:color w:val="auto"/>
              </w:rPr>
            </w:pPr>
            <w:r>
              <w:rPr>
                <w:rFonts w:ascii="Arial" w:cs="Arial" w:eastAsia="Arial" w:hAnsi="Arial"/>
                <w:sz w:val="15"/>
                <w:szCs w:val="15"/>
                <w:b w:val="1"/>
                <w:bCs w:val="1"/>
                <w:color w:val="00467D"/>
              </w:rPr>
              <w:t>C-Suite/</w:t>
            </w:r>
          </w:p>
        </w:tc>
        <w:tc>
          <w:tcPr>
            <w:tcW w:w="960" w:type="dxa"/>
            <w:vAlign w:val="bottom"/>
          </w:tcPr>
          <w:p>
            <w:pPr>
              <w:jc w:val="center"/>
              <w:spacing w:after="0" w:line="155" w:lineRule="exact"/>
              <w:rPr>
                <w:sz w:val="20"/>
                <w:szCs w:val="20"/>
                <w:color w:val="auto"/>
              </w:rPr>
            </w:pPr>
            <w:r>
              <w:rPr>
                <w:rFonts w:ascii="Arial" w:cs="Arial" w:eastAsia="Arial" w:hAnsi="Arial"/>
                <w:sz w:val="15"/>
                <w:szCs w:val="15"/>
                <w:b w:val="1"/>
                <w:bCs w:val="1"/>
                <w:color w:val="00467D"/>
                <w:w w:val="96"/>
              </w:rPr>
              <w:t>Other Public</w:t>
            </w:r>
          </w:p>
        </w:tc>
        <w:tc>
          <w:tcPr>
            <w:tcW w:w="0" w:type="dxa"/>
            <w:vAlign w:val="bottom"/>
          </w:tcPr>
          <w:p>
            <w:pPr>
              <w:spacing w:after="0"/>
              <w:rPr>
                <w:sz w:val="1"/>
                <w:szCs w:val="1"/>
                <w:color w:val="auto"/>
              </w:rPr>
            </w:pPr>
          </w:p>
        </w:tc>
      </w:tr>
      <w:tr>
        <w:trPr>
          <w:trHeight w:val="146"/>
        </w:trPr>
        <w:tc>
          <w:tcPr>
            <w:tcW w:w="2880" w:type="dxa"/>
            <w:vAlign w:val="bottom"/>
            <w:vMerge w:val="continue"/>
          </w:tcPr>
          <w:p>
            <w:pPr>
              <w:spacing w:after="0"/>
              <w:rPr>
                <w:sz w:val="12"/>
                <w:szCs w:val="12"/>
                <w:color w:val="auto"/>
              </w:rPr>
            </w:pPr>
          </w:p>
        </w:tc>
        <w:tc>
          <w:tcPr>
            <w:tcW w:w="2600" w:type="dxa"/>
            <w:vAlign w:val="bottom"/>
            <w:vMerge w:val="continue"/>
          </w:tcPr>
          <w:p>
            <w:pPr>
              <w:spacing w:after="0"/>
              <w:rPr>
                <w:sz w:val="12"/>
                <w:szCs w:val="12"/>
                <w:color w:val="auto"/>
              </w:rPr>
            </w:pPr>
          </w:p>
        </w:tc>
        <w:tc>
          <w:tcPr>
            <w:tcW w:w="980" w:type="dxa"/>
            <w:vAlign w:val="bottom"/>
            <w:vMerge w:val="continue"/>
          </w:tcPr>
          <w:p>
            <w:pPr>
              <w:spacing w:after="0"/>
              <w:rPr>
                <w:sz w:val="12"/>
                <w:szCs w:val="12"/>
                <w:color w:val="auto"/>
              </w:rPr>
            </w:pPr>
          </w:p>
        </w:tc>
        <w:tc>
          <w:tcPr>
            <w:tcW w:w="3120" w:type="dxa"/>
            <w:vAlign w:val="bottom"/>
            <w:vMerge w:val="continue"/>
          </w:tcPr>
          <w:p>
            <w:pPr>
              <w:spacing w:after="0"/>
              <w:rPr>
                <w:sz w:val="12"/>
                <w:szCs w:val="12"/>
                <w:color w:val="auto"/>
              </w:rPr>
            </w:pPr>
          </w:p>
        </w:tc>
        <w:tc>
          <w:tcPr>
            <w:tcW w:w="960" w:type="dxa"/>
            <w:vAlign w:val="bottom"/>
          </w:tcPr>
          <w:p>
            <w:pPr>
              <w:jc w:val="center"/>
              <w:spacing w:after="0" w:line="146" w:lineRule="exact"/>
              <w:rPr>
                <w:sz w:val="20"/>
                <w:szCs w:val="20"/>
                <w:color w:val="auto"/>
              </w:rPr>
            </w:pPr>
            <w:r>
              <w:rPr>
                <w:rFonts w:ascii="Arial" w:cs="Arial" w:eastAsia="Arial" w:hAnsi="Arial"/>
                <w:sz w:val="15"/>
                <w:szCs w:val="15"/>
                <w:b w:val="1"/>
                <w:bCs w:val="1"/>
                <w:color w:val="00467D"/>
                <w:w w:val="96"/>
              </w:rPr>
              <w:t>Company</w:t>
            </w:r>
          </w:p>
        </w:tc>
        <w:tc>
          <w:tcPr>
            <w:tcW w:w="0" w:type="dxa"/>
            <w:vAlign w:val="bottom"/>
          </w:tcPr>
          <w:p>
            <w:pPr>
              <w:spacing w:after="0"/>
              <w:rPr>
                <w:sz w:val="1"/>
                <w:szCs w:val="1"/>
                <w:color w:val="auto"/>
              </w:rPr>
            </w:pPr>
          </w:p>
        </w:tc>
      </w:tr>
      <w:tr>
        <w:trPr>
          <w:trHeight w:val="181"/>
        </w:trPr>
        <w:tc>
          <w:tcPr>
            <w:tcW w:w="2880" w:type="dxa"/>
            <w:vAlign w:val="bottom"/>
            <w:tcBorders>
              <w:bottom w:val="single" w:sz="8" w:color="00467D"/>
            </w:tcBorders>
          </w:tcPr>
          <w:p>
            <w:pPr>
              <w:ind w:left="2120"/>
              <w:spacing w:after="0"/>
              <w:rPr>
                <w:sz w:val="20"/>
                <w:szCs w:val="20"/>
                <w:color w:val="auto"/>
              </w:rPr>
            </w:pPr>
            <w:r>
              <w:rPr>
                <w:rFonts w:ascii="Arial" w:cs="Arial" w:eastAsia="Arial" w:hAnsi="Arial"/>
                <w:sz w:val="15"/>
                <w:szCs w:val="15"/>
                <w:b w:val="1"/>
                <w:bCs w:val="1"/>
                <w:color w:val="00467D"/>
              </w:rPr>
              <w:t>MedTech</w:t>
            </w:r>
          </w:p>
        </w:tc>
        <w:tc>
          <w:tcPr>
            <w:tcW w:w="2600" w:type="dxa"/>
            <w:vAlign w:val="bottom"/>
            <w:tcBorders>
              <w:bottom w:val="single" w:sz="8" w:color="00467D"/>
            </w:tcBorders>
          </w:tcPr>
          <w:p>
            <w:pPr>
              <w:ind w:left="80"/>
              <w:spacing w:after="0"/>
              <w:rPr>
                <w:sz w:val="20"/>
                <w:szCs w:val="20"/>
                <w:color w:val="auto"/>
              </w:rPr>
            </w:pPr>
            <w:r>
              <w:rPr>
                <w:rFonts w:ascii="Arial" w:cs="Arial" w:eastAsia="Arial" w:hAnsi="Arial"/>
                <w:sz w:val="15"/>
                <w:szCs w:val="15"/>
                <w:b w:val="1"/>
                <w:bCs w:val="1"/>
                <w:color w:val="00467D"/>
              </w:rPr>
              <w:t>Finance  International  Regulatory</w:t>
            </w:r>
          </w:p>
        </w:tc>
        <w:tc>
          <w:tcPr>
            <w:tcW w:w="980" w:type="dxa"/>
            <w:vAlign w:val="bottom"/>
            <w:tcBorders>
              <w:bottom w:val="single" w:sz="8" w:color="00467D"/>
            </w:tcBorders>
          </w:tcPr>
          <w:p>
            <w:pPr>
              <w:jc w:val="center"/>
              <w:spacing w:after="0"/>
              <w:rPr>
                <w:sz w:val="20"/>
                <w:szCs w:val="20"/>
                <w:color w:val="auto"/>
              </w:rPr>
            </w:pPr>
            <w:r>
              <w:rPr>
                <w:rFonts w:ascii="Arial" w:cs="Arial" w:eastAsia="Arial" w:hAnsi="Arial"/>
                <w:sz w:val="15"/>
                <w:szCs w:val="15"/>
                <w:b w:val="1"/>
                <w:bCs w:val="1"/>
                <w:color w:val="00467D"/>
                <w:w w:val="97"/>
              </w:rPr>
              <w:t>&amp; Science</w:t>
            </w:r>
          </w:p>
        </w:tc>
        <w:tc>
          <w:tcPr>
            <w:tcW w:w="3120" w:type="dxa"/>
            <w:vAlign w:val="bottom"/>
            <w:tcBorders>
              <w:bottom w:val="single" w:sz="8" w:color="00467D"/>
            </w:tcBorders>
          </w:tcPr>
          <w:p>
            <w:pPr>
              <w:ind w:left="100"/>
              <w:spacing w:after="0"/>
              <w:rPr>
                <w:sz w:val="20"/>
                <w:szCs w:val="20"/>
                <w:color w:val="auto"/>
              </w:rPr>
            </w:pPr>
            <w:r>
              <w:rPr>
                <w:rFonts w:ascii="Arial" w:cs="Arial" w:eastAsia="Arial" w:hAnsi="Arial"/>
                <w:sz w:val="15"/>
                <w:szCs w:val="15"/>
                <w:b w:val="1"/>
                <w:bCs w:val="1"/>
                <w:color w:val="00467D"/>
              </w:rPr>
              <w:t xml:space="preserve">ESG   Operations  Strategy  Diversity </w:t>
            </w:r>
            <w:r>
              <w:rPr>
                <w:rFonts w:ascii="Arial" w:cs="Arial" w:eastAsia="Arial" w:hAnsi="Arial"/>
                <w:sz w:val="10"/>
                <w:szCs w:val="10"/>
                <w:b w:val="1"/>
                <w:bCs w:val="1"/>
                <w:color w:val="00467D"/>
              </w:rPr>
              <w:t>(1)</w:t>
            </w:r>
          </w:p>
        </w:tc>
        <w:tc>
          <w:tcPr>
            <w:tcW w:w="960" w:type="dxa"/>
            <w:vAlign w:val="bottom"/>
            <w:tcBorders>
              <w:bottom w:val="single" w:sz="8" w:color="00467D"/>
            </w:tcBorders>
          </w:tcPr>
          <w:p>
            <w:pPr>
              <w:jc w:val="center"/>
              <w:spacing w:after="0"/>
              <w:rPr>
                <w:sz w:val="20"/>
                <w:szCs w:val="20"/>
                <w:color w:val="auto"/>
              </w:rPr>
            </w:pPr>
            <w:r>
              <w:rPr>
                <w:rFonts w:ascii="Arial" w:cs="Arial" w:eastAsia="Arial" w:hAnsi="Arial"/>
                <w:sz w:val="15"/>
                <w:szCs w:val="15"/>
                <w:b w:val="1"/>
                <w:bCs w:val="1"/>
                <w:color w:val="00467D"/>
                <w:w w:val="96"/>
              </w:rPr>
              <w:t>Boards</w:t>
            </w:r>
          </w:p>
        </w:tc>
        <w:tc>
          <w:tcPr>
            <w:tcW w:w="0" w:type="dxa"/>
            <w:vAlign w:val="bottom"/>
          </w:tcPr>
          <w:p>
            <w:pPr>
              <w:spacing w:after="0"/>
              <w:rPr>
                <w:sz w:val="1"/>
                <w:szCs w:val="1"/>
                <w:color w:val="auto"/>
              </w:rPr>
            </w:pPr>
          </w:p>
        </w:tc>
      </w:tr>
      <w:tr>
        <w:trPr>
          <w:trHeight w:val="522"/>
        </w:trPr>
        <w:tc>
          <w:tcPr>
            <w:tcW w:w="2880" w:type="dxa"/>
            <w:vAlign w:val="bottom"/>
            <w:tcBorders>
              <w:bottom w:val="single" w:sz="8" w:color="00467D"/>
            </w:tcBorders>
          </w:tcPr>
          <w:p>
            <w:pPr>
              <w:ind w:left="60"/>
              <w:spacing w:after="0"/>
              <w:rPr>
                <w:sz w:val="20"/>
                <w:szCs w:val="20"/>
                <w:color w:val="auto"/>
              </w:rPr>
            </w:pPr>
            <w:r>
              <w:rPr>
                <w:rFonts w:ascii="Arial" w:cs="Arial" w:eastAsia="Arial" w:hAnsi="Arial"/>
                <w:sz w:val="15"/>
                <w:szCs w:val="15"/>
                <w:b w:val="1"/>
                <w:bCs w:val="1"/>
                <w:color w:val="00467D"/>
              </w:rPr>
              <w:t>Name</w:t>
            </w:r>
          </w:p>
        </w:tc>
        <w:tc>
          <w:tcPr>
            <w:tcW w:w="2600" w:type="dxa"/>
            <w:vAlign w:val="bottom"/>
            <w:tcBorders>
              <w:bottom w:val="single" w:sz="8" w:color="00467D"/>
            </w:tcBorders>
          </w:tcPr>
          <w:p>
            <w:pPr>
              <w:spacing w:after="0"/>
              <w:rPr>
                <w:sz w:val="24"/>
                <w:szCs w:val="24"/>
                <w:color w:val="auto"/>
              </w:rPr>
            </w:pPr>
          </w:p>
        </w:tc>
        <w:tc>
          <w:tcPr>
            <w:tcW w:w="980" w:type="dxa"/>
            <w:vAlign w:val="bottom"/>
            <w:tcBorders>
              <w:bottom w:val="single" w:sz="8" w:color="00467D"/>
            </w:tcBorders>
          </w:tcPr>
          <w:p>
            <w:pPr>
              <w:spacing w:after="0"/>
              <w:rPr>
                <w:sz w:val="24"/>
                <w:szCs w:val="24"/>
                <w:color w:val="auto"/>
              </w:rPr>
            </w:pPr>
          </w:p>
        </w:tc>
        <w:tc>
          <w:tcPr>
            <w:tcW w:w="3120" w:type="dxa"/>
            <w:vAlign w:val="bottom"/>
            <w:tcBorders>
              <w:bottom w:val="single" w:sz="8" w:color="00467D"/>
            </w:tcBorders>
          </w:tcPr>
          <w:p>
            <w:pPr>
              <w:spacing w:after="0"/>
              <w:rPr>
                <w:sz w:val="24"/>
                <w:szCs w:val="24"/>
                <w:color w:val="auto"/>
              </w:rPr>
            </w:pPr>
          </w:p>
        </w:tc>
        <w:tc>
          <w:tcPr>
            <w:tcW w:w="960" w:type="dxa"/>
            <w:vAlign w:val="bottom"/>
            <w:tcBorders>
              <w:bottom w:val="single" w:sz="8" w:color="00467D"/>
            </w:tcBorders>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2880" w:type="dxa"/>
            <w:vAlign w:val="bottom"/>
          </w:tcPr>
          <w:p>
            <w:pPr>
              <w:ind w:left="60"/>
              <w:spacing w:after="0"/>
              <w:rPr>
                <w:sz w:val="20"/>
                <w:szCs w:val="20"/>
                <w:color w:val="auto"/>
              </w:rPr>
            </w:pPr>
            <w:r>
              <w:rPr>
                <w:rFonts w:ascii="Arial" w:cs="Arial" w:eastAsia="Arial" w:hAnsi="Arial"/>
                <w:sz w:val="17"/>
                <w:szCs w:val="17"/>
                <w:b w:val="1"/>
                <w:bCs w:val="1"/>
                <w:color w:val="auto"/>
              </w:rPr>
              <w:t>Ruoxi Chen</w:t>
            </w:r>
          </w:p>
        </w:tc>
        <w:tc>
          <w:tcPr>
            <w:tcW w:w="26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120" w:type="dxa"/>
            <w:vAlign w:val="bottom"/>
          </w:tcPr>
          <w:p>
            <w:pPr>
              <w:spacing w:after="0"/>
              <w:rPr>
                <w:sz w:val="21"/>
                <w:szCs w:val="21"/>
                <w:color w:val="auto"/>
              </w:rPr>
            </w:pPr>
          </w:p>
        </w:tc>
        <w:tc>
          <w:tcPr>
            <w:tcW w:w="960" w:type="dxa"/>
            <w:vAlign w:val="bottom"/>
          </w:tcPr>
          <w:p>
            <w:pPr>
              <w:jc w:val="center"/>
              <w:spacing w:after="0"/>
              <w:rPr>
                <w:sz w:val="20"/>
                <w:szCs w:val="20"/>
                <w:color w:val="auto"/>
              </w:rPr>
            </w:pPr>
            <w:r>
              <w:rPr>
                <w:rFonts w:ascii="Arial" w:cs="Arial" w:eastAsia="Arial" w:hAnsi="Arial"/>
                <w:sz w:val="17"/>
                <w:szCs w:val="17"/>
                <w:b w:val="1"/>
                <w:bCs w:val="1"/>
                <w:color w:val="00467D"/>
              </w:rPr>
              <w:t>—</w:t>
            </w:r>
          </w:p>
        </w:tc>
        <w:tc>
          <w:tcPr>
            <w:tcW w:w="0" w:type="dxa"/>
            <w:vAlign w:val="bottom"/>
          </w:tcPr>
          <w:p>
            <w:pPr>
              <w:spacing w:after="0"/>
              <w:rPr>
                <w:sz w:val="1"/>
                <w:szCs w:val="1"/>
                <w:color w:val="auto"/>
              </w:rPr>
            </w:pPr>
          </w:p>
        </w:tc>
      </w:tr>
      <w:tr>
        <w:trPr>
          <w:trHeight w:val="39"/>
        </w:trPr>
        <w:tc>
          <w:tcPr>
            <w:tcW w:w="2880" w:type="dxa"/>
            <w:vAlign w:val="bottom"/>
            <w:tcBorders>
              <w:bottom w:val="single" w:sz="8" w:color="99B5CB"/>
            </w:tcBorders>
          </w:tcPr>
          <w:p>
            <w:pPr>
              <w:spacing w:after="0"/>
              <w:rPr>
                <w:sz w:val="3"/>
                <w:szCs w:val="3"/>
                <w:color w:val="auto"/>
              </w:rPr>
            </w:pPr>
          </w:p>
        </w:tc>
        <w:tc>
          <w:tcPr>
            <w:tcW w:w="2600" w:type="dxa"/>
            <w:vAlign w:val="bottom"/>
            <w:tcBorders>
              <w:bottom w:val="single" w:sz="8" w:color="99B5CB"/>
            </w:tcBorders>
          </w:tcPr>
          <w:p>
            <w:pPr>
              <w:spacing w:after="0"/>
              <w:rPr>
                <w:sz w:val="3"/>
                <w:szCs w:val="3"/>
                <w:color w:val="auto"/>
              </w:rPr>
            </w:pPr>
          </w:p>
        </w:tc>
        <w:tc>
          <w:tcPr>
            <w:tcW w:w="980" w:type="dxa"/>
            <w:vAlign w:val="bottom"/>
            <w:tcBorders>
              <w:bottom w:val="single" w:sz="8" w:color="99B5CB"/>
            </w:tcBorders>
          </w:tcPr>
          <w:p>
            <w:pPr>
              <w:spacing w:after="0"/>
              <w:rPr>
                <w:sz w:val="3"/>
                <w:szCs w:val="3"/>
                <w:color w:val="auto"/>
              </w:rPr>
            </w:pPr>
          </w:p>
        </w:tc>
        <w:tc>
          <w:tcPr>
            <w:tcW w:w="3120" w:type="dxa"/>
            <w:vAlign w:val="bottom"/>
            <w:tcBorders>
              <w:bottom w:val="single" w:sz="8" w:color="99B5CB"/>
            </w:tcBorders>
          </w:tcPr>
          <w:p>
            <w:pPr>
              <w:spacing w:after="0"/>
              <w:rPr>
                <w:sz w:val="3"/>
                <w:szCs w:val="3"/>
                <w:color w:val="auto"/>
              </w:rPr>
            </w:pPr>
          </w:p>
        </w:tc>
        <w:tc>
          <w:tcPr>
            <w:tcW w:w="960" w:type="dxa"/>
            <w:vAlign w:val="bottom"/>
            <w:tcBorders>
              <w:bottom w:val="single" w:sz="8" w:color="99B5CB"/>
            </w:tcBorders>
          </w:tcPr>
          <w:p>
            <w:pPr>
              <w:spacing w:after="0"/>
              <w:rPr>
                <w:sz w:val="3"/>
                <w:szCs w:val="3"/>
                <w:color w:val="auto"/>
              </w:rPr>
            </w:pPr>
          </w:p>
        </w:tc>
        <w:tc>
          <w:tcPr>
            <w:tcW w:w="0" w:type="dxa"/>
            <w:vAlign w:val="bottom"/>
          </w:tcPr>
          <w:p>
            <w:pPr>
              <w:spacing w:after="0"/>
              <w:rPr>
                <w:sz w:val="1"/>
                <w:szCs w:val="1"/>
                <w:color w:val="auto"/>
              </w:rPr>
            </w:pPr>
          </w:p>
        </w:tc>
      </w:tr>
      <w:tr>
        <w:trPr>
          <w:trHeight w:val="251"/>
        </w:trPr>
        <w:tc>
          <w:tcPr>
            <w:tcW w:w="2880" w:type="dxa"/>
            <w:vAlign w:val="bottom"/>
          </w:tcPr>
          <w:p>
            <w:pPr>
              <w:ind w:left="60"/>
              <w:spacing w:after="0"/>
              <w:rPr>
                <w:sz w:val="20"/>
                <w:szCs w:val="20"/>
                <w:color w:val="auto"/>
              </w:rPr>
            </w:pPr>
            <w:r>
              <w:rPr>
                <w:rFonts w:ascii="Arial" w:cs="Arial" w:eastAsia="Arial" w:hAnsi="Arial"/>
                <w:sz w:val="17"/>
                <w:szCs w:val="17"/>
                <w:b w:val="1"/>
                <w:bCs w:val="1"/>
                <w:color w:val="auto"/>
              </w:rPr>
              <w:t>Sean L. Cunningham</w:t>
            </w:r>
          </w:p>
        </w:tc>
        <w:tc>
          <w:tcPr>
            <w:tcW w:w="26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120" w:type="dxa"/>
            <w:vAlign w:val="bottom"/>
          </w:tcPr>
          <w:p>
            <w:pPr>
              <w:spacing w:after="0"/>
              <w:rPr>
                <w:sz w:val="21"/>
                <w:szCs w:val="21"/>
                <w:color w:val="auto"/>
              </w:rPr>
            </w:pPr>
          </w:p>
        </w:tc>
        <w:tc>
          <w:tcPr>
            <w:tcW w:w="960" w:type="dxa"/>
            <w:vAlign w:val="bottom"/>
          </w:tcPr>
          <w:p>
            <w:pPr>
              <w:jc w:val="center"/>
              <w:spacing w:after="0"/>
              <w:rPr>
                <w:sz w:val="20"/>
                <w:szCs w:val="20"/>
                <w:color w:val="auto"/>
              </w:rPr>
            </w:pPr>
            <w:r>
              <w:rPr>
                <w:rFonts w:ascii="Arial" w:cs="Arial" w:eastAsia="Arial" w:hAnsi="Arial"/>
                <w:sz w:val="17"/>
                <w:szCs w:val="17"/>
                <w:b w:val="1"/>
                <w:bCs w:val="1"/>
                <w:color w:val="00467D"/>
              </w:rPr>
              <w:t>1</w:t>
            </w:r>
          </w:p>
        </w:tc>
        <w:tc>
          <w:tcPr>
            <w:tcW w:w="0" w:type="dxa"/>
            <w:vAlign w:val="bottom"/>
          </w:tcPr>
          <w:p>
            <w:pPr>
              <w:spacing w:after="0"/>
              <w:rPr>
                <w:sz w:val="1"/>
                <w:szCs w:val="1"/>
                <w:color w:val="auto"/>
              </w:rPr>
            </w:pPr>
          </w:p>
        </w:tc>
      </w:tr>
      <w:tr>
        <w:trPr>
          <w:trHeight w:val="39"/>
        </w:trPr>
        <w:tc>
          <w:tcPr>
            <w:tcW w:w="2880" w:type="dxa"/>
            <w:vAlign w:val="bottom"/>
            <w:tcBorders>
              <w:bottom w:val="single" w:sz="8" w:color="99B5CB"/>
            </w:tcBorders>
          </w:tcPr>
          <w:p>
            <w:pPr>
              <w:spacing w:after="0"/>
              <w:rPr>
                <w:sz w:val="3"/>
                <w:szCs w:val="3"/>
                <w:color w:val="auto"/>
              </w:rPr>
            </w:pPr>
          </w:p>
        </w:tc>
        <w:tc>
          <w:tcPr>
            <w:tcW w:w="2600" w:type="dxa"/>
            <w:vAlign w:val="bottom"/>
            <w:tcBorders>
              <w:bottom w:val="single" w:sz="8" w:color="99B5CB"/>
            </w:tcBorders>
          </w:tcPr>
          <w:p>
            <w:pPr>
              <w:spacing w:after="0"/>
              <w:rPr>
                <w:sz w:val="3"/>
                <w:szCs w:val="3"/>
                <w:color w:val="auto"/>
              </w:rPr>
            </w:pPr>
          </w:p>
        </w:tc>
        <w:tc>
          <w:tcPr>
            <w:tcW w:w="980" w:type="dxa"/>
            <w:vAlign w:val="bottom"/>
            <w:tcBorders>
              <w:bottom w:val="single" w:sz="8" w:color="99B5CB"/>
            </w:tcBorders>
          </w:tcPr>
          <w:p>
            <w:pPr>
              <w:spacing w:after="0"/>
              <w:rPr>
                <w:sz w:val="3"/>
                <w:szCs w:val="3"/>
                <w:color w:val="auto"/>
              </w:rPr>
            </w:pPr>
          </w:p>
        </w:tc>
        <w:tc>
          <w:tcPr>
            <w:tcW w:w="3120" w:type="dxa"/>
            <w:vAlign w:val="bottom"/>
            <w:tcBorders>
              <w:bottom w:val="single" w:sz="8" w:color="99B5CB"/>
            </w:tcBorders>
          </w:tcPr>
          <w:p>
            <w:pPr>
              <w:spacing w:after="0"/>
              <w:rPr>
                <w:sz w:val="3"/>
                <w:szCs w:val="3"/>
                <w:color w:val="auto"/>
              </w:rPr>
            </w:pPr>
          </w:p>
        </w:tc>
        <w:tc>
          <w:tcPr>
            <w:tcW w:w="960" w:type="dxa"/>
            <w:vAlign w:val="bottom"/>
            <w:tcBorders>
              <w:bottom w:val="single" w:sz="8" w:color="99B5CB"/>
            </w:tcBorders>
          </w:tcPr>
          <w:p>
            <w:pPr>
              <w:spacing w:after="0"/>
              <w:rPr>
                <w:sz w:val="3"/>
                <w:szCs w:val="3"/>
                <w:color w:val="auto"/>
              </w:rPr>
            </w:pPr>
          </w:p>
        </w:tc>
        <w:tc>
          <w:tcPr>
            <w:tcW w:w="0" w:type="dxa"/>
            <w:vAlign w:val="bottom"/>
          </w:tcPr>
          <w:p>
            <w:pPr>
              <w:spacing w:after="0"/>
              <w:rPr>
                <w:sz w:val="1"/>
                <w:szCs w:val="1"/>
                <w:color w:val="auto"/>
              </w:rPr>
            </w:pPr>
          </w:p>
        </w:tc>
      </w:tr>
      <w:tr>
        <w:trPr>
          <w:trHeight w:val="251"/>
        </w:trPr>
        <w:tc>
          <w:tcPr>
            <w:tcW w:w="2880" w:type="dxa"/>
            <w:vAlign w:val="bottom"/>
          </w:tcPr>
          <w:p>
            <w:pPr>
              <w:ind w:left="60"/>
              <w:spacing w:after="0"/>
              <w:rPr>
                <w:sz w:val="20"/>
                <w:szCs w:val="20"/>
                <w:color w:val="auto"/>
              </w:rPr>
            </w:pPr>
            <w:r>
              <w:rPr>
                <w:rFonts w:ascii="Arial" w:cs="Arial" w:eastAsia="Arial" w:hAnsi="Arial"/>
                <w:sz w:val="17"/>
                <w:szCs w:val="17"/>
                <w:b w:val="1"/>
                <w:bCs w:val="1"/>
                <w:color w:val="auto"/>
              </w:rPr>
              <w:t>David A. Donnini</w:t>
            </w:r>
          </w:p>
        </w:tc>
        <w:tc>
          <w:tcPr>
            <w:tcW w:w="26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120" w:type="dxa"/>
            <w:vAlign w:val="bottom"/>
          </w:tcPr>
          <w:p>
            <w:pPr>
              <w:spacing w:after="0"/>
              <w:rPr>
                <w:sz w:val="21"/>
                <w:szCs w:val="21"/>
                <w:color w:val="auto"/>
              </w:rPr>
            </w:pPr>
          </w:p>
        </w:tc>
        <w:tc>
          <w:tcPr>
            <w:tcW w:w="960" w:type="dxa"/>
            <w:vAlign w:val="bottom"/>
          </w:tcPr>
          <w:p>
            <w:pPr>
              <w:jc w:val="center"/>
              <w:spacing w:after="0"/>
              <w:rPr>
                <w:sz w:val="20"/>
                <w:szCs w:val="20"/>
                <w:color w:val="auto"/>
              </w:rPr>
            </w:pPr>
            <w:r>
              <w:rPr>
                <w:rFonts w:ascii="Arial" w:cs="Arial" w:eastAsia="Arial" w:hAnsi="Arial"/>
                <w:sz w:val="17"/>
                <w:szCs w:val="17"/>
                <w:b w:val="1"/>
                <w:bCs w:val="1"/>
                <w:color w:val="00467D"/>
              </w:rPr>
              <w:t>1</w:t>
            </w:r>
          </w:p>
        </w:tc>
        <w:tc>
          <w:tcPr>
            <w:tcW w:w="0" w:type="dxa"/>
            <w:vAlign w:val="bottom"/>
          </w:tcPr>
          <w:p>
            <w:pPr>
              <w:spacing w:after="0"/>
              <w:rPr>
                <w:sz w:val="1"/>
                <w:szCs w:val="1"/>
                <w:color w:val="auto"/>
              </w:rPr>
            </w:pPr>
          </w:p>
        </w:tc>
      </w:tr>
      <w:tr>
        <w:trPr>
          <w:trHeight w:val="39"/>
        </w:trPr>
        <w:tc>
          <w:tcPr>
            <w:tcW w:w="2880" w:type="dxa"/>
            <w:vAlign w:val="bottom"/>
            <w:tcBorders>
              <w:bottom w:val="single" w:sz="8" w:color="99B5CB"/>
            </w:tcBorders>
          </w:tcPr>
          <w:p>
            <w:pPr>
              <w:spacing w:after="0"/>
              <w:rPr>
                <w:sz w:val="3"/>
                <w:szCs w:val="3"/>
                <w:color w:val="auto"/>
              </w:rPr>
            </w:pPr>
          </w:p>
        </w:tc>
        <w:tc>
          <w:tcPr>
            <w:tcW w:w="2600" w:type="dxa"/>
            <w:vAlign w:val="bottom"/>
            <w:tcBorders>
              <w:bottom w:val="single" w:sz="8" w:color="99B5CB"/>
            </w:tcBorders>
          </w:tcPr>
          <w:p>
            <w:pPr>
              <w:spacing w:after="0"/>
              <w:rPr>
                <w:sz w:val="3"/>
                <w:szCs w:val="3"/>
                <w:color w:val="auto"/>
              </w:rPr>
            </w:pPr>
          </w:p>
        </w:tc>
        <w:tc>
          <w:tcPr>
            <w:tcW w:w="980" w:type="dxa"/>
            <w:vAlign w:val="bottom"/>
            <w:tcBorders>
              <w:bottom w:val="single" w:sz="8" w:color="99B5CB"/>
            </w:tcBorders>
          </w:tcPr>
          <w:p>
            <w:pPr>
              <w:spacing w:after="0"/>
              <w:rPr>
                <w:sz w:val="3"/>
                <w:szCs w:val="3"/>
                <w:color w:val="auto"/>
              </w:rPr>
            </w:pPr>
          </w:p>
        </w:tc>
        <w:tc>
          <w:tcPr>
            <w:tcW w:w="3120" w:type="dxa"/>
            <w:vAlign w:val="bottom"/>
            <w:tcBorders>
              <w:bottom w:val="single" w:sz="8" w:color="99B5CB"/>
            </w:tcBorders>
          </w:tcPr>
          <w:p>
            <w:pPr>
              <w:spacing w:after="0"/>
              <w:rPr>
                <w:sz w:val="3"/>
                <w:szCs w:val="3"/>
                <w:color w:val="auto"/>
              </w:rPr>
            </w:pPr>
          </w:p>
        </w:tc>
        <w:tc>
          <w:tcPr>
            <w:tcW w:w="960" w:type="dxa"/>
            <w:vAlign w:val="bottom"/>
            <w:tcBorders>
              <w:bottom w:val="single" w:sz="8" w:color="99B5CB"/>
            </w:tcBorders>
          </w:tcPr>
          <w:p>
            <w:pPr>
              <w:spacing w:after="0"/>
              <w:rPr>
                <w:sz w:val="3"/>
                <w:szCs w:val="3"/>
                <w:color w:val="auto"/>
              </w:rPr>
            </w:pPr>
          </w:p>
        </w:tc>
        <w:tc>
          <w:tcPr>
            <w:tcW w:w="0" w:type="dxa"/>
            <w:vAlign w:val="bottom"/>
          </w:tcPr>
          <w:p>
            <w:pPr>
              <w:spacing w:after="0"/>
              <w:rPr>
                <w:sz w:val="1"/>
                <w:szCs w:val="1"/>
                <w:color w:val="auto"/>
              </w:rPr>
            </w:pPr>
          </w:p>
        </w:tc>
      </w:tr>
      <w:tr>
        <w:trPr>
          <w:trHeight w:val="251"/>
        </w:trPr>
        <w:tc>
          <w:tcPr>
            <w:tcW w:w="2880" w:type="dxa"/>
            <w:vAlign w:val="bottom"/>
          </w:tcPr>
          <w:p>
            <w:pPr>
              <w:ind w:left="60"/>
              <w:spacing w:after="0"/>
              <w:rPr>
                <w:sz w:val="20"/>
                <w:szCs w:val="20"/>
                <w:color w:val="auto"/>
              </w:rPr>
            </w:pPr>
            <w:r>
              <w:rPr>
                <w:rFonts w:ascii="Arial" w:cs="Arial" w:eastAsia="Arial" w:hAnsi="Arial"/>
                <w:sz w:val="17"/>
                <w:szCs w:val="17"/>
                <w:b w:val="1"/>
                <w:bCs w:val="1"/>
                <w:color w:val="auto"/>
              </w:rPr>
              <w:t>Ann R. Klee</w:t>
            </w:r>
          </w:p>
        </w:tc>
        <w:tc>
          <w:tcPr>
            <w:tcW w:w="26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120" w:type="dxa"/>
            <w:vAlign w:val="bottom"/>
          </w:tcPr>
          <w:p>
            <w:pPr>
              <w:spacing w:after="0"/>
              <w:rPr>
                <w:sz w:val="21"/>
                <w:szCs w:val="21"/>
                <w:color w:val="auto"/>
              </w:rPr>
            </w:pPr>
          </w:p>
        </w:tc>
        <w:tc>
          <w:tcPr>
            <w:tcW w:w="960" w:type="dxa"/>
            <w:vAlign w:val="bottom"/>
          </w:tcPr>
          <w:p>
            <w:pPr>
              <w:jc w:val="center"/>
              <w:spacing w:after="0"/>
              <w:rPr>
                <w:sz w:val="20"/>
                <w:szCs w:val="20"/>
                <w:color w:val="auto"/>
              </w:rPr>
            </w:pPr>
            <w:r>
              <w:rPr>
                <w:rFonts w:ascii="Arial" w:cs="Arial" w:eastAsia="Arial" w:hAnsi="Arial"/>
                <w:sz w:val="17"/>
                <w:szCs w:val="17"/>
                <w:b w:val="1"/>
                <w:bCs w:val="1"/>
                <w:color w:val="00467D"/>
              </w:rPr>
              <w:t>1</w:t>
            </w:r>
          </w:p>
        </w:tc>
        <w:tc>
          <w:tcPr>
            <w:tcW w:w="0" w:type="dxa"/>
            <w:vAlign w:val="bottom"/>
          </w:tcPr>
          <w:p>
            <w:pPr>
              <w:spacing w:after="0"/>
              <w:rPr>
                <w:sz w:val="1"/>
                <w:szCs w:val="1"/>
                <w:color w:val="auto"/>
              </w:rPr>
            </w:pPr>
          </w:p>
        </w:tc>
      </w:tr>
      <w:tr>
        <w:trPr>
          <w:trHeight w:val="39"/>
        </w:trPr>
        <w:tc>
          <w:tcPr>
            <w:tcW w:w="2880" w:type="dxa"/>
            <w:vAlign w:val="bottom"/>
            <w:tcBorders>
              <w:bottom w:val="single" w:sz="8" w:color="99B5CB"/>
            </w:tcBorders>
          </w:tcPr>
          <w:p>
            <w:pPr>
              <w:spacing w:after="0"/>
              <w:rPr>
                <w:sz w:val="3"/>
                <w:szCs w:val="3"/>
                <w:color w:val="auto"/>
              </w:rPr>
            </w:pPr>
          </w:p>
        </w:tc>
        <w:tc>
          <w:tcPr>
            <w:tcW w:w="2600" w:type="dxa"/>
            <w:vAlign w:val="bottom"/>
            <w:tcBorders>
              <w:bottom w:val="single" w:sz="8" w:color="99B5CB"/>
            </w:tcBorders>
          </w:tcPr>
          <w:p>
            <w:pPr>
              <w:spacing w:after="0"/>
              <w:rPr>
                <w:sz w:val="3"/>
                <w:szCs w:val="3"/>
                <w:color w:val="auto"/>
              </w:rPr>
            </w:pPr>
          </w:p>
        </w:tc>
        <w:tc>
          <w:tcPr>
            <w:tcW w:w="980" w:type="dxa"/>
            <w:vAlign w:val="bottom"/>
            <w:tcBorders>
              <w:bottom w:val="single" w:sz="8" w:color="99B5CB"/>
            </w:tcBorders>
          </w:tcPr>
          <w:p>
            <w:pPr>
              <w:spacing w:after="0"/>
              <w:rPr>
                <w:sz w:val="3"/>
                <w:szCs w:val="3"/>
                <w:color w:val="auto"/>
              </w:rPr>
            </w:pPr>
          </w:p>
        </w:tc>
        <w:tc>
          <w:tcPr>
            <w:tcW w:w="3120" w:type="dxa"/>
            <w:vAlign w:val="bottom"/>
            <w:tcBorders>
              <w:bottom w:val="single" w:sz="8" w:color="99B5CB"/>
            </w:tcBorders>
          </w:tcPr>
          <w:p>
            <w:pPr>
              <w:spacing w:after="0"/>
              <w:rPr>
                <w:sz w:val="3"/>
                <w:szCs w:val="3"/>
                <w:color w:val="auto"/>
              </w:rPr>
            </w:pPr>
          </w:p>
        </w:tc>
        <w:tc>
          <w:tcPr>
            <w:tcW w:w="960" w:type="dxa"/>
            <w:vAlign w:val="bottom"/>
            <w:tcBorders>
              <w:bottom w:val="single" w:sz="8" w:color="99B5CB"/>
            </w:tcBorders>
          </w:tcPr>
          <w:p>
            <w:pPr>
              <w:spacing w:after="0"/>
              <w:rPr>
                <w:sz w:val="3"/>
                <w:szCs w:val="3"/>
                <w:color w:val="auto"/>
              </w:rPr>
            </w:pPr>
          </w:p>
        </w:tc>
        <w:tc>
          <w:tcPr>
            <w:tcW w:w="0" w:type="dxa"/>
            <w:vAlign w:val="bottom"/>
          </w:tcPr>
          <w:p>
            <w:pPr>
              <w:spacing w:after="0"/>
              <w:rPr>
                <w:sz w:val="1"/>
                <w:szCs w:val="1"/>
                <w:color w:val="auto"/>
              </w:rPr>
            </w:pPr>
          </w:p>
        </w:tc>
      </w:tr>
      <w:tr>
        <w:trPr>
          <w:trHeight w:val="251"/>
        </w:trPr>
        <w:tc>
          <w:tcPr>
            <w:tcW w:w="2880" w:type="dxa"/>
            <w:vAlign w:val="bottom"/>
          </w:tcPr>
          <w:p>
            <w:pPr>
              <w:ind w:left="60"/>
              <w:spacing w:after="0"/>
              <w:rPr>
                <w:sz w:val="20"/>
                <w:szCs w:val="20"/>
                <w:color w:val="auto"/>
              </w:rPr>
            </w:pPr>
            <w:r>
              <w:rPr>
                <w:rFonts w:ascii="Arial" w:cs="Arial" w:eastAsia="Arial" w:hAnsi="Arial"/>
                <w:sz w:val="17"/>
                <w:szCs w:val="17"/>
                <w:b w:val="1"/>
                <w:bCs w:val="1"/>
                <w:color w:val="auto"/>
              </w:rPr>
              <w:t>Robert B. Knauss</w:t>
            </w:r>
          </w:p>
        </w:tc>
        <w:tc>
          <w:tcPr>
            <w:tcW w:w="26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120" w:type="dxa"/>
            <w:vAlign w:val="bottom"/>
          </w:tcPr>
          <w:p>
            <w:pPr>
              <w:spacing w:after="0"/>
              <w:rPr>
                <w:sz w:val="21"/>
                <w:szCs w:val="21"/>
                <w:color w:val="auto"/>
              </w:rPr>
            </w:pPr>
          </w:p>
        </w:tc>
        <w:tc>
          <w:tcPr>
            <w:tcW w:w="960" w:type="dxa"/>
            <w:vAlign w:val="bottom"/>
          </w:tcPr>
          <w:p>
            <w:pPr>
              <w:jc w:val="center"/>
              <w:spacing w:after="0"/>
              <w:rPr>
                <w:sz w:val="20"/>
                <w:szCs w:val="20"/>
                <w:color w:val="auto"/>
              </w:rPr>
            </w:pPr>
            <w:r>
              <w:rPr>
                <w:rFonts w:ascii="Arial" w:cs="Arial" w:eastAsia="Arial" w:hAnsi="Arial"/>
                <w:sz w:val="17"/>
                <w:szCs w:val="17"/>
                <w:b w:val="1"/>
                <w:bCs w:val="1"/>
                <w:color w:val="00467D"/>
              </w:rPr>
              <w:t>—</w:t>
            </w:r>
          </w:p>
        </w:tc>
        <w:tc>
          <w:tcPr>
            <w:tcW w:w="0" w:type="dxa"/>
            <w:vAlign w:val="bottom"/>
          </w:tcPr>
          <w:p>
            <w:pPr>
              <w:spacing w:after="0"/>
              <w:rPr>
                <w:sz w:val="1"/>
                <w:szCs w:val="1"/>
                <w:color w:val="auto"/>
              </w:rPr>
            </w:pPr>
          </w:p>
        </w:tc>
      </w:tr>
      <w:tr>
        <w:trPr>
          <w:trHeight w:val="39"/>
        </w:trPr>
        <w:tc>
          <w:tcPr>
            <w:tcW w:w="2880" w:type="dxa"/>
            <w:vAlign w:val="bottom"/>
            <w:tcBorders>
              <w:bottom w:val="single" w:sz="8" w:color="99B5CB"/>
            </w:tcBorders>
          </w:tcPr>
          <w:p>
            <w:pPr>
              <w:spacing w:after="0"/>
              <w:rPr>
                <w:sz w:val="3"/>
                <w:szCs w:val="3"/>
                <w:color w:val="auto"/>
              </w:rPr>
            </w:pPr>
          </w:p>
        </w:tc>
        <w:tc>
          <w:tcPr>
            <w:tcW w:w="2600" w:type="dxa"/>
            <w:vAlign w:val="bottom"/>
            <w:tcBorders>
              <w:bottom w:val="single" w:sz="8" w:color="99B5CB"/>
            </w:tcBorders>
          </w:tcPr>
          <w:p>
            <w:pPr>
              <w:spacing w:after="0"/>
              <w:rPr>
                <w:sz w:val="3"/>
                <w:szCs w:val="3"/>
                <w:color w:val="auto"/>
              </w:rPr>
            </w:pPr>
          </w:p>
        </w:tc>
        <w:tc>
          <w:tcPr>
            <w:tcW w:w="980" w:type="dxa"/>
            <w:vAlign w:val="bottom"/>
            <w:tcBorders>
              <w:bottom w:val="single" w:sz="8" w:color="99B5CB"/>
            </w:tcBorders>
          </w:tcPr>
          <w:p>
            <w:pPr>
              <w:spacing w:after="0"/>
              <w:rPr>
                <w:sz w:val="3"/>
                <w:szCs w:val="3"/>
                <w:color w:val="auto"/>
              </w:rPr>
            </w:pPr>
          </w:p>
        </w:tc>
        <w:tc>
          <w:tcPr>
            <w:tcW w:w="3120" w:type="dxa"/>
            <w:vAlign w:val="bottom"/>
            <w:tcBorders>
              <w:bottom w:val="single" w:sz="8" w:color="99B5CB"/>
            </w:tcBorders>
          </w:tcPr>
          <w:p>
            <w:pPr>
              <w:spacing w:after="0"/>
              <w:rPr>
                <w:sz w:val="3"/>
                <w:szCs w:val="3"/>
                <w:color w:val="auto"/>
              </w:rPr>
            </w:pPr>
          </w:p>
        </w:tc>
        <w:tc>
          <w:tcPr>
            <w:tcW w:w="960" w:type="dxa"/>
            <w:vAlign w:val="bottom"/>
            <w:tcBorders>
              <w:bottom w:val="single" w:sz="8" w:color="99B5CB"/>
            </w:tcBorders>
          </w:tcPr>
          <w:p>
            <w:pPr>
              <w:spacing w:after="0"/>
              <w:rPr>
                <w:sz w:val="3"/>
                <w:szCs w:val="3"/>
                <w:color w:val="auto"/>
              </w:rPr>
            </w:pPr>
          </w:p>
        </w:tc>
        <w:tc>
          <w:tcPr>
            <w:tcW w:w="0" w:type="dxa"/>
            <w:vAlign w:val="bottom"/>
          </w:tcPr>
          <w:p>
            <w:pPr>
              <w:spacing w:after="0"/>
              <w:rPr>
                <w:sz w:val="1"/>
                <w:szCs w:val="1"/>
                <w:color w:val="auto"/>
              </w:rPr>
            </w:pPr>
          </w:p>
        </w:tc>
      </w:tr>
      <w:tr>
        <w:trPr>
          <w:trHeight w:val="251"/>
        </w:trPr>
        <w:tc>
          <w:tcPr>
            <w:tcW w:w="2880" w:type="dxa"/>
            <w:vAlign w:val="bottom"/>
          </w:tcPr>
          <w:p>
            <w:pPr>
              <w:ind w:left="60"/>
              <w:spacing w:after="0"/>
              <w:rPr>
                <w:sz w:val="20"/>
                <w:szCs w:val="20"/>
                <w:color w:val="auto"/>
              </w:rPr>
            </w:pPr>
            <w:r>
              <w:rPr>
                <w:rFonts w:ascii="Arial" w:cs="Arial" w:eastAsia="Arial" w:hAnsi="Arial"/>
                <w:sz w:val="17"/>
                <w:szCs w:val="17"/>
                <w:b w:val="1"/>
                <w:bCs w:val="1"/>
                <w:color w:val="auto"/>
              </w:rPr>
              <w:t>Constantine S. Mihas</w:t>
            </w:r>
          </w:p>
        </w:tc>
        <w:tc>
          <w:tcPr>
            <w:tcW w:w="26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120" w:type="dxa"/>
            <w:vAlign w:val="bottom"/>
          </w:tcPr>
          <w:p>
            <w:pPr>
              <w:spacing w:after="0"/>
              <w:rPr>
                <w:sz w:val="21"/>
                <w:szCs w:val="21"/>
                <w:color w:val="auto"/>
              </w:rPr>
            </w:pPr>
          </w:p>
        </w:tc>
        <w:tc>
          <w:tcPr>
            <w:tcW w:w="960" w:type="dxa"/>
            <w:vAlign w:val="bottom"/>
          </w:tcPr>
          <w:p>
            <w:pPr>
              <w:jc w:val="center"/>
              <w:spacing w:after="0"/>
              <w:rPr>
                <w:sz w:val="20"/>
                <w:szCs w:val="20"/>
                <w:color w:val="auto"/>
              </w:rPr>
            </w:pPr>
            <w:r>
              <w:rPr>
                <w:rFonts w:ascii="Arial" w:cs="Arial" w:eastAsia="Arial" w:hAnsi="Arial"/>
                <w:sz w:val="17"/>
                <w:szCs w:val="17"/>
                <w:b w:val="1"/>
                <w:bCs w:val="1"/>
                <w:color w:val="00467D"/>
              </w:rPr>
              <w:t>1</w:t>
            </w:r>
          </w:p>
        </w:tc>
        <w:tc>
          <w:tcPr>
            <w:tcW w:w="0" w:type="dxa"/>
            <w:vAlign w:val="bottom"/>
          </w:tcPr>
          <w:p>
            <w:pPr>
              <w:spacing w:after="0"/>
              <w:rPr>
                <w:sz w:val="1"/>
                <w:szCs w:val="1"/>
                <w:color w:val="auto"/>
              </w:rPr>
            </w:pPr>
          </w:p>
        </w:tc>
      </w:tr>
      <w:tr>
        <w:trPr>
          <w:trHeight w:val="39"/>
        </w:trPr>
        <w:tc>
          <w:tcPr>
            <w:tcW w:w="2880" w:type="dxa"/>
            <w:vAlign w:val="bottom"/>
            <w:tcBorders>
              <w:bottom w:val="single" w:sz="8" w:color="99B5CB"/>
            </w:tcBorders>
          </w:tcPr>
          <w:p>
            <w:pPr>
              <w:spacing w:after="0"/>
              <w:rPr>
                <w:sz w:val="3"/>
                <w:szCs w:val="3"/>
                <w:color w:val="auto"/>
              </w:rPr>
            </w:pPr>
          </w:p>
        </w:tc>
        <w:tc>
          <w:tcPr>
            <w:tcW w:w="2600" w:type="dxa"/>
            <w:vAlign w:val="bottom"/>
            <w:tcBorders>
              <w:bottom w:val="single" w:sz="8" w:color="99B5CB"/>
            </w:tcBorders>
          </w:tcPr>
          <w:p>
            <w:pPr>
              <w:spacing w:after="0"/>
              <w:rPr>
                <w:sz w:val="3"/>
                <w:szCs w:val="3"/>
                <w:color w:val="auto"/>
              </w:rPr>
            </w:pPr>
          </w:p>
        </w:tc>
        <w:tc>
          <w:tcPr>
            <w:tcW w:w="980" w:type="dxa"/>
            <w:vAlign w:val="bottom"/>
            <w:tcBorders>
              <w:bottom w:val="single" w:sz="8" w:color="99B5CB"/>
            </w:tcBorders>
          </w:tcPr>
          <w:p>
            <w:pPr>
              <w:spacing w:after="0"/>
              <w:rPr>
                <w:sz w:val="3"/>
                <w:szCs w:val="3"/>
                <w:color w:val="auto"/>
              </w:rPr>
            </w:pPr>
          </w:p>
        </w:tc>
        <w:tc>
          <w:tcPr>
            <w:tcW w:w="3120" w:type="dxa"/>
            <w:vAlign w:val="bottom"/>
            <w:tcBorders>
              <w:bottom w:val="single" w:sz="8" w:color="99B5CB"/>
            </w:tcBorders>
          </w:tcPr>
          <w:p>
            <w:pPr>
              <w:spacing w:after="0"/>
              <w:rPr>
                <w:sz w:val="3"/>
                <w:szCs w:val="3"/>
                <w:color w:val="auto"/>
              </w:rPr>
            </w:pPr>
          </w:p>
        </w:tc>
        <w:tc>
          <w:tcPr>
            <w:tcW w:w="960" w:type="dxa"/>
            <w:vAlign w:val="bottom"/>
            <w:tcBorders>
              <w:bottom w:val="single" w:sz="8" w:color="99B5CB"/>
            </w:tcBorders>
          </w:tcPr>
          <w:p>
            <w:pPr>
              <w:spacing w:after="0"/>
              <w:rPr>
                <w:sz w:val="3"/>
                <w:szCs w:val="3"/>
                <w:color w:val="auto"/>
              </w:rPr>
            </w:pPr>
          </w:p>
        </w:tc>
        <w:tc>
          <w:tcPr>
            <w:tcW w:w="0" w:type="dxa"/>
            <w:vAlign w:val="bottom"/>
          </w:tcPr>
          <w:p>
            <w:pPr>
              <w:spacing w:after="0"/>
              <w:rPr>
                <w:sz w:val="1"/>
                <w:szCs w:val="1"/>
                <w:color w:val="auto"/>
              </w:rPr>
            </w:pPr>
          </w:p>
        </w:tc>
      </w:tr>
      <w:tr>
        <w:trPr>
          <w:trHeight w:val="251"/>
        </w:trPr>
        <w:tc>
          <w:tcPr>
            <w:tcW w:w="2880" w:type="dxa"/>
            <w:vAlign w:val="bottom"/>
          </w:tcPr>
          <w:p>
            <w:pPr>
              <w:ind w:left="60"/>
              <w:spacing w:after="0"/>
              <w:rPr>
                <w:sz w:val="20"/>
                <w:szCs w:val="20"/>
                <w:color w:val="auto"/>
              </w:rPr>
            </w:pPr>
            <w:r>
              <w:rPr>
                <w:rFonts w:ascii="Arial" w:cs="Arial" w:eastAsia="Arial" w:hAnsi="Arial"/>
                <w:sz w:val="17"/>
                <w:szCs w:val="17"/>
                <w:b w:val="1"/>
                <w:bCs w:val="1"/>
                <w:color w:val="auto"/>
              </w:rPr>
              <w:t>James C. Neary</w:t>
            </w:r>
          </w:p>
        </w:tc>
        <w:tc>
          <w:tcPr>
            <w:tcW w:w="26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120" w:type="dxa"/>
            <w:vAlign w:val="bottom"/>
          </w:tcPr>
          <w:p>
            <w:pPr>
              <w:spacing w:after="0"/>
              <w:rPr>
                <w:sz w:val="21"/>
                <w:szCs w:val="21"/>
                <w:color w:val="auto"/>
              </w:rPr>
            </w:pPr>
          </w:p>
        </w:tc>
        <w:tc>
          <w:tcPr>
            <w:tcW w:w="960" w:type="dxa"/>
            <w:vAlign w:val="bottom"/>
          </w:tcPr>
          <w:p>
            <w:pPr>
              <w:jc w:val="center"/>
              <w:spacing w:after="0"/>
              <w:rPr>
                <w:sz w:val="20"/>
                <w:szCs w:val="20"/>
                <w:color w:val="auto"/>
              </w:rPr>
            </w:pPr>
            <w:r>
              <w:rPr>
                <w:rFonts w:ascii="Arial" w:cs="Arial" w:eastAsia="Arial" w:hAnsi="Arial"/>
                <w:sz w:val="17"/>
                <w:szCs w:val="17"/>
                <w:b w:val="1"/>
                <w:bCs w:val="1"/>
                <w:color w:val="00467D"/>
              </w:rPr>
              <w:t>1</w:t>
            </w:r>
          </w:p>
        </w:tc>
        <w:tc>
          <w:tcPr>
            <w:tcW w:w="0" w:type="dxa"/>
            <w:vAlign w:val="bottom"/>
          </w:tcPr>
          <w:p>
            <w:pPr>
              <w:spacing w:after="0"/>
              <w:rPr>
                <w:sz w:val="1"/>
                <w:szCs w:val="1"/>
                <w:color w:val="auto"/>
              </w:rPr>
            </w:pPr>
          </w:p>
        </w:tc>
      </w:tr>
      <w:tr>
        <w:trPr>
          <w:trHeight w:val="39"/>
        </w:trPr>
        <w:tc>
          <w:tcPr>
            <w:tcW w:w="2880" w:type="dxa"/>
            <w:vAlign w:val="bottom"/>
            <w:tcBorders>
              <w:bottom w:val="single" w:sz="8" w:color="99B5CB"/>
            </w:tcBorders>
          </w:tcPr>
          <w:p>
            <w:pPr>
              <w:spacing w:after="0"/>
              <w:rPr>
                <w:sz w:val="3"/>
                <w:szCs w:val="3"/>
                <w:color w:val="auto"/>
              </w:rPr>
            </w:pPr>
          </w:p>
        </w:tc>
        <w:tc>
          <w:tcPr>
            <w:tcW w:w="2600" w:type="dxa"/>
            <w:vAlign w:val="bottom"/>
            <w:tcBorders>
              <w:bottom w:val="single" w:sz="8" w:color="99B5CB"/>
            </w:tcBorders>
          </w:tcPr>
          <w:p>
            <w:pPr>
              <w:spacing w:after="0"/>
              <w:rPr>
                <w:sz w:val="3"/>
                <w:szCs w:val="3"/>
                <w:color w:val="auto"/>
              </w:rPr>
            </w:pPr>
          </w:p>
        </w:tc>
        <w:tc>
          <w:tcPr>
            <w:tcW w:w="980" w:type="dxa"/>
            <w:vAlign w:val="bottom"/>
            <w:tcBorders>
              <w:bottom w:val="single" w:sz="8" w:color="99B5CB"/>
            </w:tcBorders>
          </w:tcPr>
          <w:p>
            <w:pPr>
              <w:spacing w:after="0"/>
              <w:rPr>
                <w:sz w:val="3"/>
                <w:szCs w:val="3"/>
                <w:color w:val="auto"/>
              </w:rPr>
            </w:pPr>
          </w:p>
        </w:tc>
        <w:tc>
          <w:tcPr>
            <w:tcW w:w="3120" w:type="dxa"/>
            <w:vAlign w:val="bottom"/>
            <w:tcBorders>
              <w:bottom w:val="single" w:sz="8" w:color="99B5CB"/>
            </w:tcBorders>
          </w:tcPr>
          <w:p>
            <w:pPr>
              <w:spacing w:after="0"/>
              <w:rPr>
                <w:sz w:val="3"/>
                <w:szCs w:val="3"/>
                <w:color w:val="auto"/>
              </w:rPr>
            </w:pPr>
          </w:p>
        </w:tc>
        <w:tc>
          <w:tcPr>
            <w:tcW w:w="960" w:type="dxa"/>
            <w:vAlign w:val="bottom"/>
            <w:tcBorders>
              <w:bottom w:val="single" w:sz="8" w:color="99B5CB"/>
            </w:tcBorders>
          </w:tcPr>
          <w:p>
            <w:pPr>
              <w:spacing w:after="0"/>
              <w:rPr>
                <w:sz w:val="3"/>
                <w:szCs w:val="3"/>
                <w:color w:val="auto"/>
              </w:rPr>
            </w:pPr>
          </w:p>
        </w:tc>
        <w:tc>
          <w:tcPr>
            <w:tcW w:w="0" w:type="dxa"/>
            <w:vAlign w:val="bottom"/>
          </w:tcPr>
          <w:p>
            <w:pPr>
              <w:spacing w:after="0"/>
              <w:rPr>
                <w:sz w:val="1"/>
                <w:szCs w:val="1"/>
                <w:color w:val="auto"/>
              </w:rPr>
            </w:pPr>
          </w:p>
        </w:tc>
      </w:tr>
      <w:tr>
        <w:trPr>
          <w:trHeight w:val="251"/>
        </w:trPr>
        <w:tc>
          <w:tcPr>
            <w:tcW w:w="2880" w:type="dxa"/>
            <w:vAlign w:val="bottom"/>
          </w:tcPr>
          <w:p>
            <w:pPr>
              <w:ind w:left="60"/>
              <w:spacing w:after="0"/>
              <w:rPr>
                <w:sz w:val="20"/>
                <w:szCs w:val="20"/>
                <w:color w:val="auto"/>
              </w:rPr>
            </w:pPr>
            <w:r>
              <w:rPr>
                <w:rFonts w:ascii="Arial" w:cs="Arial" w:eastAsia="Arial" w:hAnsi="Arial"/>
                <w:sz w:val="17"/>
                <w:szCs w:val="17"/>
                <w:b w:val="1"/>
                <w:bCs w:val="1"/>
                <w:color w:val="auto"/>
              </w:rPr>
              <w:t>Michael B. Petras, Jr.</w:t>
            </w:r>
          </w:p>
        </w:tc>
        <w:tc>
          <w:tcPr>
            <w:tcW w:w="26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120" w:type="dxa"/>
            <w:vAlign w:val="bottom"/>
          </w:tcPr>
          <w:p>
            <w:pPr>
              <w:spacing w:after="0"/>
              <w:rPr>
                <w:sz w:val="21"/>
                <w:szCs w:val="21"/>
                <w:color w:val="auto"/>
              </w:rPr>
            </w:pPr>
          </w:p>
        </w:tc>
        <w:tc>
          <w:tcPr>
            <w:tcW w:w="960" w:type="dxa"/>
            <w:vAlign w:val="bottom"/>
          </w:tcPr>
          <w:p>
            <w:pPr>
              <w:jc w:val="center"/>
              <w:spacing w:after="0"/>
              <w:rPr>
                <w:sz w:val="20"/>
                <w:szCs w:val="20"/>
                <w:color w:val="auto"/>
              </w:rPr>
            </w:pPr>
            <w:r>
              <w:rPr>
                <w:rFonts w:ascii="Arial" w:cs="Arial" w:eastAsia="Arial" w:hAnsi="Arial"/>
                <w:sz w:val="17"/>
                <w:szCs w:val="17"/>
                <w:b w:val="1"/>
                <w:bCs w:val="1"/>
                <w:color w:val="00467D"/>
              </w:rPr>
              <w:t>—</w:t>
            </w:r>
          </w:p>
        </w:tc>
        <w:tc>
          <w:tcPr>
            <w:tcW w:w="0" w:type="dxa"/>
            <w:vAlign w:val="bottom"/>
          </w:tcPr>
          <w:p>
            <w:pPr>
              <w:spacing w:after="0"/>
              <w:rPr>
                <w:sz w:val="1"/>
                <w:szCs w:val="1"/>
                <w:color w:val="auto"/>
              </w:rPr>
            </w:pPr>
          </w:p>
        </w:tc>
      </w:tr>
      <w:tr>
        <w:trPr>
          <w:trHeight w:val="39"/>
        </w:trPr>
        <w:tc>
          <w:tcPr>
            <w:tcW w:w="2880" w:type="dxa"/>
            <w:vAlign w:val="bottom"/>
            <w:tcBorders>
              <w:bottom w:val="single" w:sz="8" w:color="99B5CB"/>
            </w:tcBorders>
          </w:tcPr>
          <w:p>
            <w:pPr>
              <w:spacing w:after="0"/>
              <w:rPr>
                <w:sz w:val="3"/>
                <w:szCs w:val="3"/>
                <w:color w:val="auto"/>
              </w:rPr>
            </w:pPr>
          </w:p>
        </w:tc>
        <w:tc>
          <w:tcPr>
            <w:tcW w:w="2600" w:type="dxa"/>
            <w:vAlign w:val="bottom"/>
            <w:tcBorders>
              <w:bottom w:val="single" w:sz="8" w:color="99B5CB"/>
            </w:tcBorders>
          </w:tcPr>
          <w:p>
            <w:pPr>
              <w:spacing w:after="0"/>
              <w:rPr>
                <w:sz w:val="3"/>
                <w:szCs w:val="3"/>
                <w:color w:val="auto"/>
              </w:rPr>
            </w:pPr>
          </w:p>
        </w:tc>
        <w:tc>
          <w:tcPr>
            <w:tcW w:w="980" w:type="dxa"/>
            <w:vAlign w:val="bottom"/>
            <w:tcBorders>
              <w:bottom w:val="single" w:sz="8" w:color="99B5CB"/>
            </w:tcBorders>
          </w:tcPr>
          <w:p>
            <w:pPr>
              <w:spacing w:after="0"/>
              <w:rPr>
                <w:sz w:val="3"/>
                <w:szCs w:val="3"/>
                <w:color w:val="auto"/>
              </w:rPr>
            </w:pPr>
          </w:p>
        </w:tc>
        <w:tc>
          <w:tcPr>
            <w:tcW w:w="3120" w:type="dxa"/>
            <w:vAlign w:val="bottom"/>
            <w:tcBorders>
              <w:bottom w:val="single" w:sz="8" w:color="99B5CB"/>
            </w:tcBorders>
          </w:tcPr>
          <w:p>
            <w:pPr>
              <w:spacing w:after="0"/>
              <w:rPr>
                <w:sz w:val="3"/>
                <w:szCs w:val="3"/>
                <w:color w:val="auto"/>
              </w:rPr>
            </w:pPr>
          </w:p>
        </w:tc>
        <w:tc>
          <w:tcPr>
            <w:tcW w:w="960" w:type="dxa"/>
            <w:vAlign w:val="bottom"/>
            <w:tcBorders>
              <w:bottom w:val="single" w:sz="8" w:color="99B5CB"/>
            </w:tcBorders>
          </w:tcPr>
          <w:p>
            <w:pPr>
              <w:spacing w:after="0"/>
              <w:rPr>
                <w:sz w:val="3"/>
                <w:szCs w:val="3"/>
                <w:color w:val="auto"/>
              </w:rPr>
            </w:pPr>
          </w:p>
        </w:tc>
        <w:tc>
          <w:tcPr>
            <w:tcW w:w="0" w:type="dxa"/>
            <w:vAlign w:val="bottom"/>
          </w:tcPr>
          <w:p>
            <w:pPr>
              <w:spacing w:after="0"/>
              <w:rPr>
                <w:sz w:val="1"/>
                <w:szCs w:val="1"/>
                <w:color w:val="auto"/>
              </w:rPr>
            </w:pPr>
          </w:p>
        </w:tc>
      </w:tr>
      <w:tr>
        <w:trPr>
          <w:trHeight w:val="251"/>
        </w:trPr>
        <w:tc>
          <w:tcPr>
            <w:tcW w:w="2880" w:type="dxa"/>
            <w:vAlign w:val="bottom"/>
          </w:tcPr>
          <w:p>
            <w:pPr>
              <w:ind w:left="60"/>
              <w:spacing w:after="0"/>
              <w:rPr>
                <w:sz w:val="20"/>
                <w:szCs w:val="20"/>
                <w:color w:val="auto"/>
              </w:rPr>
            </w:pPr>
            <w:r>
              <w:rPr>
                <w:rFonts w:ascii="Arial" w:cs="Arial" w:eastAsia="Arial" w:hAnsi="Arial"/>
                <w:sz w:val="17"/>
                <w:szCs w:val="17"/>
                <w:b w:val="1"/>
                <w:bCs w:val="1"/>
                <w:color w:val="auto"/>
              </w:rPr>
              <w:t>Vincent K. Petrella</w:t>
            </w:r>
          </w:p>
        </w:tc>
        <w:tc>
          <w:tcPr>
            <w:tcW w:w="26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120" w:type="dxa"/>
            <w:vAlign w:val="bottom"/>
          </w:tcPr>
          <w:p>
            <w:pPr>
              <w:spacing w:after="0"/>
              <w:rPr>
                <w:sz w:val="21"/>
                <w:szCs w:val="21"/>
                <w:color w:val="auto"/>
              </w:rPr>
            </w:pPr>
          </w:p>
        </w:tc>
        <w:tc>
          <w:tcPr>
            <w:tcW w:w="960" w:type="dxa"/>
            <w:vAlign w:val="bottom"/>
          </w:tcPr>
          <w:p>
            <w:pPr>
              <w:jc w:val="center"/>
              <w:spacing w:after="0"/>
              <w:rPr>
                <w:sz w:val="20"/>
                <w:szCs w:val="20"/>
                <w:color w:val="auto"/>
              </w:rPr>
            </w:pPr>
            <w:r>
              <w:rPr>
                <w:rFonts w:ascii="Arial" w:cs="Arial" w:eastAsia="Arial" w:hAnsi="Arial"/>
                <w:sz w:val="17"/>
                <w:szCs w:val="17"/>
                <w:b w:val="1"/>
                <w:bCs w:val="1"/>
                <w:color w:val="00467D"/>
              </w:rPr>
              <w:t>2</w:t>
            </w:r>
          </w:p>
        </w:tc>
        <w:tc>
          <w:tcPr>
            <w:tcW w:w="0" w:type="dxa"/>
            <w:vAlign w:val="bottom"/>
          </w:tcPr>
          <w:p>
            <w:pPr>
              <w:spacing w:after="0"/>
              <w:rPr>
                <w:sz w:val="1"/>
                <w:szCs w:val="1"/>
                <w:color w:val="auto"/>
              </w:rPr>
            </w:pPr>
          </w:p>
        </w:tc>
      </w:tr>
      <w:tr>
        <w:trPr>
          <w:trHeight w:val="39"/>
        </w:trPr>
        <w:tc>
          <w:tcPr>
            <w:tcW w:w="2880" w:type="dxa"/>
            <w:vAlign w:val="bottom"/>
            <w:tcBorders>
              <w:bottom w:val="single" w:sz="8" w:color="99B5CB"/>
            </w:tcBorders>
          </w:tcPr>
          <w:p>
            <w:pPr>
              <w:spacing w:after="0"/>
              <w:rPr>
                <w:sz w:val="3"/>
                <w:szCs w:val="3"/>
                <w:color w:val="auto"/>
              </w:rPr>
            </w:pPr>
          </w:p>
        </w:tc>
        <w:tc>
          <w:tcPr>
            <w:tcW w:w="2600" w:type="dxa"/>
            <w:vAlign w:val="bottom"/>
            <w:tcBorders>
              <w:bottom w:val="single" w:sz="8" w:color="99B5CB"/>
            </w:tcBorders>
          </w:tcPr>
          <w:p>
            <w:pPr>
              <w:spacing w:after="0"/>
              <w:rPr>
                <w:sz w:val="3"/>
                <w:szCs w:val="3"/>
                <w:color w:val="auto"/>
              </w:rPr>
            </w:pPr>
          </w:p>
        </w:tc>
        <w:tc>
          <w:tcPr>
            <w:tcW w:w="980" w:type="dxa"/>
            <w:vAlign w:val="bottom"/>
            <w:tcBorders>
              <w:bottom w:val="single" w:sz="8" w:color="99B5CB"/>
            </w:tcBorders>
          </w:tcPr>
          <w:p>
            <w:pPr>
              <w:spacing w:after="0"/>
              <w:rPr>
                <w:sz w:val="3"/>
                <w:szCs w:val="3"/>
                <w:color w:val="auto"/>
              </w:rPr>
            </w:pPr>
          </w:p>
        </w:tc>
        <w:tc>
          <w:tcPr>
            <w:tcW w:w="3120" w:type="dxa"/>
            <w:vAlign w:val="bottom"/>
            <w:tcBorders>
              <w:bottom w:val="single" w:sz="8" w:color="99B5CB"/>
            </w:tcBorders>
          </w:tcPr>
          <w:p>
            <w:pPr>
              <w:spacing w:after="0"/>
              <w:rPr>
                <w:sz w:val="3"/>
                <w:szCs w:val="3"/>
                <w:color w:val="auto"/>
              </w:rPr>
            </w:pPr>
          </w:p>
        </w:tc>
        <w:tc>
          <w:tcPr>
            <w:tcW w:w="960" w:type="dxa"/>
            <w:vAlign w:val="bottom"/>
            <w:tcBorders>
              <w:bottom w:val="single" w:sz="8" w:color="99B5CB"/>
            </w:tcBorders>
          </w:tcPr>
          <w:p>
            <w:pPr>
              <w:spacing w:after="0"/>
              <w:rPr>
                <w:sz w:val="3"/>
                <w:szCs w:val="3"/>
                <w:color w:val="auto"/>
              </w:rPr>
            </w:pPr>
          </w:p>
        </w:tc>
        <w:tc>
          <w:tcPr>
            <w:tcW w:w="0" w:type="dxa"/>
            <w:vAlign w:val="bottom"/>
          </w:tcPr>
          <w:p>
            <w:pPr>
              <w:spacing w:after="0"/>
              <w:rPr>
                <w:sz w:val="1"/>
                <w:szCs w:val="1"/>
                <w:color w:val="auto"/>
              </w:rPr>
            </w:pPr>
          </w:p>
        </w:tc>
      </w:tr>
      <w:tr>
        <w:trPr>
          <w:trHeight w:val="251"/>
        </w:trPr>
        <w:tc>
          <w:tcPr>
            <w:tcW w:w="2880" w:type="dxa"/>
            <w:vAlign w:val="bottom"/>
          </w:tcPr>
          <w:p>
            <w:pPr>
              <w:ind w:left="60"/>
              <w:spacing w:after="0"/>
              <w:rPr>
                <w:sz w:val="20"/>
                <w:szCs w:val="20"/>
                <w:color w:val="auto"/>
              </w:rPr>
            </w:pPr>
            <w:r>
              <w:rPr>
                <w:rFonts w:ascii="Arial" w:cs="Arial" w:eastAsia="Arial" w:hAnsi="Arial"/>
                <w:sz w:val="17"/>
                <w:szCs w:val="17"/>
                <w:b w:val="1"/>
                <w:bCs w:val="1"/>
                <w:color w:val="auto"/>
              </w:rPr>
              <w:t>David E. Wheadon</w:t>
            </w:r>
          </w:p>
        </w:tc>
        <w:tc>
          <w:tcPr>
            <w:tcW w:w="26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120" w:type="dxa"/>
            <w:vAlign w:val="bottom"/>
          </w:tcPr>
          <w:p>
            <w:pPr>
              <w:spacing w:after="0"/>
              <w:rPr>
                <w:sz w:val="21"/>
                <w:szCs w:val="21"/>
                <w:color w:val="auto"/>
              </w:rPr>
            </w:pPr>
          </w:p>
        </w:tc>
        <w:tc>
          <w:tcPr>
            <w:tcW w:w="960" w:type="dxa"/>
            <w:vAlign w:val="bottom"/>
          </w:tcPr>
          <w:p>
            <w:pPr>
              <w:jc w:val="center"/>
              <w:spacing w:after="0"/>
              <w:rPr>
                <w:sz w:val="20"/>
                <w:szCs w:val="20"/>
                <w:color w:val="auto"/>
              </w:rPr>
            </w:pPr>
            <w:r>
              <w:rPr>
                <w:rFonts w:ascii="Arial" w:cs="Arial" w:eastAsia="Arial" w:hAnsi="Arial"/>
                <w:sz w:val="17"/>
                <w:szCs w:val="17"/>
                <w:b w:val="1"/>
                <w:bCs w:val="1"/>
                <w:color w:val="00467D"/>
              </w:rPr>
              <w:t>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231775</wp:posOffset>
            </wp:positionH>
            <wp:positionV relativeFrom="paragraph">
              <wp:posOffset>24765</wp:posOffset>
            </wp:positionV>
            <wp:extent cx="66878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687820" cy="8255"/>
                    </a:xfrm>
                    <a:prstGeom prst="rect">
                      <a:avLst/>
                    </a:prstGeom>
                    <a:noFill/>
                  </pic:spPr>
                </pic:pic>
              </a:graphicData>
            </a:graphic>
          </wp:anchor>
        </w:drawing>
        <w:drawing>
          <wp:anchor simplePos="0" relativeHeight="251657728" behindDoc="1" locked="0" layoutInCell="0" allowOverlap="1">
            <wp:simplePos x="0" y="0"/>
            <wp:positionH relativeFrom="column">
              <wp:posOffset>1624965</wp:posOffset>
            </wp:positionH>
            <wp:positionV relativeFrom="paragraph">
              <wp:posOffset>-2244725</wp:posOffset>
            </wp:positionV>
            <wp:extent cx="295275" cy="29527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95275" cy="295275"/>
                    </a:xfrm>
                    <a:prstGeom prst="rect">
                      <a:avLst/>
                    </a:prstGeom>
                    <a:noFill/>
                  </pic:spPr>
                </pic:pic>
              </a:graphicData>
            </a:graphic>
          </wp:anchor>
        </w:drawing>
        <w:drawing>
          <wp:anchor simplePos="0" relativeHeight="251657728" behindDoc="1" locked="0" layoutInCell="0" allowOverlap="1">
            <wp:simplePos x="0" y="0"/>
            <wp:positionH relativeFrom="column">
              <wp:posOffset>2132965</wp:posOffset>
            </wp:positionH>
            <wp:positionV relativeFrom="paragraph">
              <wp:posOffset>-2244725</wp:posOffset>
            </wp:positionV>
            <wp:extent cx="295275" cy="29527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95275" cy="295275"/>
                    </a:xfrm>
                    <a:prstGeom prst="rect">
                      <a:avLst/>
                    </a:prstGeom>
                    <a:noFill/>
                  </pic:spPr>
                </pic:pic>
              </a:graphicData>
            </a:graphic>
          </wp:anchor>
        </w:drawing>
        <w:drawing>
          <wp:anchor simplePos="0" relativeHeight="251657728" behindDoc="1" locked="0" layoutInCell="0" allowOverlap="1">
            <wp:simplePos x="0" y="0"/>
            <wp:positionH relativeFrom="column">
              <wp:posOffset>2673985</wp:posOffset>
            </wp:positionH>
            <wp:positionV relativeFrom="paragraph">
              <wp:posOffset>-2244725</wp:posOffset>
            </wp:positionV>
            <wp:extent cx="295275" cy="29527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95275" cy="295275"/>
                    </a:xfrm>
                    <a:prstGeom prst="rect">
                      <a:avLst/>
                    </a:prstGeom>
                    <a:noFill/>
                  </pic:spPr>
                </pic:pic>
              </a:graphicData>
            </a:graphic>
          </wp:anchor>
        </w:drawing>
        <w:drawing>
          <wp:anchor simplePos="0" relativeHeight="251657728" behindDoc="1" locked="0" layoutInCell="0" allowOverlap="1">
            <wp:simplePos x="0" y="0"/>
            <wp:positionH relativeFrom="column">
              <wp:posOffset>3280410</wp:posOffset>
            </wp:positionH>
            <wp:positionV relativeFrom="paragraph">
              <wp:posOffset>-2244725</wp:posOffset>
            </wp:positionV>
            <wp:extent cx="295275" cy="29527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95275" cy="295275"/>
                    </a:xfrm>
                    <a:prstGeom prst="rect">
                      <a:avLst/>
                    </a:prstGeom>
                    <a:noFill/>
                  </pic:spPr>
                </pic:pic>
              </a:graphicData>
            </a:graphic>
          </wp:anchor>
        </w:drawing>
        <w:drawing>
          <wp:anchor simplePos="0" relativeHeight="251657728" behindDoc="1" locked="0" layoutInCell="0" allowOverlap="1">
            <wp:simplePos x="0" y="0"/>
            <wp:positionH relativeFrom="column">
              <wp:posOffset>3862070</wp:posOffset>
            </wp:positionH>
            <wp:positionV relativeFrom="paragraph">
              <wp:posOffset>-2244725</wp:posOffset>
            </wp:positionV>
            <wp:extent cx="1262380" cy="30353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62380" cy="303530"/>
                    </a:xfrm>
                    <a:prstGeom prst="rect">
                      <a:avLst/>
                    </a:prstGeom>
                    <a:noFill/>
                  </pic:spPr>
                </pic:pic>
              </a:graphicData>
            </a:graphic>
          </wp:anchor>
        </w:drawing>
        <w:drawing>
          <wp:anchor simplePos="0" relativeHeight="251657728" behindDoc="1" locked="0" layoutInCell="0" allowOverlap="1">
            <wp:simplePos x="0" y="0"/>
            <wp:positionH relativeFrom="column">
              <wp:posOffset>5869940</wp:posOffset>
            </wp:positionH>
            <wp:positionV relativeFrom="paragraph">
              <wp:posOffset>-2244725</wp:posOffset>
            </wp:positionV>
            <wp:extent cx="295275" cy="29527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95275" cy="295275"/>
                    </a:xfrm>
                    <a:prstGeom prst="rect">
                      <a:avLst/>
                    </a:prstGeom>
                    <a:noFill/>
                  </pic:spPr>
                </pic:pic>
              </a:graphicData>
            </a:graphic>
          </wp:anchor>
        </w:drawing>
        <w:drawing>
          <wp:anchor simplePos="0" relativeHeight="251657728" behindDoc="1" locked="0" layoutInCell="0" allowOverlap="1">
            <wp:simplePos x="0" y="0"/>
            <wp:positionH relativeFrom="column">
              <wp:posOffset>6492875</wp:posOffset>
            </wp:positionH>
            <wp:positionV relativeFrom="paragraph">
              <wp:posOffset>-2244725</wp:posOffset>
            </wp:positionV>
            <wp:extent cx="295275" cy="29527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95275" cy="295275"/>
                    </a:xfrm>
                    <a:prstGeom prst="rect">
                      <a:avLst/>
                    </a:prstGeom>
                    <a:noFill/>
                  </pic:spPr>
                </pic:pic>
              </a:graphicData>
            </a:graphic>
          </wp:anchor>
        </w:drawing>
        <w:drawing>
          <wp:anchor simplePos="0" relativeHeight="251657728" behindDoc="1" locked="0" layoutInCell="0" allowOverlap="1">
            <wp:simplePos x="0" y="0"/>
            <wp:positionH relativeFrom="column">
              <wp:posOffset>1739265</wp:posOffset>
            </wp:positionH>
            <wp:positionV relativeFrom="paragraph">
              <wp:posOffset>-1851025</wp:posOffset>
            </wp:positionV>
            <wp:extent cx="65405" cy="6540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5405" cy="65405"/>
                    </a:xfrm>
                    <a:prstGeom prst="rect">
                      <a:avLst/>
                    </a:prstGeom>
                    <a:noFill/>
                  </pic:spPr>
                </pic:pic>
              </a:graphicData>
            </a:graphic>
          </wp:anchor>
        </w:drawing>
        <w:drawing>
          <wp:anchor simplePos="0" relativeHeight="251657728" behindDoc="1" locked="0" layoutInCell="0" allowOverlap="1">
            <wp:simplePos x="0" y="0"/>
            <wp:positionH relativeFrom="column">
              <wp:posOffset>2247900</wp:posOffset>
            </wp:positionH>
            <wp:positionV relativeFrom="paragraph">
              <wp:posOffset>-1851025</wp:posOffset>
            </wp:positionV>
            <wp:extent cx="65405" cy="6540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5405" cy="65405"/>
                    </a:xfrm>
                    <a:prstGeom prst="rect">
                      <a:avLst/>
                    </a:prstGeom>
                    <a:noFill/>
                  </pic:spPr>
                </pic:pic>
              </a:graphicData>
            </a:graphic>
          </wp:anchor>
        </w:drawing>
        <w:drawing>
          <wp:anchor simplePos="0" relativeHeight="251657728" behindDoc="1" locked="0" layoutInCell="0" allowOverlap="1">
            <wp:simplePos x="0" y="0"/>
            <wp:positionH relativeFrom="column">
              <wp:posOffset>2788285</wp:posOffset>
            </wp:positionH>
            <wp:positionV relativeFrom="paragraph">
              <wp:posOffset>-1851025</wp:posOffset>
            </wp:positionV>
            <wp:extent cx="65405" cy="6540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5405" cy="65405"/>
                    </a:xfrm>
                    <a:prstGeom prst="rect">
                      <a:avLst/>
                    </a:prstGeom>
                    <a:noFill/>
                  </pic:spPr>
                </pic:pic>
              </a:graphicData>
            </a:graphic>
          </wp:anchor>
        </w:drawing>
        <w:drawing>
          <wp:anchor simplePos="0" relativeHeight="251657728" behindDoc="1" locked="0" layoutInCell="0" allowOverlap="1">
            <wp:simplePos x="0" y="0"/>
            <wp:positionH relativeFrom="column">
              <wp:posOffset>5460365</wp:posOffset>
            </wp:positionH>
            <wp:positionV relativeFrom="paragraph">
              <wp:posOffset>-1851025</wp:posOffset>
            </wp:positionV>
            <wp:extent cx="65405" cy="6540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5405" cy="65405"/>
                    </a:xfrm>
                    <a:prstGeom prst="rect">
                      <a:avLst/>
                    </a:prstGeom>
                    <a:noFill/>
                  </pic:spPr>
                </pic:pic>
              </a:graphicData>
            </a:graphic>
          </wp:anchor>
        </w:drawing>
        <w:drawing>
          <wp:anchor simplePos="0" relativeHeight="251657728" behindDoc="1" locked="0" layoutInCell="0" allowOverlap="1">
            <wp:simplePos x="0" y="0"/>
            <wp:positionH relativeFrom="column">
              <wp:posOffset>5984875</wp:posOffset>
            </wp:positionH>
            <wp:positionV relativeFrom="paragraph">
              <wp:posOffset>-1851025</wp:posOffset>
            </wp:positionV>
            <wp:extent cx="65405" cy="654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5405" cy="65405"/>
                    </a:xfrm>
                    <a:prstGeom prst="rect">
                      <a:avLst/>
                    </a:prstGeom>
                    <a:noFill/>
                  </pic:spPr>
                </pic:pic>
              </a:graphicData>
            </a:graphic>
          </wp:anchor>
        </w:drawing>
        <w:drawing>
          <wp:anchor simplePos="0" relativeHeight="251657728" behindDoc="1" locked="0" layoutInCell="0" allowOverlap="1">
            <wp:simplePos x="0" y="0"/>
            <wp:positionH relativeFrom="column">
              <wp:posOffset>1739265</wp:posOffset>
            </wp:positionH>
            <wp:positionV relativeFrom="paragraph">
              <wp:posOffset>-1654810</wp:posOffset>
            </wp:positionV>
            <wp:extent cx="65405" cy="6540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5405" cy="65405"/>
                    </a:xfrm>
                    <a:prstGeom prst="rect">
                      <a:avLst/>
                    </a:prstGeom>
                    <a:noFill/>
                  </pic:spPr>
                </pic:pic>
              </a:graphicData>
            </a:graphic>
          </wp:anchor>
        </w:drawing>
        <w:drawing>
          <wp:anchor simplePos="0" relativeHeight="251657728" behindDoc="1" locked="0" layoutInCell="0" allowOverlap="1">
            <wp:simplePos x="0" y="0"/>
            <wp:positionH relativeFrom="column">
              <wp:posOffset>2247900</wp:posOffset>
            </wp:positionH>
            <wp:positionV relativeFrom="paragraph">
              <wp:posOffset>-1654810</wp:posOffset>
            </wp:positionV>
            <wp:extent cx="65405" cy="6540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5405" cy="65405"/>
                    </a:xfrm>
                    <a:prstGeom prst="rect">
                      <a:avLst/>
                    </a:prstGeom>
                    <a:noFill/>
                  </pic:spPr>
                </pic:pic>
              </a:graphicData>
            </a:graphic>
          </wp:anchor>
        </w:drawing>
        <w:drawing>
          <wp:anchor simplePos="0" relativeHeight="251657728" behindDoc="1" locked="0" layoutInCell="0" allowOverlap="1">
            <wp:simplePos x="0" y="0"/>
            <wp:positionH relativeFrom="column">
              <wp:posOffset>2788285</wp:posOffset>
            </wp:positionH>
            <wp:positionV relativeFrom="paragraph">
              <wp:posOffset>-1654810</wp:posOffset>
            </wp:positionV>
            <wp:extent cx="65405" cy="6540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5405" cy="65405"/>
                    </a:xfrm>
                    <a:prstGeom prst="rect">
                      <a:avLst/>
                    </a:prstGeom>
                    <a:noFill/>
                  </pic:spPr>
                </pic:pic>
              </a:graphicData>
            </a:graphic>
          </wp:anchor>
        </w:drawing>
        <w:drawing>
          <wp:anchor simplePos="0" relativeHeight="251657728" behindDoc="1" locked="0" layoutInCell="0" allowOverlap="1">
            <wp:simplePos x="0" y="0"/>
            <wp:positionH relativeFrom="column">
              <wp:posOffset>5460365</wp:posOffset>
            </wp:positionH>
            <wp:positionV relativeFrom="paragraph">
              <wp:posOffset>-1654810</wp:posOffset>
            </wp:positionV>
            <wp:extent cx="65405" cy="6540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5405" cy="65405"/>
                    </a:xfrm>
                    <a:prstGeom prst="rect">
                      <a:avLst/>
                    </a:prstGeom>
                    <a:noFill/>
                  </pic:spPr>
                </pic:pic>
              </a:graphicData>
            </a:graphic>
          </wp:anchor>
        </w:drawing>
        <w:drawing>
          <wp:anchor simplePos="0" relativeHeight="251657728" behindDoc="1" locked="0" layoutInCell="0" allowOverlap="1">
            <wp:simplePos x="0" y="0"/>
            <wp:positionH relativeFrom="column">
              <wp:posOffset>1739265</wp:posOffset>
            </wp:positionH>
            <wp:positionV relativeFrom="paragraph">
              <wp:posOffset>-1457960</wp:posOffset>
            </wp:positionV>
            <wp:extent cx="65405" cy="6540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5405" cy="65405"/>
                    </a:xfrm>
                    <a:prstGeom prst="rect">
                      <a:avLst/>
                    </a:prstGeom>
                    <a:noFill/>
                  </pic:spPr>
                </pic:pic>
              </a:graphicData>
            </a:graphic>
          </wp:anchor>
        </w:drawing>
        <w:drawing>
          <wp:anchor simplePos="0" relativeHeight="251657728" behindDoc="1" locked="0" layoutInCell="0" allowOverlap="1">
            <wp:simplePos x="0" y="0"/>
            <wp:positionH relativeFrom="column">
              <wp:posOffset>2247900</wp:posOffset>
            </wp:positionH>
            <wp:positionV relativeFrom="paragraph">
              <wp:posOffset>-1457960</wp:posOffset>
            </wp:positionV>
            <wp:extent cx="65405" cy="6540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5405" cy="65405"/>
                    </a:xfrm>
                    <a:prstGeom prst="rect">
                      <a:avLst/>
                    </a:prstGeom>
                    <a:noFill/>
                  </pic:spPr>
                </pic:pic>
              </a:graphicData>
            </a:graphic>
          </wp:anchor>
        </w:drawing>
        <w:drawing>
          <wp:anchor simplePos="0" relativeHeight="251657728" behindDoc="1" locked="0" layoutInCell="0" allowOverlap="1">
            <wp:simplePos x="0" y="0"/>
            <wp:positionH relativeFrom="column">
              <wp:posOffset>2788285</wp:posOffset>
            </wp:positionH>
            <wp:positionV relativeFrom="paragraph">
              <wp:posOffset>-1457960</wp:posOffset>
            </wp:positionV>
            <wp:extent cx="65405" cy="6540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5405" cy="65405"/>
                    </a:xfrm>
                    <a:prstGeom prst="rect">
                      <a:avLst/>
                    </a:prstGeom>
                    <a:noFill/>
                  </pic:spPr>
                </pic:pic>
              </a:graphicData>
            </a:graphic>
          </wp:anchor>
        </w:drawing>
        <w:drawing>
          <wp:anchor simplePos="0" relativeHeight="251657728" behindDoc="1" locked="0" layoutInCell="0" allowOverlap="1">
            <wp:simplePos x="0" y="0"/>
            <wp:positionH relativeFrom="column">
              <wp:posOffset>5460365</wp:posOffset>
            </wp:positionH>
            <wp:positionV relativeFrom="paragraph">
              <wp:posOffset>-1457960</wp:posOffset>
            </wp:positionV>
            <wp:extent cx="65405" cy="6540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5405" cy="65405"/>
                    </a:xfrm>
                    <a:prstGeom prst="rect">
                      <a:avLst/>
                    </a:prstGeom>
                    <a:noFill/>
                  </pic:spPr>
                </pic:pic>
              </a:graphicData>
            </a:graphic>
          </wp:anchor>
        </w:drawing>
        <w:drawing>
          <wp:anchor simplePos="0" relativeHeight="251657728" behindDoc="1" locked="0" layoutInCell="0" allowOverlap="1">
            <wp:simplePos x="0" y="0"/>
            <wp:positionH relativeFrom="column">
              <wp:posOffset>1739265</wp:posOffset>
            </wp:positionH>
            <wp:positionV relativeFrom="paragraph">
              <wp:posOffset>-1261110</wp:posOffset>
            </wp:positionV>
            <wp:extent cx="65405" cy="6540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5405" cy="65405"/>
                    </a:xfrm>
                    <a:prstGeom prst="rect">
                      <a:avLst/>
                    </a:prstGeom>
                    <a:noFill/>
                  </pic:spPr>
                </pic:pic>
              </a:graphicData>
            </a:graphic>
          </wp:anchor>
        </w:drawing>
        <w:drawing>
          <wp:anchor simplePos="0" relativeHeight="251657728" behindDoc="1" locked="0" layoutInCell="0" allowOverlap="1">
            <wp:simplePos x="0" y="0"/>
            <wp:positionH relativeFrom="column">
              <wp:posOffset>2788285</wp:posOffset>
            </wp:positionH>
            <wp:positionV relativeFrom="paragraph">
              <wp:posOffset>-1261110</wp:posOffset>
            </wp:positionV>
            <wp:extent cx="65405" cy="6540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5405" cy="65405"/>
                    </a:xfrm>
                    <a:prstGeom prst="rect">
                      <a:avLst/>
                    </a:prstGeom>
                    <a:noFill/>
                  </pic:spPr>
                </pic:pic>
              </a:graphicData>
            </a:graphic>
          </wp:anchor>
        </w:drawing>
        <w:drawing>
          <wp:anchor simplePos="0" relativeHeight="251657728" behindDoc="1" locked="0" layoutInCell="0" allowOverlap="1">
            <wp:simplePos x="0" y="0"/>
            <wp:positionH relativeFrom="column">
              <wp:posOffset>3395345</wp:posOffset>
            </wp:positionH>
            <wp:positionV relativeFrom="paragraph">
              <wp:posOffset>-1261110</wp:posOffset>
            </wp:positionV>
            <wp:extent cx="65405" cy="6540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5405" cy="65405"/>
                    </a:xfrm>
                    <a:prstGeom prst="rect">
                      <a:avLst/>
                    </a:prstGeom>
                    <a:noFill/>
                  </pic:spPr>
                </pic:pic>
              </a:graphicData>
            </a:graphic>
          </wp:anchor>
        </w:drawing>
        <w:drawing>
          <wp:anchor simplePos="0" relativeHeight="251657728" behindDoc="1" locked="0" layoutInCell="0" allowOverlap="1">
            <wp:simplePos x="0" y="0"/>
            <wp:positionH relativeFrom="column">
              <wp:posOffset>4468495</wp:posOffset>
            </wp:positionH>
            <wp:positionV relativeFrom="paragraph">
              <wp:posOffset>-1261110</wp:posOffset>
            </wp:positionV>
            <wp:extent cx="65405" cy="6540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5405" cy="65405"/>
                    </a:xfrm>
                    <a:prstGeom prst="rect">
                      <a:avLst/>
                    </a:prstGeom>
                    <a:noFill/>
                  </pic:spPr>
                </pic:pic>
              </a:graphicData>
            </a:graphic>
          </wp:anchor>
        </w:drawing>
        <w:drawing>
          <wp:anchor simplePos="0" relativeHeight="251657728" behindDoc="1" locked="0" layoutInCell="0" allowOverlap="1">
            <wp:simplePos x="0" y="0"/>
            <wp:positionH relativeFrom="column">
              <wp:posOffset>5460365</wp:posOffset>
            </wp:positionH>
            <wp:positionV relativeFrom="paragraph">
              <wp:posOffset>-1261110</wp:posOffset>
            </wp:positionV>
            <wp:extent cx="65405" cy="6540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5405" cy="65405"/>
                    </a:xfrm>
                    <a:prstGeom prst="rect">
                      <a:avLst/>
                    </a:prstGeom>
                    <a:noFill/>
                  </pic:spPr>
                </pic:pic>
              </a:graphicData>
            </a:graphic>
          </wp:anchor>
        </w:drawing>
        <w:drawing>
          <wp:anchor simplePos="0" relativeHeight="251657728" behindDoc="1" locked="0" layoutInCell="0" allowOverlap="1">
            <wp:simplePos x="0" y="0"/>
            <wp:positionH relativeFrom="column">
              <wp:posOffset>5984875</wp:posOffset>
            </wp:positionH>
            <wp:positionV relativeFrom="paragraph">
              <wp:posOffset>-1261110</wp:posOffset>
            </wp:positionV>
            <wp:extent cx="65405" cy="6540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5405" cy="65405"/>
                    </a:xfrm>
                    <a:prstGeom prst="rect">
                      <a:avLst/>
                    </a:prstGeom>
                    <a:noFill/>
                  </pic:spPr>
                </pic:pic>
              </a:graphicData>
            </a:graphic>
          </wp:anchor>
        </w:drawing>
        <w:drawing>
          <wp:anchor simplePos="0" relativeHeight="251657728" behindDoc="1" locked="0" layoutInCell="0" allowOverlap="1">
            <wp:simplePos x="0" y="0"/>
            <wp:positionH relativeFrom="column">
              <wp:posOffset>2247900</wp:posOffset>
            </wp:positionH>
            <wp:positionV relativeFrom="paragraph">
              <wp:posOffset>-1064260</wp:posOffset>
            </wp:positionV>
            <wp:extent cx="65405" cy="6540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5405" cy="65405"/>
                    </a:xfrm>
                    <a:prstGeom prst="rect">
                      <a:avLst/>
                    </a:prstGeom>
                    <a:noFill/>
                  </pic:spPr>
                </pic:pic>
              </a:graphicData>
            </a:graphic>
          </wp:anchor>
        </w:drawing>
        <w:drawing>
          <wp:anchor simplePos="0" relativeHeight="251657728" behindDoc="1" locked="0" layoutInCell="0" allowOverlap="1">
            <wp:simplePos x="0" y="0"/>
            <wp:positionH relativeFrom="column">
              <wp:posOffset>2788285</wp:posOffset>
            </wp:positionH>
            <wp:positionV relativeFrom="paragraph">
              <wp:posOffset>-1064260</wp:posOffset>
            </wp:positionV>
            <wp:extent cx="65405" cy="6540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5405" cy="65405"/>
                    </a:xfrm>
                    <a:prstGeom prst="rect">
                      <a:avLst/>
                    </a:prstGeom>
                    <a:noFill/>
                  </pic:spPr>
                </pic:pic>
              </a:graphicData>
            </a:graphic>
          </wp:anchor>
        </w:drawing>
        <w:drawing>
          <wp:anchor simplePos="0" relativeHeight="251657728" behindDoc="1" locked="0" layoutInCell="0" allowOverlap="1">
            <wp:simplePos x="0" y="0"/>
            <wp:positionH relativeFrom="column">
              <wp:posOffset>3395345</wp:posOffset>
            </wp:positionH>
            <wp:positionV relativeFrom="paragraph">
              <wp:posOffset>-1064260</wp:posOffset>
            </wp:positionV>
            <wp:extent cx="65405" cy="6540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5405" cy="65405"/>
                    </a:xfrm>
                    <a:prstGeom prst="rect">
                      <a:avLst/>
                    </a:prstGeom>
                    <a:noFill/>
                  </pic:spPr>
                </pic:pic>
              </a:graphicData>
            </a:graphic>
          </wp:anchor>
        </w:drawing>
        <w:drawing>
          <wp:anchor simplePos="0" relativeHeight="251657728" behindDoc="1" locked="0" layoutInCell="0" allowOverlap="1">
            <wp:simplePos x="0" y="0"/>
            <wp:positionH relativeFrom="column">
              <wp:posOffset>5460365</wp:posOffset>
            </wp:positionH>
            <wp:positionV relativeFrom="paragraph">
              <wp:posOffset>-1064260</wp:posOffset>
            </wp:positionV>
            <wp:extent cx="65405" cy="6540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5405" cy="65405"/>
                    </a:xfrm>
                    <a:prstGeom prst="rect">
                      <a:avLst/>
                    </a:prstGeom>
                    <a:noFill/>
                  </pic:spPr>
                </pic:pic>
              </a:graphicData>
            </a:graphic>
          </wp:anchor>
        </w:drawing>
        <w:drawing>
          <wp:anchor simplePos="0" relativeHeight="251657728" behindDoc="1" locked="0" layoutInCell="0" allowOverlap="1">
            <wp:simplePos x="0" y="0"/>
            <wp:positionH relativeFrom="column">
              <wp:posOffset>1739265</wp:posOffset>
            </wp:positionH>
            <wp:positionV relativeFrom="paragraph">
              <wp:posOffset>-868045</wp:posOffset>
            </wp:positionV>
            <wp:extent cx="65405" cy="6540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5405" cy="65405"/>
                    </a:xfrm>
                    <a:prstGeom prst="rect">
                      <a:avLst/>
                    </a:prstGeom>
                    <a:noFill/>
                  </pic:spPr>
                </pic:pic>
              </a:graphicData>
            </a:graphic>
          </wp:anchor>
        </w:drawing>
        <w:drawing>
          <wp:anchor simplePos="0" relativeHeight="251657728" behindDoc="1" locked="0" layoutInCell="0" allowOverlap="1">
            <wp:simplePos x="0" y="0"/>
            <wp:positionH relativeFrom="column">
              <wp:posOffset>2247900</wp:posOffset>
            </wp:positionH>
            <wp:positionV relativeFrom="paragraph">
              <wp:posOffset>-868045</wp:posOffset>
            </wp:positionV>
            <wp:extent cx="65405" cy="6540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5405" cy="65405"/>
                    </a:xfrm>
                    <a:prstGeom prst="rect">
                      <a:avLst/>
                    </a:prstGeom>
                    <a:noFill/>
                  </pic:spPr>
                </pic:pic>
              </a:graphicData>
            </a:graphic>
          </wp:anchor>
        </w:drawing>
        <w:drawing>
          <wp:anchor simplePos="0" relativeHeight="251657728" behindDoc="1" locked="0" layoutInCell="0" allowOverlap="1">
            <wp:simplePos x="0" y="0"/>
            <wp:positionH relativeFrom="column">
              <wp:posOffset>2788285</wp:posOffset>
            </wp:positionH>
            <wp:positionV relativeFrom="paragraph">
              <wp:posOffset>-868045</wp:posOffset>
            </wp:positionV>
            <wp:extent cx="65405" cy="6540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5405" cy="65405"/>
                    </a:xfrm>
                    <a:prstGeom prst="rect">
                      <a:avLst/>
                    </a:prstGeom>
                    <a:noFill/>
                  </pic:spPr>
                </pic:pic>
              </a:graphicData>
            </a:graphic>
          </wp:anchor>
        </w:drawing>
        <w:drawing>
          <wp:anchor simplePos="0" relativeHeight="251657728" behindDoc="1" locked="0" layoutInCell="0" allowOverlap="1">
            <wp:simplePos x="0" y="0"/>
            <wp:positionH relativeFrom="column">
              <wp:posOffset>5460365</wp:posOffset>
            </wp:positionH>
            <wp:positionV relativeFrom="paragraph">
              <wp:posOffset>-868045</wp:posOffset>
            </wp:positionV>
            <wp:extent cx="65405" cy="6540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5405" cy="65405"/>
                    </a:xfrm>
                    <a:prstGeom prst="rect">
                      <a:avLst/>
                    </a:prstGeom>
                    <a:noFill/>
                  </pic:spPr>
                </pic:pic>
              </a:graphicData>
            </a:graphic>
          </wp:anchor>
        </w:drawing>
        <w:drawing>
          <wp:anchor simplePos="0" relativeHeight="251657728" behindDoc="1" locked="0" layoutInCell="0" allowOverlap="1">
            <wp:simplePos x="0" y="0"/>
            <wp:positionH relativeFrom="column">
              <wp:posOffset>1739265</wp:posOffset>
            </wp:positionH>
            <wp:positionV relativeFrom="paragraph">
              <wp:posOffset>-671195</wp:posOffset>
            </wp:positionV>
            <wp:extent cx="65405" cy="6540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5405" cy="65405"/>
                    </a:xfrm>
                    <a:prstGeom prst="rect">
                      <a:avLst/>
                    </a:prstGeom>
                    <a:noFill/>
                  </pic:spPr>
                </pic:pic>
              </a:graphicData>
            </a:graphic>
          </wp:anchor>
        </w:drawing>
        <w:drawing>
          <wp:anchor simplePos="0" relativeHeight="251657728" behindDoc="1" locked="0" layoutInCell="0" allowOverlap="1">
            <wp:simplePos x="0" y="0"/>
            <wp:positionH relativeFrom="column">
              <wp:posOffset>2247900</wp:posOffset>
            </wp:positionH>
            <wp:positionV relativeFrom="paragraph">
              <wp:posOffset>-671195</wp:posOffset>
            </wp:positionV>
            <wp:extent cx="65405" cy="6540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5405" cy="65405"/>
                    </a:xfrm>
                    <a:prstGeom prst="rect">
                      <a:avLst/>
                    </a:prstGeom>
                    <a:noFill/>
                  </pic:spPr>
                </pic:pic>
              </a:graphicData>
            </a:graphic>
          </wp:anchor>
        </w:drawing>
        <w:drawing>
          <wp:anchor simplePos="0" relativeHeight="251657728" behindDoc="1" locked="0" layoutInCell="0" allowOverlap="1">
            <wp:simplePos x="0" y="0"/>
            <wp:positionH relativeFrom="column">
              <wp:posOffset>2788285</wp:posOffset>
            </wp:positionH>
            <wp:positionV relativeFrom="paragraph">
              <wp:posOffset>-671195</wp:posOffset>
            </wp:positionV>
            <wp:extent cx="65405" cy="6540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5405" cy="65405"/>
                    </a:xfrm>
                    <a:prstGeom prst="rect">
                      <a:avLst/>
                    </a:prstGeom>
                    <a:noFill/>
                  </pic:spPr>
                </pic:pic>
              </a:graphicData>
            </a:graphic>
          </wp:anchor>
        </w:drawing>
        <w:drawing>
          <wp:anchor simplePos="0" relativeHeight="251657728" behindDoc="1" locked="0" layoutInCell="0" allowOverlap="1">
            <wp:simplePos x="0" y="0"/>
            <wp:positionH relativeFrom="column">
              <wp:posOffset>5460365</wp:posOffset>
            </wp:positionH>
            <wp:positionV relativeFrom="paragraph">
              <wp:posOffset>-671195</wp:posOffset>
            </wp:positionV>
            <wp:extent cx="65405" cy="6540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5405" cy="65405"/>
                    </a:xfrm>
                    <a:prstGeom prst="rect">
                      <a:avLst/>
                    </a:prstGeom>
                    <a:noFill/>
                  </pic:spPr>
                </pic:pic>
              </a:graphicData>
            </a:graphic>
          </wp:anchor>
        </w:drawing>
        <w:drawing>
          <wp:anchor simplePos="0" relativeHeight="251657728" behindDoc="1" locked="0" layoutInCell="0" allowOverlap="1">
            <wp:simplePos x="0" y="0"/>
            <wp:positionH relativeFrom="column">
              <wp:posOffset>1739265</wp:posOffset>
            </wp:positionH>
            <wp:positionV relativeFrom="paragraph">
              <wp:posOffset>-474345</wp:posOffset>
            </wp:positionV>
            <wp:extent cx="65405" cy="6540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5405" cy="65405"/>
                    </a:xfrm>
                    <a:prstGeom prst="rect">
                      <a:avLst/>
                    </a:prstGeom>
                    <a:noFill/>
                  </pic:spPr>
                </pic:pic>
              </a:graphicData>
            </a:graphic>
          </wp:anchor>
        </w:drawing>
        <w:drawing>
          <wp:anchor simplePos="0" relativeHeight="251657728" behindDoc="1" locked="0" layoutInCell="0" allowOverlap="1">
            <wp:simplePos x="0" y="0"/>
            <wp:positionH relativeFrom="column">
              <wp:posOffset>2247900</wp:posOffset>
            </wp:positionH>
            <wp:positionV relativeFrom="paragraph">
              <wp:posOffset>-474345</wp:posOffset>
            </wp:positionV>
            <wp:extent cx="65405" cy="6540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5405" cy="65405"/>
                    </a:xfrm>
                    <a:prstGeom prst="rect">
                      <a:avLst/>
                    </a:prstGeom>
                    <a:noFill/>
                  </pic:spPr>
                </pic:pic>
              </a:graphicData>
            </a:graphic>
          </wp:anchor>
        </w:drawing>
        <w:drawing>
          <wp:anchor simplePos="0" relativeHeight="251657728" behindDoc="1" locked="0" layoutInCell="0" allowOverlap="1">
            <wp:simplePos x="0" y="0"/>
            <wp:positionH relativeFrom="column">
              <wp:posOffset>2788285</wp:posOffset>
            </wp:positionH>
            <wp:positionV relativeFrom="paragraph">
              <wp:posOffset>-474345</wp:posOffset>
            </wp:positionV>
            <wp:extent cx="65405" cy="6540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5405" cy="65405"/>
                    </a:xfrm>
                    <a:prstGeom prst="rect">
                      <a:avLst/>
                    </a:prstGeom>
                    <a:noFill/>
                  </pic:spPr>
                </pic:pic>
              </a:graphicData>
            </a:graphic>
          </wp:anchor>
        </w:drawing>
        <w:drawing>
          <wp:anchor simplePos="0" relativeHeight="251657728" behindDoc="1" locked="0" layoutInCell="0" allowOverlap="1">
            <wp:simplePos x="0" y="0"/>
            <wp:positionH relativeFrom="column">
              <wp:posOffset>3395345</wp:posOffset>
            </wp:positionH>
            <wp:positionV relativeFrom="paragraph">
              <wp:posOffset>-474345</wp:posOffset>
            </wp:positionV>
            <wp:extent cx="65405" cy="6540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5405" cy="65405"/>
                    </a:xfrm>
                    <a:prstGeom prst="rect">
                      <a:avLst/>
                    </a:prstGeom>
                    <a:noFill/>
                  </pic:spPr>
                </pic:pic>
              </a:graphicData>
            </a:graphic>
          </wp:anchor>
        </w:drawing>
        <w:drawing>
          <wp:anchor simplePos="0" relativeHeight="251657728" behindDoc="1" locked="0" layoutInCell="0" allowOverlap="1">
            <wp:simplePos x="0" y="0"/>
            <wp:positionH relativeFrom="column">
              <wp:posOffset>4468495</wp:posOffset>
            </wp:positionH>
            <wp:positionV relativeFrom="paragraph">
              <wp:posOffset>-474345</wp:posOffset>
            </wp:positionV>
            <wp:extent cx="65405" cy="6540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5405" cy="65405"/>
                    </a:xfrm>
                    <a:prstGeom prst="rect">
                      <a:avLst/>
                    </a:prstGeom>
                    <a:noFill/>
                  </pic:spPr>
                </pic:pic>
              </a:graphicData>
            </a:graphic>
          </wp:anchor>
        </w:drawing>
        <w:drawing>
          <wp:anchor simplePos="0" relativeHeight="251657728" behindDoc="1" locked="0" layoutInCell="0" allowOverlap="1">
            <wp:simplePos x="0" y="0"/>
            <wp:positionH relativeFrom="column">
              <wp:posOffset>4944110</wp:posOffset>
            </wp:positionH>
            <wp:positionV relativeFrom="paragraph">
              <wp:posOffset>-474345</wp:posOffset>
            </wp:positionV>
            <wp:extent cx="65405" cy="6540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5405" cy="65405"/>
                    </a:xfrm>
                    <a:prstGeom prst="rect">
                      <a:avLst/>
                    </a:prstGeom>
                    <a:noFill/>
                  </pic:spPr>
                </pic:pic>
              </a:graphicData>
            </a:graphic>
          </wp:anchor>
        </w:drawing>
        <w:drawing>
          <wp:anchor simplePos="0" relativeHeight="251657728" behindDoc="1" locked="0" layoutInCell="0" allowOverlap="1">
            <wp:simplePos x="0" y="0"/>
            <wp:positionH relativeFrom="column">
              <wp:posOffset>5460365</wp:posOffset>
            </wp:positionH>
            <wp:positionV relativeFrom="paragraph">
              <wp:posOffset>-474345</wp:posOffset>
            </wp:positionV>
            <wp:extent cx="65405" cy="6540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5405" cy="65405"/>
                    </a:xfrm>
                    <a:prstGeom prst="rect">
                      <a:avLst/>
                    </a:prstGeom>
                    <a:noFill/>
                  </pic:spPr>
                </pic:pic>
              </a:graphicData>
            </a:graphic>
          </wp:anchor>
        </w:drawing>
        <w:drawing>
          <wp:anchor simplePos="0" relativeHeight="251657728" behindDoc="1" locked="0" layoutInCell="0" allowOverlap="1">
            <wp:simplePos x="0" y="0"/>
            <wp:positionH relativeFrom="column">
              <wp:posOffset>2247900</wp:posOffset>
            </wp:positionH>
            <wp:positionV relativeFrom="paragraph">
              <wp:posOffset>-277495</wp:posOffset>
            </wp:positionV>
            <wp:extent cx="65405" cy="6540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5405" cy="65405"/>
                    </a:xfrm>
                    <a:prstGeom prst="rect">
                      <a:avLst/>
                    </a:prstGeom>
                    <a:noFill/>
                  </pic:spPr>
                </pic:pic>
              </a:graphicData>
            </a:graphic>
          </wp:anchor>
        </w:drawing>
        <w:drawing>
          <wp:anchor simplePos="0" relativeHeight="251657728" behindDoc="1" locked="0" layoutInCell="0" allowOverlap="1">
            <wp:simplePos x="0" y="0"/>
            <wp:positionH relativeFrom="column">
              <wp:posOffset>2788285</wp:posOffset>
            </wp:positionH>
            <wp:positionV relativeFrom="paragraph">
              <wp:posOffset>-277495</wp:posOffset>
            </wp:positionV>
            <wp:extent cx="65405" cy="6540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5405" cy="65405"/>
                    </a:xfrm>
                    <a:prstGeom prst="rect">
                      <a:avLst/>
                    </a:prstGeom>
                    <a:noFill/>
                  </pic:spPr>
                </pic:pic>
              </a:graphicData>
            </a:graphic>
          </wp:anchor>
        </w:drawing>
        <w:drawing>
          <wp:anchor simplePos="0" relativeHeight="251657728" behindDoc="1" locked="0" layoutInCell="0" allowOverlap="1">
            <wp:simplePos x="0" y="0"/>
            <wp:positionH relativeFrom="column">
              <wp:posOffset>3395345</wp:posOffset>
            </wp:positionH>
            <wp:positionV relativeFrom="paragraph">
              <wp:posOffset>-277495</wp:posOffset>
            </wp:positionV>
            <wp:extent cx="65405" cy="6540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5405" cy="65405"/>
                    </a:xfrm>
                    <a:prstGeom prst="rect">
                      <a:avLst/>
                    </a:prstGeom>
                    <a:noFill/>
                  </pic:spPr>
                </pic:pic>
              </a:graphicData>
            </a:graphic>
          </wp:anchor>
        </w:drawing>
        <w:drawing>
          <wp:anchor simplePos="0" relativeHeight="251657728" behindDoc="1" locked="0" layoutInCell="0" allowOverlap="1">
            <wp:simplePos x="0" y="0"/>
            <wp:positionH relativeFrom="column">
              <wp:posOffset>4944110</wp:posOffset>
            </wp:positionH>
            <wp:positionV relativeFrom="paragraph">
              <wp:posOffset>-277495</wp:posOffset>
            </wp:positionV>
            <wp:extent cx="65405" cy="6540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5405" cy="65405"/>
                    </a:xfrm>
                    <a:prstGeom prst="rect">
                      <a:avLst/>
                    </a:prstGeom>
                    <a:noFill/>
                  </pic:spPr>
                </pic:pic>
              </a:graphicData>
            </a:graphic>
          </wp:anchor>
        </w:drawing>
        <w:drawing>
          <wp:anchor simplePos="0" relativeHeight="251657728" behindDoc="1" locked="0" layoutInCell="0" allowOverlap="1">
            <wp:simplePos x="0" y="0"/>
            <wp:positionH relativeFrom="column">
              <wp:posOffset>5460365</wp:posOffset>
            </wp:positionH>
            <wp:positionV relativeFrom="paragraph">
              <wp:posOffset>-277495</wp:posOffset>
            </wp:positionV>
            <wp:extent cx="65405" cy="6540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5405" cy="65405"/>
                    </a:xfrm>
                    <a:prstGeom prst="rect">
                      <a:avLst/>
                    </a:prstGeom>
                    <a:noFill/>
                  </pic:spPr>
                </pic:pic>
              </a:graphicData>
            </a:graphic>
          </wp:anchor>
        </w:drawing>
        <w:drawing>
          <wp:anchor simplePos="0" relativeHeight="251657728" behindDoc="1" locked="0" layoutInCell="0" allowOverlap="1">
            <wp:simplePos x="0" y="0"/>
            <wp:positionH relativeFrom="column">
              <wp:posOffset>1739265</wp:posOffset>
            </wp:positionH>
            <wp:positionV relativeFrom="paragraph">
              <wp:posOffset>-81280</wp:posOffset>
            </wp:positionV>
            <wp:extent cx="65405" cy="6540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5405" cy="65405"/>
                    </a:xfrm>
                    <a:prstGeom prst="rect">
                      <a:avLst/>
                    </a:prstGeom>
                    <a:noFill/>
                  </pic:spPr>
                </pic:pic>
              </a:graphicData>
            </a:graphic>
          </wp:anchor>
        </w:drawing>
        <w:drawing>
          <wp:anchor simplePos="0" relativeHeight="251657728" behindDoc="1" locked="0" layoutInCell="0" allowOverlap="1">
            <wp:simplePos x="0" y="0"/>
            <wp:positionH relativeFrom="column">
              <wp:posOffset>2788285</wp:posOffset>
            </wp:positionH>
            <wp:positionV relativeFrom="paragraph">
              <wp:posOffset>-81280</wp:posOffset>
            </wp:positionV>
            <wp:extent cx="65405" cy="6540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5405" cy="65405"/>
                    </a:xfrm>
                    <a:prstGeom prst="rect">
                      <a:avLst/>
                    </a:prstGeom>
                    <a:noFill/>
                  </pic:spPr>
                </pic:pic>
              </a:graphicData>
            </a:graphic>
          </wp:anchor>
        </w:drawing>
        <w:drawing>
          <wp:anchor simplePos="0" relativeHeight="251657728" behindDoc="1" locked="0" layoutInCell="0" allowOverlap="1">
            <wp:simplePos x="0" y="0"/>
            <wp:positionH relativeFrom="column">
              <wp:posOffset>3395345</wp:posOffset>
            </wp:positionH>
            <wp:positionV relativeFrom="paragraph">
              <wp:posOffset>-81280</wp:posOffset>
            </wp:positionV>
            <wp:extent cx="65405" cy="6540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5405" cy="65405"/>
                    </a:xfrm>
                    <a:prstGeom prst="rect">
                      <a:avLst/>
                    </a:prstGeom>
                    <a:noFill/>
                  </pic:spPr>
                </pic:pic>
              </a:graphicData>
            </a:graphic>
          </wp:anchor>
        </w:drawing>
        <w:drawing>
          <wp:anchor simplePos="0" relativeHeight="251657728" behindDoc="1" locked="0" layoutInCell="0" allowOverlap="1">
            <wp:simplePos x="0" y="0"/>
            <wp:positionH relativeFrom="column">
              <wp:posOffset>3977005</wp:posOffset>
            </wp:positionH>
            <wp:positionV relativeFrom="paragraph">
              <wp:posOffset>-81280</wp:posOffset>
            </wp:positionV>
            <wp:extent cx="65405" cy="6540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5405" cy="65405"/>
                    </a:xfrm>
                    <a:prstGeom prst="rect">
                      <a:avLst/>
                    </a:prstGeom>
                    <a:noFill/>
                  </pic:spPr>
                </pic:pic>
              </a:graphicData>
            </a:graphic>
          </wp:anchor>
        </w:drawing>
        <w:drawing>
          <wp:anchor simplePos="0" relativeHeight="251657728" behindDoc="1" locked="0" layoutInCell="0" allowOverlap="1">
            <wp:simplePos x="0" y="0"/>
            <wp:positionH relativeFrom="column">
              <wp:posOffset>4944110</wp:posOffset>
            </wp:positionH>
            <wp:positionV relativeFrom="paragraph">
              <wp:posOffset>-81280</wp:posOffset>
            </wp:positionV>
            <wp:extent cx="65405" cy="6540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5405" cy="65405"/>
                    </a:xfrm>
                    <a:prstGeom prst="rect">
                      <a:avLst/>
                    </a:prstGeom>
                    <a:noFill/>
                  </pic:spPr>
                </pic:pic>
              </a:graphicData>
            </a:graphic>
          </wp:anchor>
        </w:drawing>
        <w:drawing>
          <wp:anchor simplePos="0" relativeHeight="251657728" behindDoc="1" locked="0" layoutInCell="0" allowOverlap="1">
            <wp:simplePos x="0" y="0"/>
            <wp:positionH relativeFrom="column">
              <wp:posOffset>5460365</wp:posOffset>
            </wp:positionH>
            <wp:positionV relativeFrom="paragraph">
              <wp:posOffset>-81280</wp:posOffset>
            </wp:positionV>
            <wp:extent cx="65405" cy="6540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5405" cy="65405"/>
                    </a:xfrm>
                    <a:prstGeom prst="rect">
                      <a:avLst/>
                    </a:prstGeom>
                    <a:noFill/>
                  </pic:spPr>
                </pic:pic>
              </a:graphicData>
            </a:graphic>
          </wp:anchor>
        </w:drawing>
        <w:drawing>
          <wp:anchor simplePos="0" relativeHeight="251657728" behindDoc="1" locked="0" layoutInCell="0" allowOverlap="1">
            <wp:simplePos x="0" y="0"/>
            <wp:positionH relativeFrom="column">
              <wp:posOffset>5984875</wp:posOffset>
            </wp:positionH>
            <wp:positionV relativeFrom="paragraph">
              <wp:posOffset>-81280</wp:posOffset>
            </wp:positionV>
            <wp:extent cx="65405" cy="6540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5405" cy="65405"/>
                    </a:xfrm>
                    <a:prstGeom prst="rect">
                      <a:avLst/>
                    </a:prstGeom>
                    <a:noFill/>
                  </pic:spPr>
                </pic:pic>
              </a:graphicData>
            </a:graphic>
          </wp:anchor>
        </w:drawing>
      </w:r>
    </w:p>
    <w:p>
      <w:pPr>
        <w:spacing w:after="0" w:line="102" w:lineRule="exact"/>
        <w:rPr>
          <w:sz w:val="20"/>
          <w:szCs w:val="20"/>
          <w:color w:val="auto"/>
        </w:rPr>
      </w:pPr>
    </w:p>
    <w:p>
      <w:pPr>
        <w:ind w:left="780" w:right="140" w:hanging="422"/>
        <w:spacing w:after="0" w:line="259" w:lineRule="auto"/>
        <w:tabs>
          <w:tab w:leader="none" w:pos="780" w:val="left"/>
        </w:tabs>
        <w:numPr>
          <w:ilvl w:val="0"/>
          <w:numId w:val="8"/>
        </w:numPr>
        <w:rPr>
          <w:rFonts w:ascii="Arial" w:cs="Arial" w:eastAsia="Arial" w:hAnsi="Arial"/>
          <w:sz w:val="14"/>
          <w:szCs w:val="14"/>
          <w:color w:val="auto"/>
        </w:rPr>
      </w:pPr>
      <w:r>
        <w:rPr>
          <w:rFonts w:ascii="Arial" w:cs="Arial" w:eastAsia="Arial" w:hAnsi="Arial"/>
          <w:sz w:val="14"/>
          <w:szCs w:val="14"/>
          <w:color w:val="auto"/>
        </w:rPr>
        <w:t>Diversity of gender and race or ethnicity. Ms. Klee has self-identified as female; Mr. Chen has self-identified as Asian, and Dr. Wheadon has self-identified as African American or Black.</w:t>
      </w:r>
    </w:p>
    <w:p>
      <w:pPr>
        <w:spacing w:after="0" w:line="159" w:lineRule="exact"/>
        <w:rPr>
          <w:sz w:val="20"/>
          <w:szCs w:val="20"/>
          <w:color w:val="auto"/>
        </w:rPr>
      </w:pPr>
    </w:p>
    <w:p>
      <w:pPr>
        <w:ind w:left="360" w:right="20"/>
        <w:spacing w:after="0" w:line="246" w:lineRule="auto"/>
        <w:rPr>
          <w:sz w:val="20"/>
          <w:szCs w:val="20"/>
          <w:color w:val="auto"/>
        </w:rPr>
      </w:pPr>
      <w:r>
        <w:rPr>
          <w:rFonts w:ascii="Arial" w:cs="Arial" w:eastAsia="Arial" w:hAnsi="Arial"/>
          <w:sz w:val="17"/>
          <w:szCs w:val="17"/>
          <w:color w:val="auto"/>
        </w:rPr>
        <w:t>As further described in “Director Nominee Criteria and Process,” all directors and director nominees must demonstrate integrity, strength of character and judgment, and have extensive business experience, specific areas of expertise and the ability to devote adequate time and effort to Board responsibilities. Additional information regarding the skills, experience and attributes of each of the three nominees for election as a director at the Annual Meeting, and for each of the continuing members of our Board, is included in directors’ individual biographies on the following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231775</wp:posOffset>
            </wp:positionH>
            <wp:positionV relativeFrom="paragraph">
              <wp:posOffset>95885</wp:posOffset>
            </wp:positionV>
            <wp:extent cx="6687820" cy="165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687820" cy="16510"/>
                    </a:xfrm>
                    <a:prstGeom prst="rect">
                      <a:avLst/>
                    </a:prstGeom>
                    <a:noFill/>
                  </pic:spPr>
                </pic:pic>
              </a:graphicData>
            </a:graphic>
          </wp:anchor>
        </w:drawing>
      </w:r>
    </w:p>
    <w:p>
      <w:pPr>
        <w:spacing w:after="0" w:line="320"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6443980</wp:posOffset>
            </wp:positionH>
            <wp:positionV relativeFrom="paragraph">
              <wp:posOffset>-113030</wp:posOffset>
            </wp:positionV>
            <wp:extent cx="475615" cy="15557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475615" cy="155575"/>
                    </a:xfrm>
                    <a:prstGeom prst="rect">
                      <a:avLst/>
                    </a:prstGeom>
                    <a:noFill/>
                  </pic:spPr>
                </pic:pic>
              </a:graphicData>
            </a:graphic>
          </wp:anchor>
        </w:drawing>
      </w:r>
    </w:p>
    <w:p>
      <w:pPr>
        <w:sectPr>
          <w:pgSz w:w="11900" w:h="16838" w:orient="portrait"/>
          <w:cols w:equalWidth="0" w:num="1">
            <w:col w:w="10900"/>
          </w:cols>
          <w:pgMar w:left="320" w:top="468" w:right="67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5397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9945" cy="53975"/>
                    </a:xfrm>
                    <a:prstGeom prst="rect">
                      <a:avLst/>
                    </a:prstGeom>
                    <a:noFill/>
                  </pic:spPr>
                </pic:pic>
              </a:graphicData>
            </a:graphic>
          </wp:anchor>
        </w:drawing>
        <w:t>Table of Contents</w:t>
      </w:r>
    </w:p>
    <w:p>
      <w:pPr>
        <w:spacing w:after="0" w:line="296"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auto"/>
        </w:rPr>
        <w:t>Board Composition, Nominations Process and Director Qualifications</w:t>
      </w:r>
    </w:p>
    <w:p>
      <w:pPr>
        <w:spacing w:after="0" w:line="21" w:lineRule="exact"/>
        <w:rPr>
          <w:sz w:val="20"/>
          <w:szCs w:val="20"/>
          <w:color w:val="auto"/>
        </w:rPr>
      </w:pPr>
    </w:p>
    <w:p>
      <w:pPr>
        <w:ind w:left="360"/>
        <w:spacing w:after="0"/>
        <w:rPr>
          <w:sz w:val="20"/>
          <w:szCs w:val="20"/>
          <w:color w:val="auto"/>
        </w:rPr>
      </w:pPr>
      <w:r>
        <w:rPr>
          <w:rFonts w:ascii="Arial" w:cs="Arial" w:eastAsia="Arial" w:hAnsi="Arial"/>
          <w:sz w:val="14"/>
          <w:szCs w:val="14"/>
          <w:b w:val="1"/>
          <w:bCs w:val="1"/>
          <w:color w:val="auto"/>
        </w:rPr>
        <w:t>Board Diversity</w:t>
      </w:r>
    </w:p>
    <w:p>
      <w:pPr>
        <w:spacing w:after="0" w:line="105" w:lineRule="exact"/>
        <w:rPr>
          <w:sz w:val="20"/>
          <w:szCs w:val="20"/>
          <w:color w:val="auto"/>
        </w:rPr>
      </w:pPr>
    </w:p>
    <w:p>
      <w:pPr>
        <w:ind w:left="360"/>
        <w:spacing w:after="0"/>
        <w:rPr>
          <w:sz w:val="20"/>
          <w:szCs w:val="20"/>
          <w:color w:val="auto"/>
        </w:rPr>
      </w:pPr>
      <w:r>
        <w:rPr>
          <w:rFonts w:ascii="Arial" w:cs="Arial" w:eastAsia="Arial" w:hAnsi="Arial"/>
          <w:sz w:val="31"/>
          <w:szCs w:val="31"/>
          <w:color w:val="00B0DB"/>
        </w:rPr>
        <w:t>Board Diversity</w:t>
      </w:r>
    </w:p>
    <w:p>
      <w:pPr>
        <w:spacing w:after="0" w:line="221" w:lineRule="exact"/>
        <w:rPr>
          <w:sz w:val="20"/>
          <w:szCs w:val="20"/>
          <w:color w:val="auto"/>
        </w:rPr>
      </w:pPr>
    </w:p>
    <w:p>
      <w:pPr>
        <w:ind w:left="360"/>
        <w:spacing w:after="0" w:line="242" w:lineRule="auto"/>
        <w:rPr>
          <w:sz w:val="20"/>
          <w:szCs w:val="20"/>
          <w:color w:val="auto"/>
        </w:rPr>
      </w:pPr>
      <w:r>
        <w:rPr>
          <w:rFonts w:ascii="Arial" w:cs="Arial" w:eastAsia="Arial" w:hAnsi="Arial"/>
          <w:sz w:val="17"/>
          <w:szCs w:val="17"/>
          <w:color w:val="auto"/>
        </w:rPr>
        <w:t>Our Board composition reflects our commitment to diversity. Currently, of the ten directors on our Board, one has self-identified as a woman, one has self-identified as Asian, one has self-identified as African American or Black, one has self-identified as a member of the LGBTQ+ community, and our directors range in age from 39 to 69. We value diversity and are committed to achieving a mix of Board members that represents a diversity of skills, experience and backgrounds, including with respect to age, gender identity, sexual orientation, race, ethnicity, education, cultural background and professional experience. In furtherance of this commitment, in 2022, the Board adopted amendments to the charter of the Governance Committee and the Corporate Governance Guidelines to include an explicit commitment to include candidates with the aforementioned diversity characteristics on slates of potential nominees to fill new positions on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1050925</wp:posOffset>
            </wp:positionH>
            <wp:positionV relativeFrom="paragraph">
              <wp:posOffset>213995</wp:posOffset>
            </wp:positionV>
            <wp:extent cx="5048250" cy="299148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048250" cy="2991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780" w:right="280" w:hanging="422"/>
        <w:spacing w:after="0" w:line="259" w:lineRule="auto"/>
        <w:tabs>
          <w:tab w:leader="none" w:pos="780" w:val="left"/>
        </w:tabs>
        <w:numPr>
          <w:ilvl w:val="0"/>
          <w:numId w:val="9"/>
        </w:numPr>
        <w:rPr>
          <w:rFonts w:ascii="Arial" w:cs="Arial" w:eastAsia="Arial" w:hAnsi="Arial"/>
          <w:sz w:val="14"/>
          <w:szCs w:val="14"/>
          <w:color w:val="auto"/>
        </w:rPr>
      </w:pPr>
      <w:r>
        <w:rPr>
          <w:rFonts w:ascii="Arial" w:cs="Arial" w:eastAsia="Arial" w:hAnsi="Arial"/>
          <w:sz w:val="14"/>
          <w:szCs w:val="14"/>
          <w:color w:val="auto"/>
        </w:rPr>
        <w:t>The EO Litigation Committee and Nordion Pricing Committee are not standing committees of the Board and do not have chairs. See “Committees of the Board of Directors” on page 20 for more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231775</wp:posOffset>
            </wp:positionH>
            <wp:positionV relativeFrom="paragraph">
              <wp:posOffset>87630</wp:posOffset>
            </wp:positionV>
            <wp:extent cx="6687820" cy="165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687820" cy="16510"/>
                    </a:xfrm>
                    <a:prstGeom prst="rect">
                      <a:avLst/>
                    </a:prstGeom>
                    <a:noFill/>
                  </pic:spPr>
                </pic:pic>
              </a:graphicData>
            </a:graphic>
          </wp:anchor>
        </w:drawing>
      </w:r>
    </w:p>
    <w:p>
      <w:pPr>
        <w:spacing w:after="0" w:line="307" w:lineRule="exact"/>
        <w:rPr>
          <w:sz w:val="20"/>
          <w:szCs w:val="20"/>
          <w:color w:val="auto"/>
        </w:rPr>
      </w:pPr>
    </w:p>
    <w:tbl>
      <w:tblPr>
        <w:tblLayout w:type="fixed"/>
        <w:tblInd w:w="360" w:type="dxa"/>
        <w:tblCellMar>
          <w:top w:w="0" w:type="dxa"/>
          <w:left w:w="0" w:type="dxa"/>
          <w:bottom w:w="0" w:type="dxa"/>
          <w:right w:w="0" w:type="dxa"/>
        </w:tblCellMar>
      </w:tblPr>
      <w:tr>
        <w:trPr>
          <w:trHeight w:val="226"/>
        </w:trPr>
        <w:tc>
          <w:tcPr>
            <w:tcW w:w="3920" w:type="dxa"/>
            <w:vAlign w:val="bottom"/>
          </w:tcPr>
          <w:p>
            <w:pPr>
              <w:spacing w:after="0"/>
              <w:rPr>
                <w:sz w:val="20"/>
                <w:szCs w:val="20"/>
                <w:color w:val="auto"/>
              </w:rPr>
            </w:pPr>
            <w:r>
              <w:rPr>
                <w:rFonts w:ascii="Arial" w:cs="Arial" w:eastAsia="Arial" w:hAnsi="Arial"/>
                <w:sz w:val="17"/>
                <w:szCs w:val="17"/>
                <w:color w:val="auto"/>
              </w:rPr>
              <w:t>2023 Notice and Proxy Statement</w:t>
            </w:r>
          </w:p>
        </w:tc>
        <w:tc>
          <w:tcPr>
            <w:tcW w:w="1460" w:type="dxa"/>
            <w:vAlign w:val="bottom"/>
          </w:tcPr>
          <w:p>
            <w:pPr>
              <w:jc w:val="right"/>
              <w:spacing w:after="0"/>
              <w:rPr>
                <w:sz w:val="20"/>
                <w:szCs w:val="20"/>
                <w:color w:val="auto"/>
              </w:rPr>
            </w:pPr>
            <w:r>
              <w:rPr>
                <w:rFonts w:ascii="Arial" w:cs="Arial" w:eastAsia="Arial" w:hAnsi="Arial"/>
                <w:sz w:val="17"/>
                <w:szCs w:val="17"/>
                <w:color w:val="auto"/>
              </w:rPr>
              <w:t>8</w:t>
            </w:r>
          </w:p>
        </w:tc>
      </w:tr>
    </w:tbl>
    <w:p>
      <w:pPr>
        <w:sectPr>
          <w:pgSz w:w="11900" w:h="16838" w:orient="portrait"/>
          <w:cols w:equalWidth="0" w:num="1">
            <w:col w:w="10820"/>
          </w:cols>
          <w:pgMar w:left="320" w:top="468" w:right="7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5397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9945" cy="53975"/>
                    </a:xfrm>
                    <a:prstGeom prst="rect">
                      <a:avLst/>
                    </a:prstGeom>
                    <a:noFill/>
                  </pic:spPr>
                </pic:pic>
              </a:graphicData>
            </a:graphic>
          </wp:anchor>
        </w:drawing>
        <w:t>Table of Contents</w:t>
      </w:r>
    </w:p>
    <w:p>
      <w:pPr>
        <w:spacing w:after="0" w:line="296" w:lineRule="exact"/>
        <w:rPr>
          <w:sz w:val="20"/>
          <w:szCs w:val="20"/>
          <w:color w:val="auto"/>
        </w:rPr>
      </w:pPr>
    </w:p>
    <w:p>
      <w:pPr>
        <w:ind w:left="5200"/>
        <w:spacing w:after="0"/>
        <w:rPr>
          <w:sz w:val="20"/>
          <w:szCs w:val="20"/>
          <w:color w:val="auto"/>
        </w:rPr>
      </w:pPr>
      <w:r>
        <w:rPr>
          <w:rFonts w:ascii="Arial" w:cs="Arial" w:eastAsia="Arial" w:hAnsi="Arial"/>
          <w:sz w:val="17"/>
          <w:szCs w:val="17"/>
          <w:b w:val="1"/>
          <w:bCs w:val="1"/>
          <w:color w:val="auto"/>
        </w:rPr>
        <w:t>Board Composition, Nominations Process and Director Qualifications</w:t>
      </w:r>
    </w:p>
    <w:p>
      <w:pPr>
        <w:spacing w:after="0" w:line="21" w:lineRule="exact"/>
        <w:rPr>
          <w:sz w:val="20"/>
          <w:szCs w:val="20"/>
          <w:color w:val="auto"/>
        </w:rPr>
      </w:pPr>
    </w:p>
    <w:p>
      <w:pPr>
        <w:ind w:left="9880"/>
        <w:spacing w:after="0"/>
        <w:rPr>
          <w:sz w:val="20"/>
          <w:szCs w:val="20"/>
          <w:color w:val="auto"/>
        </w:rPr>
      </w:pPr>
      <w:r>
        <w:rPr>
          <w:rFonts w:ascii="Arial" w:cs="Arial" w:eastAsia="Arial" w:hAnsi="Arial"/>
          <w:sz w:val="13"/>
          <w:szCs w:val="13"/>
          <w:b w:val="1"/>
          <w:bCs w:val="1"/>
          <w:color w:val="auto"/>
        </w:rPr>
        <w:t>Board Diversity</w:t>
      </w:r>
    </w:p>
    <w:p>
      <w:pPr>
        <w:spacing w:after="0" w:line="126" w:lineRule="exact"/>
        <w:rPr>
          <w:sz w:val="20"/>
          <w:szCs w:val="20"/>
          <w:color w:val="auto"/>
        </w:rPr>
      </w:pPr>
    </w:p>
    <w:p>
      <w:pPr>
        <w:ind w:left="360" w:right="40"/>
        <w:spacing w:after="0" w:line="274" w:lineRule="auto"/>
        <w:rPr>
          <w:sz w:val="20"/>
          <w:szCs w:val="20"/>
          <w:color w:val="auto"/>
        </w:rPr>
      </w:pPr>
      <w:r>
        <w:rPr>
          <w:rFonts w:ascii="Arial" w:cs="Arial" w:eastAsia="Arial" w:hAnsi="Arial"/>
          <w:sz w:val="17"/>
          <w:szCs w:val="17"/>
          <w:color w:val="auto"/>
        </w:rPr>
        <w:t>The following Board Diversity Matrix presents our Board diversity statistics in accordance with Nasdaq Listing Rule 5606, as self-disclosed by our directors. Each of the categories listed in the below table has the meaning as it is used in Nasdaq Listing Rule 5605(f).</w:t>
      </w:r>
    </w:p>
    <w:p>
      <w:pPr>
        <w:spacing w:after="0" w:line="164" w:lineRule="exact"/>
        <w:rPr>
          <w:sz w:val="20"/>
          <w:szCs w:val="20"/>
          <w:color w:val="auto"/>
        </w:rPr>
      </w:pPr>
    </w:p>
    <w:p>
      <w:pPr>
        <w:ind w:left="480"/>
        <w:spacing w:after="0"/>
        <w:rPr>
          <w:sz w:val="20"/>
          <w:szCs w:val="20"/>
          <w:color w:val="auto"/>
        </w:rPr>
      </w:pPr>
      <w:r>
        <w:rPr>
          <w:rFonts w:ascii="Arial" w:cs="Arial" w:eastAsia="Arial" w:hAnsi="Arial"/>
          <w:sz w:val="21"/>
          <w:szCs w:val="21"/>
          <w:b w:val="1"/>
          <w:bCs w:val="1"/>
          <w:color w:val="00467D"/>
        </w:rPr>
        <w:t>Board Diversity Matrix as of April 13, 2023</w:t>
      </w:r>
    </w:p>
    <w:p>
      <w:pPr>
        <w:spacing w:after="0" w:line="17" w:lineRule="exact"/>
        <w:rPr>
          <w:sz w:val="20"/>
          <w:szCs w:val="20"/>
          <w:color w:val="auto"/>
        </w:rPr>
      </w:pPr>
    </w:p>
    <w:tbl>
      <w:tblPr>
        <w:tblLayout w:type="fixed"/>
        <w:tblInd w:w="360" w:type="dxa"/>
        <w:tblCellMar>
          <w:top w:w="0" w:type="dxa"/>
          <w:left w:w="0" w:type="dxa"/>
          <w:bottom w:w="0" w:type="dxa"/>
          <w:right w:w="0" w:type="dxa"/>
        </w:tblCellMar>
      </w:tblPr>
      <w:tr>
        <w:trPr>
          <w:trHeight w:val="204"/>
        </w:trPr>
        <w:tc>
          <w:tcPr>
            <w:tcW w:w="2360" w:type="dxa"/>
            <w:vAlign w:val="bottom"/>
            <w:tcBorders>
              <w:top w:val="single" w:sz="8" w:color="00467D"/>
            </w:tcBorders>
          </w:tcPr>
          <w:p>
            <w:pPr>
              <w:ind w:left="80"/>
              <w:spacing w:after="0"/>
              <w:rPr>
                <w:sz w:val="20"/>
                <w:szCs w:val="20"/>
                <w:color w:val="auto"/>
              </w:rPr>
            </w:pPr>
            <w:r>
              <w:rPr>
                <w:rFonts w:ascii="Arial" w:cs="Arial" w:eastAsia="Arial" w:hAnsi="Arial"/>
                <w:sz w:val="15"/>
                <w:szCs w:val="15"/>
                <w:color w:val="auto"/>
              </w:rPr>
              <w:t>Total Number of Directors</w:t>
            </w:r>
          </w:p>
        </w:tc>
        <w:tc>
          <w:tcPr>
            <w:tcW w:w="3520" w:type="dxa"/>
            <w:vAlign w:val="bottom"/>
            <w:tcBorders>
              <w:top w:val="single" w:sz="8" w:color="00467D"/>
            </w:tcBorders>
          </w:tcPr>
          <w:p>
            <w:pPr>
              <w:jc w:val="right"/>
              <w:ind w:right="3283"/>
              <w:spacing w:after="0"/>
              <w:rPr>
                <w:sz w:val="20"/>
                <w:szCs w:val="20"/>
                <w:color w:val="auto"/>
              </w:rPr>
            </w:pPr>
            <w:r>
              <w:rPr>
                <w:rFonts w:ascii="Arial" w:cs="Arial" w:eastAsia="Arial" w:hAnsi="Arial"/>
                <w:sz w:val="15"/>
                <w:szCs w:val="15"/>
                <w:color w:val="auto"/>
                <w:w w:val="83"/>
              </w:rPr>
              <w:t>10</w:t>
            </w:r>
          </w:p>
        </w:tc>
        <w:tc>
          <w:tcPr>
            <w:tcW w:w="3380" w:type="dxa"/>
            <w:vAlign w:val="bottom"/>
            <w:tcBorders>
              <w:top w:val="single" w:sz="8" w:color="00467D"/>
            </w:tcBorders>
            <w:vMerge w:val="restart"/>
          </w:tcPr>
          <w:p>
            <w:pPr>
              <w:ind w:left="2840"/>
              <w:spacing w:after="0"/>
              <w:rPr>
                <w:sz w:val="20"/>
                <w:szCs w:val="20"/>
                <w:color w:val="auto"/>
              </w:rPr>
            </w:pPr>
            <w:r>
              <w:rPr>
                <w:rFonts w:ascii="Arial" w:cs="Arial" w:eastAsia="Arial" w:hAnsi="Arial"/>
                <w:sz w:val="15"/>
                <w:szCs w:val="15"/>
                <w:b w:val="1"/>
                <w:bCs w:val="1"/>
                <w:color w:val="00467D"/>
              </w:rPr>
              <w:t>Female</w:t>
            </w:r>
          </w:p>
        </w:tc>
        <w:tc>
          <w:tcPr>
            <w:tcW w:w="1280" w:type="dxa"/>
            <w:vAlign w:val="bottom"/>
            <w:tcBorders>
              <w:top w:val="single" w:sz="8" w:color="00467D"/>
            </w:tcBorders>
            <w:vMerge w:val="restart"/>
          </w:tcPr>
          <w:p>
            <w:pPr>
              <w:ind w:left="400"/>
              <w:spacing w:after="0"/>
              <w:rPr>
                <w:sz w:val="20"/>
                <w:szCs w:val="20"/>
                <w:color w:val="auto"/>
              </w:rPr>
            </w:pPr>
            <w:r>
              <w:rPr>
                <w:rFonts w:ascii="Arial" w:cs="Arial" w:eastAsia="Arial" w:hAnsi="Arial"/>
                <w:sz w:val="15"/>
                <w:szCs w:val="15"/>
                <w:b w:val="1"/>
                <w:bCs w:val="1"/>
                <w:color w:val="00467D"/>
              </w:rPr>
              <w:t>Male</w:t>
            </w:r>
          </w:p>
        </w:tc>
        <w:tc>
          <w:tcPr>
            <w:tcW w:w="0" w:type="dxa"/>
            <w:vAlign w:val="bottom"/>
          </w:tcPr>
          <w:p>
            <w:pPr>
              <w:spacing w:after="0"/>
              <w:rPr>
                <w:sz w:val="1"/>
                <w:szCs w:val="1"/>
                <w:color w:val="auto"/>
              </w:rPr>
            </w:pPr>
          </w:p>
        </w:tc>
      </w:tr>
      <w:tr>
        <w:trPr>
          <w:trHeight w:val="150"/>
        </w:trPr>
        <w:tc>
          <w:tcPr>
            <w:tcW w:w="2360" w:type="dxa"/>
            <w:vAlign w:val="bottom"/>
            <w:tcBorders>
              <w:bottom w:val="single" w:sz="8" w:color="00467D"/>
            </w:tcBorders>
          </w:tcPr>
          <w:p>
            <w:pPr>
              <w:spacing w:after="0"/>
              <w:rPr>
                <w:sz w:val="13"/>
                <w:szCs w:val="13"/>
                <w:color w:val="auto"/>
              </w:rPr>
            </w:pPr>
          </w:p>
        </w:tc>
        <w:tc>
          <w:tcPr>
            <w:tcW w:w="3520" w:type="dxa"/>
            <w:vAlign w:val="bottom"/>
            <w:tcBorders>
              <w:bottom w:val="single" w:sz="8" w:color="00467D"/>
            </w:tcBorders>
          </w:tcPr>
          <w:p>
            <w:pPr>
              <w:spacing w:after="0"/>
              <w:rPr>
                <w:sz w:val="13"/>
                <w:szCs w:val="13"/>
                <w:color w:val="auto"/>
              </w:rPr>
            </w:pPr>
          </w:p>
        </w:tc>
        <w:tc>
          <w:tcPr>
            <w:tcW w:w="3380" w:type="dxa"/>
            <w:vAlign w:val="bottom"/>
            <w:tcBorders>
              <w:bottom w:val="single" w:sz="8" w:color="00467D"/>
            </w:tcBorders>
            <w:vMerge w:val="continue"/>
          </w:tcPr>
          <w:p>
            <w:pPr>
              <w:spacing w:after="0"/>
              <w:rPr>
                <w:sz w:val="13"/>
                <w:szCs w:val="13"/>
                <w:color w:val="auto"/>
              </w:rPr>
            </w:pPr>
          </w:p>
        </w:tc>
        <w:tc>
          <w:tcPr>
            <w:tcW w:w="1280" w:type="dxa"/>
            <w:vAlign w:val="bottom"/>
            <w:tcBorders>
              <w:bottom w:val="single" w:sz="8" w:color="00467D"/>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2360" w:type="dxa"/>
            <w:vAlign w:val="bottom"/>
            <w:tcBorders>
              <w:bottom w:val="single" w:sz="8" w:color="99B5CB"/>
            </w:tcBorders>
          </w:tcPr>
          <w:p>
            <w:pPr>
              <w:ind w:left="80"/>
              <w:spacing w:after="0"/>
              <w:rPr>
                <w:sz w:val="20"/>
                <w:szCs w:val="20"/>
                <w:color w:val="auto"/>
              </w:rPr>
            </w:pPr>
            <w:r>
              <w:rPr>
                <w:rFonts w:ascii="Arial" w:cs="Arial" w:eastAsia="Arial" w:hAnsi="Arial"/>
                <w:sz w:val="15"/>
                <w:szCs w:val="15"/>
                <w:b w:val="1"/>
                <w:bCs w:val="1"/>
                <w:color w:val="auto"/>
              </w:rPr>
              <w:t>Part I: Gender Identity</w:t>
            </w:r>
          </w:p>
        </w:tc>
        <w:tc>
          <w:tcPr>
            <w:tcW w:w="3520" w:type="dxa"/>
            <w:vAlign w:val="bottom"/>
            <w:tcBorders>
              <w:bottom w:val="single" w:sz="8" w:color="99B5CB"/>
            </w:tcBorders>
          </w:tcPr>
          <w:p>
            <w:pPr>
              <w:spacing w:after="0"/>
              <w:rPr>
                <w:sz w:val="15"/>
                <w:szCs w:val="15"/>
                <w:color w:val="auto"/>
              </w:rPr>
            </w:pPr>
          </w:p>
        </w:tc>
        <w:tc>
          <w:tcPr>
            <w:tcW w:w="3380" w:type="dxa"/>
            <w:vAlign w:val="bottom"/>
            <w:tcBorders>
              <w:bottom w:val="single" w:sz="8" w:color="99B5CB"/>
            </w:tcBorders>
          </w:tcPr>
          <w:p>
            <w:pPr>
              <w:spacing w:after="0"/>
              <w:rPr>
                <w:sz w:val="15"/>
                <w:szCs w:val="15"/>
                <w:color w:val="auto"/>
              </w:rPr>
            </w:pPr>
          </w:p>
        </w:tc>
        <w:tc>
          <w:tcPr>
            <w:tcW w:w="1280" w:type="dxa"/>
            <w:vAlign w:val="bottom"/>
            <w:tcBorders>
              <w:bottom w:val="single" w:sz="8" w:color="99B5CB"/>
            </w:tcBorders>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360" w:type="dxa"/>
            <w:vAlign w:val="bottom"/>
            <w:tcBorders>
              <w:bottom w:val="single" w:sz="8" w:color="99B5CB"/>
            </w:tcBorders>
          </w:tcPr>
          <w:p>
            <w:pPr>
              <w:ind w:left="80"/>
              <w:spacing w:after="0"/>
              <w:rPr>
                <w:sz w:val="20"/>
                <w:szCs w:val="20"/>
                <w:color w:val="auto"/>
              </w:rPr>
            </w:pPr>
            <w:r>
              <w:rPr>
                <w:rFonts w:ascii="Arial" w:cs="Arial" w:eastAsia="Arial" w:hAnsi="Arial"/>
                <w:sz w:val="15"/>
                <w:szCs w:val="15"/>
                <w:color w:val="auto"/>
              </w:rPr>
              <w:t>Directors</w:t>
            </w:r>
          </w:p>
        </w:tc>
        <w:tc>
          <w:tcPr>
            <w:tcW w:w="3520" w:type="dxa"/>
            <w:vAlign w:val="bottom"/>
            <w:tcBorders>
              <w:bottom w:val="single" w:sz="8" w:color="99B5CB"/>
            </w:tcBorders>
          </w:tcPr>
          <w:p>
            <w:pPr>
              <w:spacing w:after="0"/>
              <w:rPr>
                <w:sz w:val="15"/>
                <w:szCs w:val="15"/>
                <w:color w:val="auto"/>
              </w:rPr>
            </w:pPr>
          </w:p>
        </w:tc>
        <w:tc>
          <w:tcPr>
            <w:tcW w:w="3380" w:type="dxa"/>
            <w:vAlign w:val="bottom"/>
            <w:tcBorders>
              <w:bottom w:val="single" w:sz="8" w:color="99B5CB"/>
            </w:tcBorders>
          </w:tcPr>
          <w:p>
            <w:pPr>
              <w:jc w:val="center"/>
              <w:ind w:left="2743"/>
              <w:spacing w:after="0"/>
              <w:rPr>
                <w:sz w:val="20"/>
                <w:szCs w:val="20"/>
                <w:color w:val="auto"/>
              </w:rPr>
            </w:pPr>
            <w:r>
              <w:rPr>
                <w:rFonts w:ascii="Arial" w:cs="Arial" w:eastAsia="Arial" w:hAnsi="Arial"/>
                <w:sz w:val="15"/>
                <w:szCs w:val="15"/>
                <w:color w:val="auto"/>
                <w:w w:val="95"/>
              </w:rPr>
              <w:t>1</w:t>
            </w:r>
          </w:p>
        </w:tc>
        <w:tc>
          <w:tcPr>
            <w:tcW w:w="1280" w:type="dxa"/>
            <w:vAlign w:val="bottom"/>
            <w:tcBorders>
              <w:bottom w:val="single" w:sz="8" w:color="99B5CB"/>
            </w:tcBorders>
          </w:tcPr>
          <w:p>
            <w:pPr>
              <w:jc w:val="center"/>
              <w:spacing w:after="0"/>
              <w:rPr>
                <w:sz w:val="20"/>
                <w:szCs w:val="20"/>
                <w:color w:val="auto"/>
              </w:rPr>
            </w:pPr>
            <w:r>
              <w:rPr>
                <w:rFonts w:ascii="Arial" w:cs="Arial" w:eastAsia="Arial" w:hAnsi="Arial"/>
                <w:sz w:val="15"/>
                <w:szCs w:val="15"/>
                <w:color w:val="auto"/>
                <w:w w:val="95"/>
              </w:rPr>
              <w:t>9</w:t>
            </w:r>
          </w:p>
        </w:tc>
        <w:tc>
          <w:tcPr>
            <w:tcW w:w="0" w:type="dxa"/>
            <w:vAlign w:val="bottom"/>
          </w:tcPr>
          <w:p>
            <w:pPr>
              <w:spacing w:after="0"/>
              <w:rPr>
                <w:sz w:val="1"/>
                <w:szCs w:val="1"/>
                <w:color w:val="auto"/>
              </w:rPr>
            </w:pPr>
          </w:p>
        </w:tc>
      </w:tr>
      <w:tr>
        <w:trPr>
          <w:trHeight w:val="174"/>
        </w:trPr>
        <w:tc>
          <w:tcPr>
            <w:tcW w:w="5880" w:type="dxa"/>
            <w:vAlign w:val="bottom"/>
            <w:tcBorders>
              <w:bottom w:val="single" w:sz="8" w:color="99B5CB"/>
            </w:tcBorders>
            <w:gridSpan w:val="2"/>
          </w:tcPr>
          <w:p>
            <w:pPr>
              <w:ind w:left="80"/>
              <w:spacing w:after="0"/>
              <w:rPr>
                <w:sz w:val="20"/>
                <w:szCs w:val="20"/>
                <w:color w:val="auto"/>
              </w:rPr>
            </w:pPr>
            <w:r>
              <w:rPr>
                <w:rFonts w:ascii="Arial" w:cs="Arial" w:eastAsia="Arial" w:hAnsi="Arial"/>
                <w:sz w:val="15"/>
                <w:szCs w:val="15"/>
                <w:b w:val="1"/>
                <w:bCs w:val="1"/>
                <w:color w:val="auto"/>
              </w:rPr>
              <w:t>Part II: Demographic Background</w:t>
            </w:r>
          </w:p>
        </w:tc>
        <w:tc>
          <w:tcPr>
            <w:tcW w:w="3380" w:type="dxa"/>
            <w:vAlign w:val="bottom"/>
            <w:tcBorders>
              <w:bottom w:val="single" w:sz="8" w:color="99B5CB"/>
            </w:tcBorders>
          </w:tcPr>
          <w:p>
            <w:pPr>
              <w:spacing w:after="0"/>
              <w:rPr>
                <w:sz w:val="15"/>
                <w:szCs w:val="15"/>
                <w:color w:val="auto"/>
              </w:rPr>
            </w:pPr>
          </w:p>
        </w:tc>
        <w:tc>
          <w:tcPr>
            <w:tcW w:w="1280" w:type="dxa"/>
            <w:vAlign w:val="bottom"/>
            <w:tcBorders>
              <w:bottom w:val="single" w:sz="8" w:color="99B5CB"/>
            </w:tcBorders>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360" w:type="dxa"/>
            <w:vAlign w:val="bottom"/>
            <w:tcBorders>
              <w:bottom w:val="single" w:sz="8" w:color="99B5CB"/>
            </w:tcBorders>
          </w:tcPr>
          <w:p>
            <w:pPr>
              <w:ind w:left="80"/>
              <w:spacing w:after="0"/>
              <w:rPr>
                <w:sz w:val="20"/>
                <w:szCs w:val="20"/>
                <w:color w:val="auto"/>
              </w:rPr>
            </w:pPr>
            <w:r>
              <w:rPr>
                <w:rFonts w:ascii="Arial" w:cs="Arial" w:eastAsia="Arial" w:hAnsi="Arial"/>
                <w:sz w:val="15"/>
                <w:szCs w:val="15"/>
                <w:color w:val="auto"/>
              </w:rPr>
              <w:t>African American or Black</w:t>
            </w:r>
          </w:p>
        </w:tc>
        <w:tc>
          <w:tcPr>
            <w:tcW w:w="3520" w:type="dxa"/>
            <w:vAlign w:val="bottom"/>
            <w:tcBorders>
              <w:bottom w:val="single" w:sz="8" w:color="99B5CB"/>
            </w:tcBorders>
          </w:tcPr>
          <w:p>
            <w:pPr>
              <w:spacing w:after="0"/>
              <w:rPr>
                <w:sz w:val="15"/>
                <w:szCs w:val="15"/>
                <w:color w:val="auto"/>
              </w:rPr>
            </w:pPr>
          </w:p>
        </w:tc>
        <w:tc>
          <w:tcPr>
            <w:tcW w:w="3380" w:type="dxa"/>
            <w:vAlign w:val="bottom"/>
            <w:tcBorders>
              <w:bottom w:val="single" w:sz="8" w:color="99B5CB"/>
            </w:tcBorders>
          </w:tcPr>
          <w:p>
            <w:pPr>
              <w:jc w:val="center"/>
              <w:ind w:left="2743"/>
              <w:spacing w:after="0"/>
              <w:rPr>
                <w:sz w:val="20"/>
                <w:szCs w:val="20"/>
                <w:color w:val="auto"/>
              </w:rPr>
            </w:pPr>
            <w:r>
              <w:rPr>
                <w:rFonts w:ascii="Arial" w:cs="Arial" w:eastAsia="Arial" w:hAnsi="Arial"/>
                <w:sz w:val="15"/>
                <w:szCs w:val="15"/>
                <w:color w:val="auto"/>
              </w:rPr>
              <w:t>—</w:t>
            </w:r>
          </w:p>
        </w:tc>
        <w:tc>
          <w:tcPr>
            <w:tcW w:w="1280" w:type="dxa"/>
            <w:vAlign w:val="bottom"/>
            <w:tcBorders>
              <w:bottom w:val="single" w:sz="8" w:color="99B5CB"/>
            </w:tcBorders>
          </w:tcPr>
          <w:p>
            <w:pPr>
              <w:jc w:val="center"/>
              <w:spacing w:after="0"/>
              <w:rPr>
                <w:sz w:val="20"/>
                <w:szCs w:val="20"/>
                <w:color w:val="auto"/>
              </w:rPr>
            </w:pPr>
            <w:r>
              <w:rPr>
                <w:rFonts w:ascii="Arial" w:cs="Arial" w:eastAsia="Arial" w:hAnsi="Arial"/>
                <w:sz w:val="15"/>
                <w:szCs w:val="15"/>
                <w:color w:val="auto"/>
                <w:w w:val="95"/>
              </w:rPr>
              <w:t>1</w:t>
            </w:r>
          </w:p>
        </w:tc>
        <w:tc>
          <w:tcPr>
            <w:tcW w:w="0" w:type="dxa"/>
            <w:vAlign w:val="bottom"/>
          </w:tcPr>
          <w:p>
            <w:pPr>
              <w:spacing w:after="0"/>
              <w:rPr>
                <w:sz w:val="1"/>
                <w:szCs w:val="1"/>
                <w:color w:val="auto"/>
              </w:rPr>
            </w:pPr>
          </w:p>
        </w:tc>
      </w:tr>
      <w:tr>
        <w:trPr>
          <w:trHeight w:val="174"/>
        </w:trPr>
        <w:tc>
          <w:tcPr>
            <w:tcW w:w="5880" w:type="dxa"/>
            <w:vAlign w:val="bottom"/>
            <w:tcBorders>
              <w:bottom w:val="single" w:sz="8" w:color="99B5CB"/>
            </w:tcBorders>
            <w:gridSpan w:val="2"/>
          </w:tcPr>
          <w:p>
            <w:pPr>
              <w:ind w:left="80"/>
              <w:spacing w:after="0"/>
              <w:rPr>
                <w:sz w:val="20"/>
                <w:szCs w:val="20"/>
                <w:color w:val="auto"/>
              </w:rPr>
            </w:pPr>
            <w:r>
              <w:rPr>
                <w:rFonts w:ascii="Arial" w:cs="Arial" w:eastAsia="Arial" w:hAnsi="Arial"/>
                <w:sz w:val="15"/>
                <w:szCs w:val="15"/>
                <w:color w:val="auto"/>
              </w:rPr>
              <w:t>Alaskan Native or Native American</w:t>
            </w:r>
          </w:p>
        </w:tc>
        <w:tc>
          <w:tcPr>
            <w:tcW w:w="3380" w:type="dxa"/>
            <w:vAlign w:val="bottom"/>
            <w:tcBorders>
              <w:bottom w:val="single" w:sz="8" w:color="99B5CB"/>
            </w:tcBorders>
          </w:tcPr>
          <w:p>
            <w:pPr>
              <w:jc w:val="center"/>
              <w:ind w:left="2743"/>
              <w:spacing w:after="0"/>
              <w:rPr>
                <w:sz w:val="20"/>
                <w:szCs w:val="20"/>
                <w:color w:val="auto"/>
              </w:rPr>
            </w:pPr>
            <w:r>
              <w:rPr>
                <w:rFonts w:ascii="Arial" w:cs="Arial" w:eastAsia="Arial" w:hAnsi="Arial"/>
                <w:sz w:val="15"/>
                <w:szCs w:val="15"/>
                <w:color w:val="auto"/>
              </w:rPr>
              <w:t>—</w:t>
            </w:r>
          </w:p>
        </w:tc>
        <w:tc>
          <w:tcPr>
            <w:tcW w:w="1280" w:type="dxa"/>
            <w:vAlign w:val="bottom"/>
            <w:tcBorders>
              <w:bottom w:val="single" w:sz="8" w:color="99B5CB"/>
            </w:tcBorders>
          </w:tcPr>
          <w:p>
            <w:pPr>
              <w:jc w:val="center"/>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4"/>
        </w:trPr>
        <w:tc>
          <w:tcPr>
            <w:tcW w:w="2360" w:type="dxa"/>
            <w:vAlign w:val="bottom"/>
            <w:tcBorders>
              <w:bottom w:val="single" w:sz="8" w:color="99B5CB"/>
            </w:tcBorders>
          </w:tcPr>
          <w:p>
            <w:pPr>
              <w:ind w:left="80"/>
              <w:spacing w:after="0"/>
              <w:rPr>
                <w:sz w:val="20"/>
                <w:szCs w:val="20"/>
                <w:color w:val="auto"/>
              </w:rPr>
            </w:pPr>
            <w:r>
              <w:rPr>
                <w:rFonts w:ascii="Arial" w:cs="Arial" w:eastAsia="Arial" w:hAnsi="Arial"/>
                <w:sz w:val="15"/>
                <w:szCs w:val="15"/>
                <w:color w:val="auto"/>
              </w:rPr>
              <w:t>Asian</w:t>
            </w:r>
          </w:p>
        </w:tc>
        <w:tc>
          <w:tcPr>
            <w:tcW w:w="3520" w:type="dxa"/>
            <w:vAlign w:val="bottom"/>
            <w:tcBorders>
              <w:bottom w:val="single" w:sz="8" w:color="99B5CB"/>
            </w:tcBorders>
          </w:tcPr>
          <w:p>
            <w:pPr>
              <w:spacing w:after="0"/>
              <w:rPr>
                <w:sz w:val="15"/>
                <w:szCs w:val="15"/>
                <w:color w:val="auto"/>
              </w:rPr>
            </w:pPr>
          </w:p>
        </w:tc>
        <w:tc>
          <w:tcPr>
            <w:tcW w:w="3380" w:type="dxa"/>
            <w:vAlign w:val="bottom"/>
            <w:tcBorders>
              <w:bottom w:val="single" w:sz="8" w:color="99B5CB"/>
            </w:tcBorders>
          </w:tcPr>
          <w:p>
            <w:pPr>
              <w:jc w:val="center"/>
              <w:ind w:left="2743"/>
              <w:spacing w:after="0"/>
              <w:rPr>
                <w:sz w:val="20"/>
                <w:szCs w:val="20"/>
                <w:color w:val="auto"/>
              </w:rPr>
            </w:pPr>
            <w:r>
              <w:rPr>
                <w:rFonts w:ascii="Arial" w:cs="Arial" w:eastAsia="Arial" w:hAnsi="Arial"/>
                <w:sz w:val="15"/>
                <w:szCs w:val="15"/>
                <w:color w:val="auto"/>
              </w:rPr>
              <w:t>—</w:t>
            </w:r>
          </w:p>
        </w:tc>
        <w:tc>
          <w:tcPr>
            <w:tcW w:w="1280" w:type="dxa"/>
            <w:vAlign w:val="bottom"/>
            <w:tcBorders>
              <w:bottom w:val="single" w:sz="8" w:color="99B5CB"/>
            </w:tcBorders>
          </w:tcPr>
          <w:p>
            <w:pPr>
              <w:jc w:val="center"/>
              <w:spacing w:after="0"/>
              <w:rPr>
                <w:sz w:val="20"/>
                <w:szCs w:val="20"/>
                <w:color w:val="auto"/>
              </w:rPr>
            </w:pPr>
            <w:r>
              <w:rPr>
                <w:rFonts w:ascii="Arial" w:cs="Arial" w:eastAsia="Arial" w:hAnsi="Arial"/>
                <w:sz w:val="15"/>
                <w:szCs w:val="15"/>
                <w:color w:val="auto"/>
                <w:w w:val="95"/>
              </w:rPr>
              <w:t>1</w:t>
            </w:r>
          </w:p>
        </w:tc>
        <w:tc>
          <w:tcPr>
            <w:tcW w:w="0" w:type="dxa"/>
            <w:vAlign w:val="bottom"/>
          </w:tcPr>
          <w:p>
            <w:pPr>
              <w:spacing w:after="0"/>
              <w:rPr>
                <w:sz w:val="1"/>
                <w:szCs w:val="1"/>
                <w:color w:val="auto"/>
              </w:rPr>
            </w:pPr>
          </w:p>
        </w:tc>
      </w:tr>
      <w:tr>
        <w:trPr>
          <w:trHeight w:val="174"/>
        </w:trPr>
        <w:tc>
          <w:tcPr>
            <w:tcW w:w="2360" w:type="dxa"/>
            <w:vAlign w:val="bottom"/>
            <w:tcBorders>
              <w:bottom w:val="single" w:sz="8" w:color="99B5CB"/>
            </w:tcBorders>
          </w:tcPr>
          <w:p>
            <w:pPr>
              <w:ind w:left="80"/>
              <w:spacing w:after="0"/>
              <w:rPr>
                <w:sz w:val="20"/>
                <w:szCs w:val="20"/>
                <w:color w:val="auto"/>
              </w:rPr>
            </w:pPr>
            <w:r>
              <w:rPr>
                <w:rFonts w:ascii="Arial" w:cs="Arial" w:eastAsia="Arial" w:hAnsi="Arial"/>
                <w:sz w:val="15"/>
                <w:szCs w:val="15"/>
                <w:color w:val="auto"/>
              </w:rPr>
              <w:t>Hispanic or Latinx</w:t>
            </w:r>
          </w:p>
        </w:tc>
        <w:tc>
          <w:tcPr>
            <w:tcW w:w="3520" w:type="dxa"/>
            <w:vAlign w:val="bottom"/>
            <w:tcBorders>
              <w:bottom w:val="single" w:sz="8" w:color="99B5CB"/>
            </w:tcBorders>
          </w:tcPr>
          <w:p>
            <w:pPr>
              <w:spacing w:after="0"/>
              <w:rPr>
                <w:sz w:val="15"/>
                <w:szCs w:val="15"/>
                <w:color w:val="auto"/>
              </w:rPr>
            </w:pPr>
          </w:p>
        </w:tc>
        <w:tc>
          <w:tcPr>
            <w:tcW w:w="3380" w:type="dxa"/>
            <w:vAlign w:val="bottom"/>
            <w:tcBorders>
              <w:bottom w:val="single" w:sz="8" w:color="99B5CB"/>
            </w:tcBorders>
          </w:tcPr>
          <w:p>
            <w:pPr>
              <w:jc w:val="center"/>
              <w:ind w:left="2743"/>
              <w:spacing w:after="0"/>
              <w:rPr>
                <w:sz w:val="20"/>
                <w:szCs w:val="20"/>
                <w:color w:val="auto"/>
              </w:rPr>
            </w:pPr>
            <w:r>
              <w:rPr>
                <w:rFonts w:ascii="Arial" w:cs="Arial" w:eastAsia="Arial" w:hAnsi="Arial"/>
                <w:sz w:val="15"/>
                <w:szCs w:val="15"/>
                <w:color w:val="auto"/>
              </w:rPr>
              <w:t>—</w:t>
            </w:r>
          </w:p>
        </w:tc>
        <w:tc>
          <w:tcPr>
            <w:tcW w:w="1280" w:type="dxa"/>
            <w:vAlign w:val="bottom"/>
            <w:tcBorders>
              <w:bottom w:val="single" w:sz="8" w:color="99B5CB"/>
            </w:tcBorders>
          </w:tcPr>
          <w:p>
            <w:pPr>
              <w:jc w:val="center"/>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4"/>
        </w:trPr>
        <w:tc>
          <w:tcPr>
            <w:tcW w:w="5880" w:type="dxa"/>
            <w:vAlign w:val="bottom"/>
            <w:tcBorders>
              <w:bottom w:val="single" w:sz="8" w:color="99B5CB"/>
            </w:tcBorders>
            <w:gridSpan w:val="2"/>
          </w:tcPr>
          <w:p>
            <w:pPr>
              <w:ind w:left="80"/>
              <w:spacing w:after="0"/>
              <w:rPr>
                <w:sz w:val="20"/>
                <w:szCs w:val="20"/>
                <w:color w:val="auto"/>
              </w:rPr>
            </w:pPr>
            <w:r>
              <w:rPr>
                <w:rFonts w:ascii="Arial" w:cs="Arial" w:eastAsia="Arial" w:hAnsi="Arial"/>
                <w:sz w:val="15"/>
                <w:szCs w:val="15"/>
                <w:color w:val="auto"/>
              </w:rPr>
              <w:t>Native Hawaiian or Pacific Islander</w:t>
            </w:r>
          </w:p>
        </w:tc>
        <w:tc>
          <w:tcPr>
            <w:tcW w:w="3380" w:type="dxa"/>
            <w:vAlign w:val="bottom"/>
            <w:tcBorders>
              <w:bottom w:val="single" w:sz="8" w:color="99B5CB"/>
            </w:tcBorders>
          </w:tcPr>
          <w:p>
            <w:pPr>
              <w:jc w:val="center"/>
              <w:ind w:left="2743"/>
              <w:spacing w:after="0"/>
              <w:rPr>
                <w:sz w:val="20"/>
                <w:szCs w:val="20"/>
                <w:color w:val="auto"/>
              </w:rPr>
            </w:pPr>
            <w:r>
              <w:rPr>
                <w:rFonts w:ascii="Arial" w:cs="Arial" w:eastAsia="Arial" w:hAnsi="Arial"/>
                <w:sz w:val="15"/>
                <w:szCs w:val="15"/>
                <w:color w:val="auto"/>
              </w:rPr>
              <w:t>—</w:t>
            </w:r>
          </w:p>
        </w:tc>
        <w:tc>
          <w:tcPr>
            <w:tcW w:w="1280" w:type="dxa"/>
            <w:vAlign w:val="bottom"/>
            <w:tcBorders>
              <w:bottom w:val="single" w:sz="8" w:color="99B5CB"/>
            </w:tcBorders>
          </w:tcPr>
          <w:p>
            <w:pPr>
              <w:jc w:val="center"/>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4"/>
        </w:trPr>
        <w:tc>
          <w:tcPr>
            <w:tcW w:w="2360" w:type="dxa"/>
            <w:vAlign w:val="bottom"/>
            <w:tcBorders>
              <w:bottom w:val="single" w:sz="8" w:color="99B5CB"/>
            </w:tcBorders>
          </w:tcPr>
          <w:p>
            <w:pPr>
              <w:ind w:left="80"/>
              <w:spacing w:after="0"/>
              <w:rPr>
                <w:sz w:val="20"/>
                <w:szCs w:val="20"/>
                <w:color w:val="auto"/>
              </w:rPr>
            </w:pPr>
            <w:r>
              <w:rPr>
                <w:rFonts w:ascii="Arial" w:cs="Arial" w:eastAsia="Arial" w:hAnsi="Arial"/>
                <w:sz w:val="15"/>
                <w:szCs w:val="15"/>
                <w:color w:val="auto"/>
              </w:rPr>
              <w:t>White</w:t>
            </w:r>
          </w:p>
        </w:tc>
        <w:tc>
          <w:tcPr>
            <w:tcW w:w="3520" w:type="dxa"/>
            <w:vAlign w:val="bottom"/>
            <w:tcBorders>
              <w:bottom w:val="single" w:sz="8" w:color="99B5CB"/>
            </w:tcBorders>
          </w:tcPr>
          <w:p>
            <w:pPr>
              <w:spacing w:after="0"/>
              <w:rPr>
                <w:sz w:val="15"/>
                <w:szCs w:val="15"/>
                <w:color w:val="auto"/>
              </w:rPr>
            </w:pPr>
          </w:p>
        </w:tc>
        <w:tc>
          <w:tcPr>
            <w:tcW w:w="3380" w:type="dxa"/>
            <w:vAlign w:val="bottom"/>
            <w:tcBorders>
              <w:bottom w:val="single" w:sz="8" w:color="99B5CB"/>
            </w:tcBorders>
          </w:tcPr>
          <w:p>
            <w:pPr>
              <w:jc w:val="center"/>
              <w:ind w:left="2743"/>
              <w:spacing w:after="0"/>
              <w:rPr>
                <w:sz w:val="20"/>
                <w:szCs w:val="20"/>
                <w:color w:val="auto"/>
              </w:rPr>
            </w:pPr>
            <w:r>
              <w:rPr>
                <w:rFonts w:ascii="Arial" w:cs="Arial" w:eastAsia="Arial" w:hAnsi="Arial"/>
                <w:sz w:val="15"/>
                <w:szCs w:val="15"/>
                <w:color w:val="auto"/>
                <w:w w:val="95"/>
              </w:rPr>
              <w:t>1</w:t>
            </w:r>
          </w:p>
        </w:tc>
        <w:tc>
          <w:tcPr>
            <w:tcW w:w="1280" w:type="dxa"/>
            <w:vAlign w:val="bottom"/>
            <w:tcBorders>
              <w:bottom w:val="single" w:sz="8" w:color="99B5CB"/>
            </w:tcBorders>
          </w:tcPr>
          <w:p>
            <w:pPr>
              <w:jc w:val="center"/>
              <w:spacing w:after="0"/>
              <w:rPr>
                <w:sz w:val="20"/>
                <w:szCs w:val="20"/>
                <w:color w:val="auto"/>
              </w:rPr>
            </w:pPr>
            <w:r>
              <w:rPr>
                <w:rFonts w:ascii="Arial" w:cs="Arial" w:eastAsia="Arial" w:hAnsi="Arial"/>
                <w:sz w:val="15"/>
                <w:szCs w:val="15"/>
                <w:color w:val="auto"/>
                <w:w w:val="95"/>
              </w:rPr>
              <w:t>7</w:t>
            </w:r>
          </w:p>
        </w:tc>
        <w:tc>
          <w:tcPr>
            <w:tcW w:w="0" w:type="dxa"/>
            <w:vAlign w:val="bottom"/>
          </w:tcPr>
          <w:p>
            <w:pPr>
              <w:spacing w:after="0"/>
              <w:rPr>
                <w:sz w:val="1"/>
                <w:szCs w:val="1"/>
                <w:color w:val="auto"/>
              </w:rPr>
            </w:pPr>
          </w:p>
        </w:tc>
      </w:tr>
      <w:tr>
        <w:trPr>
          <w:trHeight w:val="174"/>
        </w:trPr>
        <w:tc>
          <w:tcPr>
            <w:tcW w:w="2360" w:type="dxa"/>
            <w:vAlign w:val="bottom"/>
            <w:tcBorders>
              <w:bottom w:val="single" w:sz="8" w:color="99B5CB"/>
            </w:tcBorders>
          </w:tcPr>
          <w:p>
            <w:pPr>
              <w:ind w:left="80"/>
              <w:spacing w:after="0"/>
              <w:rPr>
                <w:sz w:val="20"/>
                <w:szCs w:val="20"/>
                <w:color w:val="auto"/>
              </w:rPr>
            </w:pPr>
            <w:r>
              <w:rPr>
                <w:rFonts w:ascii="Arial" w:cs="Arial" w:eastAsia="Arial" w:hAnsi="Arial"/>
                <w:sz w:val="15"/>
                <w:szCs w:val="15"/>
                <w:color w:val="auto"/>
              </w:rPr>
              <w:t>Two or More Races or Ethnicities</w:t>
            </w:r>
          </w:p>
        </w:tc>
        <w:tc>
          <w:tcPr>
            <w:tcW w:w="3520" w:type="dxa"/>
            <w:vAlign w:val="bottom"/>
            <w:tcBorders>
              <w:bottom w:val="single" w:sz="8" w:color="99B5CB"/>
            </w:tcBorders>
          </w:tcPr>
          <w:p>
            <w:pPr>
              <w:spacing w:after="0"/>
              <w:rPr>
                <w:sz w:val="15"/>
                <w:szCs w:val="15"/>
                <w:color w:val="auto"/>
              </w:rPr>
            </w:pPr>
          </w:p>
        </w:tc>
        <w:tc>
          <w:tcPr>
            <w:tcW w:w="3380" w:type="dxa"/>
            <w:vAlign w:val="bottom"/>
            <w:tcBorders>
              <w:bottom w:val="single" w:sz="8" w:color="99B5CB"/>
            </w:tcBorders>
          </w:tcPr>
          <w:p>
            <w:pPr>
              <w:jc w:val="center"/>
              <w:ind w:left="2743"/>
              <w:spacing w:after="0"/>
              <w:rPr>
                <w:sz w:val="20"/>
                <w:szCs w:val="20"/>
                <w:color w:val="auto"/>
              </w:rPr>
            </w:pPr>
            <w:r>
              <w:rPr>
                <w:rFonts w:ascii="Arial" w:cs="Arial" w:eastAsia="Arial" w:hAnsi="Arial"/>
                <w:sz w:val="15"/>
                <w:szCs w:val="15"/>
                <w:color w:val="auto"/>
              </w:rPr>
              <w:t>—</w:t>
            </w:r>
          </w:p>
        </w:tc>
        <w:tc>
          <w:tcPr>
            <w:tcW w:w="1280" w:type="dxa"/>
            <w:vAlign w:val="bottom"/>
            <w:tcBorders>
              <w:bottom w:val="single" w:sz="8" w:color="99B5CB"/>
            </w:tcBorders>
          </w:tcPr>
          <w:p>
            <w:pPr>
              <w:jc w:val="center"/>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4"/>
        </w:trPr>
        <w:tc>
          <w:tcPr>
            <w:tcW w:w="2360" w:type="dxa"/>
            <w:vAlign w:val="bottom"/>
            <w:tcBorders>
              <w:bottom w:val="single" w:sz="8" w:color="99B5CB"/>
            </w:tcBorders>
          </w:tcPr>
          <w:p>
            <w:pPr>
              <w:ind w:left="80"/>
              <w:spacing w:after="0"/>
              <w:rPr>
                <w:sz w:val="20"/>
                <w:szCs w:val="20"/>
                <w:color w:val="auto"/>
              </w:rPr>
            </w:pPr>
            <w:r>
              <w:rPr>
                <w:rFonts w:ascii="Arial" w:cs="Arial" w:eastAsia="Arial" w:hAnsi="Arial"/>
                <w:sz w:val="15"/>
                <w:szCs w:val="15"/>
                <w:color w:val="auto"/>
              </w:rPr>
              <w:t>LGBTQ+</w:t>
            </w:r>
          </w:p>
        </w:tc>
        <w:tc>
          <w:tcPr>
            <w:tcW w:w="3520" w:type="dxa"/>
            <w:vAlign w:val="bottom"/>
            <w:tcBorders>
              <w:bottom w:val="single" w:sz="8" w:color="99B5CB"/>
            </w:tcBorders>
          </w:tcPr>
          <w:p>
            <w:pPr>
              <w:spacing w:after="0"/>
              <w:rPr>
                <w:sz w:val="15"/>
                <w:szCs w:val="15"/>
                <w:color w:val="auto"/>
              </w:rPr>
            </w:pPr>
          </w:p>
        </w:tc>
        <w:tc>
          <w:tcPr>
            <w:tcW w:w="3380" w:type="dxa"/>
            <w:vAlign w:val="bottom"/>
            <w:tcBorders>
              <w:bottom w:val="single" w:sz="8" w:color="99B5CB"/>
            </w:tcBorders>
          </w:tcPr>
          <w:p>
            <w:pPr>
              <w:spacing w:after="0"/>
              <w:rPr>
                <w:sz w:val="15"/>
                <w:szCs w:val="15"/>
                <w:color w:val="auto"/>
              </w:rPr>
            </w:pPr>
          </w:p>
        </w:tc>
        <w:tc>
          <w:tcPr>
            <w:tcW w:w="1280" w:type="dxa"/>
            <w:vAlign w:val="bottom"/>
            <w:tcBorders>
              <w:bottom w:val="single" w:sz="8" w:color="99B5CB"/>
            </w:tcBorders>
          </w:tcPr>
          <w:p>
            <w:pPr>
              <w:jc w:val="right"/>
              <w:ind w:right="1063"/>
              <w:spacing w:after="0"/>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174"/>
        </w:trPr>
        <w:tc>
          <w:tcPr>
            <w:tcW w:w="5880" w:type="dxa"/>
            <w:vAlign w:val="bottom"/>
            <w:tcBorders>
              <w:bottom w:val="single" w:sz="8" w:color="00467D"/>
            </w:tcBorders>
            <w:gridSpan w:val="2"/>
          </w:tcPr>
          <w:p>
            <w:pPr>
              <w:ind w:left="80"/>
              <w:spacing w:after="0"/>
              <w:rPr>
                <w:sz w:val="20"/>
                <w:szCs w:val="20"/>
                <w:color w:val="auto"/>
              </w:rPr>
            </w:pPr>
            <w:r>
              <w:rPr>
                <w:rFonts w:ascii="Arial" w:cs="Arial" w:eastAsia="Arial" w:hAnsi="Arial"/>
                <w:sz w:val="15"/>
                <w:szCs w:val="15"/>
                <w:color w:val="auto"/>
              </w:rPr>
              <w:t>Did Not Disclose Demographic Background</w:t>
            </w:r>
          </w:p>
        </w:tc>
        <w:tc>
          <w:tcPr>
            <w:tcW w:w="3380" w:type="dxa"/>
            <w:vAlign w:val="bottom"/>
            <w:tcBorders>
              <w:bottom w:val="single" w:sz="8" w:color="00467D"/>
            </w:tcBorders>
          </w:tcPr>
          <w:p>
            <w:pPr>
              <w:spacing w:after="0"/>
              <w:rPr>
                <w:sz w:val="15"/>
                <w:szCs w:val="15"/>
                <w:color w:val="auto"/>
              </w:rPr>
            </w:pPr>
          </w:p>
        </w:tc>
        <w:tc>
          <w:tcPr>
            <w:tcW w:w="1280" w:type="dxa"/>
            <w:vAlign w:val="bottom"/>
            <w:tcBorders>
              <w:bottom w:val="single" w:sz="8" w:color="00467D"/>
            </w:tcBorders>
          </w:tcPr>
          <w:p>
            <w:pPr>
              <w:jc w:val="center"/>
              <w:ind w:right="1003"/>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bl>
    <w:p>
      <w:pPr>
        <w:spacing w:after="0" w:line="283" w:lineRule="exact"/>
        <w:rPr>
          <w:sz w:val="20"/>
          <w:szCs w:val="20"/>
          <w:color w:val="auto"/>
        </w:rPr>
      </w:pPr>
    </w:p>
    <w:p>
      <w:pPr>
        <w:ind w:left="360"/>
        <w:spacing w:after="0"/>
        <w:rPr>
          <w:sz w:val="20"/>
          <w:szCs w:val="20"/>
          <w:color w:val="auto"/>
        </w:rPr>
      </w:pPr>
      <w:r>
        <w:rPr>
          <w:rFonts w:ascii="Arial" w:cs="Arial" w:eastAsia="Arial" w:hAnsi="Arial"/>
          <w:sz w:val="31"/>
          <w:szCs w:val="31"/>
          <w:color w:val="00B0DB"/>
        </w:rPr>
        <w:t>Director Nominee Criteria and Process</w:t>
      </w:r>
    </w:p>
    <w:p>
      <w:pPr>
        <w:spacing w:after="0" w:line="221" w:lineRule="exact"/>
        <w:rPr>
          <w:sz w:val="20"/>
          <w:szCs w:val="20"/>
          <w:color w:val="auto"/>
        </w:rPr>
      </w:pPr>
    </w:p>
    <w:p>
      <w:pPr>
        <w:ind w:left="360" w:right="20"/>
        <w:spacing w:after="0"/>
        <w:rPr>
          <w:sz w:val="20"/>
          <w:szCs w:val="20"/>
          <w:color w:val="auto"/>
        </w:rPr>
      </w:pPr>
      <w:r>
        <w:rPr>
          <w:rFonts w:ascii="Arial" w:cs="Arial" w:eastAsia="Arial" w:hAnsi="Arial"/>
          <w:sz w:val="17"/>
          <w:szCs w:val="17"/>
          <w:color w:val="auto"/>
        </w:rPr>
        <w:t>The Governance Committee is responsible for identifying and screening candidates, for developing and recommending candidates to the Board, for evaluating candidates recommended or nominated by shareholders (including nominees designated by our Sponsors), for recommending to the Board all nominees for election to the Board at the annual meeting of shareholders, and for recommending any other action with respect to candidates nominated by shareholders. The Governance Committee’s recommendations must be consistent with our organizational documents and applicable law, as well as the Company’s obligations under our Stockholders’ Agreement. See “Board Composition” and “Certain Sponsor Rights” on pages 6 and 16, respectively. In evaluating candidates, the Board seeks individuals of high integrity and good judgment who have a record of accomplishment in their chosen fields, and who display the independence of mind and strength of character to effectively represent the best interests of all shareholders and provide practical insights and diverse perspectives. As described above in “Board Diversity”, the Board values diversity and seeks to achieve a mix of Board members that represents a diversity of skills, experience and background, including with respect to age, gender identity, sexual orientation, race, ethnicity, education, cultural background and professional experience. In December 2022, the Board approved amendments to the Governance Committee’s charter and the Corporate Governance Guidelines to include an explicit commitment to include candidates with the aforementioned diversity characteristics on slates of potential nominees to fill new positions on the Board.</w:t>
      </w:r>
    </w:p>
    <w:p>
      <w:pPr>
        <w:spacing w:after="0" w:line="156" w:lineRule="exact"/>
        <w:rPr>
          <w:sz w:val="20"/>
          <w:szCs w:val="20"/>
          <w:color w:val="auto"/>
        </w:rPr>
      </w:pPr>
    </w:p>
    <w:p>
      <w:pPr>
        <w:ind w:left="360" w:right="120"/>
        <w:spacing w:after="0" w:line="246" w:lineRule="auto"/>
        <w:rPr>
          <w:sz w:val="20"/>
          <w:szCs w:val="20"/>
          <w:color w:val="auto"/>
        </w:rPr>
      </w:pPr>
      <w:r>
        <w:rPr>
          <w:rFonts w:ascii="Arial" w:cs="Arial" w:eastAsia="Arial" w:hAnsi="Arial"/>
          <w:sz w:val="17"/>
          <w:szCs w:val="17"/>
          <w:color w:val="auto"/>
        </w:rPr>
        <w:t>Our Governance Committee reviews with our Board, on an annual basis, the independence, skills, experience and background of Board members, and the experience, skills and background of the Board as a whole, in determining whether to recommend incumbent directors for re-election. In identifying potential new candidates for Board membership, the Governance Committee considers recommendations from directors, shareholders, management, and from time to time it will engage executive search firms to assist in the identification of qualified candidates.</w:t>
      </w:r>
    </w:p>
    <w:p>
      <w:pPr>
        <w:spacing w:after="0" w:line="134" w:lineRule="exact"/>
        <w:rPr>
          <w:sz w:val="20"/>
          <w:szCs w:val="20"/>
          <w:color w:val="auto"/>
        </w:rPr>
      </w:pPr>
    </w:p>
    <w:p>
      <w:pPr>
        <w:ind w:left="360" w:right="100"/>
        <w:spacing w:after="0" w:line="256" w:lineRule="auto"/>
        <w:rPr>
          <w:sz w:val="20"/>
          <w:szCs w:val="20"/>
          <w:color w:val="auto"/>
        </w:rPr>
      </w:pPr>
      <w:r>
        <w:rPr>
          <w:rFonts w:ascii="Arial" w:cs="Arial" w:eastAsia="Arial" w:hAnsi="Arial"/>
          <w:sz w:val="17"/>
          <w:szCs w:val="17"/>
          <w:color w:val="auto"/>
        </w:rPr>
        <w:t>Once potential director candidates are identified, the Governance Committee begins an extensive evaluation process. The evaluation and selection of qualified directors involves the consideration of many factors, including the needs of our Board at that time. In addition to those qualifications necessary to meet the requirements of our organizational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231775</wp:posOffset>
            </wp:positionH>
            <wp:positionV relativeFrom="paragraph">
              <wp:posOffset>88900</wp:posOffset>
            </wp:positionV>
            <wp:extent cx="6687820" cy="165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687820" cy="16510"/>
                    </a:xfrm>
                    <a:prstGeom prst="rect">
                      <a:avLst/>
                    </a:prstGeom>
                    <a:noFill/>
                  </pic:spPr>
                </pic:pic>
              </a:graphicData>
            </a:graphic>
          </wp:anchor>
        </w:drawing>
      </w:r>
    </w:p>
    <w:p>
      <w:pPr>
        <w:spacing w:after="0" w:line="310"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6443980</wp:posOffset>
            </wp:positionH>
            <wp:positionV relativeFrom="paragraph">
              <wp:posOffset>-113030</wp:posOffset>
            </wp:positionV>
            <wp:extent cx="475615" cy="15557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475615" cy="155575"/>
                    </a:xfrm>
                    <a:prstGeom prst="rect">
                      <a:avLst/>
                    </a:prstGeom>
                    <a:noFill/>
                  </pic:spPr>
                </pic:pic>
              </a:graphicData>
            </a:graphic>
          </wp:anchor>
        </w:drawing>
      </w:r>
    </w:p>
    <w:p>
      <w:pPr>
        <w:sectPr>
          <w:pgSz w:w="11900" w:h="16838" w:orient="portrait"/>
          <w:cols w:equalWidth="0" w:num="1">
            <w:col w:w="10900"/>
          </w:cols>
          <w:pgMar w:left="320" w:top="468" w:right="67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5397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9945" cy="53975"/>
                    </a:xfrm>
                    <a:prstGeom prst="rect">
                      <a:avLst/>
                    </a:prstGeom>
                    <a:noFill/>
                  </pic:spPr>
                </pic:pic>
              </a:graphicData>
            </a:graphic>
          </wp:anchor>
        </w:drawing>
        <w:t>Table of Contents</w:t>
      </w:r>
    </w:p>
    <w:p>
      <w:pPr>
        <w:spacing w:after="0" w:line="296"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auto"/>
        </w:rPr>
        <w:t>Board Composition, Nominations Process and Director Qualifications</w:t>
      </w:r>
    </w:p>
    <w:p>
      <w:pPr>
        <w:spacing w:after="0" w:line="21" w:lineRule="exact"/>
        <w:rPr>
          <w:sz w:val="20"/>
          <w:szCs w:val="20"/>
          <w:color w:val="auto"/>
        </w:rPr>
      </w:pPr>
    </w:p>
    <w:p>
      <w:pPr>
        <w:ind w:left="360"/>
        <w:spacing w:after="0"/>
        <w:rPr>
          <w:sz w:val="20"/>
          <w:szCs w:val="20"/>
          <w:color w:val="auto"/>
        </w:rPr>
      </w:pPr>
      <w:r>
        <w:rPr>
          <w:rFonts w:ascii="Arial" w:cs="Arial" w:eastAsia="Arial" w:hAnsi="Arial"/>
          <w:sz w:val="14"/>
          <w:szCs w:val="14"/>
          <w:b w:val="1"/>
          <w:bCs w:val="1"/>
          <w:color w:val="auto"/>
        </w:rPr>
        <w:t>Shareholder Nominations for Directors</w:t>
      </w:r>
    </w:p>
    <w:p>
      <w:pPr>
        <w:spacing w:after="0" w:line="114" w:lineRule="exact"/>
        <w:rPr>
          <w:sz w:val="20"/>
          <w:szCs w:val="20"/>
          <w:color w:val="auto"/>
        </w:rPr>
      </w:pPr>
    </w:p>
    <w:p>
      <w:pPr>
        <w:ind w:left="360" w:right="780"/>
        <w:spacing w:after="0" w:line="274" w:lineRule="auto"/>
        <w:rPr>
          <w:sz w:val="20"/>
          <w:szCs w:val="20"/>
          <w:color w:val="auto"/>
        </w:rPr>
      </w:pPr>
      <w:r>
        <w:rPr>
          <w:rFonts w:ascii="Arial" w:cs="Arial" w:eastAsia="Arial" w:hAnsi="Arial"/>
          <w:sz w:val="17"/>
          <w:szCs w:val="17"/>
          <w:color w:val="auto"/>
        </w:rPr>
        <w:t>applicable U.S. legal, regulatory and Nasdaq listing requirements, as well as the Company’s obligations under our Stockholders’ Agreement, the Governance Committee and Board consider the following with respect to each potential director nominee: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231775</wp:posOffset>
            </wp:positionH>
            <wp:positionV relativeFrom="paragraph">
              <wp:posOffset>120650</wp:posOffset>
            </wp:positionV>
            <wp:extent cx="668782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687820" cy="8255"/>
                    </a:xfrm>
                    <a:prstGeom prst="rect">
                      <a:avLst/>
                    </a:prstGeom>
                    <a:noFill/>
                  </pic:spPr>
                </pic:pic>
              </a:graphicData>
            </a:graphic>
          </wp:anchor>
        </w:drawing>
      </w:r>
    </w:p>
    <w:p>
      <w:pPr>
        <w:spacing w:after="0" w:line="205" w:lineRule="exact"/>
        <w:rPr>
          <w:sz w:val="20"/>
          <w:szCs w:val="20"/>
          <w:color w:val="auto"/>
        </w:rPr>
      </w:pPr>
    </w:p>
    <w:tbl>
      <w:tblPr>
        <w:tblLayout w:type="fixed"/>
        <w:tblInd w:w="360" w:type="dxa"/>
        <w:tblCellMar>
          <w:top w:w="0" w:type="dxa"/>
          <w:left w:w="0" w:type="dxa"/>
          <w:bottom w:w="0" w:type="dxa"/>
          <w:right w:w="0" w:type="dxa"/>
        </w:tblCellMar>
      </w:tblPr>
      <w:tr>
        <w:trPr>
          <w:trHeight w:val="226"/>
        </w:trPr>
        <w:tc>
          <w:tcPr>
            <w:tcW w:w="160" w:type="dxa"/>
            <w:vAlign w:val="bottom"/>
          </w:tcPr>
          <w:p>
            <w:pPr>
              <w:spacing w:after="0"/>
              <w:rPr>
                <w:sz w:val="20"/>
                <w:szCs w:val="20"/>
                <w:color w:val="auto"/>
              </w:rPr>
            </w:pPr>
            <w:r>
              <w:rPr>
                <w:rFonts w:ascii="Arial" w:cs="Arial" w:eastAsia="Arial" w:hAnsi="Arial"/>
                <w:sz w:val="17"/>
                <w:szCs w:val="17"/>
                <w:color w:val="00467D"/>
              </w:rPr>
              <w:t>•</w:t>
            </w:r>
            <w:r>
              <w:rPr>
                <w:rFonts w:ascii="Arial" w:cs="Arial" w:eastAsia="Arial" w:hAnsi="Arial"/>
                <w:sz w:val="17"/>
                <w:szCs w:val="17"/>
                <w:color w:val="000000"/>
              </w:rPr>
              <w:t xml:space="preserve"> </w:t>
            </w:r>
          </w:p>
        </w:tc>
        <w:tc>
          <w:tcPr>
            <w:tcW w:w="3440" w:type="dxa"/>
            <w:vAlign w:val="bottom"/>
          </w:tcPr>
          <w:p>
            <w:pPr>
              <w:ind w:left="80"/>
              <w:spacing w:after="0"/>
              <w:rPr>
                <w:sz w:val="20"/>
                <w:szCs w:val="20"/>
                <w:color w:val="auto"/>
              </w:rPr>
            </w:pPr>
            <w:r>
              <w:rPr>
                <w:rFonts w:ascii="Arial" w:cs="Arial" w:eastAsia="Arial" w:hAnsi="Arial"/>
                <w:sz w:val="17"/>
                <w:szCs w:val="17"/>
                <w:color w:val="auto"/>
              </w:rPr>
              <w:t>  Integrity</w:t>
            </w:r>
          </w:p>
        </w:tc>
        <w:tc>
          <w:tcPr>
            <w:tcW w:w="5900" w:type="dxa"/>
            <w:vAlign w:val="bottom"/>
            <w:gridSpan w:val="2"/>
          </w:tcPr>
          <w:p>
            <w:pPr>
              <w:ind w:left="620"/>
              <w:spacing w:after="0"/>
              <w:rPr>
                <w:sz w:val="20"/>
                <w:szCs w:val="20"/>
                <w:color w:val="auto"/>
              </w:rPr>
            </w:pPr>
            <w:r>
              <w:rPr>
                <w:rFonts w:ascii="Arial" w:cs="Arial" w:eastAsia="Arial" w:hAnsi="Arial"/>
                <w:sz w:val="17"/>
                <w:szCs w:val="17"/>
                <w:color w:val="00467D"/>
              </w:rPr>
              <w:t>•</w:t>
            </w:r>
            <w:r>
              <w:rPr>
                <w:rFonts w:ascii="Arial" w:cs="Arial" w:eastAsia="Arial" w:hAnsi="Arial"/>
                <w:sz w:val="17"/>
                <w:szCs w:val="17"/>
                <w:color w:val="000000"/>
              </w:rPr>
              <w:t xml:space="preserve">     Ability to devote adequate time and effort to Board responsibilities</w:t>
            </w:r>
          </w:p>
        </w:tc>
      </w:tr>
      <w:tr>
        <w:trPr>
          <w:trHeight w:val="297"/>
        </w:trPr>
        <w:tc>
          <w:tcPr>
            <w:tcW w:w="3600" w:type="dxa"/>
            <w:vAlign w:val="bottom"/>
            <w:gridSpan w:val="2"/>
          </w:tcPr>
          <w:p>
            <w:pPr>
              <w:spacing w:after="0"/>
              <w:rPr>
                <w:sz w:val="20"/>
                <w:szCs w:val="20"/>
                <w:color w:val="auto"/>
              </w:rPr>
            </w:pPr>
            <w:r>
              <w:rPr>
                <w:rFonts w:ascii="Arial" w:cs="Arial" w:eastAsia="Arial" w:hAnsi="Arial"/>
                <w:sz w:val="17"/>
                <w:szCs w:val="17"/>
                <w:color w:val="00467D"/>
              </w:rPr>
              <w:t>•</w:t>
            </w:r>
            <w:r>
              <w:rPr>
                <w:rFonts w:ascii="Arial" w:cs="Arial" w:eastAsia="Arial" w:hAnsi="Arial"/>
                <w:sz w:val="17"/>
                <w:szCs w:val="17"/>
                <w:color w:val="000000"/>
              </w:rPr>
              <w:t xml:space="preserve">     Strength of character and judgment</w:t>
            </w:r>
          </w:p>
        </w:tc>
        <w:tc>
          <w:tcPr>
            <w:tcW w:w="780" w:type="dxa"/>
            <w:vAlign w:val="bottom"/>
          </w:tcPr>
          <w:p>
            <w:pPr>
              <w:ind w:left="620"/>
              <w:spacing w:after="0"/>
              <w:rPr>
                <w:sz w:val="20"/>
                <w:szCs w:val="20"/>
                <w:color w:val="auto"/>
              </w:rPr>
            </w:pPr>
            <w:r>
              <w:rPr>
                <w:rFonts w:ascii="Arial" w:cs="Arial" w:eastAsia="Arial" w:hAnsi="Arial"/>
                <w:sz w:val="17"/>
                <w:szCs w:val="17"/>
                <w:color w:val="00467D"/>
              </w:rPr>
              <w:t>•</w:t>
            </w:r>
            <w:r>
              <w:rPr>
                <w:rFonts w:ascii="Arial" w:cs="Arial" w:eastAsia="Arial" w:hAnsi="Arial"/>
                <w:sz w:val="17"/>
                <w:szCs w:val="17"/>
                <w:color w:val="000000"/>
              </w:rPr>
              <w:t xml:space="preserve"> </w:t>
            </w:r>
          </w:p>
        </w:tc>
        <w:tc>
          <w:tcPr>
            <w:tcW w:w="5120" w:type="dxa"/>
            <w:vAlign w:val="bottom"/>
          </w:tcPr>
          <w:p>
            <w:pPr>
              <w:ind w:left="80"/>
              <w:spacing w:after="0"/>
              <w:rPr>
                <w:sz w:val="20"/>
                <w:szCs w:val="20"/>
                <w:color w:val="auto"/>
              </w:rPr>
            </w:pPr>
            <w:r>
              <w:rPr>
                <w:rFonts w:ascii="Arial" w:cs="Arial" w:eastAsia="Arial" w:hAnsi="Arial"/>
                <w:sz w:val="17"/>
                <w:szCs w:val="17"/>
                <w:color w:val="auto"/>
              </w:rPr>
              <w:t>  Participation on other boards</w:t>
            </w:r>
          </w:p>
        </w:tc>
      </w:tr>
      <w:tr>
        <w:trPr>
          <w:trHeight w:val="297"/>
        </w:trPr>
        <w:tc>
          <w:tcPr>
            <w:tcW w:w="160" w:type="dxa"/>
            <w:vAlign w:val="bottom"/>
          </w:tcPr>
          <w:p>
            <w:pPr>
              <w:spacing w:after="0"/>
              <w:rPr>
                <w:sz w:val="20"/>
                <w:szCs w:val="20"/>
                <w:color w:val="auto"/>
              </w:rPr>
            </w:pPr>
            <w:r>
              <w:rPr>
                <w:rFonts w:ascii="Arial" w:cs="Arial" w:eastAsia="Arial" w:hAnsi="Arial"/>
                <w:sz w:val="17"/>
                <w:szCs w:val="17"/>
                <w:color w:val="00467D"/>
              </w:rPr>
              <w:t>•</w:t>
            </w:r>
            <w:r>
              <w:rPr>
                <w:rFonts w:ascii="Arial" w:cs="Arial" w:eastAsia="Arial" w:hAnsi="Arial"/>
                <w:sz w:val="17"/>
                <w:szCs w:val="17"/>
                <w:color w:val="000000"/>
              </w:rPr>
              <w:t xml:space="preserve"> </w:t>
            </w:r>
          </w:p>
        </w:tc>
        <w:tc>
          <w:tcPr>
            <w:tcW w:w="3440" w:type="dxa"/>
            <w:vAlign w:val="bottom"/>
          </w:tcPr>
          <w:p>
            <w:pPr>
              <w:ind w:left="80"/>
              <w:spacing w:after="0"/>
              <w:rPr>
                <w:sz w:val="20"/>
                <w:szCs w:val="20"/>
                <w:color w:val="auto"/>
              </w:rPr>
            </w:pPr>
            <w:r>
              <w:rPr>
                <w:rFonts w:ascii="Arial" w:cs="Arial" w:eastAsia="Arial" w:hAnsi="Arial"/>
                <w:sz w:val="17"/>
                <w:szCs w:val="17"/>
                <w:color w:val="auto"/>
              </w:rPr>
              <w:t>  Business experience</w:t>
            </w:r>
          </w:p>
        </w:tc>
        <w:tc>
          <w:tcPr>
            <w:tcW w:w="780" w:type="dxa"/>
            <w:vAlign w:val="bottom"/>
          </w:tcPr>
          <w:p>
            <w:pPr>
              <w:ind w:left="620"/>
              <w:spacing w:after="0"/>
              <w:rPr>
                <w:sz w:val="20"/>
                <w:szCs w:val="20"/>
                <w:color w:val="auto"/>
              </w:rPr>
            </w:pPr>
            <w:r>
              <w:rPr>
                <w:rFonts w:ascii="Arial" w:cs="Arial" w:eastAsia="Arial" w:hAnsi="Arial"/>
                <w:sz w:val="17"/>
                <w:szCs w:val="17"/>
                <w:color w:val="00467D"/>
              </w:rPr>
              <w:t>•</w:t>
            </w:r>
            <w:r>
              <w:rPr>
                <w:rFonts w:ascii="Arial" w:cs="Arial" w:eastAsia="Arial" w:hAnsi="Arial"/>
                <w:sz w:val="17"/>
                <w:szCs w:val="17"/>
                <w:color w:val="000000"/>
              </w:rPr>
              <w:t xml:space="preserve"> </w:t>
            </w:r>
          </w:p>
        </w:tc>
        <w:tc>
          <w:tcPr>
            <w:tcW w:w="5120" w:type="dxa"/>
            <w:vAlign w:val="bottom"/>
          </w:tcPr>
          <w:p>
            <w:pPr>
              <w:ind w:left="80"/>
              <w:spacing w:after="0"/>
              <w:rPr>
                <w:sz w:val="20"/>
                <w:szCs w:val="20"/>
                <w:color w:val="auto"/>
              </w:rPr>
            </w:pPr>
            <w:r>
              <w:rPr>
                <w:rFonts w:ascii="Arial" w:cs="Arial" w:eastAsia="Arial" w:hAnsi="Arial"/>
                <w:sz w:val="17"/>
                <w:szCs w:val="17"/>
                <w:color w:val="auto"/>
              </w:rPr>
              <w:t>  Specific areas of expertise</w:t>
            </w:r>
          </w:p>
        </w:tc>
      </w:tr>
    </w:tbl>
    <w:p>
      <w:pPr>
        <w:spacing w:after="0" w:line="71" w:lineRule="exact"/>
        <w:rPr>
          <w:sz w:val="20"/>
          <w:szCs w:val="20"/>
          <w:color w:val="auto"/>
        </w:rPr>
      </w:pPr>
    </w:p>
    <w:p>
      <w:pPr>
        <w:ind w:left="360"/>
        <w:spacing w:after="0"/>
        <w:rPr>
          <w:sz w:val="20"/>
          <w:szCs w:val="20"/>
          <w:color w:val="auto"/>
        </w:rPr>
      </w:pPr>
      <w:r>
        <w:rPr>
          <w:rFonts w:ascii="Arial" w:cs="Arial" w:eastAsia="Arial" w:hAnsi="Arial"/>
          <w:sz w:val="17"/>
          <w:szCs w:val="17"/>
          <w:color w:val="00467D"/>
        </w:rPr>
        <w:t>•</w:t>
      </w:r>
      <w:r>
        <w:rPr>
          <w:rFonts w:ascii="Arial" w:cs="Arial" w:eastAsia="Arial" w:hAnsi="Arial"/>
          <w:sz w:val="17"/>
          <w:szCs w:val="17"/>
          <w:color w:val="000000"/>
        </w:rPr>
        <w:t xml:space="preserve">     Principles of diversity (including diversity of</w:t>
      </w:r>
    </w:p>
    <w:p>
      <w:pPr>
        <w:spacing w:after="0" w:line="12" w:lineRule="exact"/>
        <w:rPr>
          <w:sz w:val="20"/>
          <w:szCs w:val="20"/>
          <w:color w:val="auto"/>
        </w:rPr>
      </w:pPr>
    </w:p>
    <w:p>
      <w:pPr>
        <w:ind w:left="700"/>
        <w:spacing w:after="0"/>
        <w:rPr>
          <w:sz w:val="20"/>
          <w:szCs w:val="20"/>
          <w:color w:val="auto"/>
        </w:rPr>
      </w:pPr>
      <w:r>
        <w:rPr>
          <w:rFonts w:ascii="Arial" w:cs="Arial" w:eastAsia="Arial" w:hAnsi="Arial"/>
          <w:sz w:val="17"/>
          <w:szCs w:val="17"/>
          <w:color w:val="auto"/>
        </w:rPr>
        <w:t>gender, race, ethnicity, sexual orientation, age,</w:t>
      </w:r>
    </w:p>
    <w:p>
      <w:pPr>
        <w:ind w:left="700"/>
        <w:spacing w:after="0" w:line="237" w:lineRule="auto"/>
        <w:rPr>
          <w:sz w:val="20"/>
          <w:szCs w:val="20"/>
          <w:color w:val="auto"/>
        </w:rPr>
      </w:pPr>
      <w:r>
        <w:rPr>
          <w:rFonts w:ascii="Arial" w:cs="Arial" w:eastAsia="Arial" w:hAnsi="Arial"/>
          <w:sz w:val="17"/>
          <w:szCs w:val="17"/>
          <w:color w:val="auto"/>
        </w:rPr>
        <w:t>education, cultural background and professional</w:t>
      </w:r>
    </w:p>
    <w:p>
      <w:pPr>
        <w:spacing w:after="0" w:line="1" w:lineRule="exact"/>
        <w:rPr>
          <w:sz w:val="20"/>
          <w:szCs w:val="20"/>
          <w:color w:val="auto"/>
        </w:rPr>
      </w:pPr>
    </w:p>
    <w:p>
      <w:pPr>
        <w:ind w:left="700"/>
        <w:spacing w:after="0"/>
        <w:rPr>
          <w:sz w:val="20"/>
          <w:szCs w:val="20"/>
          <w:color w:val="auto"/>
        </w:rPr>
      </w:pPr>
      <w:r>
        <w:rPr>
          <w:rFonts w:ascii="Arial" w:cs="Arial" w:eastAsia="Arial" w:hAnsi="Arial"/>
          <w:sz w:val="17"/>
          <w:szCs w:val="17"/>
          <w:color w:val="auto"/>
        </w:rPr>
        <w:t>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231775</wp:posOffset>
            </wp:positionH>
            <wp:positionV relativeFrom="paragraph">
              <wp:posOffset>32385</wp:posOffset>
            </wp:positionV>
            <wp:extent cx="668782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687820" cy="8255"/>
                    </a:xfrm>
                    <a:prstGeom prst="rect">
                      <a:avLst/>
                    </a:prstGeom>
                    <a:noFill/>
                  </pic:spPr>
                </pic:pic>
              </a:graphicData>
            </a:graphic>
          </wp:anchor>
        </w:drawing>
      </w:r>
    </w:p>
    <w:p>
      <w:pPr>
        <w:spacing w:after="0" w:line="224" w:lineRule="exact"/>
        <w:rPr>
          <w:sz w:val="20"/>
          <w:szCs w:val="20"/>
          <w:color w:val="auto"/>
        </w:rPr>
      </w:pPr>
    </w:p>
    <w:p>
      <w:pPr>
        <w:ind w:left="360"/>
        <w:spacing w:after="0"/>
        <w:rPr>
          <w:sz w:val="20"/>
          <w:szCs w:val="20"/>
          <w:color w:val="auto"/>
        </w:rPr>
      </w:pPr>
      <w:r>
        <w:rPr>
          <w:rFonts w:ascii="Arial" w:cs="Arial" w:eastAsia="Arial" w:hAnsi="Arial"/>
          <w:sz w:val="31"/>
          <w:szCs w:val="31"/>
          <w:color w:val="00B0DB"/>
        </w:rPr>
        <w:t>Shareholder Nominations for Directors</w:t>
      </w:r>
    </w:p>
    <w:p>
      <w:pPr>
        <w:spacing w:after="0" w:line="221" w:lineRule="exact"/>
        <w:rPr>
          <w:sz w:val="20"/>
          <w:szCs w:val="20"/>
          <w:color w:val="auto"/>
        </w:rPr>
      </w:pPr>
    </w:p>
    <w:p>
      <w:pPr>
        <w:ind w:left="360" w:right="80"/>
        <w:spacing w:after="0" w:line="246" w:lineRule="auto"/>
        <w:rPr>
          <w:sz w:val="20"/>
          <w:szCs w:val="20"/>
          <w:color w:val="auto"/>
        </w:rPr>
      </w:pPr>
      <w:r>
        <w:rPr>
          <w:rFonts w:ascii="Arial" w:cs="Arial" w:eastAsia="Arial" w:hAnsi="Arial"/>
          <w:sz w:val="17"/>
          <w:szCs w:val="17"/>
          <w:color w:val="auto"/>
        </w:rPr>
        <w:t>The Governance Committee will consider potential director candidates recommended by shareholders in accordance with the procedures set forth in our Corporate Governance Guidelines, organizational documents, our Stockholders’ Agreement and applicable law. As part of this responsibility, the Governance Committee is responsible for conducting, subject to applicable law, any and all inquiries into the background and qualifications of any candidate for the Board. The Governance Committee also oversees the nomination of director candidates by shareholders in accordance with our organizational documents, our Stockholders’ Agreement and applicable law.</w:t>
      </w:r>
    </w:p>
    <w:p>
      <w:pPr>
        <w:spacing w:after="0" w:line="147" w:lineRule="exact"/>
        <w:rPr>
          <w:sz w:val="20"/>
          <w:szCs w:val="20"/>
          <w:color w:val="auto"/>
        </w:rPr>
      </w:pPr>
    </w:p>
    <w:p>
      <w:pPr>
        <w:ind w:left="360"/>
        <w:spacing w:after="0" w:line="241" w:lineRule="auto"/>
        <w:rPr>
          <w:sz w:val="20"/>
          <w:szCs w:val="20"/>
          <w:color w:val="auto"/>
        </w:rPr>
      </w:pPr>
      <w:r>
        <w:rPr>
          <w:rFonts w:ascii="Arial" w:cs="Arial" w:eastAsia="Arial" w:hAnsi="Arial"/>
          <w:sz w:val="17"/>
          <w:szCs w:val="17"/>
          <w:color w:val="auto"/>
        </w:rPr>
        <w:t>Our amended and restated bylaws provide advance notice procedures for shareholders seeking to nominate candidates for election as directors at our annual meeting of shareholders, other than nominations made by or at the direction of the Board or pursuant to our Stockholders’ Agreement. Any shareholder nomination must comply with the requirements set forth in our amended and restated bylaws and should be sent in writing to our Secretary at Sotera Health Company, 9100 South Hills Blvd, Suite 300, Broadview Heights, Ohio 44147. To be considered timely notice, a shareholder’s notice must be received by the Secretary not earlier than the opening of business 120 days before, and not later than the close of business 90 days before, the first anniversary of the date of the preceding year’s annual meeting of shareholders. If no annual meeting was held in the previous year, or if the date of the applicable annual meeting has been changed by more than 30 days from the date of the previous year’s annual meeting, then a shareholder’s notice, in order to be considered timely, must be received by the Secretary not earlier than the opening of business 120 days before the date of such annual meeting, and not later than the close of business on the later of (i) 90 days prior to the date of such annual meeting; and (ii) the 10th day following the day on which public announcement of the date of such annual meeting was first made. No such nominations were made for the Board’s consideration this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231775</wp:posOffset>
            </wp:positionH>
            <wp:positionV relativeFrom="paragraph">
              <wp:posOffset>96520</wp:posOffset>
            </wp:positionV>
            <wp:extent cx="6687820" cy="1651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687820" cy="16510"/>
                    </a:xfrm>
                    <a:prstGeom prst="rect">
                      <a:avLst/>
                    </a:prstGeom>
                    <a:noFill/>
                  </pic:spPr>
                </pic:pic>
              </a:graphicData>
            </a:graphic>
          </wp:anchor>
        </w:drawing>
      </w:r>
    </w:p>
    <w:p>
      <w:pPr>
        <w:spacing w:after="0" w:line="309" w:lineRule="exact"/>
        <w:rPr>
          <w:sz w:val="20"/>
          <w:szCs w:val="20"/>
          <w:color w:val="auto"/>
        </w:rPr>
      </w:pPr>
    </w:p>
    <w:tbl>
      <w:tblPr>
        <w:tblLayout w:type="fixed"/>
        <w:tblInd w:w="360" w:type="dxa"/>
        <w:tblCellMar>
          <w:top w:w="0" w:type="dxa"/>
          <w:left w:w="0" w:type="dxa"/>
          <w:bottom w:w="0" w:type="dxa"/>
          <w:right w:w="0" w:type="dxa"/>
        </w:tblCellMar>
      </w:tblPr>
      <w:tr>
        <w:trPr>
          <w:trHeight w:val="226"/>
        </w:trPr>
        <w:tc>
          <w:tcPr>
            <w:tcW w:w="3900" w:type="dxa"/>
            <w:vAlign w:val="bottom"/>
          </w:tcPr>
          <w:p>
            <w:pPr>
              <w:spacing w:after="0"/>
              <w:rPr>
                <w:sz w:val="20"/>
                <w:szCs w:val="20"/>
                <w:color w:val="auto"/>
              </w:rPr>
            </w:pPr>
            <w:r>
              <w:rPr>
                <w:rFonts w:ascii="Arial" w:cs="Arial" w:eastAsia="Arial" w:hAnsi="Arial"/>
                <w:sz w:val="17"/>
                <w:szCs w:val="17"/>
                <w:color w:val="auto"/>
              </w:rPr>
              <w:t>2023 Notice and Proxy Statement</w:t>
            </w:r>
          </w:p>
        </w:tc>
        <w:tc>
          <w:tcPr>
            <w:tcW w:w="1520" w:type="dxa"/>
            <w:vAlign w:val="bottom"/>
          </w:tcPr>
          <w:p>
            <w:pPr>
              <w:jc w:val="right"/>
              <w:spacing w:after="0"/>
              <w:rPr>
                <w:sz w:val="20"/>
                <w:szCs w:val="20"/>
                <w:color w:val="auto"/>
              </w:rPr>
            </w:pPr>
            <w:r>
              <w:rPr>
                <w:rFonts w:ascii="Arial" w:cs="Arial" w:eastAsia="Arial" w:hAnsi="Arial"/>
                <w:sz w:val="17"/>
                <w:szCs w:val="17"/>
                <w:color w:val="auto"/>
              </w:rPr>
              <w:t>10</w:t>
            </w:r>
          </w:p>
        </w:tc>
      </w:tr>
    </w:tbl>
    <w:p>
      <w:pPr>
        <w:sectPr>
          <w:pgSz w:w="11900" w:h="16838" w:orient="portrait"/>
          <w:cols w:equalWidth="0" w:num="1">
            <w:col w:w="10860"/>
          </w:cols>
          <w:pgMar w:left="320" w:top="468" w:right="71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5397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9945" cy="53975"/>
                    </a:xfrm>
                    <a:prstGeom prst="rect">
                      <a:avLst/>
                    </a:prstGeom>
                    <a:noFill/>
                  </pic:spPr>
                </pic:pic>
              </a:graphicData>
            </a:graphic>
          </wp:anchor>
        </w:drawing>
        <w:t>Table of Contents</w:t>
      </w:r>
    </w:p>
    <w:p>
      <w:pPr>
        <w:spacing w:after="0" w:line="296" w:lineRule="exact"/>
        <w:rPr>
          <w:sz w:val="20"/>
          <w:szCs w:val="20"/>
          <w:color w:val="auto"/>
        </w:rPr>
      </w:pPr>
    </w:p>
    <w:p>
      <w:pPr>
        <w:jc w:val="right"/>
        <w:ind w:right="20"/>
        <w:spacing w:after="0"/>
        <w:rPr>
          <w:sz w:val="20"/>
          <w:szCs w:val="20"/>
          <w:color w:val="auto"/>
        </w:rPr>
      </w:pPr>
      <w:r>
        <w:rPr>
          <w:rFonts w:ascii="Arial" w:cs="Arial" w:eastAsia="Arial" w:hAnsi="Arial"/>
          <w:sz w:val="17"/>
          <w:szCs w:val="17"/>
          <w:b w:val="1"/>
          <w:bCs w:val="1"/>
          <w:color w:val="auto"/>
        </w:rPr>
        <w:t>Proposal 1: Election of Directors</w:t>
      </w:r>
    </w:p>
    <w:p>
      <w:pPr>
        <w:spacing w:after="0" w:line="21" w:lineRule="exact"/>
        <w:rPr>
          <w:sz w:val="20"/>
          <w:szCs w:val="20"/>
          <w:color w:val="auto"/>
        </w:rPr>
      </w:pPr>
    </w:p>
    <w:p>
      <w:pPr>
        <w:ind w:left="8040"/>
        <w:spacing w:after="0"/>
        <w:rPr>
          <w:sz w:val="20"/>
          <w:szCs w:val="20"/>
          <w:color w:val="auto"/>
        </w:rPr>
      </w:pPr>
      <w:r>
        <w:rPr>
          <w:rFonts w:ascii="Arial" w:cs="Arial" w:eastAsia="Arial" w:hAnsi="Arial"/>
          <w:sz w:val="13"/>
          <w:szCs w:val="13"/>
          <w:b w:val="1"/>
          <w:bCs w:val="1"/>
          <w:color w:val="auto"/>
        </w:rPr>
        <w:t>Nominees for Election as Class III Directors</w:t>
      </w:r>
    </w:p>
    <w:p>
      <w:pPr>
        <w:spacing w:after="0" w:line="101" w:lineRule="exact"/>
        <w:rPr>
          <w:sz w:val="20"/>
          <w:szCs w:val="20"/>
          <w:color w:val="auto"/>
        </w:rPr>
      </w:pPr>
    </w:p>
    <w:p>
      <w:pPr>
        <w:ind w:left="360"/>
        <w:spacing w:after="0"/>
        <w:rPr>
          <w:sz w:val="20"/>
          <w:szCs w:val="20"/>
          <w:color w:val="auto"/>
        </w:rPr>
      </w:pPr>
      <w:r>
        <w:rPr>
          <w:rFonts w:ascii="Arial" w:cs="Arial" w:eastAsia="Arial" w:hAnsi="Arial"/>
          <w:sz w:val="41"/>
          <w:szCs w:val="41"/>
          <w:b w:val="1"/>
          <w:bCs w:val="1"/>
          <w:color w:val="00B0DB"/>
        </w:rPr>
        <w:t>PROPOSAL 1: ELECTION OF DIRECTORS</w:t>
      </w:r>
    </w:p>
    <w:p>
      <w:pPr>
        <w:spacing w:after="0" w:line="237" w:lineRule="exact"/>
        <w:rPr>
          <w:sz w:val="20"/>
          <w:szCs w:val="20"/>
          <w:color w:val="auto"/>
        </w:rPr>
      </w:pPr>
    </w:p>
    <w:p>
      <w:pPr>
        <w:ind w:left="360"/>
        <w:spacing w:after="0"/>
        <w:rPr>
          <w:sz w:val="20"/>
          <w:szCs w:val="20"/>
          <w:color w:val="auto"/>
        </w:rPr>
      </w:pPr>
      <w:r>
        <w:rPr>
          <w:rFonts w:ascii="Arial" w:cs="Arial" w:eastAsia="Arial" w:hAnsi="Arial"/>
          <w:sz w:val="17"/>
          <w:szCs w:val="17"/>
          <w:color w:val="auto"/>
        </w:rPr>
        <w:t>Our Board currently comprises ten directors, divided into three classes, each of whose members serve for staggered three-year terms.</w:t>
      </w:r>
    </w:p>
    <w:p>
      <w:pPr>
        <w:spacing w:after="0" w:line="14" w:lineRule="exact"/>
        <w:rPr>
          <w:sz w:val="20"/>
          <w:szCs w:val="20"/>
          <w:color w:val="auto"/>
        </w:rPr>
      </w:pPr>
    </w:p>
    <w:p>
      <w:pPr>
        <w:ind w:left="360"/>
        <w:spacing w:after="0"/>
        <w:rPr>
          <w:sz w:val="20"/>
          <w:szCs w:val="20"/>
          <w:color w:val="auto"/>
        </w:rPr>
      </w:pPr>
      <w:r>
        <w:rPr>
          <w:rFonts w:ascii="Arial" w:cs="Arial" w:eastAsia="Arial" w:hAnsi="Arial"/>
          <w:sz w:val="17"/>
          <w:szCs w:val="17"/>
          <w:color w:val="auto"/>
        </w:rPr>
        <w:t>Each class consists, as nearly as possible, of one-third of the total number of directors.</w:t>
      </w:r>
    </w:p>
    <w:p>
      <w:pPr>
        <w:spacing w:after="0" w:line="163" w:lineRule="exact"/>
        <w:rPr>
          <w:sz w:val="20"/>
          <w:szCs w:val="20"/>
          <w:color w:val="auto"/>
        </w:rPr>
      </w:pPr>
    </w:p>
    <w:p>
      <w:pPr>
        <w:ind w:left="360"/>
        <w:spacing w:after="0"/>
        <w:rPr>
          <w:sz w:val="20"/>
          <w:szCs w:val="20"/>
          <w:color w:val="auto"/>
        </w:rPr>
      </w:pPr>
      <w:r>
        <w:rPr>
          <w:rFonts w:ascii="Arial" w:cs="Arial" w:eastAsia="Arial" w:hAnsi="Arial"/>
          <w:sz w:val="17"/>
          <w:szCs w:val="17"/>
          <w:color w:val="auto"/>
        </w:rPr>
        <w:t>The members of the classes are divided as follows:</w:t>
      </w:r>
    </w:p>
    <w:p>
      <w:pPr>
        <w:spacing w:after="0" w:line="114" w:lineRule="exact"/>
        <w:rPr>
          <w:sz w:val="20"/>
          <w:szCs w:val="20"/>
          <w:color w:val="auto"/>
        </w:rPr>
      </w:pPr>
    </w:p>
    <w:p>
      <w:pPr>
        <w:ind w:left="780" w:hanging="422"/>
        <w:spacing w:after="0"/>
        <w:tabs>
          <w:tab w:leader="none" w:pos="780" w:val="left"/>
        </w:tabs>
        <w:numPr>
          <w:ilvl w:val="0"/>
          <w:numId w:val="10"/>
        </w:numPr>
        <w:rPr>
          <w:rFonts w:ascii="Arial" w:cs="Arial" w:eastAsia="Arial" w:hAnsi="Arial"/>
          <w:sz w:val="17"/>
          <w:szCs w:val="17"/>
          <w:color w:val="00467D"/>
        </w:rPr>
      </w:pPr>
      <w:r>
        <w:rPr>
          <w:rFonts w:ascii="Arial" w:cs="Arial" w:eastAsia="Arial" w:hAnsi="Arial"/>
          <w:sz w:val="17"/>
          <w:szCs w:val="17"/>
          <w:color w:val="auto"/>
        </w:rPr>
        <w:t>the Class III directors are Mr. Cunningham, Mr. Knauss and Mr. Petrella, and their term will expire at the Annual Meeting;</w:t>
      </w:r>
    </w:p>
    <w:p>
      <w:pPr>
        <w:spacing w:after="0" w:line="114" w:lineRule="exact"/>
        <w:rPr>
          <w:rFonts w:ascii="Arial" w:cs="Arial" w:eastAsia="Arial" w:hAnsi="Arial"/>
          <w:sz w:val="17"/>
          <w:szCs w:val="17"/>
          <w:color w:val="00467D"/>
        </w:rPr>
      </w:pPr>
    </w:p>
    <w:p>
      <w:pPr>
        <w:ind w:left="780" w:right="800" w:hanging="422"/>
        <w:spacing w:after="0" w:line="274" w:lineRule="auto"/>
        <w:tabs>
          <w:tab w:leader="none" w:pos="780" w:val="left"/>
        </w:tabs>
        <w:numPr>
          <w:ilvl w:val="0"/>
          <w:numId w:val="10"/>
        </w:numPr>
        <w:rPr>
          <w:rFonts w:ascii="Arial" w:cs="Arial" w:eastAsia="Arial" w:hAnsi="Arial"/>
          <w:sz w:val="17"/>
          <w:szCs w:val="17"/>
          <w:color w:val="00467D"/>
        </w:rPr>
      </w:pPr>
      <w:r>
        <w:rPr>
          <w:rFonts w:ascii="Arial" w:cs="Arial" w:eastAsia="Arial" w:hAnsi="Arial"/>
          <w:sz w:val="17"/>
          <w:szCs w:val="17"/>
          <w:color w:val="auto"/>
        </w:rPr>
        <w:t>the Class I directors are Mr. Mihas, Mr. Neary, Mr. Petras and Dr. Wheadon and their term expires at the Annual Meeting of Shareholders in 2024; and</w:t>
      </w:r>
    </w:p>
    <w:p>
      <w:pPr>
        <w:spacing w:after="0" w:line="57" w:lineRule="exact"/>
        <w:rPr>
          <w:rFonts w:ascii="Arial" w:cs="Arial" w:eastAsia="Arial" w:hAnsi="Arial"/>
          <w:sz w:val="17"/>
          <w:szCs w:val="17"/>
          <w:color w:val="00467D"/>
        </w:rPr>
      </w:pPr>
    </w:p>
    <w:p>
      <w:pPr>
        <w:ind w:left="780" w:hanging="422"/>
        <w:spacing w:after="0"/>
        <w:tabs>
          <w:tab w:leader="none" w:pos="780" w:val="left"/>
        </w:tabs>
        <w:numPr>
          <w:ilvl w:val="0"/>
          <w:numId w:val="10"/>
        </w:numPr>
        <w:rPr>
          <w:rFonts w:ascii="Arial" w:cs="Arial" w:eastAsia="Arial" w:hAnsi="Arial"/>
          <w:sz w:val="17"/>
          <w:szCs w:val="17"/>
          <w:color w:val="00467D"/>
        </w:rPr>
      </w:pPr>
      <w:r>
        <w:rPr>
          <w:rFonts w:ascii="Arial" w:cs="Arial" w:eastAsia="Arial" w:hAnsi="Arial"/>
          <w:sz w:val="17"/>
          <w:szCs w:val="17"/>
          <w:color w:val="auto"/>
        </w:rPr>
        <w:t>the Class II directors are Mr. Chen, Mr. Donnini and Ms. Klee, and their term expires at the Annual Meeting of Shareholders in 2025.</w:t>
      </w:r>
    </w:p>
    <w:p>
      <w:pPr>
        <w:spacing w:after="0" w:line="166" w:lineRule="exact"/>
        <w:rPr>
          <w:sz w:val="20"/>
          <w:szCs w:val="20"/>
          <w:color w:val="auto"/>
        </w:rPr>
      </w:pPr>
    </w:p>
    <w:p>
      <w:pPr>
        <w:ind w:left="360" w:right="200"/>
        <w:spacing w:after="0" w:line="250" w:lineRule="auto"/>
        <w:rPr>
          <w:sz w:val="20"/>
          <w:szCs w:val="20"/>
          <w:color w:val="auto"/>
        </w:rPr>
      </w:pPr>
      <w:r>
        <w:rPr>
          <w:rFonts w:ascii="Arial" w:cs="Arial" w:eastAsia="Arial" w:hAnsi="Arial"/>
          <w:sz w:val="17"/>
          <w:szCs w:val="17"/>
          <w:color w:val="auto"/>
        </w:rPr>
        <w:t>Upon the expiration of the term of a class of directors, directors in that class will be eligible to be elected for a new three-year term at the annual meeting of shareholders in the year in which their term expires. In accordance with our Corporate Governance Guidelines, because the election of directors at the Annual Meeting is uncontested, a director nominee must receive more votes cast “FOR” than “AGAINST” his election in order to be elected.</w:t>
      </w:r>
    </w:p>
    <w:p>
      <w:pPr>
        <w:spacing w:after="0" w:line="128" w:lineRule="exact"/>
        <w:rPr>
          <w:sz w:val="20"/>
          <w:szCs w:val="20"/>
          <w:color w:val="auto"/>
        </w:rPr>
      </w:pPr>
    </w:p>
    <w:p>
      <w:pPr>
        <w:jc w:val="both"/>
        <w:ind w:left="360" w:right="80"/>
        <w:spacing w:after="0" w:line="256" w:lineRule="auto"/>
        <w:rPr>
          <w:sz w:val="20"/>
          <w:szCs w:val="20"/>
          <w:color w:val="auto"/>
        </w:rPr>
      </w:pPr>
      <w:r>
        <w:rPr>
          <w:rFonts w:ascii="Arial" w:cs="Arial" w:eastAsia="Arial" w:hAnsi="Arial"/>
          <w:sz w:val="17"/>
          <w:szCs w:val="17"/>
          <w:color w:val="auto"/>
        </w:rPr>
        <w:t>Our amended and restated certificate of incorporation does not provide for cumulative voting in the election of directors, which means that the holders of a majority of the outstanding shares of common stock (i.e., our Sponsors) can elect all of the directors standing for election, and the holders of the remaining shares are not able to elect any directors, subject to their rights under our Stockholders’ Agreement.</w:t>
      </w:r>
    </w:p>
    <w:p>
      <w:pPr>
        <w:spacing w:after="0" w:line="255" w:lineRule="exact"/>
        <w:rPr>
          <w:sz w:val="20"/>
          <w:szCs w:val="20"/>
          <w:color w:val="auto"/>
        </w:rPr>
      </w:pPr>
    </w:p>
    <w:p>
      <w:pPr>
        <w:ind w:left="360"/>
        <w:spacing w:after="0"/>
        <w:rPr>
          <w:sz w:val="20"/>
          <w:szCs w:val="20"/>
          <w:color w:val="auto"/>
        </w:rPr>
      </w:pPr>
      <w:r>
        <w:rPr>
          <w:rFonts w:ascii="Arial" w:cs="Arial" w:eastAsia="Arial" w:hAnsi="Arial"/>
          <w:sz w:val="31"/>
          <w:szCs w:val="31"/>
          <w:color w:val="00B0DB"/>
        </w:rPr>
        <w:t>Nominees for Election as Class III Directors</w:t>
      </w:r>
    </w:p>
    <w:p>
      <w:pPr>
        <w:spacing w:after="0" w:line="221" w:lineRule="exact"/>
        <w:rPr>
          <w:sz w:val="20"/>
          <w:szCs w:val="20"/>
          <w:color w:val="auto"/>
        </w:rPr>
      </w:pPr>
    </w:p>
    <w:p>
      <w:pPr>
        <w:ind w:left="360" w:right="100"/>
        <w:spacing w:after="0" w:line="246" w:lineRule="auto"/>
        <w:rPr>
          <w:sz w:val="20"/>
          <w:szCs w:val="20"/>
          <w:color w:val="auto"/>
        </w:rPr>
      </w:pPr>
      <w:r>
        <w:rPr>
          <w:rFonts w:ascii="Arial" w:cs="Arial" w:eastAsia="Arial" w:hAnsi="Arial"/>
          <w:sz w:val="17"/>
          <w:szCs w:val="17"/>
          <w:color w:val="auto"/>
        </w:rPr>
        <w:t>At the Annual Meeting, the shareholders will vote to elect the three Class III director nominees to serve until the 2026 Annual Meeting of Shareholders and until their successors are duly elected and qualified. On the recommendation of the Governance Committee, our Board has unanimously nominated Sean L. Cunningham, Robert B. Knauss, and Vincent K. Petrella for election to our Board. If any one of the director nominees becomes unable or, for good cause, unwilling to serve, proxies may be voted for the election of such other person as shall be designated by our Board, or the Board may decrease the size of the Board.</w:t>
      </w:r>
    </w:p>
    <w:p>
      <w:pPr>
        <w:spacing w:after="0" w:line="147" w:lineRule="exact"/>
        <w:rPr>
          <w:sz w:val="20"/>
          <w:szCs w:val="20"/>
          <w:color w:val="auto"/>
        </w:rPr>
      </w:pPr>
    </w:p>
    <w:p>
      <w:pPr>
        <w:ind w:left="360" w:right="120"/>
        <w:spacing w:after="0" w:line="256" w:lineRule="auto"/>
        <w:rPr>
          <w:sz w:val="20"/>
          <w:szCs w:val="20"/>
          <w:color w:val="auto"/>
        </w:rPr>
      </w:pPr>
      <w:r>
        <w:rPr>
          <w:rFonts w:ascii="Arial" w:cs="Arial" w:eastAsia="Arial" w:hAnsi="Arial"/>
          <w:sz w:val="17"/>
          <w:szCs w:val="17"/>
          <w:color w:val="auto"/>
        </w:rPr>
        <w:t>The following biographical descriptions of each director includes the primary individual experience, qualifications, attributes and skills and a brief statement of those aspects of our directors’ backgrounds that led us to conclude that each director should serve as a member of our Board.</w:t>
      </w:r>
    </w:p>
    <w:p>
      <w:pPr>
        <w:spacing w:after="0" w:line="328" w:lineRule="exact"/>
        <w:rPr>
          <w:sz w:val="20"/>
          <w:szCs w:val="20"/>
          <w:color w:val="auto"/>
        </w:rPr>
      </w:pPr>
    </w:p>
    <w:p>
      <w:pPr>
        <w:ind w:left="2480" w:right="200"/>
        <w:spacing w:after="0" w:line="245" w:lineRule="auto"/>
        <w:rPr>
          <w:sz w:val="20"/>
          <w:szCs w:val="20"/>
          <w:color w:val="auto"/>
        </w:rPr>
      </w:pPr>
      <w:r>
        <w:rPr>
          <w:rFonts w:ascii="Arial" w:cs="Arial" w:eastAsia="Arial" w:hAnsi="Arial"/>
          <w:sz w:val="17"/>
          <w:szCs w:val="17"/>
          <w:b w:val="1"/>
          <w:bCs w:val="1"/>
          <w:color w:val="00467D"/>
        </w:rPr>
        <w:t xml:space="preserve">Biographical Information: </w:t>
      </w:r>
      <w:r>
        <w:rPr>
          <w:rFonts w:ascii="Arial" w:cs="Arial" w:eastAsia="Arial" w:hAnsi="Arial"/>
          <w:sz w:val="17"/>
          <w:szCs w:val="17"/>
          <w:color w:val="000000"/>
        </w:rPr>
        <w:t>Sean L. Cunningham has served as a member of our Board since October 2020</w:t>
      </w:r>
      <w:r>
        <w:rPr>
          <w:rFonts w:ascii="Arial" w:cs="Arial" w:eastAsia="Arial" w:hAnsi="Arial"/>
          <w:sz w:val="17"/>
          <w:szCs w:val="17"/>
          <w:b w:val="1"/>
          <w:bCs w:val="1"/>
          <w:color w:val="00467D"/>
        </w:rPr>
        <w:t xml:space="preserve"> </w:t>
      </w:r>
      <w:r>
        <w:rPr>
          <w:rFonts w:ascii="Arial" w:cs="Arial" w:eastAsia="Arial" w:hAnsi="Arial"/>
          <w:sz w:val="17"/>
          <w:szCs w:val="17"/>
          <w:color w:val="000000"/>
        </w:rPr>
        <w:t>and was a member of Topco Parent’s Board of Managers from 2015 to November 2020. Mr. Cunningham joined GTCR in 2001 and is currently a managing director of the firm. Prior to joining GTCR, he worked as a consultant with Boston Consulting Group. Mr. Cunningham is a director of Maravai LifeSciences and several private companies. He holds A.B. and B.E. degrees in engineering sciences from Dartmouth College and an M.B.A. from the Wharton School at the University of Pennsylvania.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337820</wp:posOffset>
            </wp:positionH>
            <wp:positionV relativeFrom="paragraph">
              <wp:posOffset>-665480</wp:posOffset>
            </wp:positionV>
            <wp:extent cx="1057275" cy="129476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057275" cy="1294765"/>
                    </a:xfrm>
                    <a:prstGeom prst="rect">
                      <a:avLst/>
                    </a:prstGeom>
                    <a:noFill/>
                  </pic:spPr>
                </pic:pic>
              </a:graphicData>
            </a:graphic>
          </wp:anchor>
        </w:drawing>
      </w:r>
    </w:p>
    <w:p>
      <w:pPr>
        <w:spacing w:after="0" w:line="60" w:lineRule="exact"/>
        <w:rPr>
          <w:sz w:val="20"/>
          <w:szCs w:val="20"/>
          <w:color w:val="auto"/>
        </w:rPr>
      </w:pPr>
    </w:p>
    <w:p>
      <w:pPr>
        <w:ind w:left="2480" w:right="80"/>
        <w:spacing w:after="0" w:line="257" w:lineRule="auto"/>
        <w:rPr>
          <w:sz w:val="20"/>
          <w:szCs w:val="20"/>
          <w:color w:val="auto"/>
        </w:rPr>
      </w:pPr>
      <w:r>
        <w:rPr>
          <w:rFonts w:ascii="Arial" w:cs="Arial" w:eastAsia="Arial" w:hAnsi="Arial"/>
          <w:sz w:val="17"/>
          <w:szCs w:val="17"/>
          <w:b w:val="1"/>
          <w:bCs w:val="1"/>
          <w:color w:val="00467D"/>
        </w:rPr>
        <w:t xml:space="preserve">Qualifications: </w:t>
      </w:r>
      <w:r>
        <w:rPr>
          <w:rFonts w:ascii="Arial" w:cs="Arial" w:eastAsia="Arial" w:hAnsi="Arial"/>
          <w:sz w:val="17"/>
          <w:szCs w:val="17"/>
          <w:color w:val="000000"/>
        </w:rPr>
        <w:t>He was selected to serve on our Board because of his wide range of experience overseeing</w:t>
      </w:r>
      <w:r>
        <w:rPr>
          <w:rFonts w:ascii="Arial" w:cs="Arial" w:eastAsia="Arial" w:hAnsi="Arial"/>
          <w:sz w:val="17"/>
          <w:szCs w:val="17"/>
          <w:b w:val="1"/>
          <w:bCs w:val="1"/>
          <w:color w:val="00467D"/>
        </w:rPr>
        <w:t xml:space="preserve"> </w:t>
      </w:r>
      <w:r>
        <w:rPr>
          <w:rFonts w:ascii="Arial" w:cs="Arial" w:eastAsia="Arial" w:hAnsi="Arial"/>
          <w:sz w:val="17"/>
          <w:szCs w:val="17"/>
          <w:color w:val="000000"/>
        </w:rPr>
        <w:t>and assessing the performance of companies in our industry, decades-long investment practice and extensive knowledge of strategy and business development.</w:t>
      </w:r>
    </w:p>
    <w:p>
      <w:pPr>
        <w:spacing w:after="0" w:line="263" w:lineRule="exact"/>
        <w:rPr>
          <w:sz w:val="20"/>
          <w:szCs w:val="20"/>
          <w:color w:val="auto"/>
        </w:rPr>
      </w:pPr>
    </w:p>
    <w:p>
      <w:pPr>
        <w:jc w:val="center"/>
        <w:ind w:right="8180"/>
        <w:spacing w:after="0"/>
        <w:rPr>
          <w:sz w:val="20"/>
          <w:szCs w:val="20"/>
          <w:color w:val="auto"/>
        </w:rPr>
      </w:pPr>
      <w:r>
        <w:rPr>
          <w:rFonts w:ascii="Arial" w:cs="Arial" w:eastAsia="Arial" w:hAnsi="Arial"/>
          <w:sz w:val="17"/>
          <w:szCs w:val="17"/>
          <w:b w:val="1"/>
          <w:bCs w:val="1"/>
          <w:color w:val="00467D"/>
        </w:rPr>
        <w:t>Sean L. Cunningham</w:t>
      </w:r>
    </w:p>
    <w:p>
      <w:pPr>
        <w:spacing w:after="0" w:line="14" w:lineRule="exact"/>
        <w:rPr>
          <w:sz w:val="20"/>
          <w:szCs w:val="20"/>
          <w:color w:val="auto"/>
        </w:rPr>
      </w:pPr>
    </w:p>
    <w:p>
      <w:pPr>
        <w:jc w:val="center"/>
        <w:ind w:right="8180"/>
        <w:spacing w:after="0"/>
        <w:rPr>
          <w:sz w:val="20"/>
          <w:szCs w:val="20"/>
          <w:color w:val="auto"/>
        </w:rPr>
      </w:pPr>
      <w:r>
        <w:rPr>
          <w:rFonts w:ascii="Arial" w:cs="Arial" w:eastAsia="Arial" w:hAnsi="Arial"/>
          <w:sz w:val="17"/>
          <w:szCs w:val="17"/>
          <w:b w:val="1"/>
          <w:bCs w:val="1"/>
          <w:color w:val="00467D"/>
        </w:rPr>
        <w:t>Age: 47</w:t>
      </w:r>
    </w:p>
    <w:p>
      <w:pPr>
        <w:ind w:left="1040"/>
        <w:spacing w:after="0"/>
        <w:rPr>
          <w:sz w:val="20"/>
          <w:szCs w:val="20"/>
          <w:color w:val="auto"/>
        </w:rPr>
      </w:pPr>
      <w:r>
        <w:rPr>
          <w:rFonts w:ascii="Arial" w:cs="Arial" w:eastAsia="Arial" w:hAnsi="Arial"/>
          <w:sz w:val="17"/>
          <w:szCs w:val="17"/>
          <w:b w:val="1"/>
          <w:bCs w:val="1"/>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231775</wp:posOffset>
            </wp:positionH>
            <wp:positionV relativeFrom="paragraph">
              <wp:posOffset>245110</wp:posOffset>
            </wp:positionV>
            <wp:extent cx="6687820" cy="1651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687820" cy="16510"/>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ind w:left="5600"/>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6443980</wp:posOffset>
            </wp:positionH>
            <wp:positionV relativeFrom="paragraph">
              <wp:posOffset>-113030</wp:posOffset>
            </wp:positionV>
            <wp:extent cx="475615" cy="15557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475615" cy="155575"/>
                    </a:xfrm>
                    <a:prstGeom prst="rect">
                      <a:avLst/>
                    </a:prstGeom>
                    <a:noFill/>
                  </pic:spPr>
                </pic:pic>
              </a:graphicData>
            </a:graphic>
          </wp:anchor>
        </w:drawing>
      </w:r>
    </w:p>
    <w:p>
      <w:pPr>
        <w:sectPr>
          <w:pgSz w:w="11900" w:h="16838" w:orient="portrait"/>
          <w:cols w:equalWidth="0" w:num="1">
            <w:col w:w="10900"/>
          </w:cols>
          <w:pgMar w:left="320" w:top="468" w:right="67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5397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9945" cy="53975"/>
                    </a:xfrm>
                    <a:prstGeom prst="rect">
                      <a:avLst/>
                    </a:prstGeom>
                    <a:noFill/>
                  </pic:spPr>
                </pic:pic>
              </a:graphicData>
            </a:graphic>
          </wp:anchor>
        </w:drawing>
        <w:t>Table of Contents</w:t>
      </w:r>
    </w:p>
    <w:p>
      <w:pPr>
        <w:spacing w:after="0" w:line="296"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auto"/>
        </w:rPr>
        <w:t>Proposal 1: Election of Directors</w:t>
      </w:r>
    </w:p>
    <w:p>
      <w:pPr>
        <w:spacing w:after="0" w:line="21" w:lineRule="exact"/>
        <w:rPr>
          <w:sz w:val="20"/>
          <w:szCs w:val="20"/>
          <w:color w:val="auto"/>
        </w:rPr>
      </w:pPr>
    </w:p>
    <w:p>
      <w:pPr>
        <w:jc w:val="right"/>
        <w:ind w:right="7680"/>
        <w:spacing w:after="0"/>
        <w:rPr>
          <w:sz w:val="20"/>
          <w:szCs w:val="20"/>
          <w:color w:val="auto"/>
        </w:rPr>
      </w:pPr>
      <w:r>
        <w:rPr>
          <w:rFonts w:ascii="Arial" w:cs="Arial" w:eastAsia="Arial" w:hAnsi="Arial"/>
          <w:sz w:val="14"/>
          <w:szCs w:val="14"/>
          <w:b w:val="1"/>
          <w:bCs w:val="1"/>
          <w:color w:val="auto"/>
        </w:rPr>
        <w:t>Nominees for Election as Class III Directors</w:t>
      </w:r>
    </w:p>
    <w:p>
      <w:pPr>
        <w:sectPr>
          <w:pgSz w:w="11900" w:h="16838" w:orient="portrait"/>
          <w:cols w:equalWidth="0" w:num="1">
            <w:col w:w="10880"/>
          </w:cols>
          <w:pgMar w:left="320" w:top="468" w:right="6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left="620"/>
        <w:spacing w:after="0"/>
        <w:rPr>
          <w:sz w:val="20"/>
          <w:szCs w:val="20"/>
          <w:color w:val="auto"/>
        </w:rPr>
      </w:pPr>
      <w:r>
        <w:rPr>
          <w:rFonts w:ascii="Arial" w:cs="Arial" w:eastAsia="Arial" w:hAnsi="Arial"/>
          <w:sz w:val="17"/>
          <w:szCs w:val="17"/>
          <w:b w:val="1"/>
          <w:bCs w:val="1"/>
          <w:color w:val="00467D"/>
        </w:rPr>
        <w:t>Robert B. Knauss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231775</wp:posOffset>
            </wp:positionH>
            <wp:positionV relativeFrom="paragraph">
              <wp:posOffset>-1406525</wp:posOffset>
            </wp:positionV>
            <wp:extent cx="1057275" cy="129476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057275" cy="1294765"/>
                    </a:xfrm>
                    <a:prstGeom prst="rect">
                      <a:avLst/>
                    </a:prstGeom>
                    <a:noFill/>
                  </pic:spPr>
                </pic:pic>
              </a:graphicData>
            </a:graphic>
          </wp:anchor>
        </w:drawing>
      </w:r>
    </w:p>
    <w:p>
      <w:pPr>
        <w:jc w:val="center"/>
        <w:ind w:left="620"/>
        <w:spacing w:after="0"/>
        <w:rPr>
          <w:sz w:val="20"/>
          <w:szCs w:val="20"/>
          <w:color w:val="auto"/>
        </w:rPr>
      </w:pPr>
      <w:r>
        <w:rPr>
          <w:rFonts w:ascii="Arial" w:cs="Arial" w:eastAsia="Arial" w:hAnsi="Arial"/>
          <w:sz w:val="17"/>
          <w:szCs w:val="17"/>
          <w:b w:val="1"/>
          <w:bCs w:val="1"/>
          <w:color w:val="00467D"/>
        </w:rPr>
        <w:t>Age: 69</w:t>
      </w:r>
    </w:p>
    <w:p>
      <w:pPr>
        <w:ind w:left="1040"/>
        <w:spacing w:after="0"/>
        <w:rPr>
          <w:sz w:val="20"/>
          <w:szCs w:val="20"/>
          <w:color w:val="auto"/>
        </w:rPr>
      </w:pPr>
      <w:r>
        <w:rPr>
          <w:rFonts w:ascii="Arial" w:cs="Arial" w:eastAsia="Arial" w:hAnsi="Arial"/>
          <w:sz w:val="17"/>
          <w:szCs w:val="17"/>
          <w:b w:val="1"/>
          <w:bCs w:val="1"/>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337820</wp:posOffset>
            </wp:positionH>
            <wp:positionV relativeFrom="paragraph">
              <wp:posOffset>286385</wp:posOffset>
            </wp:positionV>
            <wp:extent cx="1057275" cy="129476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057275" cy="1294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left="620"/>
        <w:spacing w:after="0"/>
        <w:rPr>
          <w:sz w:val="20"/>
          <w:szCs w:val="20"/>
          <w:color w:val="auto"/>
        </w:rPr>
      </w:pPr>
      <w:r>
        <w:rPr>
          <w:rFonts w:ascii="Arial" w:cs="Arial" w:eastAsia="Arial" w:hAnsi="Arial"/>
          <w:sz w:val="17"/>
          <w:szCs w:val="17"/>
          <w:b w:val="1"/>
          <w:bCs w:val="1"/>
          <w:color w:val="00467D"/>
        </w:rPr>
        <w:t>Vincent K. Petrella</w:t>
      </w:r>
    </w:p>
    <w:p>
      <w:pPr>
        <w:spacing w:after="0" w:line="14" w:lineRule="exact"/>
        <w:rPr>
          <w:sz w:val="20"/>
          <w:szCs w:val="20"/>
          <w:color w:val="auto"/>
        </w:rPr>
      </w:pPr>
    </w:p>
    <w:p>
      <w:pPr>
        <w:jc w:val="center"/>
        <w:ind w:left="620"/>
        <w:spacing w:after="0"/>
        <w:rPr>
          <w:sz w:val="20"/>
          <w:szCs w:val="20"/>
          <w:color w:val="auto"/>
        </w:rPr>
      </w:pPr>
      <w:r>
        <w:rPr>
          <w:rFonts w:ascii="Arial" w:cs="Arial" w:eastAsia="Arial" w:hAnsi="Arial"/>
          <w:sz w:val="17"/>
          <w:szCs w:val="17"/>
          <w:b w:val="1"/>
          <w:bCs w:val="1"/>
          <w:color w:val="00467D"/>
        </w:rPr>
        <w:t>Age: 62</w:t>
      </w:r>
    </w:p>
    <w:p>
      <w:pPr>
        <w:ind w:left="1040"/>
        <w:spacing w:after="0"/>
        <w:rPr>
          <w:sz w:val="20"/>
          <w:szCs w:val="20"/>
          <w:color w:val="auto"/>
        </w:rPr>
      </w:pPr>
      <w:r>
        <w:rPr>
          <w:rFonts w:ascii="Arial" w:cs="Arial" w:eastAsia="Arial" w:hAnsi="Arial"/>
          <w:sz w:val="17"/>
          <w:szCs w:val="17"/>
          <w:b w:val="1"/>
          <w:bCs w:val="1"/>
          <w:color w:val="auto"/>
        </w:rPr>
        <w:t>Director</w:t>
      </w:r>
    </w:p>
    <w:p>
      <w:pPr>
        <w:spacing w:after="0" w:line="20" w:lineRule="exact"/>
        <w:rPr>
          <w:sz w:val="20"/>
          <w:szCs w:val="20"/>
          <w:color w:val="auto"/>
        </w:rPr>
      </w:pPr>
      <w:r>
        <w:rPr>
          <w:sz w:val="20"/>
          <w:szCs w:val="20"/>
          <w:color w:val="auto"/>
        </w:rPr>
        <w:br w:type="column"/>
      </w:r>
    </w:p>
    <w:p>
      <w:pPr>
        <w:spacing w:after="0" w:line="325" w:lineRule="exact"/>
        <w:rPr>
          <w:sz w:val="20"/>
          <w:szCs w:val="20"/>
          <w:color w:val="auto"/>
        </w:rPr>
      </w:pPr>
    </w:p>
    <w:p>
      <w:pPr>
        <w:ind w:right="100"/>
        <w:spacing w:after="0" w:line="242" w:lineRule="auto"/>
        <w:rPr>
          <w:sz w:val="20"/>
          <w:szCs w:val="20"/>
          <w:color w:val="auto"/>
        </w:rPr>
      </w:pPr>
      <w:r>
        <w:rPr>
          <w:rFonts w:ascii="Arial" w:cs="Arial" w:eastAsia="Arial" w:hAnsi="Arial"/>
          <w:sz w:val="17"/>
          <w:szCs w:val="17"/>
          <w:b w:val="1"/>
          <w:bCs w:val="1"/>
          <w:color w:val="00467D"/>
        </w:rPr>
        <w:t xml:space="preserve">Biographical Information: </w:t>
      </w:r>
      <w:r>
        <w:rPr>
          <w:rFonts w:ascii="Arial" w:cs="Arial" w:eastAsia="Arial" w:hAnsi="Arial"/>
          <w:sz w:val="17"/>
          <w:szCs w:val="17"/>
          <w:color w:val="000000"/>
        </w:rPr>
        <w:t>Robert B. Knauss has served as a member of our Board since October 2022.</w:t>
      </w:r>
      <w:r>
        <w:rPr>
          <w:rFonts w:ascii="Arial" w:cs="Arial" w:eastAsia="Arial" w:hAnsi="Arial"/>
          <w:sz w:val="17"/>
          <w:szCs w:val="17"/>
          <w:b w:val="1"/>
          <w:bCs w:val="1"/>
          <w:color w:val="00467D"/>
        </w:rPr>
        <w:t xml:space="preserve"> </w:t>
      </w:r>
      <w:r>
        <w:rPr>
          <w:rFonts w:ascii="Arial" w:cs="Arial" w:eastAsia="Arial" w:hAnsi="Arial"/>
          <w:sz w:val="17"/>
          <w:szCs w:val="17"/>
          <w:color w:val="000000"/>
        </w:rPr>
        <w:t>Mr. Knauss is a managing director at Warburg Pincus. Mr. Knauss joined Warburg Pincus in 2013 and served as its general counsel from 2013 until 2020. He currently advises on legal, policy, regulatory and compliance matters at Warburg Pincus. Prior to joining Warburg Pincus, Mr. Knauss was a partner at Munger, Tolles &amp; Olson LLP in Los Angeles, where he focused primarily on mergers and acquisitions, corporate finance and securities and private equity. Before joining Munger, Tolles &amp; Olson in 1981, he served as a law clerk for Justice William H. Rehnquist of the Supreme Court of the United States and the Honorable Walter R. Mansfield of the United States Court of Appeals for the Second Circuit. Mr. Knauss received an A.B. from Harvard University and a J.D. from the University of Michigan Law School.</w:t>
      </w:r>
    </w:p>
    <w:p>
      <w:pPr>
        <w:spacing w:after="0" w:line="85" w:lineRule="exact"/>
        <w:rPr>
          <w:sz w:val="20"/>
          <w:szCs w:val="20"/>
          <w:color w:val="auto"/>
        </w:rPr>
      </w:pPr>
    </w:p>
    <w:p>
      <w:pPr>
        <w:spacing w:after="0" w:line="257" w:lineRule="auto"/>
        <w:rPr>
          <w:sz w:val="20"/>
          <w:szCs w:val="20"/>
          <w:color w:val="auto"/>
        </w:rPr>
      </w:pPr>
      <w:r>
        <w:rPr>
          <w:rFonts w:ascii="Arial" w:cs="Arial" w:eastAsia="Arial" w:hAnsi="Arial"/>
          <w:sz w:val="17"/>
          <w:szCs w:val="17"/>
          <w:b w:val="1"/>
          <w:bCs w:val="1"/>
          <w:color w:val="00467D"/>
        </w:rPr>
        <w:t xml:space="preserve">Qualifications: </w:t>
      </w:r>
      <w:r>
        <w:rPr>
          <w:rFonts w:ascii="Arial" w:cs="Arial" w:eastAsia="Arial" w:hAnsi="Arial"/>
          <w:sz w:val="17"/>
          <w:szCs w:val="17"/>
          <w:color w:val="000000"/>
        </w:rPr>
        <w:t>He was selected to serve on our Board because of his significant experience overseeing legal,</w:t>
      </w:r>
      <w:r>
        <w:rPr>
          <w:rFonts w:ascii="Arial" w:cs="Arial" w:eastAsia="Arial" w:hAnsi="Arial"/>
          <w:sz w:val="17"/>
          <w:szCs w:val="17"/>
          <w:b w:val="1"/>
          <w:bCs w:val="1"/>
          <w:color w:val="00467D"/>
        </w:rPr>
        <w:t xml:space="preserve"> </w:t>
      </w:r>
      <w:r>
        <w:rPr>
          <w:rFonts w:ascii="Arial" w:cs="Arial" w:eastAsia="Arial" w:hAnsi="Arial"/>
          <w:sz w:val="17"/>
          <w:szCs w:val="17"/>
          <w:color w:val="000000"/>
        </w:rPr>
        <w:t>regulatory and compliance matters, and his expertise with respect to finance, strategy and business development.</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right="100"/>
        <w:spacing w:after="0" w:line="243" w:lineRule="auto"/>
        <w:rPr>
          <w:sz w:val="20"/>
          <w:szCs w:val="20"/>
          <w:color w:val="auto"/>
        </w:rPr>
      </w:pPr>
      <w:r>
        <w:rPr>
          <w:rFonts w:ascii="Arial" w:cs="Arial" w:eastAsia="Arial" w:hAnsi="Arial"/>
          <w:sz w:val="17"/>
          <w:szCs w:val="17"/>
          <w:b w:val="1"/>
          <w:bCs w:val="1"/>
          <w:color w:val="00467D"/>
        </w:rPr>
        <w:t xml:space="preserve">Biographical Information: </w:t>
      </w:r>
      <w:r>
        <w:rPr>
          <w:rFonts w:ascii="Arial" w:cs="Arial" w:eastAsia="Arial" w:hAnsi="Arial"/>
          <w:sz w:val="17"/>
          <w:szCs w:val="17"/>
          <w:color w:val="000000"/>
        </w:rPr>
        <w:t>Vincent K. Petrella has served as a member of our Board since November 2020.</w:t>
      </w:r>
      <w:r>
        <w:rPr>
          <w:rFonts w:ascii="Arial" w:cs="Arial" w:eastAsia="Arial" w:hAnsi="Arial"/>
          <w:sz w:val="17"/>
          <w:szCs w:val="17"/>
          <w:b w:val="1"/>
          <w:bCs w:val="1"/>
          <w:color w:val="00467D"/>
        </w:rPr>
        <w:t xml:space="preserve"> </w:t>
      </w:r>
      <w:r>
        <w:rPr>
          <w:rFonts w:ascii="Arial" w:cs="Arial" w:eastAsia="Arial" w:hAnsi="Arial"/>
          <w:sz w:val="17"/>
          <w:szCs w:val="17"/>
          <w:color w:val="000000"/>
        </w:rPr>
        <w:t>Mr. Petrella served as the executive vice president, chief financial officer and treasurer at Lincoln Electric Holdings, Inc., a welding, cutting and brazing products manufacturer from 2004 until April 2020. Prior to that role, he served as vice president, corporate controller from 1997 to 2003 and as internal audit manager from 1995 to 1997. Before Lincoln Electric Holdings, Inc., Mr. Petrella was an auditor at PricewaterhouseCoopers. He is a board member of Applied Industrial Technologies, Inc. and the Gorman-Rupp Company. Mr. Petrella holds a B.A. in business administration (accounting) from Baldwin Wallace University and is a Certified Public Accountant in Ohio (inactive).</w:t>
      </w:r>
    </w:p>
    <w:p>
      <w:pPr>
        <w:spacing w:after="0" w:line="82" w:lineRule="exact"/>
        <w:rPr>
          <w:sz w:val="20"/>
          <w:szCs w:val="20"/>
          <w:color w:val="auto"/>
        </w:rPr>
      </w:pPr>
    </w:p>
    <w:p>
      <w:pPr>
        <w:ind w:right="200"/>
        <w:spacing w:after="0" w:line="257" w:lineRule="auto"/>
        <w:rPr>
          <w:sz w:val="20"/>
          <w:szCs w:val="20"/>
          <w:color w:val="auto"/>
        </w:rPr>
      </w:pPr>
      <w:r>
        <w:rPr>
          <w:rFonts w:ascii="Arial" w:cs="Arial" w:eastAsia="Arial" w:hAnsi="Arial"/>
          <w:sz w:val="17"/>
          <w:szCs w:val="17"/>
          <w:b w:val="1"/>
          <w:bCs w:val="1"/>
          <w:color w:val="00467D"/>
        </w:rPr>
        <w:t xml:space="preserve">Qualifications: </w:t>
      </w:r>
      <w:r>
        <w:rPr>
          <w:rFonts w:ascii="Arial" w:cs="Arial" w:eastAsia="Arial" w:hAnsi="Arial"/>
          <w:sz w:val="17"/>
          <w:szCs w:val="17"/>
          <w:color w:val="000000"/>
        </w:rPr>
        <w:t>He was selected to serve on our Board because of his significant global finance, accounting</w:t>
      </w:r>
      <w:r>
        <w:rPr>
          <w:rFonts w:ascii="Arial" w:cs="Arial" w:eastAsia="Arial" w:hAnsi="Arial"/>
          <w:sz w:val="17"/>
          <w:szCs w:val="17"/>
          <w:b w:val="1"/>
          <w:bCs w:val="1"/>
          <w:color w:val="00467D"/>
        </w:rPr>
        <w:t xml:space="preserve"> </w:t>
      </w:r>
      <w:r>
        <w:rPr>
          <w:rFonts w:ascii="Arial" w:cs="Arial" w:eastAsia="Arial" w:hAnsi="Arial"/>
          <w:sz w:val="17"/>
          <w:szCs w:val="17"/>
          <w:color w:val="000000"/>
        </w:rPr>
        <w:t>and international business development experience, his expertise with respect to audit committees and his wide-ranging experience as a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-1071880</wp:posOffset>
            </wp:positionH>
            <wp:positionV relativeFrom="paragraph">
              <wp:posOffset>580390</wp:posOffset>
            </wp:positionV>
            <wp:extent cx="6146800" cy="6229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146800" cy="622935"/>
                    </a:xfrm>
                    <a:prstGeom prst="rect">
                      <a:avLst/>
                    </a:prstGeom>
                    <a:noFill/>
                  </pic:spPr>
                </pic:pic>
              </a:graphicData>
            </a:graphic>
          </wp:anchor>
        </w:drawing>
      </w:r>
    </w:p>
    <w:p>
      <w:pPr>
        <w:spacing w:after="0" w:line="546" w:lineRule="exact"/>
        <w:rPr>
          <w:sz w:val="20"/>
          <w:szCs w:val="20"/>
          <w:color w:val="auto"/>
        </w:rPr>
      </w:pPr>
    </w:p>
    <w:p>
      <w:pPr>
        <w:sectPr>
          <w:pgSz w:w="11900" w:h="16838" w:orient="portrait"/>
          <w:cols w:equalWidth="0" w:num="2">
            <w:col w:w="2120" w:space="360"/>
            <w:col w:w="8400"/>
          </w:cols>
          <w:pgMar w:left="320" w:top="468" w:right="699" w:bottom="1440" w:gutter="0" w:footer="0" w:header="0"/>
          <w:type w:val="continuous"/>
        </w:sectPr>
      </w:pPr>
    </w:p>
    <w:p>
      <w:pPr>
        <w:spacing w:after="0" w:line="200" w:lineRule="exact"/>
        <w:rPr>
          <w:sz w:val="20"/>
          <w:szCs w:val="20"/>
          <w:color w:val="auto"/>
        </w:rPr>
      </w:pPr>
    </w:p>
    <w:p>
      <w:pPr>
        <w:spacing w:after="0" w:line="270" w:lineRule="exact"/>
        <w:rPr>
          <w:sz w:val="20"/>
          <w:szCs w:val="20"/>
          <w:color w:val="auto"/>
        </w:rPr>
      </w:pPr>
    </w:p>
    <w:p>
      <w:pPr>
        <w:ind w:left="2240"/>
        <w:spacing w:after="0"/>
        <w:rPr>
          <w:sz w:val="20"/>
          <w:szCs w:val="20"/>
          <w:color w:val="auto"/>
        </w:rPr>
      </w:pPr>
      <w:r>
        <w:rPr>
          <w:rFonts w:ascii="Arial" w:cs="Arial" w:eastAsia="Arial" w:hAnsi="Arial"/>
          <w:sz w:val="21"/>
          <w:szCs w:val="21"/>
          <w:b w:val="1"/>
          <w:bCs w:val="1"/>
          <w:color w:val="FFFFFF"/>
        </w:rPr>
        <w:t>The Board recommends a vote “FOR” the election of each of</w:t>
      </w:r>
    </w:p>
    <w:p>
      <w:pPr>
        <w:spacing w:after="0" w:line="11" w:lineRule="exact"/>
        <w:rPr>
          <w:sz w:val="20"/>
          <w:szCs w:val="20"/>
          <w:color w:val="auto"/>
        </w:rPr>
      </w:pPr>
    </w:p>
    <w:p>
      <w:pPr>
        <w:ind w:left="2240" w:right="860"/>
        <w:spacing w:after="0" w:line="252" w:lineRule="auto"/>
        <w:rPr>
          <w:sz w:val="20"/>
          <w:szCs w:val="20"/>
          <w:color w:val="auto"/>
        </w:rPr>
      </w:pPr>
      <w:r>
        <w:rPr>
          <w:rFonts w:ascii="Arial" w:cs="Arial" w:eastAsia="Arial" w:hAnsi="Arial"/>
          <w:sz w:val="21"/>
          <w:szCs w:val="21"/>
          <w:b w:val="1"/>
          <w:bCs w:val="1"/>
          <w:color w:val="FFFFFF"/>
        </w:rPr>
        <w:t>the director nominees set forth above to serve until the 2026 Annual Meeting of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231775</wp:posOffset>
            </wp:positionH>
            <wp:positionV relativeFrom="paragraph">
              <wp:posOffset>255905</wp:posOffset>
            </wp:positionV>
            <wp:extent cx="6687820" cy="1651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687820" cy="16510"/>
                    </a:xfrm>
                    <a:prstGeom prst="rect">
                      <a:avLst/>
                    </a:prstGeom>
                    <a:noFill/>
                  </pic:spPr>
                </pic:pic>
              </a:graphicData>
            </a:graphic>
          </wp:anchor>
        </w:drawing>
      </w:r>
    </w:p>
    <w:p>
      <w:pPr>
        <w:spacing w:after="0" w:line="200" w:lineRule="exact"/>
        <w:rPr>
          <w:sz w:val="20"/>
          <w:szCs w:val="20"/>
          <w:color w:val="auto"/>
        </w:rPr>
      </w:pPr>
    </w:p>
    <w:p>
      <w:pPr>
        <w:spacing w:after="0" w:line="372" w:lineRule="exact"/>
        <w:rPr>
          <w:sz w:val="20"/>
          <w:szCs w:val="20"/>
          <w:color w:val="auto"/>
        </w:rPr>
      </w:pPr>
    </w:p>
    <w:tbl>
      <w:tblPr>
        <w:tblLayout w:type="fixed"/>
        <w:tblInd w:w="360" w:type="dxa"/>
        <w:tblCellMar>
          <w:top w:w="0" w:type="dxa"/>
          <w:left w:w="0" w:type="dxa"/>
          <w:bottom w:w="0" w:type="dxa"/>
          <w:right w:w="0" w:type="dxa"/>
        </w:tblCellMar>
      </w:tblPr>
      <w:tr>
        <w:trPr>
          <w:trHeight w:val="226"/>
        </w:trPr>
        <w:tc>
          <w:tcPr>
            <w:tcW w:w="3900" w:type="dxa"/>
            <w:vAlign w:val="bottom"/>
          </w:tcPr>
          <w:p>
            <w:pPr>
              <w:spacing w:after="0"/>
              <w:rPr>
                <w:sz w:val="20"/>
                <w:szCs w:val="20"/>
                <w:color w:val="auto"/>
              </w:rPr>
            </w:pPr>
            <w:r>
              <w:rPr>
                <w:rFonts w:ascii="Arial" w:cs="Arial" w:eastAsia="Arial" w:hAnsi="Arial"/>
                <w:sz w:val="17"/>
                <w:szCs w:val="17"/>
                <w:color w:val="auto"/>
              </w:rPr>
              <w:t>2023 Notice and Proxy Statement</w:t>
            </w:r>
          </w:p>
        </w:tc>
        <w:tc>
          <w:tcPr>
            <w:tcW w:w="1520" w:type="dxa"/>
            <w:vAlign w:val="bottom"/>
          </w:tcPr>
          <w:p>
            <w:pPr>
              <w:jc w:val="right"/>
              <w:spacing w:after="0"/>
              <w:rPr>
                <w:sz w:val="20"/>
                <w:szCs w:val="20"/>
                <w:color w:val="auto"/>
              </w:rPr>
            </w:pPr>
            <w:r>
              <w:rPr>
                <w:rFonts w:ascii="Arial" w:cs="Arial" w:eastAsia="Arial" w:hAnsi="Arial"/>
                <w:sz w:val="17"/>
                <w:szCs w:val="17"/>
                <w:color w:val="auto"/>
              </w:rPr>
              <w:t>12</w:t>
            </w:r>
          </w:p>
        </w:tc>
      </w:tr>
    </w:tbl>
    <w:p>
      <w:pPr>
        <w:sectPr>
          <w:pgSz w:w="11900" w:h="16838" w:orient="portrait"/>
          <w:cols w:equalWidth="0" w:num="1">
            <w:col w:w="10880"/>
          </w:cols>
          <w:pgMar w:left="320" w:top="468" w:right="69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5397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9945" cy="53975"/>
                    </a:xfrm>
                    <a:prstGeom prst="rect">
                      <a:avLst/>
                    </a:prstGeom>
                    <a:noFill/>
                  </pic:spPr>
                </pic:pic>
              </a:graphicData>
            </a:graphic>
          </wp:anchor>
        </w:drawing>
        <w:t>Table of Contents</w:t>
      </w:r>
    </w:p>
    <w:p>
      <w:pPr>
        <w:spacing w:after="0" w:line="296" w:lineRule="exact"/>
        <w:rPr>
          <w:sz w:val="20"/>
          <w:szCs w:val="20"/>
          <w:color w:val="auto"/>
        </w:rPr>
      </w:pPr>
    </w:p>
    <w:p>
      <w:pPr>
        <w:jc w:val="right"/>
        <w:ind w:right="20"/>
        <w:spacing w:after="0"/>
        <w:rPr>
          <w:sz w:val="20"/>
          <w:szCs w:val="20"/>
          <w:color w:val="auto"/>
        </w:rPr>
      </w:pPr>
      <w:r>
        <w:rPr>
          <w:rFonts w:ascii="Arial" w:cs="Arial" w:eastAsia="Arial" w:hAnsi="Arial"/>
          <w:sz w:val="17"/>
          <w:szCs w:val="17"/>
          <w:b w:val="1"/>
          <w:bCs w:val="1"/>
          <w:color w:val="auto"/>
        </w:rPr>
        <w:t>Proposal 1: Election of Directors</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Directors Continuing in Office</w:t>
      </w:r>
    </w:p>
    <w:p>
      <w:pPr>
        <w:spacing w:after="0" w:line="105" w:lineRule="exact"/>
        <w:rPr>
          <w:sz w:val="20"/>
          <w:szCs w:val="20"/>
          <w:color w:val="auto"/>
        </w:rPr>
      </w:pPr>
    </w:p>
    <w:p>
      <w:pPr>
        <w:ind w:left="360"/>
        <w:spacing w:after="0"/>
        <w:rPr>
          <w:sz w:val="20"/>
          <w:szCs w:val="20"/>
          <w:color w:val="auto"/>
        </w:rPr>
      </w:pPr>
      <w:r>
        <w:rPr>
          <w:rFonts w:ascii="Arial" w:cs="Arial" w:eastAsia="Arial" w:hAnsi="Arial"/>
          <w:sz w:val="31"/>
          <w:szCs w:val="31"/>
          <w:color w:val="00B0DB"/>
        </w:rPr>
        <w:t>Directors Continuing in Office</w:t>
      </w:r>
    </w:p>
    <w:p>
      <w:pPr>
        <w:spacing w:after="0" w:line="221" w:lineRule="exact"/>
        <w:rPr>
          <w:sz w:val="20"/>
          <w:szCs w:val="20"/>
          <w:color w:val="auto"/>
        </w:rPr>
      </w:pPr>
    </w:p>
    <w:p>
      <w:pPr>
        <w:ind w:left="360" w:right="120"/>
        <w:spacing w:after="0" w:line="256" w:lineRule="auto"/>
        <w:rPr>
          <w:sz w:val="20"/>
          <w:szCs w:val="20"/>
          <w:color w:val="auto"/>
        </w:rPr>
      </w:pPr>
      <w:r>
        <w:rPr>
          <w:rFonts w:ascii="Arial" w:cs="Arial" w:eastAsia="Arial" w:hAnsi="Arial"/>
          <w:sz w:val="17"/>
          <w:szCs w:val="17"/>
          <w:color w:val="auto"/>
        </w:rPr>
        <w:t>Seven directors are serving for terms that end after the Annual Meeting, at the 2024 or 2025 Annual Meetings of Shareholders. The following brief biographical descriptions include certain information regarding our directors’ individual experience, qualifications, attributes and skills and a brief statement of those aspects of our directors’ backgrounds that led us to conclude that they should serve as directors.</w:t>
      </w:r>
    </w:p>
    <w:p>
      <w:pPr>
        <w:spacing w:after="0" w:line="123" w:lineRule="exact"/>
        <w:rPr>
          <w:sz w:val="20"/>
          <w:szCs w:val="20"/>
          <w:color w:val="auto"/>
        </w:rPr>
      </w:pPr>
    </w:p>
    <w:p>
      <w:pPr>
        <w:ind w:left="360"/>
        <w:spacing w:after="0"/>
        <w:rPr>
          <w:sz w:val="20"/>
          <w:szCs w:val="20"/>
          <w:color w:val="auto"/>
        </w:rPr>
      </w:pPr>
      <w:r>
        <w:rPr>
          <w:rFonts w:ascii="Arial" w:cs="Arial" w:eastAsia="Arial" w:hAnsi="Arial"/>
          <w:sz w:val="28"/>
          <w:szCs w:val="28"/>
          <w:color w:val="auto"/>
        </w:rPr>
        <w:t>Class I Directors (Term Expires at 2024 Annual Meeting)</w:t>
      </w:r>
    </w:p>
    <w:p>
      <w:pPr>
        <w:sectPr>
          <w:pgSz w:w="11900" w:h="16838" w:orient="portrait"/>
          <w:cols w:equalWidth="0" w:num="1">
            <w:col w:w="10900"/>
          </w:cols>
          <w:pgMar w:left="320" w:top="468" w:right="6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00467D"/>
        </w:rPr>
        <w:t>Constantine S. Mihas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337820</wp:posOffset>
            </wp:positionH>
            <wp:positionV relativeFrom="paragraph">
              <wp:posOffset>-1406525</wp:posOffset>
            </wp:positionV>
            <wp:extent cx="1057275" cy="129476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057275" cy="1294765"/>
                    </a:xfrm>
                    <a:prstGeom prst="rect">
                      <a:avLst/>
                    </a:prstGeom>
                    <a:noFill/>
                  </pic:spPr>
                </pic:pic>
              </a:graphicData>
            </a:graphic>
          </wp:anchor>
        </w:drawing>
      </w:r>
    </w:p>
    <w:p>
      <w:pPr>
        <w:ind w:left="1060"/>
        <w:spacing w:after="0"/>
        <w:rPr>
          <w:sz w:val="20"/>
          <w:szCs w:val="20"/>
          <w:color w:val="auto"/>
        </w:rPr>
      </w:pPr>
      <w:r>
        <w:rPr>
          <w:rFonts w:ascii="Arial" w:cs="Arial" w:eastAsia="Arial" w:hAnsi="Arial"/>
          <w:sz w:val="17"/>
          <w:szCs w:val="17"/>
          <w:b w:val="1"/>
          <w:bCs w:val="1"/>
          <w:color w:val="00467D"/>
        </w:rPr>
        <w:t xml:space="preserve">Age: </w:t>
      </w:r>
      <w:r>
        <w:rPr>
          <w:rFonts w:ascii="Arial" w:cs="Arial" w:eastAsia="Arial" w:hAnsi="Arial"/>
          <w:sz w:val="17"/>
          <w:szCs w:val="17"/>
          <w:b w:val="1"/>
          <w:bCs w:val="1"/>
          <w:color w:val="000000"/>
        </w:rPr>
        <w:t>56</w:t>
      </w:r>
    </w:p>
    <w:p>
      <w:pPr>
        <w:ind w:left="1040"/>
        <w:spacing w:after="0"/>
        <w:rPr>
          <w:sz w:val="20"/>
          <w:szCs w:val="20"/>
          <w:color w:val="auto"/>
        </w:rPr>
      </w:pPr>
      <w:r>
        <w:rPr>
          <w:rFonts w:ascii="Arial" w:cs="Arial" w:eastAsia="Arial" w:hAnsi="Arial"/>
          <w:sz w:val="17"/>
          <w:szCs w:val="17"/>
          <w:b w:val="1"/>
          <w:bCs w:val="1"/>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337820</wp:posOffset>
            </wp:positionH>
            <wp:positionV relativeFrom="paragraph">
              <wp:posOffset>441960</wp:posOffset>
            </wp:positionV>
            <wp:extent cx="1057275" cy="129476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057275" cy="1294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left="640"/>
        <w:spacing w:after="0"/>
        <w:rPr>
          <w:sz w:val="20"/>
          <w:szCs w:val="20"/>
          <w:color w:val="auto"/>
        </w:rPr>
      </w:pPr>
      <w:r>
        <w:rPr>
          <w:rFonts w:ascii="Arial" w:cs="Arial" w:eastAsia="Arial" w:hAnsi="Arial"/>
          <w:sz w:val="17"/>
          <w:szCs w:val="17"/>
          <w:b w:val="1"/>
          <w:bCs w:val="1"/>
          <w:color w:val="00467D"/>
        </w:rPr>
        <w:t>James C. Neary</w:t>
      </w:r>
    </w:p>
    <w:p>
      <w:pPr>
        <w:spacing w:after="0" w:line="14" w:lineRule="exact"/>
        <w:rPr>
          <w:sz w:val="20"/>
          <w:szCs w:val="20"/>
          <w:color w:val="auto"/>
        </w:rPr>
      </w:pPr>
    </w:p>
    <w:p>
      <w:pPr>
        <w:jc w:val="center"/>
        <w:ind w:left="640"/>
        <w:spacing w:after="0"/>
        <w:rPr>
          <w:sz w:val="20"/>
          <w:szCs w:val="20"/>
          <w:color w:val="auto"/>
        </w:rPr>
      </w:pPr>
      <w:r>
        <w:rPr>
          <w:rFonts w:ascii="Arial" w:cs="Arial" w:eastAsia="Arial" w:hAnsi="Arial"/>
          <w:sz w:val="17"/>
          <w:szCs w:val="17"/>
          <w:b w:val="1"/>
          <w:bCs w:val="1"/>
          <w:color w:val="00467D"/>
        </w:rPr>
        <w:t xml:space="preserve">Age: </w:t>
      </w:r>
      <w:r>
        <w:rPr>
          <w:rFonts w:ascii="Arial" w:cs="Arial" w:eastAsia="Arial" w:hAnsi="Arial"/>
          <w:sz w:val="17"/>
          <w:szCs w:val="17"/>
          <w:b w:val="1"/>
          <w:bCs w:val="1"/>
          <w:color w:val="000000"/>
        </w:rPr>
        <w:t>58</w:t>
      </w:r>
    </w:p>
    <w:p>
      <w:pPr>
        <w:ind w:left="1040"/>
        <w:spacing w:after="0"/>
        <w:rPr>
          <w:sz w:val="20"/>
          <w:szCs w:val="20"/>
          <w:color w:val="auto"/>
        </w:rPr>
      </w:pPr>
      <w:r>
        <w:rPr>
          <w:rFonts w:ascii="Arial" w:cs="Arial" w:eastAsia="Arial" w:hAnsi="Arial"/>
          <w:sz w:val="17"/>
          <w:szCs w:val="17"/>
          <w:b w:val="1"/>
          <w:bCs w:val="1"/>
          <w:color w:val="auto"/>
        </w:rPr>
        <w:t>Director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6" w:lineRule="exact"/>
        <w:rPr>
          <w:sz w:val="20"/>
          <w:szCs w:val="20"/>
          <w:color w:val="auto"/>
        </w:rPr>
      </w:pPr>
    </w:p>
    <w:p>
      <w:pPr>
        <w:ind w:right="80"/>
        <w:spacing w:after="0" w:line="243" w:lineRule="auto"/>
        <w:rPr>
          <w:sz w:val="20"/>
          <w:szCs w:val="20"/>
          <w:color w:val="auto"/>
        </w:rPr>
      </w:pPr>
      <w:r>
        <w:rPr>
          <w:rFonts w:ascii="Arial" w:cs="Arial" w:eastAsia="Arial" w:hAnsi="Arial"/>
          <w:sz w:val="17"/>
          <w:szCs w:val="17"/>
          <w:b w:val="1"/>
          <w:bCs w:val="1"/>
          <w:color w:val="00467D"/>
        </w:rPr>
        <w:t xml:space="preserve">Biographical Information: </w:t>
      </w:r>
      <w:r>
        <w:rPr>
          <w:rFonts w:ascii="Arial" w:cs="Arial" w:eastAsia="Arial" w:hAnsi="Arial"/>
          <w:sz w:val="17"/>
          <w:szCs w:val="17"/>
          <w:color w:val="000000"/>
        </w:rPr>
        <w:t>Constantine S. Mihas has served as a member of our Board since October 2020</w:t>
      </w:r>
      <w:r>
        <w:rPr>
          <w:rFonts w:ascii="Arial" w:cs="Arial" w:eastAsia="Arial" w:hAnsi="Arial"/>
          <w:sz w:val="17"/>
          <w:szCs w:val="17"/>
          <w:b w:val="1"/>
          <w:bCs w:val="1"/>
          <w:color w:val="00467D"/>
        </w:rPr>
        <w:t xml:space="preserve"> </w:t>
      </w:r>
      <w:r>
        <w:rPr>
          <w:rFonts w:ascii="Arial" w:cs="Arial" w:eastAsia="Arial" w:hAnsi="Arial"/>
          <w:sz w:val="17"/>
          <w:szCs w:val="17"/>
          <w:color w:val="000000"/>
        </w:rPr>
        <w:t>and was a member of Topco Parent’s Board of Managers from 2015 through November 2020. Mr. Mihas joined GTCR in 2001 and is currently a managing director of the firm. Prior to joining GTCR, Mr. Mihas was chief executive officer and co-founder of Delray Farms, a specialty food retailer. Prior to Delray Farms, he was with McKinsey &amp; Company. Mr. Mihas leads the healthcare group at GTCR and has been instrumental in building the firm’s expertise in life sciences and medical devices. He is a director of Maravai LifeSciences and several private companies. Mr. Mihas holds a B.S. with high distinction in finance and economics from the University of Illinois, Chicago and an M.B.A. with distinction from the Harvard Business School.</w:t>
      </w:r>
    </w:p>
    <w:p>
      <w:pPr>
        <w:spacing w:after="0" w:line="82" w:lineRule="exact"/>
        <w:rPr>
          <w:sz w:val="20"/>
          <w:szCs w:val="20"/>
          <w:color w:val="auto"/>
        </w:rPr>
      </w:pPr>
    </w:p>
    <w:p>
      <w:pPr>
        <w:ind w:right="360"/>
        <w:spacing w:after="0" w:line="277" w:lineRule="auto"/>
        <w:rPr>
          <w:sz w:val="20"/>
          <w:szCs w:val="20"/>
          <w:color w:val="auto"/>
        </w:rPr>
      </w:pPr>
      <w:r>
        <w:rPr>
          <w:rFonts w:ascii="Arial" w:cs="Arial" w:eastAsia="Arial" w:hAnsi="Arial"/>
          <w:sz w:val="17"/>
          <w:szCs w:val="17"/>
          <w:b w:val="1"/>
          <w:bCs w:val="1"/>
          <w:color w:val="00467D"/>
        </w:rPr>
        <w:t xml:space="preserve">Qualifications: </w:t>
      </w:r>
      <w:r>
        <w:rPr>
          <w:rFonts w:ascii="Arial" w:cs="Arial" w:eastAsia="Arial" w:hAnsi="Arial"/>
          <w:sz w:val="17"/>
          <w:szCs w:val="17"/>
          <w:color w:val="000000"/>
        </w:rPr>
        <w:t>He was selected to serve on our Board because of his significant financial and investment</w:t>
      </w:r>
      <w:r>
        <w:rPr>
          <w:rFonts w:ascii="Arial" w:cs="Arial" w:eastAsia="Arial" w:hAnsi="Arial"/>
          <w:sz w:val="17"/>
          <w:szCs w:val="17"/>
          <w:b w:val="1"/>
          <w:bCs w:val="1"/>
          <w:color w:val="00467D"/>
        </w:rPr>
        <w:t xml:space="preserve"> </w:t>
      </w:r>
      <w:r>
        <w:rPr>
          <w:rFonts w:ascii="Arial" w:cs="Arial" w:eastAsia="Arial" w:hAnsi="Arial"/>
          <w:sz w:val="17"/>
          <w:szCs w:val="17"/>
          <w:color w:val="000000"/>
        </w:rPr>
        <w:t>experience, wide-ranging experience as a director and deep familiarity with our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right="60"/>
        <w:spacing w:after="0" w:line="241" w:lineRule="auto"/>
        <w:rPr>
          <w:sz w:val="20"/>
          <w:szCs w:val="20"/>
          <w:color w:val="auto"/>
        </w:rPr>
      </w:pPr>
      <w:r>
        <w:rPr>
          <w:rFonts w:ascii="Arial" w:cs="Arial" w:eastAsia="Arial" w:hAnsi="Arial"/>
          <w:sz w:val="17"/>
          <w:szCs w:val="17"/>
          <w:b w:val="1"/>
          <w:bCs w:val="1"/>
          <w:color w:val="00467D"/>
        </w:rPr>
        <w:t xml:space="preserve">Biographical Information: </w:t>
      </w:r>
      <w:r>
        <w:rPr>
          <w:rFonts w:ascii="Arial" w:cs="Arial" w:eastAsia="Arial" w:hAnsi="Arial"/>
          <w:sz w:val="17"/>
          <w:szCs w:val="17"/>
          <w:color w:val="000000"/>
        </w:rPr>
        <w:t>James C. Neary has served as a member of our Board since October 2020 and</w:t>
      </w:r>
      <w:r>
        <w:rPr>
          <w:rFonts w:ascii="Arial" w:cs="Arial" w:eastAsia="Arial" w:hAnsi="Arial"/>
          <w:sz w:val="17"/>
          <w:szCs w:val="17"/>
          <w:b w:val="1"/>
          <w:bCs w:val="1"/>
          <w:color w:val="00467D"/>
        </w:rPr>
        <w:t xml:space="preserve"> </w:t>
      </w:r>
      <w:r>
        <w:rPr>
          <w:rFonts w:ascii="Arial" w:cs="Arial" w:eastAsia="Arial" w:hAnsi="Arial"/>
          <w:sz w:val="17"/>
          <w:szCs w:val="17"/>
          <w:color w:val="000000"/>
        </w:rPr>
        <w:t>was a member of Topco Parent’s Board of Managers from 2015 through November 2020. Mr. Neary is a managing director and partner at Warburg Pincus and joined the firm in 2000. Mr. Neary is co-head of U.S. Private Equity at Warburg Pincus, and a member of the firm’s investment management group and executive management group. From 2013 to 2020, he led the firm’s industrial and business services group, and from 2019 to 2021 he was co-head of the firm’s healthcare group. From 2010 to 2013, he led the firm’s late-stage efforts in the technology and business services sectors. From 2004 to 2010, he was co-head of the firm’s technology, media and telecommunications investment efforts. Mr. Neary serves on the board of directors of WEX Inc. and several private companies. He was on the board of directors of Endurance International Group Holdings, Inc. from 2013 to 2021. He holds a B.A. in economics and political science from Tufts University and an M.B.A. from the J.L. Kellogg Graduate School of Management at Northwestern University, where he was the Eugene Lerner Finance Scholar.</w:t>
      </w:r>
    </w:p>
    <w:p>
      <w:pPr>
        <w:spacing w:after="0" w:line="84" w:lineRule="exact"/>
        <w:rPr>
          <w:sz w:val="20"/>
          <w:szCs w:val="20"/>
          <w:color w:val="auto"/>
        </w:rPr>
      </w:pPr>
    </w:p>
    <w:p>
      <w:pPr>
        <w:ind w:right="240"/>
        <w:spacing w:after="0" w:line="277" w:lineRule="auto"/>
        <w:rPr>
          <w:sz w:val="20"/>
          <w:szCs w:val="20"/>
          <w:color w:val="auto"/>
        </w:rPr>
      </w:pPr>
      <w:r>
        <w:rPr>
          <w:rFonts w:ascii="Arial" w:cs="Arial" w:eastAsia="Arial" w:hAnsi="Arial"/>
          <w:sz w:val="17"/>
          <w:szCs w:val="17"/>
          <w:b w:val="1"/>
          <w:bCs w:val="1"/>
          <w:color w:val="00467D"/>
        </w:rPr>
        <w:t xml:space="preserve">Qualifications: </w:t>
      </w:r>
      <w:r>
        <w:rPr>
          <w:rFonts w:ascii="Arial" w:cs="Arial" w:eastAsia="Arial" w:hAnsi="Arial"/>
          <w:sz w:val="17"/>
          <w:szCs w:val="17"/>
          <w:color w:val="000000"/>
        </w:rPr>
        <w:t>He was selected to serve on our Board because of his extensive knowledge of strategy and</w:t>
      </w:r>
      <w:r>
        <w:rPr>
          <w:rFonts w:ascii="Arial" w:cs="Arial" w:eastAsia="Arial" w:hAnsi="Arial"/>
          <w:sz w:val="17"/>
          <w:szCs w:val="17"/>
          <w:b w:val="1"/>
          <w:bCs w:val="1"/>
          <w:color w:val="00467D"/>
        </w:rPr>
        <w:t xml:space="preserve"> </w:t>
      </w:r>
      <w:r>
        <w:rPr>
          <w:rFonts w:ascii="Arial" w:cs="Arial" w:eastAsia="Arial" w:hAnsi="Arial"/>
          <w:sz w:val="17"/>
          <w:szCs w:val="17"/>
          <w:color w:val="000000"/>
        </w:rPr>
        <w:t>business development, wide-ranging experience as a director and deep familiarity with our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-1342390</wp:posOffset>
            </wp:positionH>
            <wp:positionV relativeFrom="paragraph">
              <wp:posOffset>85725</wp:posOffset>
            </wp:positionV>
            <wp:extent cx="6687820" cy="1651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687820" cy="1651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100" w:space="380"/>
            <w:col w:w="8420"/>
          </w:cols>
          <w:pgMar w:left="320" w:top="468" w:right="679" w:bottom="1440" w:gutter="0" w:footer="0" w:header="0"/>
          <w:type w:val="continuous"/>
        </w:sectPr>
      </w:pPr>
    </w:p>
    <w:p>
      <w:pPr>
        <w:spacing w:after="0" w:line="112"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6443980</wp:posOffset>
            </wp:positionH>
            <wp:positionV relativeFrom="paragraph">
              <wp:posOffset>-113030</wp:posOffset>
            </wp:positionV>
            <wp:extent cx="475615" cy="15557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475615" cy="155575"/>
                    </a:xfrm>
                    <a:prstGeom prst="rect">
                      <a:avLst/>
                    </a:prstGeom>
                    <a:noFill/>
                  </pic:spPr>
                </pic:pic>
              </a:graphicData>
            </a:graphic>
          </wp:anchor>
        </w:drawing>
      </w:r>
    </w:p>
    <w:p>
      <w:pPr>
        <w:sectPr>
          <w:pgSz w:w="11900" w:h="16838" w:orient="portrait"/>
          <w:cols w:equalWidth="0" w:num="1">
            <w:col w:w="10900"/>
          </w:cols>
          <w:pgMar w:left="320" w:top="468" w:right="679" w:bottom="144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5397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9945" cy="53975"/>
                    </a:xfrm>
                    <a:prstGeom prst="rect">
                      <a:avLst/>
                    </a:prstGeom>
                    <a:noFill/>
                  </pic:spPr>
                </pic:pic>
              </a:graphicData>
            </a:graphic>
          </wp:anchor>
        </w:drawing>
        <w:t>Table of Contents</w:t>
      </w:r>
    </w:p>
    <w:p>
      <w:pPr>
        <w:spacing w:after="0" w:line="296"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auto"/>
        </w:rPr>
        <w:t>Proposal 1: Election of Directors</w:t>
      </w:r>
    </w:p>
    <w:p>
      <w:pPr>
        <w:spacing w:after="0" w:line="21" w:lineRule="exact"/>
        <w:rPr>
          <w:sz w:val="20"/>
          <w:szCs w:val="20"/>
          <w:color w:val="auto"/>
        </w:rPr>
      </w:pPr>
    </w:p>
    <w:p>
      <w:pPr>
        <w:ind w:left="360"/>
        <w:spacing w:after="0"/>
        <w:rPr>
          <w:sz w:val="20"/>
          <w:szCs w:val="20"/>
          <w:color w:val="auto"/>
        </w:rPr>
      </w:pPr>
      <w:r>
        <w:rPr>
          <w:rFonts w:ascii="Arial" w:cs="Arial" w:eastAsia="Arial" w:hAnsi="Arial"/>
          <w:sz w:val="14"/>
          <w:szCs w:val="14"/>
          <w:b w:val="1"/>
          <w:bCs w:val="1"/>
          <w:color w:val="auto"/>
        </w:rPr>
        <w:t>Directors Continuing in Office</w:t>
      </w:r>
    </w:p>
    <w:p>
      <w:pPr>
        <w:sectPr>
          <w:pgSz w:w="11900" w:h="16838" w:orient="portrait"/>
          <w:cols w:equalWidth="0" w:num="1">
            <w:col w:w="10860"/>
          </w:cols>
          <w:pgMar w:left="320" w:top="468" w:right="7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left="500"/>
        <w:spacing w:after="0"/>
        <w:rPr>
          <w:sz w:val="20"/>
          <w:szCs w:val="20"/>
          <w:color w:val="auto"/>
        </w:rPr>
      </w:pPr>
      <w:r>
        <w:rPr>
          <w:rFonts w:ascii="Arial" w:cs="Arial" w:eastAsia="Arial" w:hAnsi="Arial"/>
          <w:sz w:val="17"/>
          <w:szCs w:val="17"/>
          <w:b w:val="1"/>
          <w:bCs w:val="1"/>
          <w:color w:val="00467D"/>
        </w:rPr>
        <w:t>Michael B. Petras,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337820</wp:posOffset>
            </wp:positionH>
            <wp:positionV relativeFrom="paragraph">
              <wp:posOffset>-1406525</wp:posOffset>
            </wp:positionV>
            <wp:extent cx="1057275" cy="129476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057275" cy="1294765"/>
                    </a:xfrm>
                    <a:prstGeom prst="rect">
                      <a:avLst/>
                    </a:prstGeom>
                    <a:noFill/>
                  </pic:spPr>
                </pic:pic>
              </a:graphicData>
            </a:graphic>
          </wp:anchor>
        </w:drawing>
      </w:r>
    </w:p>
    <w:p>
      <w:pPr>
        <w:jc w:val="center"/>
        <w:ind w:left="500"/>
        <w:spacing w:after="0"/>
        <w:rPr>
          <w:sz w:val="20"/>
          <w:szCs w:val="20"/>
          <w:color w:val="auto"/>
        </w:rPr>
      </w:pPr>
      <w:r>
        <w:rPr>
          <w:rFonts w:ascii="Arial" w:cs="Arial" w:eastAsia="Arial" w:hAnsi="Arial"/>
          <w:sz w:val="17"/>
          <w:szCs w:val="17"/>
          <w:b w:val="1"/>
          <w:bCs w:val="1"/>
          <w:color w:val="00467D"/>
        </w:rPr>
        <w:t xml:space="preserve">Age: </w:t>
      </w:r>
      <w:r>
        <w:rPr>
          <w:rFonts w:ascii="Arial" w:cs="Arial" w:eastAsia="Arial" w:hAnsi="Arial"/>
          <w:sz w:val="17"/>
          <w:szCs w:val="17"/>
          <w:b w:val="1"/>
          <w:bCs w:val="1"/>
          <w:color w:val="000000"/>
        </w:rPr>
        <w:t>55</w:t>
      </w:r>
    </w:p>
    <w:p>
      <w:pPr>
        <w:ind w:left="580"/>
        <w:spacing w:after="0"/>
        <w:rPr>
          <w:sz w:val="20"/>
          <w:szCs w:val="20"/>
          <w:color w:val="auto"/>
        </w:rPr>
      </w:pPr>
      <w:r>
        <w:rPr>
          <w:rFonts w:ascii="Arial" w:cs="Arial" w:eastAsia="Arial" w:hAnsi="Arial"/>
          <w:sz w:val="17"/>
          <w:szCs w:val="17"/>
          <w:b w:val="1"/>
          <w:bCs w:val="1"/>
          <w:color w:val="auto"/>
        </w:rPr>
        <w:t>Chairman and CEO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left="500"/>
        <w:spacing w:after="0"/>
        <w:rPr>
          <w:sz w:val="20"/>
          <w:szCs w:val="20"/>
          <w:color w:val="auto"/>
        </w:rPr>
      </w:pPr>
      <w:r>
        <w:rPr>
          <w:rFonts w:ascii="Arial" w:cs="Arial" w:eastAsia="Arial" w:hAnsi="Arial"/>
          <w:sz w:val="17"/>
          <w:szCs w:val="17"/>
          <w:b w:val="1"/>
          <w:bCs w:val="1"/>
          <w:color w:val="00467D"/>
        </w:rPr>
        <w:t>David E. Wheadon</w:t>
      </w:r>
    </w:p>
    <w:p>
      <w:pPr>
        <w:spacing w:after="0" w:line="14" w:lineRule="exact"/>
        <w:rPr>
          <w:sz w:val="20"/>
          <w:szCs w:val="20"/>
          <w:color w:val="auto"/>
        </w:rPr>
      </w:pPr>
    </w:p>
    <w:p>
      <w:pPr>
        <w:jc w:val="center"/>
        <w:ind w:left="500"/>
        <w:spacing w:after="0"/>
        <w:rPr>
          <w:sz w:val="20"/>
          <w:szCs w:val="20"/>
          <w:color w:val="auto"/>
        </w:rPr>
      </w:pPr>
      <w:r>
        <w:rPr>
          <w:rFonts w:ascii="Arial" w:cs="Arial" w:eastAsia="Arial" w:hAnsi="Arial"/>
          <w:sz w:val="17"/>
          <w:szCs w:val="17"/>
          <w:b w:val="1"/>
          <w:bCs w:val="1"/>
          <w:color w:val="00467D"/>
        </w:rPr>
        <w:t xml:space="preserve">Age: </w:t>
      </w:r>
      <w:r>
        <w:rPr>
          <w:rFonts w:ascii="Arial" w:cs="Arial" w:eastAsia="Arial" w:hAnsi="Arial"/>
          <w:sz w:val="17"/>
          <w:szCs w:val="17"/>
          <w:b w:val="1"/>
          <w:bCs w:val="1"/>
          <w:color w:val="000000"/>
        </w:rPr>
        <w:t>65</w:t>
      </w:r>
    </w:p>
    <w:p>
      <w:pPr>
        <w:ind w:left="1040"/>
        <w:spacing w:after="0"/>
        <w:rPr>
          <w:sz w:val="20"/>
          <w:szCs w:val="20"/>
          <w:color w:val="auto"/>
        </w:rPr>
      </w:pPr>
      <w:r>
        <w:rPr>
          <w:rFonts w:ascii="Arial" w:cs="Arial" w:eastAsia="Arial" w:hAnsi="Arial"/>
          <w:sz w:val="17"/>
          <w:szCs w:val="17"/>
          <w:b w:val="1"/>
          <w:bCs w:val="1"/>
          <w:color w:val="auto"/>
        </w:rPr>
        <w:t>Director</w:t>
      </w:r>
    </w:p>
    <w:p>
      <w:pPr>
        <w:spacing w:after="0" w:line="20" w:lineRule="exact"/>
        <w:rPr>
          <w:sz w:val="20"/>
          <w:szCs w:val="20"/>
          <w:color w:val="auto"/>
        </w:rPr>
      </w:pPr>
      <w:r>
        <w:rPr>
          <w:sz w:val="20"/>
          <w:szCs w:val="20"/>
          <w:color w:val="auto"/>
        </w:rPr>
        <w:br w:type="column"/>
      </w:r>
    </w:p>
    <w:p>
      <w:pPr>
        <w:spacing w:after="0" w:line="325" w:lineRule="exact"/>
        <w:rPr>
          <w:sz w:val="20"/>
          <w:szCs w:val="20"/>
          <w:color w:val="auto"/>
        </w:rPr>
      </w:pPr>
    </w:p>
    <w:p>
      <w:pPr>
        <w:spacing w:after="0" w:line="241" w:lineRule="auto"/>
        <w:rPr>
          <w:sz w:val="20"/>
          <w:szCs w:val="20"/>
          <w:color w:val="auto"/>
        </w:rPr>
      </w:pPr>
      <w:r>
        <w:rPr>
          <w:rFonts w:ascii="Arial" w:cs="Arial" w:eastAsia="Arial" w:hAnsi="Arial"/>
          <w:sz w:val="17"/>
          <w:szCs w:val="17"/>
          <w:b w:val="1"/>
          <w:bCs w:val="1"/>
          <w:color w:val="00467D"/>
        </w:rPr>
        <w:t xml:space="preserve">Biographical Information: </w:t>
      </w:r>
      <w:r>
        <w:rPr>
          <w:rFonts w:ascii="Arial" w:cs="Arial" w:eastAsia="Arial" w:hAnsi="Arial"/>
          <w:sz w:val="17"/>
          <w:szCs w:val="17"/>
          <w:color w:val="000000"/>
        </w:rPr>
        <w:t>Michael B. Petras, Jr. has served as our Chief Executive Officer since June 2016</w:t>
      </w:r>
      <w:r>
        <w:rPr>
          <w:rFonts w:ascii="Arial" w:cs="Arial" w:eastAsia="Arial" w:hAnsi="Arial"/>
          <w:sz w:val="17"/>
          <w:szCs w:val="17"/>
          <w:b w:val="1"/>
          <w:bCs w:val="1"/>
          <w:color w:val="00467D"/>
        </w:rPr>
        <w:t xml:space="preserve"> </w:t>
      </w:r>
      <w:r>
        <w:rPr>
          <w:rFonts w:ascii="Arial" w:cs="Arial" w:eastAsia="Arial" w:hAnsi="Arial"/>
          <w:sz w:val="17"/>
          <w:szCs w:val="17"/>
          <w:color w:val="000000"/>
        </w:rPr>
        <w:t>and as the Chairman of our Board since October 2020. He also served as the Chairman of Topco Parent’s Board of Managers from January 2019 through November 2020 and as a member of Topco Parent’s Board of Managers from June 2016 through November 2020. Prior to joining Sotera Health, Mr. Petras served as chief executive officer of Post-Acute Solutions at Cardinal Health, Inc., a multinational healthcare services company, from 2015 to 2016 and chief executive officer of Cardinal Health at-Home at Cardinal Health, Inc. from 2013 to 2015. From 2011 to 2013, he was the chief executive officer for AssuraMed Holdings, Inc., a medical products supplier owned by the Clayton, Dubilier &amp; Rice and Goldman Sachs private equity firms, which was sold to Cardinal Health, Inc. in 2013. From 2008 to 2011, Mr. Petras was president and chief executive officer at GE Lighting, a General Electric Company business unit. During his approximately 20-year career at GE, he held several management positions in multiple disciplines. Mr. Petras holds a B.S.B.A. in finance from John Carroll University and an M.B.A. in marketing from Case Western Reserve University.</w:t>
      </w:r>
    </w:p>
    <w:p>
      <w:pPr>
        <w:spacing w:after="0" w:line="84" w:lineRule="exact"/>
        <w:rPr>
          <w:sz w:val="20"/>
          <w:szCs w:val="20"/>
          <w:color w:val="auto"/>
        </w:rPr>
      </w:pPr>
    </w:p>
    <w:p>
      <w:pPr>
        <w:ind w:right="320"/>
        <w:spacing w:after="0" w:line="257" w:lineRule="auto"/>
        <w:rPr>
          <w:sz w:val="20"/>
          <w:szCs w:val="20"/>
          <w:color w:val="auto"/>
        </w:rPr>
      </w:pPr>
      <w:r>
        <w:rPr>
          <w:rFonts w:ascii="Arial" w:cs="Arial" w:eastAsia="Arial" w:hAnsi="Arial"/>
          <w:sz w:val="17"/>
          <w:szCs w:val="17"/>
          <w:b w:val="1"/>
          <w:bCs w:val="1"/>
          <w:color w:val="00467D"/>
        </w:rPr>
        <w:t xml:space="preserve">Qualifications: </w:t>
      </w:r>
      <w:r>
        <w:rPr>
          <w:rFonts w:ascii="Arial" w:cs="Arial" w:eastAsia="Arial" w:hAnsi="Arial"/>
          <w:sz w:val="17"/>
          <w:szCs w:val="17"/>
          <w:color w:val="000000"/>
        </w:rPr>
        <w:t>He was selected to serve on our Board because of his perspective as our Chief Executive</w:t>
      </w:r>
      <w:r>
        <w:rPr>
          <w:rFonts w:ascii="Arial" w:cs="Arial" w:eastAsia="Arial" w:hAnsi="Arial"/>
          <w:sz w:val="17"/>
          <w:szCs w:val="17"/>
          <w:b w:val="1"/>
          <w:bCs w:val="1"/>
          <w:color w:val="00467D"/>
        </w:rPr>
        <w:t xml:space="preserve"> </w:t>
      </w:r>
      <w:r>
        <w:rPr>
          <w:rFonts w:ascii="Arial" w:cs="Arial" w:eastAsia="Arial" w:hAnsi="Arial"/>
          <w:sz w:val="17"/>
          <w:szCs w:val="17"/>
          <w:color w:val="000000"/>
        </w:rPr>
        <w:t>Officer as well as his extensive commercial, financial and general management experience across many global industries.</w:t>
      </w:r>
    </w:p>
    <w:p>
      <w:pPr>
        <w:spacing w:after="0" w:line="198" w:lineRule="exact"/>
        <w:rPr>
          <w:sz w:val="20"/>
          <w:szCs w:val="20"/>
          <w:color w:val="auto"/>
        </w:rPr>
      </w:pPr>
    </w:p>
    <w:p>
      <w:pPr>
        <w:ind w:right="20"/>
        <w:spacing w:after="0"/>
        <w:rPr>
          <w:sz w:val="20"/>
          <w:szCs w:val="20"/>
          <w:color w:val="auto"/>
        </w:rPr>
      </w:pPr>
      <w:r>
        <w:rPr>
          <w:rFonts w:ascii="Arial" w:cs="Arial" w:eastAsia="Arial" w:hAnsi="Arial"/>
          <w:sz w:val="17"/>
          <w:szCs w:val="17"/>
          <w:b w:val="1"/>
          <w:bCs w:val="1"/>
          <w:color w:val="00467D"/>
        </w:rPr>
        <w:t xml:space="preserve">Biographical Information: </w:t>
      </w:r>
      <w:r>
        <w:rPr>
          <w:rFonts w:ascii="Arial" w:cs="Arial" w:eastAsia="Arial" w:hAnsi="Arial"/>
          <w:sz w:val="17"/>
          <w:szCs w:val="17"/>
          <w:color w:val="000000"/>
        </w:rPr>
        <w:t>David E. Wheadon, M.D. has served as a member of our Board since May 2021.</w:t>
      </w:r>
      <w:r>
        <w:rPr>
          <w:rFonts w:ascii="Arial" w:cs="Arial" w:eastAsia="Arial" w:hAnsi="Arial"/>
          <w:sz w:val="17"/>
          <w:szCs w:val="17"/>
          <w:b w:val="1"/>
          <w:bCs w:val="1"/>
          <w:color w:val="00467D"/>
        </w:rPr>
        <w:t xml:space="preserve"> </w:t>
      </w:r>
      <w:r>
        <w:rPr>
          <w:rFonts w:ascii="Arial" w:cs="Arial" w:eastAsia="Arial" w:hAnsi="Arial"/>
          <w:sz w:val="17"/>
          <w:szCs w:val="17"/>
          <w:color w:val="000000"/>
        </w:rPr>
        <w:t>Dr. Wheadon served as senior vice president of global regulatory affairs, patient safety, and quality assurance at AstraZeneca Plc from December 2014 to July 2019. Prior to that, he was executive vice president, research and advocacy at Juvenile Diabetes Research Foundation International Inc., from May 2013 to December 2014, and senior vice president, scientific and regulatory affairs at Pharmaceutical Research and Manufacturers of America (PhRMA), from January 2009 to May 2013. Dr. Wheadon served as vice president, global pharmaceutical regulatory and medical science, and group vice president, global pharmaceutical regulatory affairs at Abbott Laboratories from 2005 to 2009. Prior to Abbott Laboratories, Dr. Wheadon held senior regulatory and clinical development leadership positions at GlaxoSmithKline Plc and Eli Lilly and Company. Dr. Wheadon serves on the board of directors of Karuna Therapeutics, Inc. and Vaxart, Inc., and was a board member of ChemoCentryx, Inc. from May 2022 to October 2022 and of Assertio Holdings, Inc. from September 2019 to December 2020. Dr. Wheadon holds an A.B. in biology, cum laude, from Harvard College and an M.D. from Johns Hopkins University. He completed his post-doctoral psychiatry fellowship at the Boston VA Medical Center and Tufts New England Medical Center.</w:t>
      </w:r>
    </w:p>
    <w:p>
      <w:pPr>
        <w:spacing w:after="0" w:line="90" w:lineRule="exact"/>
        <w:rPr>
          <w:sz w:val="20"/>
          <w:szCs w:val="20"/>
          <w:color w:val="auto"/>
        </w:rPr>
      </w:pPr>
    </w:p>
    <w:p>
      <w:pPr>
        <w:jc w:val="both"/>
        <w:ind w:right="100"/>
        <w:spacing w:after="0" w:line="257" w:lineRule="auto"/>
        <w:rPr>
          <w:sz w:val="20"/>
          <w:szCs w:val="20"/>
          <w:color w:val="auto"/>
        </w:rPr>
      </w:pPr>
      <w:r>
        <w:rPr>
          <w:rFonts w:ascii="Arial" w:cs="Arial" w:eastAsia="Arial" w:hAnsi="Arial"/>
          <w:sz w:val="17"/>
          <w:szCs w:val="17"/>
          <w:b w:val="1"/>
          <w:bCs w:val="1"/>
          <w:color w:val="00467D"/>
        </w:rPr>
        <w:t xml:space="preserve">Qualifications: </w:t>
      </w:r>
      <w:r>
        <w:rPr>
          <w:rFonts w:ascii="Arial" w:cs="Arial" w:eastAsia="Arial" w:hAnsi="Arial"/>
          <w:sz w:val="17"/>
          <w:szCs w:val="17"/>
          <w:color w:val="000000"/>
        </w:rPr>
        <w:t>Dr. Wheadon was selected to serve on our Board because of his extensive experience in the</w:t>
      </w:r>
      <w:r>
        <w:rPr>
          <w:rFonts w:ascii="Arial" w:cs="Arial" w:eastAsia="Arial" w:hAnsi="Arial"/>
          <w:sz w:val="17"/>
          <w:szCs w:val="17"/>
          <w:b w:val="1"/>
          <w:bCs w:val="1"/>
          <w:color w:val="00467D"/>
        </w:rPr>
        <w:t xml:space="preserve"> </w:t>
      </w:r>
      <w:r>
        <w:rPr>
          <w:rFonts w:ascii="Arial" w:cs="Arial" w:eastAsia="Arial" w:hAnsi="Arial"/>
          <w:sz w:val="17"/>
          <w:szCs w:val="17"/>
          <w:color w:val="000000"/>
        </w:rPr>
        <w:t>biopharmaceutical industry and for his expertise in global health policy and regulatory affairs, product quality and patient safety.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-1342390</wp:posOffset>
            </wp:positionH>
            <wp:positionV relativeFrom="paragraph">
              <wp:posOffset>96520</wp:posOffset>
            </wp:positionV>
            <wp:extent cx="6687820" cy="1651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687820" cy="1651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220" w:space="260"/>
            <w:col w:w="8380"/>
          </w:cols>
          <w:pgMar w:left="320" w:top="468" w:right="719" w:bottom="1440" w:gutter="0" w:footer="0" w:header="0"/>
          <w:type w:val="continuous"/>
        </w:sectPr>
      </w:pPr>
    </w:p>
    <w:p>
      <w:pPr>
        <w:spacing w:after="0" w:line="142" w:lineRule="exact"/>
        <w:rPr>
          <w:sz w:val="20"/>
          <w:szCs w:val="20"/>
          <w:color w:val="auto"/>
        </w:rPr>
      </w:pPr>
    </w:p>
    <w:tbl>
      <w:tblPr>
        <w:tblLayout w:type="fixed"/>
        <w:tblInd w:w="360" w:type="dxa"/>
        <w:tblCellMar>
          <w:top w:w="0" w:type="dxa"/>
          <w:left w:w="0" w:type="dxa"/>
          <w:bottom w:w="0" w:type="dxa"/>
          <w:right w:w="0" w:type="dxa"/>
        </w:tblCellMar>
      </w:tblPr>
      <w:tr>
        <w:trPr>
          <w:trHeight w:val="226"/>
        </w:trPr>
        <w:tc>
          <w:tcPr>
            <w:tcW w:w="3900" w:type="dxa"/>
            <w:vAlign w:val="bottom"/>
          </w:tcPr>
          <w:p>
            <w:pPr>
              <w:spacing w:after="0"/>
              <w:rPr>
                <w:sz w:val="20"/>
                <w:szCs w:val="20"/>
                <w:color w:val="auto"/>
              </w:rPr>
            </w:pPr>
            <w:r>
              <w:rPr>
                <w:rFonts w:ascii="Arial" w:cs="Arial" w:eastAsia="Arial" w:hAnsi="Arial"/>
                <w:sz w:val="17"/>
                <w:szCs w:val="17"/>
                <w:color w:val="auto"/>
              </w:rPr>
              <w:t>2023 Notice and Proxy Statement</w:t>
            </w:r>
          </w:p>
        </w:tc>
        <w:tc>
          <w:tcPr>
            <w:tcW w:w="1520" w:type="dxa"/>
            <w:vAlign w:val="bottom"/>
          </w:tcPr>
          <w:p>
            <w:pPr>
              <w:jc w:val="right"/>
              <w:spacing w:after="0"/>
              <w:rPr>
                <w:sz w:val="20"/>
                <w:szCs w:val="20"/>
                <w:color w:val="auto"/>
              </w:rPr>
            </w:pPr>
            <w:r>
              <w:rPr>
                <w:rFonts w:ascii="Arial" w:cs="Arial" w:eastAsia="Arial" w:hAnsi="Arial"/>
                <w:sz w:val="17"/>
                <w:szCs w:val="17"/>
                <w:color w:val="auto"/>
              </w:rPr>
              <w:t>14</w:t>
            </w:r>
          </w:p>
        </w:tc>
      </w:tr>
    </w:tbl>
    <w:p>
      <w:pPr>
        <w:sectPr>
          <w:pgSz w:w="11900" w:h="16838" w:orient="portrait"/>
          <w:cols w:equalWidth="0" w:num="1">
            <w:col w:w="10860"/>
          </w:cols>
          <w:pgMar w:left="320" w:top="468" w:right="719" w:bottom="144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5397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9945" cy="53975"/>
                    </a:xfrm>
                    <a:prstGeom prst="rect">
                      <a:avLst/>
                    </a:prstGeom>
                    <a:noFill/>
                  </pic:spPr>
                </pic:pic>
              </a:graphicData>
            </a:graphic>
          </wp:anchor>
        </w:drawing>
        <w:t>Table of Contents</w:t>
      </w:r>
    </w:p>
    <w:p>
      <w:pPr>
        <w:spacing w:after="0" w:line="296" w:lineRule="exact"/>
        <w:rPr>
          <w:sz w:val="20"/>
          <w:szCs w:val="20"/>
          <w:color w:val="auto"/>
        </w:rPr>
      </w:pPr>
    </w:p>
    <w:p>
      <w:pPr>
        <w:jc w:val="right"/>
        <w:ind w:right="20"/>
        <w:spacing w:after="0"/>
        <w:rPr>
          <w:sz w:val="20"/>
          <w:szCs w:val="20"/>
          <w:color w:val="auto"/>
        </w:rPr>
      </w:pPr>
      <w:r>
        <w:rPr>
          <w:rFonts w:ascii="Arial" w:cs="Arial" w:eastAsia="Arial" w:hAnsi="Arial"/>
          <w:sz w:val="17"/>
          <w:szCs w:val="17"/>
          <w:b w:val="1"/>
          <w:bCs w:val="1"/>
          <w:color w:val="auto"/>
        </w:rPr>
        <w:t>Proposal 1: Election of Directors</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Directors Continuing in Office</w:t>
      </w:r>
    </w:p>
    <w:p>
      <w:pPr>
        <w:spacing w:after="0" w:line="101" w:lineRule="exact"/>
        <w:rPr>
          <w:sz w:val="20"/>
          <w:szCs w:val="20"/>
          <w:color w:val="auto"/>
        </w:rPr>
      </w:pPr>
    </w:p>
    <w:p>
      <w:pPr>
        <w:ind w:left="360"/>
        <w:spacing w:after="0"/>
        <w:rPr>
          <w:sz w:val="20"/>
          <w:szCs w:val="20"/>
          <w:color w:val="auto"/>
        </w:rPr>
      </w:pPr>
      <w:r>
        <w:rPr>
          <w:rFonts w:ascii="Arial" w:cs="Arial" w:eastAsia="Arial" w:hAnsi="Arial"/>
          <w:sz w:val="28"/>
          <w:szCs w:val="28"/>
          <w:color w:val="auto"/>
        </w:rPr>
        <w:t>Class II Directors (Term Expires at 2025 Annual Meeting)</w:t>
      </w:r>
    </w:p>
    <w:p>
      <w:pPr>
        <w:sectPr>
          <w:pgSz w:w="11900" w:h="16838" w:orient="portrait"/>
          <w:cols w:equalWidth="0" w:num="1">
            <w:col w:w="10900"/>
          </w:cols>
          <w:pgMar w:left="320" w:top="468" w:right="6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left="680"/>
        <w:spacing w:after="0"/>
        <w:rPr>
          <w:sz w:val="20"/>
          <w:szCs w:val="20"/>
          <w:color w:val="auto"/>
        </w:rPr>
      </w:pPr>
      <w:r>
        <w:rPr>
          <w:rFonts w:ascii="Arial" w:cs="Arial" w:eastAsia="Arial" w:hAnsi="Arial"/>
          <w:sz w:val="17"/>
          <w:szCs w:val="17"/>
          <w:b w:val="1"/>
          <w:bCs w:val="1"/>
          <w:color w:val="00467D"/>
        </w:rPr>
        <w:t>Ruoxi Chen</w:t>
      </w:r>
    </w:p>
    <w:p>
      <w:pPr>
        <w:spacing w:after="0" w:line="14" w:lineRule="exact"/>
        <w:rPr>
          <w:sz w:val="20"/>
          <w:szCs w:val="20"/>
          <w:color w:val="auto"/>
        </w:rPr>
      </w:pPr>
    </w:p>
    <w:p>
      <w:pPr>
        <w:jc w:val="center"/>
        <w:ind w:left="680"/>
        <w:spacing w:after="0"/>
        <w:rPr>
          <w:sz w:val="20"/>
          <w:szCs w:val="20"/>
          <w:color w:val="auto"/>
        </w:rPr>
      </w:pPr>
      <w:r>
        <w:rPr>
          <w:rFonts w:ascii="Arial" w:cs="Arial" w:eastAsia="Arial" w:hAnsi="Arial"/>
          <w:sz w:val="17"/>
          <w:szCs w:val="17"/>
          <w:b w:val="1"/>
          <w:bCs w:val="1"/>
          <w:color w:val="00467D"/>
        </w:rPr>
        <w:t xml:space="preserve">Age: </w:t>
      </w:r>
      <w:r>
        <w:rPr>
          <w:rFonts w:ascii="Arial" w:cs="Arial" w:eastAsia="Arial" w:hAnsi="Arial"/>
          <w:sz w:val="17"/>
          <w:szCs w:val="17"/>
          <w:b w:val="1"/>
          <w:bCs w:val="1"/>
          <w:color w:val="000000"/>
        </w:rPr>
        <w:t>39</w:t>
      </w:r>
    </w:p>
    <w:p>
      <w:pPr>
        <w:ind w:left="1040"/>
        <w:spacing w:after="0"/>
        <w:rPr>
          <w:sz w:val="20"/>
          <w:szCs w:val="20"/>
          <w:color w:val="auto"/>
        </w:rPr>
      </w:pPr>
      <w:r>
        <w:rPr>
          <w:rFonts w:ascii="Arial" w:cs="Arial" w:eastAsia="Arial" w:hAnsi="Arial"/>
          <w:sz w:val="17"/>
          <w:szCs w:val="17"/>
          <w:b w:val="1"/>
          <w:bCs w:val="1"/>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337820</wp:posOffset>
            </wp:positionH>
            <wp:positionV relativeFrom="paragraph">
              <wp:posOffset>154940</wp:posOffset>
            </wp:positionV>
            <wp:extent cx="1057275" cy="129476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057275" cy="1294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left="680"/>
        <w:spacing w:after="0"/>
        <w:rPr>
          <w:sz w:val="20"/>
          <w:szCs w:val="20"/>
          <w:color w:val="auto"/>
        </w:rPr>
      </w:pPr>
      <w:r>
        <w:rPr>
          <w:rFonts w:ascii="Arial" w:cs="Arial" w:eastAsia="Arial" w:hAnsi="Arial"/>
          <w:sz w:val="16"/>
          <w:szCs w:val="16"/>
          <w:b w:val="1"/>
          <w:bCs w:val="1"/>
          <w:color w:val="00467D"/>
        </w:rPr>
        <w:t>David A. Donnini</w:t>
      </w:r>
    </w:p>
    <w:p>
      <w:pPr>
        <w:spacing w:after="0" w:line="26" w:lineRule="exact"/>
        <w:rPr>
          <w:sz w:val="20"/>
          <w:szCs w:val="20"/>
          <w:color w:val="auto"/>
        </w:rPr>
      </w:pPr>
    </w:p>
    <w:p>
      <w:pPr>
        <w:jc w:val="center"/>
        <w:ind w:left="680"/>
        <w:spacing w:after="0"/>
        <w:rPr>
          <w:sz w:val="20"/>
          <w:szCs w:val="20"/>
          <w:color w:val="auto"/>
        </w:rPr>
      </w:pPr>
      <w:r>
        <w:rPr>
          <w:rFonts w:ascii="Arial" w:cs="Arial" w:eastAsia="Arial" w:hAnsi="Arial"/>
          <w:sz w:val="17"/>
          <w:szCs w:val="17"/>
          <w:b w:val="1"/>
          <w:bCs w:val="1"/>
          <w:color w:val="00467D"/>
        </w:rPr>
        <w:t xml:space="preserve">Age: </w:t>
      </w:r>
      <w:r>
        <w:rPr>
          <w:rFonts w:ascii="Arial" w:cs="Arial" w:eastAsia="Arial" w:hAnsi="Arial"/>
          <w:sz w:val="17"/>
          <w:szCs w:val="17"/>
          <w:b w:val="1"/>
          <w:bCs w:val="1"/>
          <w:color w:val="000000"/>
        </w:rPr>
        <w:t>57</w:t>
      </w:r>
    </w:p>
    <w:p>
      <w:pPr>
        <w:ind w:left="1040"/>
        <w:spacing w:after="0"/>
        <w:rPr>
          <w:sz w:val="20"/>
          <w:szCs w:val="20"/>
          <w:color w:val="auto"/>
        </w:rPr>
      </w:pPr>
      <w:r>
        <w:rPr>
          <w:rFonts w:ascii="Arial" w:cs="Arial" w:eastAsia="Arial" w:hAnsi="Arial"/>
          <w:sz w:val="17"/>
          <w:szCs w:val="17"/>
          <w:b w:val="1"/>
          <w:bCs w:val="1"/>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337820</wp:posOffset>
            </wp:positionH>
            <wp:positionV relativeFrom="paragraph">
              <wp:posOffset>236855</wp:posOffset>
            </wp:positionV>
            <wp:extent cx="1057275" cy="129476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057275" cy="1294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left="680"/>
        <w:spacing w:after="0"/>
        <w:rPr>
          <w:sz w:val="20"/>
          <w:szCs w:val="20"/>
          <w:color w:val="auto"/>
        </w:rPr>
      </w:pPr>
      <w:r>
        <w:rPr>
          <w:rFonts w:ascii="Arial" w:cs="Arial" w:eastAsia="Arial" w:hAnsi="Arial"/>
          <w:sz w:val="17"/>
          <w:szCs w:val="17"/>
          <w:b w:val="1"/>
          <w:bCs w:val="1"/>
          <w:color w:val="00467D"/>
        </w:rPr>
        <w:t>Ann R. Klee</w:t>
      </w:r>
    </w:p>
    <w:p>
      <w:pPr>
        <w:spacing w:after="0" w:line="14" w:lineRule="exact"/>
        <w:rPr>
          <w:sz w:val="20"/>
          <w:szCs w:val="20"/>
          <w:color w:val="auto"/>
        </w:rPr>
      </w:pPr>
    </w:p>
    <w:p>
      <w:pPr>
        <w:jc w:val="center"/>
        <w:ind w:left="680"/>
        <w:spacing w:after="0"/>
        <w:rPr>
          <w:sz w:val="20"/>
          <w:szCs w:val="20"/>
          <w:color w:val="auto"/>
        </w:rPr>
      </w:pPr>
      <w:r>
        <w:rPr>
          <w:rFonts w:ascii="Arial" w:cs="Arial" w:eastAsia="Arial" w:hAnsi="Arial"/>
          <w:sz w:val="17"/>
          <w:szCs w:val="17"/>
          <w:b w:val="1"/>
          <w:bCs w:val="1"/>
          <w:color w:val="00467D"/>
        </w:rPr>
        <w:t xml:space="preserve">Age: </w:t>
      </w:r>
      <w:r>
        <w:rPr>
          <w:rFonts w:ascii="Arial" w:cs="Arial" w:eastAsia="Arial" w:hAnsi="Arial"/>
          <w:sz w:val="17"/>
          <w:szCs w:val="17"/>
          <w:b w:val="1"/>
          <w:bCs w:val="1"/>
          <w:color w:val="000000"/>
        </w:rPr>
        <w:t>61</w:t>
      </w:r>
    </w:p>
    <w:p>
      <w:pPr>
        <w:ind w:left="1040"/>
        <w:spacing w:after="0"/>
        <w:rPr>
          <w:sz w:val="20"/>
          <w:szCs w:val="20"/>
          <w:color w:val="auto"/>
        </w:rPr>
      </w:pPr>
      <w:r>
        <w:rPr>
          <w:rFonts w:ascii="Arial" w:cs="Arial" w:eastAsia="Arial" w:hAnsi="Arial"/>
          <w:sz w:val="17"/>
          <w:szCs w:val="17"/>
          <w:b w:val="1"/>
          <w:bCs w:val="1"/>
          <w:color w:val="auto"/>
        </w:rPr>
        <w:t>Director</w:t>
      </w:r>
    </w:p>
    <w:p>
      <w:pPr>
        <w:spacing w:after="0" w:line="20" w:lineRule="exact"/>
        <w:rPr>
          <w:sz w:val="20"/>
          <w:szCs w:val="20"/>
          <w:color w:val="auto"/>
        </w:rPr>
      </w:pPr>
      <w:r>
        <w:rPr>
          <w:sz w:val="20"/>
          <w:szCs w:val="20"/>
          <w:color w:val="auto"/>
        </w:rPr>
        <w:br w:type="column"/>
      </w:r>
    </w:p>
    <w:p>
      <w:pPr>
        <w:spacing w:after="0" w:line="340" w:lineRule="exact"/>
        <w:rPr>
          <w:sz w:val="20"/>
          <w:szCs w:val="20"/>
          <w:color w:val="auto"/>
        </w:rPr>
      </w:pPr>
    </w:p>
    <w:p>
      <w:pPr>
        <w:ind w:right="380"/>
        <w:spacing w:after="0" w:line="244" w:lineRule="auto"/>
        <w:rPr>
          <w:sz w:val="20"/>
          <w:szCs w:val="20"/>
          <w:color w:val="auto"/>
        </w:rPr>
      </w:pPr>
      <w:r>
        <w:rPr>
          <w:rFonts w:ascii="Arial" w:cs="Arial" w:eastAsia="Arial" w:hAnsi="Arial"/>
          <w:sz w:val="17"/>
          <w:szCs w:val="17"/>
          <w:b w:val="1"/>
          <w:bCs w:val="1"/>
          <w:color w:val="00467D"/>
        </w:rPr>
        <w:t xml:space="preserve">Biographical Information: </w:t>
      </w:r>
      <w:r>
        <w:rPr>
          <w:rFonts w:ascii="Arial" w:cs="Arial" w:eastAsia="Arial" w:hAnsi="Arial"/>
          <w:sz w:val="17"/>
          <w:szCs w:val="17"/>
          <w:color w:val="000000"/>
        </w:rPr>
        <w:t>Ruoxi Chen has served as a member of our Board since November 2020.</w:t>
      </w:r>
      <w:r>
        <w:rPr>
          <w:rFonts w:ascii="Arial" w:cs="Arial" w:eastAsia="Arial" w:hAnsi="Arial"/>
          <w:sz w:val="17"/>
          <w:szCs w:val="17"/>
          <w:b w:val="1"/>
          <w:bCs w:val="1"/>
          <w:color w:val="00467D"/>
        </w:rPr>
        <w:t xml:space="preserve"> </w:t>
      </w:r>
      <w:r>
        <w:rPr>
          <w:rFonts w:ascii="Arial" w:cs="Arial" w:eastAsia="Arial" w:hAnsi="Arial"/>
          <w:sz w:val="17"/>
          <w:szCs w:val="17"/>
          <w:color w:val="000000"/>
        </w:rPr>
        <w:t>Mr. Chen is a managing director at Warburg Pincus, focusing on investments in the healthcare sector, and joined the firm in 2011. Prior to joining Warburg Pincus, Mr. Chen worked at the Carlyle Group in the U.S. Buyout Fund and in investment banking at Citigroup. He is currently a board member of several private healthcare companies. He was on the board of directors of Silk Road Medical Inc. from April 2019 to December 2020. He received a B.S. magna cum laude in economics and computer science from Duke University and an M.B.A. from Harvard Business School.</w:t>
      </w:r>
    </w:p>
    <w:p>
      <w:pPr>
        <w:spacing w:after="0" w:line="80" w:lineRule="exact"/>
        <w:rPr>
          <w:sz w:val="20"/>
          <w:szCs w:val="20"/>
          <w:color w:val="auto"/>
        </w:rPr>
      </w:pPr>
    </w:p>
    <w:p>
      <w:pPr>
        <w:ind w:right="120"/>
        <w:spacing w:after="0" w:line="257" w:lineRule="auto"/>
        <w:rPr>
          <w:sz w:val="20"/>
          <w:szCs w:val="20"/>
          <w:color w:val="auto"/>
        </w:rPr>
      </w:pPr>
      <w:r>
        <w:rPr>
          <w:rFonts w:ascii="Arial" w:cs="Arial" w:eastAsia="Arial" w:hAnsi="Arial"/>
          <w:sz w:val="17"/>
          <w:szCs w:val="17"/>
          <w:b w:val="1"/>
          <w:bCs w:val="1"/>
          <w:color w:val="00467D"/>
        </w:rPr>
        <w:t xml:space="preserve">Qualifications: </w:t>
      </w:r>
      <w:r>
        <w:rPr>
          <w:rFonts w:ascii="Arial" w:cs="Arial" w:eastAsia="Arial" w:hAnsi="Arial"/>
          <w:sz w:val="17"/>
          <w:szCs w:val="17"/>
          <w:color w:val="000000"/>
        </w:rPr>
        <w:t>He was selected to serve on our Board because of his extensive knowledge of strategy and</w:t>
      </w:r>
      <w:r>
        <w:rPr>
          <w:rFonts w:ascii="Arial" w:cs="Arial" w:eastAsia="Arial" w:hAnsi="Arial"/>
          <w:sz w:val="17"/>
          <w:szCs w:val="17"/>
          <w:b w:val="1"/>
          <w:bCs w:val="1"/>
          <w:color w:val="00467D"/>
        </w:rPr>
        <w:t xml:space="preserve"> </w:t>
      </w:r>
      <w:r>
        <w:rPr>
          <w:rFonts w:ascii="Arial" w:cs="Arial" w:eastAsia="Arial" w:hAnsi="Arial"/>
          <w:sz w:val="17"/>
          <w:szCs w:val="17"/>
          <w:color w:val="000000"/>
        </w:rPr>
        <w:t>business development in the healthcare sector, his wide-ranging experience as a director and deep familiarity with our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right="80"/>
        <w:spacing w:after="0" w:line="244" w:lineRule="auto"/>
        <w:rPr>
          <w:sz w:val="20"/>
          <w:szCs w:val="20"/>
          <w:color w:val="auto"/>
        </w:rPr>
      </w:pPr>
      <w:r>
        <w:rPr>
          <w:rFonts w:ascii="Arial" w:cs="Arial" w:eastAsia="Arial" w:hAnsi="Arial"/>
          <w:sz w:val="17"/>
          <w:szCs w:val="17"/>
          <w:b w:val="1"/>
          <w:bCs w:val="1"/>
          <w:color w:val="00467D"/>
        </w:rPr>
        <w:t xml:space="preserve">Biographical Information: </w:t>
      </w:r>
      <w:r>
        <w:rPr>
          <w:rFonts w:ascii="Arial" w:cs="Arial" w:eastAsia="Arial" w:hAnsi="Arial"/>
          <w:sz w:val="17"/>
          <w:szCs w:val="17"/>
          <w:color w:val="000000"/>
        </w:rPr>
        <w:t>David A. Donnini has served as a member of our Board since October 2020 and</w:t>
      </w:r>
      <w:r>
        <w:rPr>
          <w:rFonts w:ascii="Arial" w:cs="Arial" w:eastAsia="Arial" w:hAnsi="Arial"/>
          <w:sz w:val="17"/>
          <w:szCs w:val="17"/>
          <w:b w:val="1"/>
          <w:bCs w:val="1"/>
          <w:color w:val="00467D"/>
        </w:rPr>
        <w:t xml:space="preserve"> </w:t>
      </w:r>
      <w:r>
        <w:rPr>
          <w:rFonts w:ascii="Arial" w:cs="Arial" w:eastAsia="Arial" w:hAnsi="Arial"/>
          <w:sz w:val="17"/>
          <w:szCs w:val="17"/>
          <w:color w:val="000000"/>
        </w:rPr>
        <w:t>was a member of Topco Parent’s Board of Managers from 2015 through November 2020. Mr. Donnini joined GTCR in 1991 and is currently a managing director of the firm. Prior to joining GTCR, he worked as an associate consultant at Bain &amp; Company. He leads GTCR’s business services efforts. Mr. Donnini serves on the board of directors of Vivid Seats Inc. and several private companies. He holds a B.A. in economics, summa cum laude, from Yale University and an M.B.A. from Stanford University, where he was an Arjay Miller Scholar and Robichek Finance Award winner.</w:t>
      </w:r>
    </w:p>
    <w:p>
      <w:pPr>
        <w:spacing w:after="0" w:line="80" w:lineRule="exact"/>
        <w:rPr>
          <w:sz w:val="20"/>
          <w:szCs w:val="20"/>
          <w:color w:val="auto"/>
        </w:rPr>
      </w:pPr>
    </w:p>
    <w:p>
      <w:pPr>
        <w:ind w:right="360"/>
        <w:spacing w:after="0" w:line="277" w:lineRule="auto"/>
        <w:rPr>
          <w:sz w:val="20"/>
          <w:szCs w:val="20"/>
          <w:color w:val="auto"/>
        </w:rPr>
      </w:pPr>
      <w:r>
        <w:rPr>
          <w:rFonts w:ascii="Arial" w:cs="Arial" w:eastAsia="Arial" w:hAnsi="Arial"/>
          <w:sz w:val="17"/>
          <w:szCs w:val="17"/>
          <w:b w:val="1"/>
          <w:bCs w:val="1"/>
          <w:color w:val="00467D"/>
        </w:rPr>
        <w:t xml:space="preserve">Qualifications: </w:t>
      </w:r>
      <w:r>
        <w:rPr>
          <w:rFonts w:ascii="Arial" w:cs="Arial" w:eastAsia="Arial" w:hAnsi="Arial"/>
          <w:sz w:val="17"/>
          <w:szCs w:val="17"/>
          <w:color w:val="000000"/>
        </w:rPr>
        <w:t>He was selected to serve on our Board because of his significant financial and investment</w:t>
      </w:r>
      <w:r>
        <w:rPr>
          <w:rFonts w:ascii="Arial" w:cs="Arial" w:eastAsia="Arial" w:hAnsi="Arial"/>
          <w:sz w:val="17"/>
          <w:szCs w:val="17"/>
          <w:b w:val="1"/>
          <w:bCs w:val="1"/>
          <w:color w:val="00467D"/>
        </w:rPr>
        <w:t xml:space="preserve"> </w:t>
      </w:r>
      <w:r>
        <w:rPr>
          <w:rFonts w:ascii="Arial" w:cs="Arial" w:eastAsia="Arial" w:hAnsi="Arial"/>
          <w:sz w:val="17"/>
          <w:szCs w:val="17"/>
          <w:color w:val="000000"/>
        </w:rPr>
        <w:t>experience, wide-ranging experience as a director and deep familiarity with our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right="60"/>
        <w:spacing w:after="0"/>
        <w:rPr>
          <w:sz w:val="20"/>
          <w:szCs w:val="20"/>
          <w:color w:val="auto"/>
        </w:rPr>
      </w:pPr>
      <w:r>
        <w:rPr>
          <w:rFonts w:ascii="Arial" w:cs="Arial" w:eastAsia="Arial" w:hAnsi="Arial"/>
          <w:sz w:val="17"/>
          <w:szCs w:val="17"/>
          <w:b w:val="1"/>
          <w:bCs w:val="1"/>
          <w:color w:val="00467D"/>
        </w:rPr>
        <w:t xml:space="preserve">Biographical Information: </w:t>
      </w:r>
      <w:r>
        <w:rPr>
          <w:rFonts w:ascii="Arial" w:cs="Arial" w:eastAsia="Arial" w:hAnsi="Arial"/>
          <w:sz w:val="17"/>
          <w:szCs w:val="17"/>
          <w:color w:val="000000"/>
        </w:rPr>
        <w:t>Ann R. Klee has served as a member of our Board since October 2020 and was a</w:t>
      </w:r>
      <w:r>
        <w:rPr>
          <w:rFonts w:ascii="Arial" w:cs="Arial" w:eastAsia="Arial" w:hAnsi="Arial"/>
          <w:sz w:val="17"/>
          <w:szCs w:val="17"/>
          <w:b w:val="1"/>
          <w:bCs w:val="1"/>
          <w:color w:val="00467D"/>
        </w:rPr>
        <w:t xml:space="preserve"> </w:t>
      </w:r>
      <w:r>
        <w:rPr>
          <w:rFonts w:ascii="Arial" w:cs="Arial" w:eastAsia="Arial" w:hAnsi="Arial"/>
          <w:sz w:val="17"/>
          <w:szCs w:val="17"/>
          <w:color w:val="000000"/>
        </w:rPr>
        <w:t>member of Topco Parent’s Board of Managers from May 2020 through November 2020. Ms. Klee served as the executive vice president, Business Development &amp; External Affairs at Suffolk Construction, a vertically integrated construction company, from February 2020 until March 2021. Prior to that, she was the vice president, Environment Health &amp; Safety at General Electric Company (“GE”), a multinational conglomerate, from February 2008 to September 2019, and the vice president, Boston Development &amp; Operations at GE from January 2016 to September 2019. At GE, she was also the president of the GE Foundation from August 2015 to September 2019, where she oversaw the company’s $140 million annual charitable contributions. She was a partner at Crowell &amp; Moring in Washington, D.C. from 2006 to 2007, where she served as co-chair of the firm’s Environment and Natural Resources Group. Prior to Crowell &amp; Moring, she served as general counsel to the USEPA, as counselor and special assistant to the Secretary of the U.S. Department of the Interior and as chief counsel to the U.S. Senate’s Environment and Public Works Committee. Ms. Klee is a director at Wabtec Corporation where she chairs the compensation and management development committee and the EHS subcommittee of the nominating and corporate governance committee of the board of directors. She holds a B.A. with High Honors in classics from Swarthmore College and a J.D. from the University of Pennsylvania Carey Law School.</w:t>
      </w:r>
    </w:p>
    <w:p>
      <w:pPr>
        <w:spacing w:after="0" w:line="86" w:lineRule="exact"/>
        <w:rPr>
          <w:sz w:val="20"/>
          <w:szCs w:val="20"/>
          <w:color w:val="auto"/>
        </w:rPr>
      </w:pPr>
    </w:p>
    <w:p>
      <w:pPr>
        <w:ind w:right="160"/>
        <w:spacing w:after="0" w:line="257" w:lineRule="auto"/>
        <w:rPr>
          <w:sz w:val="20"/>
          <w:szCs w:val="20"/>
          <w:color w:val="auto"/>
        </w:rPr>
      </w:pPr>
      <w:r>
        <w:rPr>
          <w:rFonts w:ascii="Arial" w:cs="Arial" w:eastAsia="Arial" w:hAnsi="Arial"/>
          <w:sz w:val="17"/>
          <w:szCs w:val="17"/>
          <w:b w:val="1"/>
          <w:bCs w:val="1"/>
          <w:color w:val="00467D"/>
        </w:rPr>
        <w:t xml:space="preserve">Qualifications: </w:t>
      </w:r>
      <w:r>
        <w:rPr>
          <w:rFonts w:ascii="Arial" w:cs="Arial" w:eastAsia="Arial" w:hAnsi="Arial"/>
          <w:sz w:val="17"/>
          <w:szCs w:val="17"/>
          <w:color w:val="000000"/>
        </w:rPr>
        <w:t>She was selected to serve on our Board because of her extensive experience as an</w:t>
      </w:r>
      <w:r>
        <w:rPr>
          <w:rFonts w:ascii="Arial" w:cs="Arial" w:eastAsia="Arial" w:hAnsi="Arial"/>
          <w:sz w:val="17"/>
          <w:szCs w:val="17"/>
          <w:b w:val="1"/>
          <w:bCs w:val="1"/>
          <w:color w:val="00467D"/>
        </w:rPr>
        <w:t xml:space="preserve"> </w:t>
      </w:r>
      <w:r>
        <w:rPr>
          <w:rFonts w:ascii="Arial" w:cs="Arial" w:eastAsia="Arial" w:hAnsi="Arial"/>
          <w:sz w:val="17"/>
          <w:szCs w:val="17"/>
          <w:color w:val="000000"/>
        </w:rPr>
        <w:t>environmental lawyer managing complex litigation, and for her expertise in environmental law, regulation and policy and corporate ESG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-1342390</wp:posOffset>
            </wp:positionH>
            <wp:positionV relativeFrom="paragraph">
              <wp:posOffset>96520</wp:posOffset>
            </wp:positionV>
            <wp:extent cx="6687820" cy="1651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687820" cy="1651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040" w:space="440"/>
            <w:col w:w="8420"/>
          </w:cols>
          <w:pgMar w:left="320" w:top="468" w:right="679" w:bottom="1440" w:gutter="0" w:footer="0" w:header="0"/>
          <w:type w:val="continuous"/>
        </w:sectPr>
      </w:pPr>
    </w:p>
    <w:p>
      <w:pPr>
        <w:spacing w:after="0" w:line="142"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6443980</wp:posOffset>
            </wp:positionH>
            <wp:positionV relativeFrom="paragraph">
              <wp:posOffset>-113030</wp:posOffset>
            </wp:positionV>
            <wp:extent cx="475615" cy="15557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475615" cy="155575"/>
                    </a:xfrm>
                    <a:prstGeom prst="rect">
                      <a:avLst/>
                    </a:prstGeom>
                    <a:noFill/>
                  </pic:spPr>
                </pic:pic>
              </a:graphicData>
            </a:graphic>
          </wp:anchor>
        </w:drawing>
      </w:r>
    </w:p>
    <w:p>
      <w:pPr>
        <w:sectPr>
          <w:pgSz w:w="11900" w:h="16838" w:orient="portrait"/>
          <w:cols w:equalWidth="0" w:num="1">
            <w:col w:w="10900"/>
          </w:cols>
          <w:pgMar w:left="320" w:top="468" w:right="679" w:bottom="1440"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5397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9945" cy="53975"/>
                    </a:xfrm>
                    <a:prstGeom prst="rect">
                      <a:avLst/>
                    </a:prstGeom>
                    <a:noFill/>
                  </pic:spPr>
                </pic:pic>
              </a:graphicData>
            </a:graphic>
          </wp:anchor>
        </w:drawing>
        <w:t>Table of Contents</w:t>
      </w:r>
    </w:p>
    <w:p>
      <w:pPr>
        <w:spacing w:after="0" w:line="296"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auto"/>
        </w:rPr>
        <w:t>Corporate Governance</w:t>
      </w:r>
    </w:p>
    <w:p>
      <w:pPr>
        <w:spacing w:after="0" w:line="21" w:lineRule="exact"/>
        <w:rPr>
          <w:sz w:val="20"/>
          <w:szCs w:val="20"/>
          <w:color w:val="auto"/>
        </w:rPr>
      </w:pPr>
    </w:p>
    <w:p>
      <w:pPr>
        <w:ind w:left="360"/>
        <w:spacing w:after="0"/>
        <w:rPr>
          <w:sz w:val="20"/>
          <w:szCs w:val="20"/>
          <w:color w:val="auto"/>
        </w:rPr>
      </w:pPr>
      <w:r>
        <w:rPr>
          <w:rFonts w:ascii="Arial" w:cs="Arial" w:eastAsia="Arial" w:hAnsi="Arial"/>
          <w:sz w:val="14"/>
          <w:szCs w:val="14"/>
          <w:b w:val="1"/>
          <w:bCs w:val="1"/>
          <w:color w:val="auto"/>
        </w:rPr>
        <w:t>Structure and Role of the Board of Directors</w:t>
      </w:r>
    </w:p>
    <w:p>
      <w:pPr>
        <w:spacing w:after="0" w:line="90" w:lineRule="exact"/>
        <w:rPr>
          <w:sz w:val="20"/>
          <w:szCs w:val="20"/>
          <w:color w:val="auto"/>
        </w:rPr>
      </w:pPr>
    </w:p>
    <w:p>
      <w:pPr>
        <w:ind w:left="360"/>
        <w:spacing w:after="0"/>
        <w:rPr>
          <w:sz w:val="20"/>
          <w:szCs w:val="20"/>
          <w:color w:val="auto"/>
        </w:rPr>
      </w:pPr>
      <w:r>
        <w:rPr>
          <w:rFonts w:ascii="Arial" w:cs="Arial" w:eastAsia="Arial" w:hAnsi="Arial"/>
          <w:sz w:val="41"/>
          <w:szCs w:val="41"/>
          <w:b w:val="1"/>
          <w:bCs w:val="1"/>
          <w:color w:val="00B0DB"/>
        </w:rPr>
        <w:t>CORPORATE GOVERNANCE</w:t>
      </w:r>
    </w:p>
    <w:p>
      <w:pPr>
        <w:spacing w:after="0" w:line="216" w:lineRule="exact"/>
        <w:rPr>
          <w:sz w:val="20"/>
          <w:szCs w:val="20"/>
          <w:color w:val="auto"/>
        </w:rPr>
      </w:pPr>
    </w:p>
    <w:p>
      <w:pPr>
        <w:ind w:left="360"/>
        <w:spacing w:after="0"/>
        <w:rPr>
          <w:sz w:val="20"/>
          <w:szCs w:val="20"/>
          <w:color w:val="auto"/>
        </w:rPr>
      </w:pPr>
      <w:r>
        <w:rPr>
          <w:rFonts w:ascii="Arial" w:cs="Arial" w:eastAsia="Arial" w:hAnsi="Arial"/>
          <w:sz w:val="34"/>
          <w:szCs w:val="34"/>
          <w:b w:val="1"/>
          <w:bCs w:val="1"/>
          <w:color w:val="auto"/>
        </w:rPr>
        <w:t>Structure and Role of the Board</w:t>
      </w:r>
    </w:p>
    <w:p>
      <w:pPr>
        <w:spacing w:after="0" w:line="227" w:lineRule="exact"/>
        <w:rPr>
          <w:sz w:val="20"/>
          <w:szCs w:val="20"/>
          <w:color w:val="auto"/>
        </w:rPr>
      </w:pPr>
    </w:p>
    <w:p>
      <w:pPr>
        <w:ind w:left="360"/>
        <w:spacing w:after="0"/>
        <w:rPr>
          <w:sz w:val="20"/>
          <w:szCs w:val="20"/>
          <w:color w:val="auto"/>
        </w:rPr>
      </w:pPr>
      <w:r>
        <w:rPr>
          <w:rFonts w:ascii="Arial" w:cs="Arial" w:eastAsia="Arial" w:hAnsi="Arial"/>
          <w:sz w:val="31"/>
          <w:szCs w:val="31"/>
          <w:color w:val="00B0DB"/>
        </w:rPr>
        <w:t>Certain Sponsor Rights</w:t>
      </w:r>
    </w:p>
    <w:p>
      <w:pPr>
        <w:spacing w:after="0" w:line="221" w:lineRule="exact"/>
        <w:rPr>
          <w:sz w:val="20"/>
          <w:szCs w:val="20"/>
          <w:color w:val="auto"/>
        </w:rPr>
      </w:pPr>
    </w:p>
    <w:p>
      <w:pPr>
        <w:ind w:left="360"/>
        <w:spacing w:after="0"/>
        <w:rPr>
          <w:sz w:val="20"/>
          <w:szCs w:val="20"/>
          <w:color w:val="auto"/>
        </w:rPr>
      </w:pPr>
      <w:r>
        <w:rPr>
          <w:rFonts w:ascii="Arial" w:cs="Arial" w:eastAsia="Arial" w:hAnsi="Arial"/>
          <w:sz w:val="17"/>
          <w:szCs w:val="17"/>
          <w:color w:val="auto"/>
        </w:rPr>
        <w:t>Our Stockholders’ Agreement provides that investment funds and entities affiliated with Warburg Pincus are entitled to designate up to:</w:t>
      </w:r>
    </w:p>
    <w:p>
      <w:pPr>
        <w:spacing w:after="0" w:line="114" w:lineRule="exact"/>
        <w:rPr>
          <w:sz w:val="20"/>
          <w:szCs w:val="20"/>
          <w:color w:val="auto"/>
        </w:rPr>
      </w:pPr>
    </w:p>
    <w:p>
      <w:pPr>
        <w:ind w:left="780" w:right="60" w:hanging="422"/>
        <w:spacing w:after="0" w:line="274" w:lineRule="auto"/>
        <w:tabs>
          <w:tab w:leader="none" w:pos="780" w:val="left"/>
        </w:tabs>
        <w:numPr>
          <w:ilvl w:val="0"/>
          <w:numId w:val="11"/>
        </w:numPr>
        <w:rPr>
          <w:rFonts w:ascii="Arial" w:cs="Arial" w:eastAsia="Arial" w:hAnsi="Arial"/>
          <w:sz w:val="17"/>
          <w:szCs w:val="17"/>
          <w:color w:val="00467D"/>
        </w:rPr>
      </w:pPr>
      <w:r>
        <w:rPr>
          <w:rFonts w:ascii="Arial" w:cs="Arial" w:eastAsia="Arial" w:hAnsi="Arial"/>
          <w:sz w:val="17"/>
          <w:szCs w:val="17"/>
          <w:color w:val="auto"/>
        </w:rPr>
        <w:t>five directors for election to our Board for so long as certain investment funds and entities affiliated with Warburg Pincus hold 80% or more of the shares of our common stock that they held immediately following our IPO;</w:t>
      </w:r>
    </w:p>
    <w:p>
      <w:pPr>
        <w:spacing w:after="0" w:line="57" w:lineRule="exact"/>
        <w:rPr>
          <w:rFonts w:ascii="Arial" w:cs="Arial" w:eastAsia="Arial" w:hAnsi="Arial"/>
          <w:sz w:val="17"/>
          <w:szCs w:val="17"/>
          <w:color w:val="00467D"/>
        </w:rPr>
      </w:pPr>
    </w:p>
    <w:p>
      <w:pPr>
        <w:ind w:left="780" w:right="40" w:hanging="422"/>
        <w:spacing w:after="0" w:line="274" w:lineRule="auto"/>
        <w:tabs>
          <w:tab w:leader="none" w:pos="780" w:val="left"/>
        </w:tabs>
        <w:numPr>
          <w:ilvl w:val="0"/>
          <w:numId w:val="11"/>
        </w:numPr>
        <w:rPr>
          <w:rFonts w:ascii="Arial" w:cs="Arial" w:eastAsia="Arial" w:hAnsi="Arial"/>
          <w:sz w:val="17"/>
          <w:szCs w:val="17"/>
          <w:color w:val="00467D"/>
        </w:rPr>
      </w:pPr>
      <w:r>
        <w:rPr>
          <w:rFonts w:ascii="Arial" w:cs="Arial" w:eastAsia="Arial" w:hAnsi="Arial"/>
          <w:sz w:val="17"/>
          <w:szCs w:val="17"/>
          <w:color w:val="auto"/>
        </w:rPr>
        <w:t>four directors for election to our Board for so long as certain investment funds and entities affiliated with Warburg Pincus hold 60% or more of the shares of our common stock that they held immediately following our IPO;</w:t>
      </w:r>
    </w:p>
    <w:p>
      <w:pPr>
        <w:spacing w:after="0" w:line="57" w:lineRule="exact"/>
        <w:rPr>
          <w:rFonts w:ascii="Arial" w:cs="Arial" w:eastAsia="Arial" w:hAnsi="Arial"/>
          <w:sz w:val="17"/>
          <w:szCs w:val="17"/>
          <w:color w:val="00467D"/>
        </w:rPr>
      </w:pPr>
    </w:p>
    <w:p>
      <w:pPr>
        <w:ind w:left="780" w:right="140" w:hanging="422"/>
        <w:spacing w:after="0" w:line="274" w:lineRule="auto"/>
        <w:tabs>
          <w:tab w:leader="none" w:pos="780" w:val="left"/>
        </w:tabs>
        <w:numPr>
          <w:ilvl w:val="0"/>
          <w:numId w:val="11"/>
        </w:numPr>
        <w:rPr>
          <w:rFonts w:ascii="Arial" w:cs="Arial" w:eastAsia="Arial" w:hAnsi="Arial"/>
          <w:sz w:val="17"/>
          <w:szCs w:val="17"/>
          <w:color w:val="00467D"/>
        </w:rPr>
      </w:pPr>
      <w:r>
        <w:rPr>
          <w:rFonts w:ascii="Arial" w:cs="Arial" w:eastAsia="Arial" w:hAnsi="Arial"/>
          <w:sz w:val="17"/>
          <w:szCs w:val="17"/>
          <w:color w:val="auto"/>
        </w:rPr>
        <w:t>three directors for election to our Board for so long as certain investment funds and entities affiliated with Warburg Pincus hold 40% or more of the shares of our common stock that they held immediately following our IPO;</w:t>
      </w:r>
    </w:p>
    <w:p>
      <w:pPr>
        <w:spacing w:after="0" w:line="57" w:lineRule="exact"/>
        <w:rPr>
          <w:rFonts w:ascii="Arial" w:cs="Arial" w:eastAsia="Arial" w:hAnsi="Arial"/>
          <w:sz w:val="17"/>
          <w:szCs w:val="17"/>
          <w:color w:val="00467D"/>
        </w:rPr>
      </w:pPr>
    </w:p>
    <w:p>
      <w:pPr>
        <w:ind w:left="780" w:right="60" w:hanging="422"/>
        <w:spacing w:after="0" w:line="274" w:lineRule="auto"/>
        <w:tabs>
          <w:tab w:leader="none" w:pos="780" w:val="left"/>
        </w:tabs>
        <w:numPr>
          <w:ilvl w:val="0"/>
          <w:numId w:val="11"/>
        </w:numPr>
        <w:rPr>
          <w:rFonts w:ascii="Arial" w:cs="Arial" w:eastAsia="Arial" w:hAnsi="Arial"/>
          <w:sz w:val="17"/>
          <w:szCs w:val="17"/>
          <w:color w:val="00467D"/>
        </w:rPr>
      </w:pPr>
      <w:r>
        <w:rPr>
          <w:rFonts w:ascii="Arial" w:cs="Arial" w:eastAsia="Arial" w:hAnsi="Arial"/>
          <w:sz w:val="17"/>
          <w:szCs w:val="17"/>
          <w:color w:val="auto"/>
        </w:rPr>
        <w:t>two directors for election to our Board for so long as certain investment funds and entities affiliated with Warburg Pincus hold 20% or more of the shares of our common stock that they held immediately following our IPO; and</w:t>
      </w:r>
    </w:p>
    <w:p>
      <w:pPr>
        <w:spacing w:after="0" w:line="57" w:lineRule="exact"/>
        <w:rPr>
          <w:rFonts w:ascii="Arial" w:cs="Arial" w:eastAsia="Arial" w:hAnsi="Arial"/>
          <w:sz w:val="17"/>
          <w:szCs w:val="17"/>
          <w:color w:val="00467D"/>
        </w:rPr>
      </w:pPr>
    </w:p>
    <w:p>
      <w:pPr>
        <w:ind w:left="780" w:right="140" w:hanging="422"/>
        <w:spacing w:after="0" w:line="274" w:lineRule="auto"/>
        <w:tabs>
          <w:tab w:leader="none" w:pos="780" w:val="left"/>
        </w:tabs>
        <w:numPr>
          <w:ilvl w:val="0"/>
          <w:numId w:val="11"/>
        </w:numPr>
        <w:rPr>
          <w:rFonts w:ascii="Arial" w:cs="Arial" w:eastAsia="Arial" w:hAnsi="Arial"/>
          <w:sz w:val="17"/>
          <w:szCs w:val="17"/>
          <w:color w:val="00467D"/>
        </w:rPr>
      </w:pPr>
      <w:r>
        <w:rPr>
          <w:rFonts w:ascii="Arial" w:cs="Arial" w:eastAsia="Arial" w:hAnsi="Arial"/>
          <w:sz w:val="17"/>
          <w:szCs w:val="17"/>
          <w:color w:val="auto"/>
        </w:rPr>
        <w:t>one director for election to our Board for so long as certain investment funds and entities affiliated with Warburg Pincus hold 6 2/3% or more of the shares of our common stock that they held immediately following our IPO.</w:t>
      </w:r>
    </w:p>
    <w:p>
      <w:pPr>
        <w:spacing w:after="0" w:line="147" w:lineRule="exact"/>
        <w:rPr>
          <w:sz w:val="20"/>
          <w:szCs w:val="20"/>
          <w:color w:val="auto"/>
        </w:rPr>
      </w:pPr>
    </w:p>
    <w:p>
      <w:pPr>
        <w:ind w:left="360"/>
        <w:spacing w:after="0"/>
        <w:rPr>
          <w:sz w:val="20"/>
          <w:szCs w:val="20"/>
          <w:color w:val="auto"/>
        </w:rPr>
      </w:pPr>
      <w:r>
        <w:rPr>
          <w:rFonts w:ascii="Arial" w:cs="Arial" w:eastAsia="Arial" w:hAnsi="Arial"/>
          <w:sz w:val="17"/>
          <w:szCs w:val="17"/>
          <w:color w:val="auto"/>
        </w:rPr>
        <w:t>At present, Warburg Pincus holds 88.6% of the shares of our common stock that they held immediately following our IPO.</w:t>
      </w:r>
    </w:p>
    <w:p>
      <w:pPr>
        <w:spacing w:after="0" w:line="205" w:lineRule="exact"/>
        <w:rPr>
          <w:sz w:val="20"/>
          <w:szCs w:val="20"/>
          <w:color w:val="auto"/>
        </w:rPr>
      </w:pPr>
    </w:p>
    <w:p>
      <w:pPr>
        <w:ind w:left="360"/>
        <w:spacing w:after="0"/>
        <w:rPr>
          <w:sz w:val="20"/>
          <w:szCs w:val="20"/>
          <w:color w:val="auto"/>
        </w:rPr>
      </w:pPr>
      <w:r>
        <w:rPr>
          <w:rFonts w:ascii="Arial" w:cs="Arial" w:eastAsia="Arial" w:hAnsi="Arial"/>
          <w:sz w:val="17"/>
          <w:szCs w:val="17"/>
          <w:color w:val="auto"/>
        </w:rPr>
        <w:t>In addition, our Stockholders’ Agreement provides that investment funds and entities affiliated with GTCR are entitled to designate up to:</w:t>
      </w:r>
    </w:p>
    <w:p>
      <w:pPr>
        <w:spacing w:after="0" w:line="114" w:lineRule="exact"/>
        <w:rPr>
          <w:sz w:val="20"/>
          <w:szCs w:val="20"/>
          <w:color w:val="auto"/>
        </w:rPr>
      </w:pPr>
    </w:p>
    <w:p>
      <w:pPr>
        <w:ind w:left="780" w:right="40" w:hanging="422"/>
        <w:spacing w:after="0" w:line="274" w:lineRule="auto"/>
        <w:tabs>
          <w:tab w:leader="none" w:pos="780" w:val="left"/>
        </w:tabs>
        <w:numPr>
          <w:ilvl w:val="0"/>
          <w:numId w:val="12"/>
        </w:numPr>
        <w:rPr>
          <w:rFonts w:ascii="Arial" w:cs="Arial" w:eastAsia="Arial" w:hAnsi="Arial"/>
          <w:sz w:val="17"/>
          <w:szCs w:val="17"/>
          <w:color w:val="00467D"/>
        </w:rPr>
      </w:pPr>
      <w:r>
        <w:rPr>
          <w:rFonts w:ascii="Arial" w:cs="Arial" w:eastAsia="Arial" w:hAnsi="Arial"/>
          <w:sz w:val="17"/>
          <w:szCs w:val="17"/>
          <w:color w:val="auto"/>
        </w:rPr>
        <w:t>three directors for election to our Board for so long as certain investment funds and entities affiliated with GTCR hold 70% or more of the shares of our common stock that they held immediately following our IPO;</w:t>
      </w:r>
    </w:p>
    <w:p>
      <w:pPr>
        <w:spacing w:after="0" w:line="57" w:lineRule="exact"/>
        <w:rPr>
          <w:rFonts w:ascii="Arial" w:cs="Arial" w:eastAsia="Arial" w:hAnsi="Arial"/>
          <w:sz w:val="17"/>
          <w:szCs w:val="17"/>
          <w:color w:val="00467D"/>
        </w:rPr>
      </w:pPr>
    </w:p>
    <w:p>
      <w:pPr>
        <w:ind w:left="780" w:right="160" w:hanging="422"/>
        <w:spacing w:after="0" w:line="274" w:lineRule="auto"/>
        <w:tabs>
          <w:tab w:leader="none" w:pos="780" w:val="left"/>
        </w:tabs>
        <w:numPr>
          <w:ilvl w:val="0"/>
          <w:numId w:val="12"/>
        </w:numPr>
        <w:rPr>
          <w:rFonts w:ascii="Arial" w:cs="Arial" w:eastAsia="Arial" w:hAnsi="Arial"/>
          <w:sz w:val="17"/>
          <w:szCs w:val="17"/>
          <w:color w:val="00467D"/>
        </w:rPr>
      </w:pPr>
      <w:r>
        <w:rPr>
          <w:rFonts w:ascii="Arial" w:cs="Arial" w:eastAsia="Arial" w:hAnsi="Arial"/>
          <w:sz w:val="17"/>
          <w:szCs w:val="17"/>
          <w:color w:val="auto"/>
        </w:rPr>
        <w:t>two directors for election to our Board for so long as certain investment funds and entities affiliated with GTCR hold 40% or more of the shares of our common stock that they held immediately following our IPO; and</w:t>
      </w:r>
    </w:p>
    <w:p>
      <w:pPr>
        <w:spacing w:after="0" w:line="57" w:lineRule="exact"/>
        <w:rPr>
          <w:rFonts w:ascii="Arial" w:cs="Arial" w:eastAsia="Arial" w:hAnsi="Arial"/>
          <w:sz w:val="17"/>
          <w:szCs w:val="17"/>
          <w:color w:val="00467D"/>
        </w:rPr>
      </w:pPr>
    </w:p>
    <w:p>
      <w:pPr>
        <w:ind w:left="780" w:right="220" w:hanging="422"/>
        <w:spacing w:after="0" w:line="274" w:lineRule="auto"/>
        <w:tabs>
          <w:tab w:leader="none" w:pos="780" w:val="left"/>
        </w:tabs>
        <w:numPr>
          <w:ilvl w:val="0"/>
          <w:numId w:val="12"/>
        </w:numPr>
        <w:rPr>
          <w:rFonts w:ascii="Arial" w:cs="Arial" w:eastAsia="Arial" w:hAnsi="Arial"/>
          <w:sz w:val="17"/>
          <w:szCs w:val="17"/>
          <w:color w:val="00467D"/>
        </w:rPr>
      </w:pPr>
      <w:r>
        <w:rPr>
          <w:rFonts w:ascii="Arial" w:cs="Arial" w:eastAsia="Arial" w:hAnsi="Arial"/>
          <w:sz w:val="17"/>
          <w:szCs w:val="17"/>
          <w:color w:val="auto"/>
        </w:rPr>
        <w:t>one director for election to our Board for so long as certain investment funds and entities affiliated with GTCR hold 10% or more of the shares of our common stock that they held immediately following our IPO.</w:t>
      </w:r>
    </w:p>
    <w:p>
      <w:pPr>
        <w:spacing w:after="0" w:line="122" w:lineRule="exact"/>
        <w:rPr>
          <w:sz w:val="20"/>
          <w:szCs w:val="20"/>
          <w:color w:val="auto"/>
        </w:rPr>
      </w:pPr>
    </w:p>
    <w:p>
      <w:pPr>
        <w:ind w:left="360"/>
        <w:spacing w:after="0"/>
        <w:rPr>
          <w:sz w:val="20"/>
          <w:szCs w:val="20"/>
          <w:color w:val="auto"/>
        </w:rPr>
      </w:pPr>
      <w:r>
        <w:rPr>
          <w:rFonts w:ascii="Arial" w:cs="Arial" w:eastAsia="Arial" w:hAnsi="Arial"/>
          <w:sz w:val="17"/>
          <w:szCs w:val="17"/>
          <w:color w:val="auto"/>
        </w:rPr>
        <w:t>At present, GTCR holds 88.6% of the shares of our common stock that they held immediately following our IPO.</w:t>
      </w:r>
    </w:p>
    <w:p>
      <w:pPr>
        <w:spacing w:after="0" w:line="166" w:lineRule="exact"/>
        <w:rPr>
          <w:sz w:val="20"/>
          <w:szCs w:val="20"/>
          <w:color w:val="auto"/>
        </w:rPr>
      </w:pPr>
    </w:p>
    <w:p>
      <w:pPr>
        <w:ind w:left="360"/>
        <w:spacing w:after="0" w:line="245" w:lineRule="auto"/>
        <w:rPr>
          <w:sz w:val="20"/>
          <w:szCs w:val="20"/>
          <w:color w:val="auto"/>
        </w:rPr>
      </w:pPr>
      <w:r>
        <w:rPr>
          <w:rFonts w:ascii="Arial" w:cs="Arial" w:eastAsia="Arial" w:hAnsi="Arial"/>
          <w:sz w:val="17"/>
          <w:szCs w:val="17"/>
          <w:color w:val="auto"/>
        </w:rPr>
        <w:t>Our amended and restated certificate of incorporation provides that the authorized number of directors may be changed only by our Board, subject to the rights of any holders of any series of our preferred stock; provided that, without the consent of Warburg Pincus or GTCR, the authorized number of directors may not exceed eleven as long as investment funds and entities affiliated with either Warburg Pincus or GTCR are entitled to designate at least one director. Any additional directorships resulting from an increase in the number of directors will be distributed among the three classes so that, as nearly as possible, each class will consist of one-third of the directors. This classification of our Board may have the effect of delaying or preventing changes in our control or management.</w:t>
      </w:r>
    </w:p>
    <w:p>
      <w:pPr>
        <w:spacing w:after="0" w:line="132" w:lineRule="exact"/>
        <w:rPr>
          <w:sz w:val="20"/>
          <w:szCs w:val="20"/>
          <w:color w:val="auto"/>
        </w:rPr>
      </w:pPr>
    </w:p>
    <w:p>
      <w:pPr>
        <w:ind w:left="360" w:right="20"/>
        <w:spacing w:after="0" w:line="245" w:lineRule="auto"/>
        <w:rPr>
          <w:sz w:val="20"/>
          <w:szCs w:val="20"/>
          <w:color w:val="auto"/>
        </w:rPr>
      </w:pPr>
      <w:r>
        <w:rPr>
          <w:rFonts w:ascii="Arial" w:cs="Arial" w:eastAsia="Arial" w:hAnsi="Arial"/>
          <w:sz w:val="17"/>
          <w:szCs w:val="17"/>
          <w:color w:val="auto"/>
        </w:rPr>
        <w:t>Subject to restrictions under applicable law or the Nasdaq rules, our Stockholders’ Agreement provides that each of Warburg Pincus and GTCR is entitled to representation on each Board committee proportionate to the number of directors they are entitled to designate on our Board. Consistent with Nasdaq’s heightened independence standards for audit committees, no Sponsor-designated director is represented on our Audit Committee. In addition, Warburg Pincus is entitled to appoint the chairperson of our Leadership Development and Compensation Committee for so long as Warburg Pincus has the right to designate at least one director for election to our Board. See “Stockholders’ Agreement” on page 74 for additional information about our Stockholders’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231775</wp:posOffset>
            </wp:positionH>
            <wp:positionV relativeFrom="paragraph">
              <wp:posOffset>94615</wp:posOffset>
            </wp:positionV>
            <wp:extent cx="6687820" cy="1651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687820" cy="16510"/>
                    </a:xfrm>
                    <a:prstGeom prst="rect">
                      <a:avLst/>
                    </a:prstGeom>
                    <a:noFill/>
                  </pic:spPr>
                </pic:pic>
              </a:graphicData>
            </a:graphic>
          </wp:anchor>
        </w:drawing>
      </w:r>
    </w:p>
    <w:p>
      <w:pPr>
        <w:spacing w:after="0" w:line="319" w:lineRule="exact"/>
        <w:rPr>
          <w:sz w:val="20"/>
          <w:szCs w:val="20"/>
          <w:color w:val="auto"/>
        </w:rPr>
      </w:pPr>
    </w:p>
    <w:tbl>
      <w:tblPr>
        <w:tblLayout w:type="fixed"/>
        <w:tblInd w:w="360" w:type="dxa"/>
        <w:tblCellMar>
          <w:top w:w="0" w:type="dxa"/>
          <w:left w:w="0" w:type="dxa"/>
          <w:bottom w:w="0" w:type="dxa"/>
          <w:right w:w="0" w:type="dxa"/>
        </w:tblCellMar>
      </w:tblPr>
      <w:tr>
        <w:trPr>
          <w:trHeight w:val="226"/>
        </w:trPr>
        <w:tc>
          <w:tcPr>
            <w:tcW w:w="3900" w:type="dxa"/>
            <w:vAlign w:val="bottom"/>
          </w:tcPr>
          <w:p>
            <w:pPr>
              <w:spacing w:after="0"/>
              <w:rPr>
                <w:sz w:val="20"/>
                <w:szCs w:val="20"/>
                <w:color w:val="auto"/>
              </w:rPr>
            </w:pPr>
            <w:r>
              <w:rPr>
                <w:rFonts w:ascii="Arial" w:cs="Arial" w:eastAsia="Arial" w:hAnsi="Arial"/>
                <w:sz w:val="17"/>
                <w:szCs w:val="17"/>
                <w:color w:val="auto"/>
              </w:rPr>
              <w:t>2023 Notice and Proxy Statement</w:t>
            </w:r>
          </w:p>
        </w:tc>
        <w:tc>
          <w:tcPr>
            <w:tcW w:w="1520" w:type="dxa"/>
            <w:vAlign w:val="bottom"/>
          </w:tcPr>
          <w:p>
            <w:pPr>
              <w:jc w:val="right"/>
              <w:spacing w:after="0"/>
              <w:rPr>
                <w:sz w:val="20"/>
                <w:szCs w:val="20"/>
                <w:color w:val="auto"/>
              </w:rPr>
            </w:pPr>
            <w:r>
              <w:rPr>
                <w:rFonts w:ascii="Arial" w:cs="Arial" w:eastAsia="Arial" w:hAnsi="Arial"/>
                <w:sz w:val="17"/>
                <w:szCs w:val="17"/>
                <w:color w:val="auto"/>
              </w:rPr>
              <w:t>16</w:t>
            </w:r>
          </w:p>
        </w:tc>
      </w:tr>
    </w:tbl>
    <w:p>
      <w:pPr>
        <w:sectPr>
          <w:pgSz w:w="11900" w:h="16838" w:orient="portrait"/>
          <w:cols w:equalWidth="0" w:num="1">
            <w:col w:w="10880"/>
          </w:cols>
          <w:pgMar w:left="320" w:top="468" w:right="69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5397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9945" cy="53975"/>
                    </a:xfrm>
                    <a:prstGeom prst="rect">
                      <a:avLst/>
                    </a:prstGeom>
                    <a:noFill/>
                  </pic:spPr>
                </pic:pic>
              </a:graphicData>
            </a:graphic>
          </wp:anchor>
        </w:drawing>
        <w:t>Table of Contents</w:t>
      </w:r>
    </w:p>
    <w:p>
      <w:pPr>
        <w:spacing w:after="0" w:line="296"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Corporate Governance</w:t>
      </w:r>
    </w:p>
    <w:p>
      <w:pPr>
        <w:spacing w:after="0" w:line="21" w:lineRule="exact"/>
        <w:rPr>
          <w:sz w:val="20"/>
          <w:szCs w:val="20"/>
          <w:color w:val="auto"/>
        </w:rPr>
      </w:pPr>
    </w:p>
    <w:p>
      <w:pPr>
        <w:ind w:left="9400"/>
        <w:spacing w:after="0"/>
        <w:rPr>
          <w:sz w:val="20"/>
          <w:szCs w:val="20"/>
          <w:color w:val="auto"/>
        </w:rPr>
      </w:pPr>
      <w:r>
        <w:rPr>
          <w:rFonts w:ascii="Arial" w:cs="Arial" w:eastAsia="Arial" w:hAnsi="Arial"/>
          <w:sz w:val="13"/>
          <w:szCs w:val="13"/>
          <w:b w:val="1"/>
          <w:bCs w:val="1"/>
          <w:color w:val="auto"/>
        </w:rPr>
        <w:t>Director Independence</w:t>
      </w:r>
    </w:p>
    <w:p>
      <w:pPr>
        <w:spacing w:after="0" w:line="126" w:lineRule="exact"/>
        <w:rPr>
          <w:sz w:val="20"/>
          <w:szCs w:val="20"/>
          <w:color w:val="auto"/>
        </w:rPr>
      </w:pPr>
    </w:p>
    <w:p>
      <w:pPr>
        <w:ind w:left="360" w:right="60"/>
        <w:spacing w:after="0" w:line="245" w:lineRule="auto"/>
        <w:rPr>
          <w:sz w:val="20"/>
          <w:szCs w:val="20"/>
          <w:color w:val="auto"/>
        </w:rPr>
      </w:pPr>
      <w:r>
        <w:rPr>
          <w:rFonts w:ascii="Arial" w:cs="Arial" w:eastAsia="Arial" w:hAnsi="Arial"/>
          <w:sz w:val="17"/>
          <w:szCs w:val="17"/>
          <w:color w:val="auto"/>
        </w:rPr>
        <w:t>Our amended and restated certificate of incorporation provides that our directors may be removed only for cause by the affirmative vote of the holders of at least 75% of the votes that all our shareholders would be entitled to cast in an annual election of directors; provided that for so long as investment funds and entities affiliated with either Warburg Pincus or GTCR, collectively, hold at least a majority of our outstanding capital stock, a director designated by investment funds and entities affiliated with either Warburg Pincus or GTCR, respectively, may be removed with or without cause by the affirmative vote of the holders of a majority of our outstanding capital stock and with the consent of Warburg Pincus or GTCR, respectively.</w:t>
      </w:r>
    </w:p>
    <w:p>
      <w:pPr>
        <w:spacing w:after="0" w:line="264" w:lineRule="exact"/>
        <w:rPr>
          <w:sz w:val="20"/>
          <w:szCs w:val="20"/>
          <w:color w:val="auto"/>
        </w:rPr>
      </w:pPr>
    </w:p>
    <w:p>
      <w:pPr>
        <w:ind w:left="360"/>
        <w:spacing w:after="0"/>
        <w:rPr>
          <w:sz w:val="20"/>
          <w:szCs w:val="20"/>
          <w:color w:val="auto"/>
        </w:rPr>
      </w:pPr>
      <w:r>
        <w:rPr>
          <w:rFonts w:ascii="Arial" w:cs="Arial" w:eastAsia="Arial" w:hAnsi="Arial"/>
          <w:sz w:val="31"/>
          <w:szCs w:val="31"/>
          <w:color w:val="00B0DB"/>
        </w:rPr>
        <w:t>Director Independence</w:t>
      </w:r>
    </w:p>
    <w:p>
      <w:pPr>
        <w:spacing w:after="0" w:line="221" w:lineRule="exact"/>
        <w:rPr>
          <w:sz w:val="20"/>
          <w:szCs w:val="20"/>
          <w:color w:val="auto"/>
        </w:rPr>
      </w:pPr>
    </w:p>
    <w:p>
      <w:pPr>
        <w:ind w:left="360" w:right="40"/>
        <w:spacing w:after="0" w:line="242" w:lineRule="auto"/>
        <w:rPr>
          <w:sz w:val="20"/>
          <w:szCs w:val="20"/>
          <w:color w:val="auto"/>
        </w:rPr>
      </w:pPr>
      <w:r>
        <w:rPr>
          <w:rFonts w:ascii="Arial" w:cs="Arial" w:eastAsia="Arial" w:hAnsi="Arial"/>
          <w:sz w:val="17"/>
          <w:szCs w:val="17"/>
          <w:color w:val="auto"/>
        </w:rPr>
        <w:t>Our Board, together with the Governance Committee and the Company’s legal counsel, conducts an annual review of the independence of each director. Based on information provided by each director concerning his or her background, employment and affiliations, including family relationships, our Board has determined that each of our directors and director nominees, with the exception of Mr. Petras, do not have relationships that would interfere with the exercise of independent judgment in carrying out the responsibilities of a director and that each of these directors and director nominees is “independent” as that term is defined under the listing standards of the Nasdaq. In making these determinations, the Board considered the current and prior relationships that each director and director nominee has with our Company and all other facts and circumstances the Board deemed relevant in determining their independence, including each director and director nominee’s beneficial ownership of our capital stock, and transactions involving them and the Company, if any, further described in the section titled “Certain Relationships and Related Party Transactions”.</w:t>
      </w:r>
    </w:p>
    <w:p>
      <w:pPr>
        <w:spacing w:after="0" w:line="149" w:lineRule="exact"/>
        <w:rPr>
          <w:sz w:val="20"/>
          <w:szCs w:val="20"/>
          <w:color w:val="auto"/>
        </w:rPr>
      </w:pPr>
    </w:p>
    <w:p>
      <w:pPr>
        <w:ind w:left="360" w:right="60"/>
        <w:spacing w:after="0" w:line="250" w:lineRule="auto"/>
        <w:rPr>
          <w:sz w:val="20"/>
          <w:szCs w:val="20"/>
          <w:color w:val="auto"/>
        </w:rPr>
      </w:pPr>
      <w:r>
        <w:rPr>
          <w:rFonts w:ascii="Arial" w:cs="Arial" w:eastAsia="Arial" w:hAnsi="Arial"/>
          <w:sz w:val="17"/>
          <w:szCs w:val="17"/>
          <w:color w:val="auto"/>
        </w:rPr>
        <w:t>The Sponsors beneficially own shares representing a majority of the outstanding shares of our common stock. As a result, we are considered a “controlled company” within the meaning of the Nasdaq rules. Under the Nasdaq rules, a company of which more than 50% of the voting power is held by an individual, group or another company may elect not to comply with certain Nasdaq corporate governance standards, including:</w:t>
      </w:r>
    </w:p>
    <w:p>
      <w:pPr>
        <w:spacing w:after="0" w:line="76" w:lineRule="exact"/>
        <w:rPr>
          <w:sz w:val="20"/>
          <w:szCs w:val="20"/>
          <w:color w:val="auto"/>
        </w:rPr>
      </w:pPr>
    </w:p>
    <w:p>
      <w:pPr>
        <w:ind w:left="780" w:hanging="422"/>
        <w:spacing w:after="0"/>
        <w:tabs>
          <w:tab w:leader="none" w:pos="780" w:val="left"/>
        </w:tabs>
        <w:numPr>
          <w:ilvl w:val="0"/>
          <w:numId w:val="13"/>
        </w:numPr>
        <w:rPr>
          <w:rFonts w:ascii="Arial" w:cs="Arial" w:eastAsia="Arial" w:hAnsi="Arial"/>
          <w:sz w:val="17"/>
          <w:szCs w:val="17"/>
          <w:color w:val="00467D"/>
        </w:rPr>
      </w:pPr>
      <w:r>
        <w:rPr>
          <w:rFonts w:ascii="Arial" w:cs="Arial" w:eastAsia="Arial" w:hAnsi="Arial"/>
          <w:sz w:val="17"/>
          <w:szCs w:val="17"/>
          <w:color w:val="auto"/>
        </w:rPr>
        <w:t>the requirement that a majority of the Board consist of independent directors;</w:t>
      </w:r>
    </w:p>
    <w:p>
      <w:pPr>
        <w:spacing w:after="0" w:line="114" w:lineRule="exact"/>
        <w:rPr>
          <w:rFonts w:ascii="Arial" w:cs="Arial" w:eastAsia="Arial" w:hAnsi="Arial"/>
          <w:sz w:val="17"/>
          <w:szCs w:val="17"/>
          <w:color w:val="00467D"/>
        </w:rPr>
      </w:pPr>
    </w:p>
    <w:p>
      <w:pPr>
        <w:jc w:val="both"/>
        <w:ind w:left="780" w:right="160" w:hanging="422"/>
        <w:spacing w:after="0" w:line="256" w:lineRule="auto"/>
        <w:tabs>
          <w:tab w:leader="none" w:pos="780" w:val="left"/>
        </w:tabs>
        <w:numPr>
          <w:ilvl w:val="0"/>
          <w:numId w:val="13"/>
        </w:numPr>
        <w:rPr>
          <w:rFonts w:ascii="Arial" w:cs="Arial" w:eastAsia="Arial" w:hAnsi="Arial"/>
          <w:sz w:val="17"/>
          <w:szCs w:val="17"/>
          <w:color w:val="00467D"/>
        </w:rPr>
      </w:pPr>
      <w:r>
        <w:rPr>
          <w:rFonts w:ascii="Arial" w:cs="Arial" w:eastAsia="Arial" w:hAnsi="Arial"/>
          <w:sz w:val="17"/>
          <w:szCs w:val="17"/>
          <w:color w:val="auto"/>
        </w:rPr>
        <w:t>the requirement that our director nominations be made, or recommended to the full board of directors, by our independent directors or by a nominations committee that is comprised entirely of independent directors with a written charter addressing the committee’s purpose and responsibilities;</w:t>
      </w:r>
    </w:p>
    <w:p>
      <w:pPr>
        <w:spacing w:after="0" w:line="71" w:lineRule="exact"/>
        <w:rPr>
          <w:rFonts w:ascii="Arial" w:cs="Arial" w:eastAsia="Arial" w:hAnsi="Arial"/>
          <w:sz w:val="17"/>
          <w:szCs w:val="17"/>
          <w:color w:val="00467D"/>
        </w:rPr>
      </w:pPr>
    </w:p>
    <w:p>
      <w:pPr>
        <w:ind w:left="780" w:right="320" w:hanging="422"/>
        <w:spacing w:after="0" w:line="274" w:lineRule="auto"/>
        <w:tabs>
          <w:tab w:leader="none" w:pos="780" w:val="left"/>
        </w:tabs>
        <w:numPr>
          <w:ilvl w:val="0"/>
          <w:numId w:val="13"/>
        </w:numPr>
        <w:rPr>
          <w:rFonts w:ascii="Arial" w:cs="Arial" w:eastAsia="Arial" w:hAnsi="Arial"/>
          <w:sz w:val="17"/>
          <w:szCs w:val="17"/>
          <w:color w:val="00467D"/>
        </w:rPr>
      </w:pPr>
      <w:r>
        <w:rPr>
          <w:rFonts w:ascii="Arial" w:cs="Arial" w:eastAsia="Arial" w:hAnsi="Arial"/>
          <w:sz w:val="17"/>
          <w:szCs w:val="17"/>
          <w:color w:val="auto"/>
        </w:rPr>
        <w:t>the requirement that we have a compensation committee that is composed entirely of independent directors with a written charter addressing the committee’s purpose and responsibilities; and</w:t>
      </w:r>
    </w:p>
    <w:p>
      <w:pPr>
        <w:spacing w:after="0" w:line="57" w:lineRule="exact"/>
        <w:rPr>
          <w:rFonts w:ascii="Arial" w:cs="Arial" w:eastAsia="Arial" w:hAnsi="Arial"/>
          <w:sz w:val="17"/>
          <w:szCs w:val="17"/>
          <w:color w:val="00467D"/>
        </w:rPr>
      </w:pPr>
    </w:p>
    <w:p>
      <w:pPr>
        <w:ind w:left="780" w:hanging="422"/>
        <w:spacing w:after="0"/>
        <w:tabs>
          <w:tab w:leader="none" w:pos="780" w:val="left"/>
        </w:tabs>
        <w:numPr>
          <w:ilvl w:val="0"/>
          <w:numId w:val="13"/>
        </w:numPr>
        <w:rPr>
          <w:rFonts w:ascii="Arial" w:cs="Arial" w:eastAsia="Arial" w:hAnsi="Arial"/>
          <w:sz w:val="17"/>
          <w:szCs w:val="17"/>
          <w:color w:val="00467D"/>
        </w:rPr>
      </w:pPr>
      <w:r>
        <w:rPr>
          <w:rFonts w:ascii="Arial" w:cs="Arial" w:eastAsia="Arial" w:hAnsi="Arial"/>
          <w:sz w:val="17"/>
          <w:szCs w:val="17"/>
          <w:color w:val="auto"/>
        </w:rPr>
        <w:t>the requirement for an annual performance evaluation of the nominating and corporate governance and compensation committees.</w:t>
      </w:r>
    </w:p>
    <w:p>
      <w:pPr>
        <w:spacing w:after="0" w:line="205" w:lineRule="exact"/>
        <w:rPr>
          <w:sz w:val="20"/>
          <w:szCs w:val="20"/>
          <w:color w:val="auto"/>
        </w:rPr>
      </w:pPr>
    </w:p>
    <w:p>
      <w:pPr>
        <w:ind w:left="360" w:right="320"/>
        <w:spacing w:after="0" w:line="274" w:lineRule="auto"/>
        <w:rPr>
          <w:sz w:val="20"/>
          <w:szCs w:val="20"/>
          <w:color w:val="auto"/>
        </w:rPr>
      </w:pPr>
      <w:r>
        <w:rPr>
          <w:rFonts w:ascii="Arial" w:cs="Arial" w:eastAsia="Arial" w:hAnsi="Arial"/>
          <w:sz w:val="17"/>
          <w:szCs w:val="17"/>
          <w:color w:val="auto"/>
        </w:rPr>
        <w:t>Although we qualify as a “controlled company,” we do not currently rely on this exemption and intend to continue to comply fully with all corporate governance requirements under the Nasdaq corporate governance standards for non-controlled companies.</w:t>
      </w:r>
    </w:p>
    <w:p>
      <w:pPr>
        <w:spacing w:after="0" w:line="241" w:lineRule="exact"/>
        <w:rPr>
          <w:sz w:val="20"/>
          <w:szCs w:val="20"/>
          <w:color w:val="auto"/>
        </w:rPr>
      </w:pPr>
    </w:p>
    <w:p>
      <w:pPr>
        <w:ind w:left="360"/>
        <w:spacing w:after="0"/>
        <w:rPr>
          <w:sz w:val="20"/>
          <w:szCs w:val="20"/>
          <w:color w:val="auto"/>
        </w:rPr>
      </w:pPr>
      <w:r>
        <w:rPr>
          <w:rFonts w:ascii="Arial" w:cs="Arial" w:eastAsia="Arial" w:hAnsi="Arial"/>
          <w:sz w:val="31"/>
          <w:szCs w:val="31"/>
          <w:color w:val="00B0DB"/>
        </w:rPr>
        <w:t>Board Structure and Leadership</w:t>
      </w:r>
    </w:p>
    <w:p>
      <w:pPr>
        <w:spacing w:after="0" w:line="221" w:lineRule="exact"/>
        <w:rPr>
          <w:sz w:val="20"/>
          <w:szCs w:val="20"/>
          <w:color w:val="auto"/>
        </w:rPr>
      </w:pPr>
    </w:p>
    <w:p>
      <w:pPr>
        <w:ind w:left="360" w:right="40"/>
        <w:spacing w:after="0" w:line="246" w:lineRule="auto"/>
        <w:rPr>
          <w:sz w:val="20"/>
          <w:szCs w:val="20"/>
          <w:color w:val="auto"/>
        </w:rPr>
      </w:pPr>
      <w:r>
        <w:rPr>
          <w:rFonts w:ascii="Arial" w:cs="Arial" w:eastAsia="Arial" w:hAnsi="Arial"/>
          <w:sz w:val="17"/>
          <w:szCs w:val="17"/>
          <w:color w:val="auto"/>
        </w:rPr>
        <w:t>In accordance with our amended and restated certificate of incorporation, and as permitted by the General Corporation Law of the State of Delaware (“DGCL”), our Board is divided into three classes. Our classified Board structure has been in place since our IPO. While the Board believes its current structure continues to be in the best interests of the Company and our shareholders at this time, the Governance Committee annually considers the Board’s classified structure and will make recommendations to the Board with respect thereto as the Governance Committee deems appropriate.</w:t>
      </w:r>
    </w:p>
    <w:p>
      <w:pPr>
        <w:spacing w:after="0" w:line="134" w:lineRule="exact"/>
        <w:rPr>
          <w:sz w:val="20"/>
          <w:szCs w:val="20"/>
          <w:color w:val="auto"/>
        </w:rPr>
      </w:pPr>
    </w:p>
    <w:p>
      <w:pPr>
        <w:ind w:left="360" w:right="40"/>
        <w:spacing w:after="0" w:line="250" w:lineRule="auto"/>
        <w:rPr>
          <w:sz w:val="20"/>
          <w:szCs w:val="20"/>
          <w:color w:val="auto"/>
        </w:rPr>
      </w:pPr>
      <w:r>
        <w:rPr>
          <w:rFonts w:ascii="Arial" w:cs="Arial" w:eastAsia="Arial" w:hAnsi="Arial"/>
          <w:sz w:val="17"/>
          <w:szCs w:val="17"/>
          <w:color w:val="auto"/>
        </w:rPr>
        <w:t>Our Corporate Governance Guidelines provide that the chair of our Board (the “Chair” or “Chairman”) may or may not be an officer or employee of the Company. It is the policy of the Company that the positions of the Chair and the CEO be held by the same person, except in unusual circumstances. The principal duty of the Chair is to lead and oversee the Board. Mr. Petras has served as our CEO since June 2016. He was chairman of the Board of Managers of Topco Parent from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231775</wp:posOffset>
            </wp:positionH>
            <wp:positionV relativeFrom="paragraph">
              <wp:posOffset>92075</wp:posOffset>
            </wp:positionV>
            <wp:extent cx="6687820" cy="1651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687820" cy="16510"/>
                    </a:xfrm>
                    <a:prstGeom prst="rect">
                      <a:avLst/>
                    </a:prstGeom>
                    <a:noFill/>
                  </pic:spPr>
                </pic:pic>
              </a:graphicData>
            </a:graphic>
          </wp:anchor>
        </w:drawing>
      </w:r>
    </w:p>
    <w:p>
      <w:pPr>
        <w:spacing w:after="0" w:line="314"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6443980</wp:posOffset>
            </wp:positionH>
            <wp:positionV relativeFrom="paragraph">
              <wp:posOffset>-113030</wp:posOffset>
            </wp:positionV>
            <wp:extent cx="475615" cy="15557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475615" cy="155575"/>
                    </a:xfrm>
                    <a:prstGeom prst="rect">
                      <a:avLst/>
                    </a:prstGeom>
                    <a:noFill/>
                  </pic:spPr>
                </pic:pic>
              </a:graphicData>
            </a:graphic>
          </wp:anchor>
        </w:drawing>
      </w:r>
    </w:p>
    <w:p>
      <w:pPr>
        <w:sectPr>
          <w:pgSz w:w="11900" w:h="16838" w:orient="portrait"/>
          <w:cols w:equalWidth="0" w:num="1">
            <w:col w:w="10900"/>
          </w:cols>
          <w:pgMar w:left="320" w:top="468" w:right="67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5397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79945" cy="53975"/>
                    </a:xfrm>
                    <a:prstGeom prst="rect">
                      <a:avLst/>
                    </a:prstGeom>
                    <a:noFill/>
                  </pic:spPr>
                </pic:pic>
              </a:graphicData>
            </a:graphic>
          </wp:anchor>
        </w:drawing>
        <w:t>Table of Contents</w:t>
      </w:r>
    </w:p>
    <w:p>
      <w:pPr>
        <w:spacing w:after="0" w:line="296"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auto"/>
        </w:rPr>
        <w:t>Corporate Governance</w:t>
      </w:r>
    </w:p>
    <w:p>
      <w:pPr>
        <w:spacing w:after="0" w:line="21" w:lineRule="exact"/>
        <w:rPr>
          <w:sz w:val="20"/>
          <w:szCs w:val="20"/>
          <w:color w:val="auto"/>
        </w:rPr>
      </w:pPr>
    </w:p>
    <w:p>
      <w:pPr>
        <w:ind w:left="360"/>
        <w:spacing w:after="0"/>
        <w:rPr>
          <w:sz w:val="20"/>
          <w:szCs w:val="20"/>
          <w:color w:val="auto"/>
        </w:rPr>
      </w:pPr>
      <w:r>
        <w:rPr>
          <w:rFonts w:ascii="Arial" w:cs="Arial" w:eastAsia="Arial" w:hAnsi="Arial"/>
          <w:sz w:val="14"/>
          <w:szCs w:val="14"/>
          <w:b w:val="1"/>
          <w:bCs w:val="1"/>
          <w:color w:val="auto"/>
        </w:rPr>
        <w:t>Board Structure and Leadership</w:t>
      </w:r>
    </w:p>
    <w:p>
      <w:pPr>
        <w:spacing w:after="0" w:line="114" w:lineRule="exact"/>
        <w:rPr>
          <w:sz w:val="20"/>
          <w:szCs w:val="20"/>
          <w:color w:val="auto"/>
        </w:rPr>
      </w:pPr>
    </w:p>
    <w:p>
      <w:pPr>
        <w:ind w:left="360" w:right="220"/>
        <w:spacing w:after="0" w:line="256" w:lineRule="auto"/>
        <w:rPr>
          <w:sz w:val="20"/>
          <w:szCs w:val="20"/>
          <w:color w:val="auto"/>
        </w:rPr>
      </w:pPr>
      <w:r>
        <w:rPr>
          <w:rFonts w:ascii="Arial" w:cs="Arial" w:eastAsia="Arial" w:hAnsi="Arial"/>
          <w:sz w:val="17"/>
          <w:szCs w:val="17"/>
          <w:color w:val="auto"/>
        </w:rPr>
        <w:t>January 2019 through November 2020 and has been Chairman since October 2020. The Board believes that combining the Chair and CEO roles is currently the most effective leadership structure because of Mr. Petras’ extensive knowledge of and experience in the Company’s operations, his knowledge of the industries we serve and his collaborative working and leadership style.</w:t>
      </w:r>
    </w:p>
    <w:p>
      <w:pPr>
        <w:spacing w:after="0" w:line="136" w:lineRule="exact"/>
        <w:rPr>
          <w:sz w:val="20"/>
          <w:szCs w:val="20"/>
          <w:color w:val="auto"/>
        </w:rPr>
      </w:pPr>
    </w:p>
    <w:p>
      <w:pPr>
        <w:ind w:left="360"/>
        <w:spacing w:after="0" w:line="245" w:lineRule="auto"/>
        <w:rPr>
          <w:sz w:val="20"/>
          <w:szCs w:val="20"/>
          <w:color w:val="auto"/>
        </w:rPr>
      </w:pPr>
      <w:r>
        <w:rPr>
          <w:rFonts w:ascii="Arial" w:cs="Arial" w:eastAsia="Arial" w:hAnsi="Arial"/>
          <w:sz w:val="17"/>
          <w:szCs w:val="17"/>
          <w:color w:val="auto"/>
        </w:rPr>
        <w:t>If the Chairman is also the CEO, the independent directors may, but are not required to, select a lead director. We do not currently have a lead director. The Board believes that its function to monitor the performance of senior management is fulfilled by the presence of independent directors of stature who have substantive knowledge of the Company’s business. Pursuant to our Corporate Governance Guidelines, our independent directors are required to meet at least two times per year without management present. See “Executive Sessions.” Given our independent directors’ open and active communications, at this time the Board believes its current leadership structure is appropriate.</w:t>
      </w:r>
    </w:p>
    <w:p>
      <w:pPr>
        <w:spacing w:after="0" w:line="132" w:lineRule="exact"/>
        <w:rPr>
          <w:sz w:val="20"/>
          <w:szCs w:val="20"/>
          <w:color w:val="auto"/>
        </w:rPr>
      </w:pPr>
    </w:p>
    <w:p>
      <w:pPr>
        <w:jc w:val="both"/>
        <w:ind w:left="360" w:right="120"/>
        <w:spacing w:after="0" w:line="256" w:lineRule="auto"/>
        <w:rPr>
          <w:sz w:val="20"/>
          <w:szCs w:val="20"/>
          <w:color w:val="auto"/>
        </w:rPr>
      </w:pPr>
      <w:r>
        <w:rPr>
          <w:rFonts w:ascii="Arial" w:cs="Arial" w:eastAsia="Arial" w:hAnsi="Arial"/>
          <w:sz w:val="17"/>
          <w:szCs w:val="17"/>
          <w:color w:val="auto"/>
        </w:rPr>
        <w:t>Our Governance Committee annually considers the Board’s leadership structure, including the combined Chair and CEO roles, and the appointment of a lead director, and will make recommendations to the Board with respect thereto as the Governance Committee deems appropriate.</w:t>
      </w:r>
    </w:p>
    <w:p>
      <w:pPr>
        <w:spacing w:after="0" w:line="255" w:lineRule="exact"/>
        <w:rPr>
          <w:sz w:val="20"/>
          <w:szCs w:val="20"/>
          <w:color w:val="auto"/>
        </w:rPr>
      </w:pPr>
    </w:p>
    <w:p>
      <w:pPr>
        <w:ind w:left="360"/>
        <w:spacing w:after="0"/>
        <w:rPr>
          <w:sz w:val="20"/>
          <w:szCs w:val="20"/>
          <w:color w:val="auto"/>
        </w:rPr>
      </w:pPr>
      <w:r>
        <w:rPr>
          <w:rFonts w:ascii="Arial" w:cs="Arial" w:eastAsia="Arial" w:hAnsi="Arial"/>
          <w:sz w:val="31"/>
          <w:szCs w:val="31"/>
          <w:color w:val="00B0DB"/>
        </w:rPr>
        <w:t>Board Role in Risk Oversight</w:t>
      </w:r>
    </w:p>
    <w:p>
      <w:pPr>
        <w:spacing w:after="0" w:line="182" w:lineRule="exact"/>
        <w:rPr>
          <w:sz w:val="20"/>
          <w:szCs w:val="20"/>
          <w:color w:val="auto"/>
        </w:rPr>
      </w:pPr>
    </w:p>
    <w:p>
      <w:pPr>
        <w:ind w:left="360" w:right="760"/>
        <w:spacing w:after="0" w:line="256" w:lineRule="auto"/>
        <w:rPr>
          <w:sz w:val="20"/>
          <w:szCs w:val="20"/>
          <w:color w:val="auto"/>
        </w:rPr>
      </w:pPr>
      <w:r>
        <w:rPr>
          <w:rFonts w:ascii="Arial" w:cs="Arial" w:eastAsia="Arial" w:hAnsi="Arial"/>
          <w:sz w:val="17"/>
          <w:szCs w:val="17"/>
          <w:color w:val="auto"/>
        </w:rPr>
        <w:t>Our Board is responsible for overseeing senior management’s risk management responsibilities, including assessing senior management’s processes for identifying and managing risks. This is carried out at the level of the full Board and through its five 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231775</wp:posOffset>
            </wp:positionH>
            <wp:positionV relativeFrom="paragraph">
              <wp:posOffset>88900</wp:posOffset>
            </wp:positionV>
            <wp:extent cx="6687820" cy="1651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687820" cy="16510"/>
                    </a:xfrm>
                    <a:prstGeom prst="rect">
                      <a:avLst/>
                    </a:prstGeom>
                    <a:noFill/>
                  </pic:spPr>
                </pic:pic>
              </a:graphicData>
            </a:graphic>
          </wp:anchor>
        </w:drawing>
      </w:r>
    </w:p>
    <w:p>
      <w:pPr>
        <w:spacing w:after="0" w:line="310" w:lineRule="exact"/>
        <w:rPr>
          <w:sz w:val="20"/>
          <w:szCs w:val="20"/>
          <w:color w:val="auto"/>
        </w:rPr>
      </w:pPr>
    </w:p>
    <w:tbl>
      <w:tblPr>
        <w:tblLayout w:type="fixed"/>
        <w:tblInd w:w="360" w:type="dxa"/>
        <w:tblCellMar>
          <w:top w:w="0" w:type="dxa"/>
          <w:left w:w="0" w:type="dxa"/>
          <w:bottom w:w="0" w:type="dxa"/>
          <w:right w:w="0" w:type="dxa"/>
        </w:tblCellMar>
      </w:tblPr>
      <w:tr>
        <w:trPr>
          <w:trHeight w:val="226"/>
        </w:trPr>
        <w:tc>
          <w:tcPr>
            <w:tcW w:w="3900" w:type="dxa"/>
            <w:vAlign w:val="bottom"/>
          </w:tcPr>
          <w:p>
            <w:pPr>
              <w:spacing w:after="0"/>
              <w:rPr>
                <w:sz w:val="20"/>
                <w:szCs w:val="20"/>
                <w:color w:val="auto"/>
              </w:rPr>
            </w:pPr>
            <w:r>
              <w:rPr>
                <w:rFonts w:ascii="Arial" w:cs="Arial" w:eastAsia="Arial" w:hAnsi="Arial"/>
                <w:sz w:val="17"/>
                <w:szCs w:val="17"/>
                <w:color w:val="auto"/>
              </w:rPr>
              <w:t>2023 Notice and Proxy Statement</w:t>
            </w:r>
          </w:p>
        </w:tc>
        <w:tc>
          <w:tcPr>
            <w:tcW w:w="1520" w:type="dxa"/>
            <w:vAlign w:val="bottom"/>
          </w:tcPr>
          <w:p>
            <w:pPr>
              <w:jc w:val="right"/>
              <w:spacing w:after="0"/>
              <w:rPr>
                <w:sz w:val="20"/>
                <w:szCs w:val="20"/>
                <w:color w:val="auto"/>
              </w:rPr>
            </w:pPr>
            <w:r>
              <w:rPr>
                <w:rFonts w:ascii="Arial" w:cs="Arial" w:eastAsia="Arial" w:hAnsi="Arial"/>
                <w:sz w:val="17"/>
                <w:szCs w:val="17"/>
                <w:color w:val="auto"/>
              </w:rPr>
              <w:t>18</w:t>
            </w:r>
          </w:p>
        </w:tc>
      </w:tr>
    </w:tbl>
    <w:p>
      <w:pPr>
        <w:sectPr>
          <w:pgSz w:w="11900" w:h="16838" w:orient="portrait"/>
          <w:cols w:equalWidth="0" w:num="1">
            <w:col w:w="10780"/>
          </w:cols>
          <w:pgMar w:left="320" w:top="468" w:right="79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5397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79945" cy="53975"/>
                    </a:xfrm>
                    <a:prstGeom prst="rect">
                      <a:avLst/>
                    </a:prstGeom>
                    <a:noFill/>
                  </pic:spPr>
                </pic:pic>
              </a:graphicData>
            </a:graphic>
          </wp:anchor>
        </w:drawing>
        <w:t>Table of Contents</w:t>
      </w:r>
    </w:p>
    <w:p>
      <w:pPr>
        <w:spacing w:after="0" w:line="296"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Corporate Governance</w:t>
      </w:r>
    </w:p>
    <w:p>
      <w:pPr>
        <w:spacing w:after="0" w:line="21" w:lineRule="exact"/>
        <w:rPr>
          <w:sz w:val="20"/>
          <w:szCs w:val="20"/>
          <w:color w:val="auto"/>
        </w:rPr>
      </w:pPr>
    </w:p>
    <w:p>
      <w:pPr>
        <w:ind w:left="8980"/>
        <w:spacing w:after="0"/>
        <w:rPr>
          <w:sz w:val="20"/>
          <w:szCs w:val="20"/>
          <w:color w:val="auto"/>
        </w:rPr>
      </w:pPr>
      <w:r>
        <w:rPr>
          <w:rFonts w:ascii="Arial" w:cs="Arial" w:eastAsia="Arial" w:hAnsi="Arial"/>
          <w:sz w:val="13"/>
          <w:szCs w:val="13"/>
          <w:b w:val="1"/>
          <w:bCs w:val="1"/>
          <w:color w:val="auto"/>
        </w:rPr>
        <w:t>Board Role in Risk Oversight</w:t>
      </w:r>
    </w:p>
    <w:p>
      <w:pPr>
        <w:spacing w:after="0" w:line="126" w:lineRule="exact"/>
        <w:rPr>
          <w:sz w:val="20"/>
          <w:szCs w:val="20"/>
          <w:color w:val="auto"/>
        </w:rPr>
      </w:pPr>
    </w:p>
    <w:p>
      <w:pPr>
        <w:ind w:left="360" w:right="80"/>
        <w:spacing w:after="0" w:line="246" w:lineRule="auto"/>
        <w:rPr>
          <w:sz w:val="20"/>
          <w:szCs w:val="20"/>
          <w:color w:val="auto"/>
        </w:rPr>
      </w:pPr>
      <w:r>
        <w:rPr>
          <w:rFonts w:ascii="Arial" w:cs="Arial" w:eastAsia="Arial" w:hAnsi="Arial"/>
          <w:sz w:val="17"/>
          <w:szCs w:val="17"/>
          <w:color w:val="auto"/>
        </w:rPr>
        <w:t>An important element of the Board’s oversight involves regular interaction with senior management. The Board receives regular reports throughout the year from senior management, including from senior management in each of our three business units, to ensure the Board is well informed of risk exposures related to our strategy and operations, including regarding environmental, health and safety, sustainability, quality, legal, financial and reporting, and human capital management risks. In addition, the Board has tasked each of its committees with the following risk-related responsibilities, described in more detail in the section, “Committees of the Board of Directors”:</w:t>
      </w:r>
    </w:p>
    <w:p>
      <w:pPr>
        <w:spacing w:after="0" w:line="267" w:lineRule="exact"/>
        <w:rPr>
          <w:sz w:val="20"/>
          <w:szCs w:val="20"/>
          <w:color w:val="auto"/>
        </w:rPr>
      </w:pPr>
    </w:p>
    <w:p>
      <w:pPr>
        <w:ind w:left="360"/>
        <w:spacing w:after="0"/>
        <w:rPr>
          <w:sz w:val="20"/>
          <w:szCs w:val="20"/>
          <w:color w:val="auto"/>
        </w:rPr>
      </w:pPr>
      <w:r>
        <w:rPr>
          <w:rFonts w:ascii="Arial" w:cs="Arial" w:eastAsia="Arial" w:hAnsi="Arial"/>
          <w:sz w:val="21"/>
          <w:szCs w:val="21"/>
          <w:b w:val="1"/>
          <w:bCs w:val="1"/>
          <w:color w:val="00467D"/>
        </w:rPr>
        <w:t>Primary Areas of Risk Oversight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231775</wp:posOffset>
            </wp:positionH>
            <wp:positionV relativeFrom="paragraph">
              <wp:posOffset>142240</wp:posOffset>
            </wp:positionV>
            <wp:extent cx="668782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687820" cy="8255"/>
                    </a:xfrm>
                    <a:prstGeom prst="rect">
                      <a:avLst/>
                    </a:prstGeom>
                    <a:noFill/>
                  </pic:spPr>
                </pic:pic>
              </a:graphicData>
            </a:graphic>
          </wp:anchor>
        </w:drawing>
      </w:r>
    </w:p>
    <w:p>
      <w:pPr>
        <w:spacing w:after="0" w:line="314" w:lineRule="exact"/>
        <w:rPr>
          <w:sz w:val="20"/>
          <w:szCs w:val="20"/>
          <w:color w:val="auto"/>
        </w:rPr>
      </w:pPr>
    </w:p>
    <w:tbl>
      <w:tblPr>
        <w:tblLayout w:type="fixed"/>
        <w:tblInd w:w="360" w:type="dxa"/>
        <w:tblCellMar>
          <w:top w:w="0" w:type="dxa"/>
          <w:left w:w="0" w:type="dxa"/>
          <w:bottom w:w="0" w:type="dxa"/>
          <w:right w:w="0" w:type="dxa"/>
        </w:tblCellMar>
      </w:tblPr>
      <w:tr>
        <w:trPr>
          <w:trHeight w:val="195"/>
        </w:trPr>
        <w:tc>
          <w:tcPr>
            <w:tcW w:w="2760" w:type="dxa"/>
            <w:vAlign w:val="bottom"/>
          </w:tcPr>
          <w:p>
            <w:pPr>
              <w:spacing w:after="0"/>
              <w:rPr>
                <w:sz w:val="16"/>
                <w:szCs w:val="16"/>
                <w:color w:val="auto"/>
              </w:rPr>
            </w:pPr>
          </w:p>
        </w:tc>
        <w:tc>
          <w:tcPr>
            <w:tcW w:w="7780" w:type="dxa"/>
            <w:vAlign w:val="bottom"/>
          </w:tcPr>
          <w:p>
            <w:pPr>
              <w:ind w:left="280"/>
              <w:spacing w:after="0"/>
              <w:rPr>
                <w:sz w:val="20"/>
                <w:szCs w:val="20"/>
                <w:color w:val="auto"/>
              </w:rPr>
            </w:pPr>
            <w:r>
              <w:rPr>
                <w:rFonts w:ascii="Arial" w:cs="Arial" w:eastAsia="Arial" w:hAnsi="Arial"/>
                <w:sz w:val="17"/>
                <w:szCs w:val="17"/>
                <w:color w:val="00467D"/>
              </w:rPr>
              <w:t>•</w:t>
            </w:r>
            <w:r>
              <w:rPr>
                <w:rFonts w:ascii="Arial" w:cs="Arial" w:eastAsia="Arial" w:hAnsi="Arial"/>
                <w:sz w:val="17"/>
                <w:szCs w:val="17"/>
                <w:color w:val="000000"/>
              </w:rPr>
              <w:t xml:space="preserve">    Receives regular briefings from the internal audit function regarding our systems of internal</w:t>
            </w:r>
          </w:p>
        </w:tc>
        <w:tc>
          <w:tcPr>
            <w:tcW w:w="0" w:type="dxa"/>
            <w:vAlign w:val="bottom"/>
          </w:tcPr>
          <w:p>
            <w:pPr>
              <w:spacing w:after="0"/>
              <w:rPr>
                <w:sz w:val="1"/>
                <w:szCs w:val="1"/>
                <w:color w:val="auto"/>
              </w:rPr>
            </w:pPr>
          </w:p>
        </w:tc>
      </w:tr>
      <w:tr>
        <w:trPr>
          <w:trHeight w:val="226"/>
        </w:trPr>
        <w:tc>
          <w:tcPr>
            <w:tcW w:w="2760" w:type="dxa"/>
            <w:vAlign w:val="bottom"/>
          </w:tcPr>
          <w:p>
            <w:pPr>
              <w:spacing w:after="0"/>
              <w:rPr>
                <w:sz w:val="19"/>
                <w:szCs w:val="19"/>
                <w:color w:val="auto"/>
              </w:rPr>
            </w:pPr>
          </w:p>
        </w:tc>
        <w:tc>
          <w:tcPr>
            <w:tcW w:w="7780" w:type="dxa"/>
            <w:vAlign w:val="bottom"/>
          </w:tcPr>
          <w:p>
            <w:pPr>
              <w:ind w:left="540"/>
              <w:spacing w:after="0"/>
              <w:rPr>
                <w:sz w:val="20"/>
                <w:szCs w:val="20"/>
                <w:color w:val="auto"/>
              </w:rPr>
            </w:pPr>
            <w:r>
              <w:rPr>
                <w:rFonts w:ascii="Arial" w:cs="Arial" w:eastAsia="Arial" w:hAnsi="Arial"/>
                <w:sz w:val="17"/>
                <w:szCs w:val="17"/>
                <w:color w:val="auto"/>
              </w:rPr>
              <w:t>control and reviews and discusses the capacity and performance of the internal audit function.</w:t>
            </w:r>
          </w:p>
        </w:tc>
        <w:tc>
          <w:tcPr>
            <w:tcW w:w="0" w:type="dxa"/>
            <w:vAlign w:val="bottom"/>
          </w:tcPr>
          <w:p>
            <w:pPr>
              <w:spacing w:after="0"/>
              <w:rPr>
                <w:sz w:val="1"/>
                <w:szCs w:val="1"/>
                <w:color w:val="auto"/>
              </w:rPr>
            </w:pPr>
          </w:p>
        </w:tc>
      </w:tr>
      <w:tr>
        <w:trPr>
          <w:trHeight w:val="278"/>
        </w:trPr>
        <w:tc>
          <w:tcPr>
            <w:tcW w:w="2760" w:type="dxa"/>
            <w:vAlign w:val="bottom"/>
          </w:tcPr>
          <w:p>
            <w:pPr>
              <w:spacing w:after="0"/>
              <w:rPr>
                <w:sz w:val="24"/>
                <w:szCs w:val="24"/>
                <w:color w:val="auto"/>
              </w:rPr>
            </w:pPr>
          </w:p>
        </w:tc>
        <w:tc>
          <w:tcPr>
            <w:tcW w:w="7780" w:type="dxa"/>
            <w:vAlign w:val="bottom"/>
          </w:tcPr>
          <w:p>
            <w:pPr>
              <w:ind w:left="280"/>
              <w:spacing w:after="0"/>
              <w:rPr>
                <w:sz w:val="20"/>
                <w:szCs w:val="20"/>
                <w:color w:val="auto"/>
              </w:rPr>
            </w:pPr>
            <w:r>
              <w:rPr>
                <w:rFonts w:ascii="Arial" w:cs="Arial" w:eastAsia="Arial" w:hAnsi="Arial"/>
                <w:sz w:val="17"/>
                <w:szCs w:val="17"/>
                <w:color w:val="00467D"/>
              </w:rPr>
              <w:t>•</w:t>
            </w:r>
            <w:r>
              <w:rPr>
                <w:rFonts w:ascii="Arial" w:cs="Arial" w:eastAsia="Arial" w:hAnsi="Arial"/>
                <w:sz w:val="17"/>
                <w:szCs w:val="17"/>
                <w:color w:val="000000"/>
              </w:rPr>
              <w:t xml:space="preserve">    Regularly reviews with management our major financial risk and enterprise exposures,</w:t>
            </w:r>
          </w:p>
        </w:tc>
        <w:tc>
          <w:tcPr>
            <w:tcW w:w="0" w:type="dxa"/>
            <w:vAlign w:val="bottom"/>
          </w:tcPr>
          <w:p>
            <w:pPr>
              <w:spacing w:after="0"/>
              <w:rPr>
                <w:sz w:val="1"/>
                <w:szCs w:val="1"/>
                <w:color w:val="auto"/>
              </w:rPr>
            </w:pPr>
          </w:p>
        </w:tc>
      </w:tr>
      <w:tr>
        <w:trPr>
          <w:trHeight w:val="274"/>
        </w:trPr>
        <w:tc>
          <w:tcPr>
            <w:tcW w:w="2760" w:type="dxa"/>
            <w:vAlign w:val="bottom"/>
          </w:tcPr>
          <w:p>
            <w:pPr>
              <w:ind w:left="60"/>
              <w:spacing w:after="0"/>
              <w:rPr>
                <w:sz w:val="20"/>
                <w:szCs w:val="20"/>
                <w:color w:val="auto"/>
              </w:rPr>
            </w:pPr>
            <w:r>
              <w:rPr>
                <w:rFonts w:ascii="Arial" w:cs="Arial" w:eastAsia="Arial" w:hAnsi="Arial"/>
                <w:sz w:val="17"/>
                <w:szCs w:val="17"/>
                <w:b w:val="1"/>
                <w:bCs w:val="1"/>
                <w:color w:val="00467D"/>
              </w:rPr>
              <w:t>Audit Committee</w:t>
            </w:r>
          </w:p>
        </w:tc>
        <w:tc>
          <w:tcPr>
            <w:tcW w:w="7780" w:type="dxa"/>
            <w:vAlign w:val="bottom"/>
          </w:tcPr>
          <w:p>
            <w:pPr>
              <w:ind w:left="540"/>
              <w:spacing w:after="0"/>
              <w:rPr>
                <w:sz w:val="20"/>
                <w:szCs w:val="20"/>
                <w:color w:val="auto"/>
              </w:rPr>
            </w:pPr>
            <w:r>
              <w:rPr>
                <w:rFonts w:ascii="Arial" w:cs="Arial" w:eastAsia="Arial" w:hAnsi="Arial"/>
                <w:sz w:val="17"/>
                <w:szCs w:val="17"/>
                <w:color w:val="auto"/>
              </w:rPr>
              <w:t>including cybersecurity risk.</w:t>
            </w:r>
          </w:p>
        </w:tc>
        <w:tc>
          <w:tcPr>
            <w:tcW w:w="0" w:type="dxa"/>
            <w:vAlign w:val="bottom"/>
          </w:tcPr>
          <w:p>
            <w:pPr>
              <w:spacing w:after="0"/>
              <w:rPr>
                <w:sz w:val="1"/>
                <w:szCs w:val="1"/>
                <w:color w:val="auto"/>
              </w:rPr>
            </w:pPr>
          </w:p>
        </w:tc>
      </w:tr>
      <w:tr>
        <w:trPr>
          <w:trHeight w:val="261"/>
        </w:trPr>
        <w:tc>
          <w:tcPr>
            <w:tcW w:w="2760" w:type="dxa"/>
            <w:vAlign w:val="bottom"/>
          </w:tcPr>
          <w:p>
            <w:pPr>
              <w:spacing w:after="0"/>
              <w:rPr>
                <w:sz w:val="22"/>
                <w:szCs w:val="22"/>
                <w:color w:val="auto"/>
              </w:rPr>
            </w:pPr>
          </w:p>
        </w:tc>
        <w:tc>
          <w:tcPr>
            <w:tcW w:w="7780" w:type="dxa"/>
            <w:vAlign w:val="bottom"/>
          </w:tcPr>
          <w:p>
            <w:pPr>
              <w:ind w:left="280"/>
              <w:spacing w:after="0"/>
              <w:rPr>
                <w:sz w:val="20"/>
                <w:szCs w:val="20"/>
                <w:color w:val="auto"/>
              </w:rPr>
            </w:pPr>
            <w:r>
              <w:rPr>
                <w:rFonts w:ascii="Arial" w:cs="Arial" w:eastAsia="Arial" w:hAnsi="Arial"/>
                <w:sz w:val="17"/>
                <w:szCs w:val="17"/>
                <w:color w:val="00467D"/>
              </w:rPr>
              <w:t>•</w:t>
            </w:r>
            <w:r>
              <w:rPr>
                <w:rFonts w:ascii="Arial" w:cs="Arial" w:eastAsia="Arial" w:hAnsi="Arial"/>
                <w:sz w:val="17"/>
                <w:szCs w:val="17"/>
                <w:color w:val="000000"/>
              </w:rPr>
              <w:t xml:space="preserve">    Regularly reviews significant regulatory and litigation matters.</w:t>
            </w:r>
          </w:p>
        </w:tc>
        <w:tc>
          <w:tcPr>
            <w:tcW w:w="0" w:type="dxa"/>
            <w:vAlign w:val="bottom"/>
          </w:tcPr>
          <w:p>
            <w:pPr>
              <w:spacing w:after="0"/>
              <w:rPr>
                <w:sz w:val="1"/>
                <w:szCs w:val="1"/>
                <w:color w:val="auto"/>
              </w:rPr>
            </w:pPr>
          </w:p>
        </w:tc>
      </w:tr>
      <w:tr>
        <w:trPr>
          <w:trHeight w:val="310"/>
        </w:trPr>
        <w:tc>
          <w:tcPr>
            <w:tcW w:w="2760" w:type="dxa"/>
            <w:vAlign w:val="bottom"/>
          </w:tcPr>
          <w:p>
            <w:pPr>
              <w:spacing w:after="0"/>
              <w:rPr>
                <w:sz w:val="24"/>
                <w:szCs w:val="24"/>
                <w:color w:val="auto"/>
              </w:rPr>
            </w:pPr>
          </w:p>
        </w:tc>
        <w:tc>
          <w:tcPr>
            <w:tcW w:w="7780" w:type="dxa"/>
            <w:vAlign w:val="bottom"/>
          </w:tcPr>
          <w:p>
            <w:pPr>
              <w:ind w:left="280"/>
              <w:spacing w:after="0"/>
              <w:rPr>
                <w:sz w:val="20"/>
                <w:szCs w:val="20"/>
                <w:color w:val="auto"/>
              </w:rPr>
            </w:pPr>
            <w:r>
              <w:rPr>
                <w:rFonts w:ascii="Arial" w:cs="Arial" w:eastAsia="Arial" w:hAnsi="Arial"/>
                <w:sz w:val="17"/>
                <w:szCs w:val="17"/>
                <w:color w:val="00467D"/>
              </w:rPr>
              <w:t>•</w:t>
            </w:r>
            <w:r>
              <w:rPr>
                <w:rFonts w:ascii="Arial" w:cs="Arial" w:eastAsia="Arial" w:hAnsi="Arial"/>
                <w:sz w:val="17"/>
                <w:szCs w:val="17"/>
                <w:color w:val="000000"/>
              </w:rPr>
              <w:t xml:space="preserve">    Reviews any significant reports received through our Global Ethics Line.</w:t>
            </w:r>
          </w:p>
        </w:tc>
        <w:tc>
          <w:tcPr>
            <w:tcW w:w="0" w:type="dxa"/>
            <w:vAlign w:val="bottom"/>
          </w:tcPr>
          <w:p>
            <w:pPr>
              <w:spacing w:after="0"/>
              <w:rPr>
                <w:sz w:val="1"/>
                <w:szCs w:val="1"/>
                <w:color w:val="auto"/>
              </w:rPr>
            </w:pPr>
          </w:p>
        </w:tc>
      </w:tr>
      <w:tr>
        <w:trPr>
          <w:trHeight w:val="153"/>
        </w:trPr>
        <w:tc>
          <w:tcPr>
            <w:tcW w:w="2760" w:type="dxa"/>
            <w:vAlign w:val="bottom"/>
            <w:tcBorders>
              <w:bottom w:val="single" w:sz="8" w:color="99B5CB"/>
            </w:tcBorders>
          </w:tcPr>
          <w:p>
            <w:pPr>
              <w:spacing w:after="0"/>
              <w:rPr>
                <w:sz w:val="13"/>
                <w:szCs w:val="13"/>
                <w:color w:val="auto"/>
              </w:rPr>
            </w:pPr>
          </w:p>
        </w:tc>
        <w:tc>
          <w:tcPr>
            <w:tcW w:w="7780" w:type="dxa"/>
            <w:vAlign w:val="bottom"/>
            <w:tcBorders>
              <w:bottom w:val="single" w:sz="8" w:color="99B5CB"/>
            </w:tcBorders>
          </w:tcPr>
          <w:p>
            <w:pPr>
              <w:spacing w:after="0"/>
              <w:rPr>
                <w:sz w:val="13"/>
                <w:szCs w:val="13"/>
                <w:color w:val="auto"/>
              </w:rPr>
            </w:pPr>
          </w:p>
        </w:tc>
        <w:tc>
          <w:tcPr>
            <w:tcW w:w="0" w:type="dxa"/>
            <w:vAlign w:val="bottom"/>
          </w:tcPr>
          <w:p>
            <w:pPr>
              <w:spacing w:after="0"/>
              <w:rPr>
                <w:sz w:val="1"/>
                <w:szCs w:val="1"/>
                <w:color w:val="auto"/>
              </w:rPr>
            </w:pPr>
          </w:p>
        </w:tc>
      </w:tr>
      <w:tr>
        <w:trPr>
          <w:trHeight w:val="286"/>
        </w:trPr>
        <w:tc>
          <w:tcPr>
            <w:tcW w:w="2760" w:type="dxa"/>
            <w:vAlign w:val="bottom"/>
            <w:vMerge w:val="restart"/>
          </w:tcPr>
          <w:p>
            <w:pPr>
              <w:ind w:left="60"/>
              <w:spacing w:after="0"/>
              <w:rPr>
                <w:sz w:val="20"/>
                <w:szCs w:val="20"/>
                <w:color w:val="auto"/>
              </w:rPr>
            </w:pPr>
            <w:r>
              <w:rPr>
                <w:rFonts w:ascii="Arial" w:cs="Arial" w:eastAsia="Arial" w:hAnsi="Arial"/>
                <w:sz w:val="17"/>
                <w:szCs w:val="17"/>
                <w:b w:val="1"/>
                <w:bCs w:val="1"/>
                <w:color w:val="00467D"/>
              </w:rPr>
              <w:t>Leadership Development and</w:t>
            </w:r>
          </w:p>
        </w:tc>
        <w:tc>
          <w:tcPr>
            <w:tcW w:w="7780" w:type="dxa"/>
            <w:vAlign w:val="bottom"/>
          </w:tcPr>
          <w:p>
            <w:pPr>
              <w:ind w:left="280"/>
              <w:spacing w:after="0"/>
              <w:rPr>
                <w:sz w:val="20"/>
                <w:szCs w:val="20"/>
                <w:color w:val="auto"/>
              </w:rPr>
            </w:pPr>
            <w:r>
              <w:rPr>
                <w:rFonts w:ascii="Arial" w:cs="Arial" w:eastAsia="Arial" w:hAnsi="Arial"/>
                <w:sz w:val="17"/>
                <w:szCs w:val="17"/>
                <w:color w:val="00467D"/>
              </w:rPr>
              <w:t>•</w:t>
            </w:r>
            <w:r>
              <w:rPr>
                <w:rFonts w:ascii="Arial" w:cs="Arial" w:eastAsia="Arial" w:hAnsi="Arial"/>
                <w:sz w:val="17"/>
                <w:szCs w:val="17"/>
                <w:color w:val="000000"/>
              </w:rPr>
              <w:t xml:space="preserve">    Oversees the compensation program for our senior executive team and evaluates any major</w:t>
            </w:r>
          </w:p>
        </w:tc>
        <w:tc>
          <w:tcPr>
            <w:tcW w:w="0" w:type="dxa"/>
            <w:vAlign w:val="bottom"/>
          </w:tcPr>
          <w:p>
            <w:pPr>
              <w:spacing w:after="0"/>
              <w:rPr>
                <w:sz w:val="1"/>
                <w:szCs w:val="1"/>
                <w:color w:val="auto"/>
              </w:rPr>
            </w:pPr>
          </w:p>
        </w:tc>
      </w:tr>
      <w:tr>
        <w:trPr>
          <w:trHeight w:val="179"/>
        </w:trPr>
        <w:tc>
          <w:tcPr>
            <w:tcW w:w="2760" w:type="dxa"/>
            <w:vAlign w:val="bottom"/>
            <w:vMerge w:val="continue"/>
          </w:tcPr>
          <w:p>
            <w:pPr>
              <w:spacing w:after="0"/>
              <w:rPr>
                <w:sz w:val="15"/>
                <w:szCs w:val="15"/>
                <w:color w:val="auto"/>
              </w:rPr>
            </w:pPr>
          </w:p>
        </w:tc>
        <w:tc>
          <w:tcPr>
            <w:tcW w:w="7780" w:type="dxa"/>
            <w:vAlign w:val="bottom"/>
          </w:tcPr>
          <w:p>
            <w:pPr>
              <w:ind w:left="540"/>
              <w:spacing w:after="0" w:line="179" w:lineRule="exact"/>
              <w:rPr>
                <w:sz w:val="20"/>
                <w:szCs w:val="20"/>
                <w:color w:val="auto"/>
              </w:rPr>
            </w:pPr>
            <w:r>
              <w:rPr>
                <w:rFonts w:ascii="Arial" w:cs="Arial" w:eastAsia="Arial" w:hAnsi="Arial"/>
                <w:sz w:val="17"/>
                <w:szCs w:val="17"/>
                <w:color w:val="auto"/>
              </w:rPr>
              <w:t>compensation-related risk exposure.</w:t>
            </w:r>
          </w:p>
        </w:tc>
        <w:tc>
          <w:tcPr>
            <w:tcW w:w="0" w:type="dxa"/>
            <w:vAlign w:val="bottom"/>
          </w:tcPr>
          <w:p>
            <w:pPr>
              <w:spacing w:after="0"/>
              <w:rPr>
                <w:sz w:val="1"/>
                <w:szCs w:val="1"/>
                <w:color w:val="auto"/>
              </w:rPr>
            </w:pPr>
          </w:p>
        </w:tc>
      </w:tr>
      <w:tr>
        <w:trPr>
          <w:trHeight w:val="238"/>
        </w:trPr>
        <w:tc>
          <w:tcPr>
            <w:tcW w:w="2760" w:type="dxa"/>
            <w:vAlign w:val="bottom"/>
          </w:tcPr>
          <w:p>
            <w:pPr>
              <w:ind w:left="60"/>
              <w:spacing w:after="0"/>
              <w:rPr>
                <w:sz w:val="20"/>
                <w:szCs w:val="20"/>
                <w:color w:val="auto"/>
              </w:rPr>
            </w:pPr>
            <w:r>
              <w:rPr>
                <w:rFonts w:ascii="Arial" w:cs="Arial" w:eastAsia="Arial" w:hAnsi="Arial"/>
                <w:sz w:val="17"/>
                <w:szCs w:val="17"/>
                <w:b w:val="1"/>
                <w:bCs w:val="1"/>
                <w:color w:val="00467D"/>
              </w:rPr>
              <w:t>Compensation Committee</w:t>
            </w:r>
          </w:p>
        </w:tc>
        <w:tc>
          <w:tcPr>
            <w:tcW w:w="7780" w:type="dxa"/>
            <w:vAlign w:val="bottom"/>
            <w:vMerge w:val="restart"/>
          </w:tcPr>
          <w:p>
            <w:pPr>
              <w:ind w:left="280"/>
              <w:spacing w:after="0"/>
              <w:rPr>
                <w:sz w:val="20"/>
                <w:szCs w:val="20"/>
                <w:color w:val="auto"/>
              </w:rPr>
            </w:pPr>
            <w:r>
              <w:rPr>
                <w:rFonts w:ascii="Arial" w:cs="Arial" w:eastAsia="Arial" w:hAnsi="Arial"/>
                <w:sz w:val="17"/>
                <w:szCs w:val="17"/>
                <w:color w:val="00467D"/>
              </w:rPr>
              <w:t>•</w:t>
            </w:r>
            <w:r>
              <w:rPr>
                <w:rFonts w:ascii="Arial" w:cs="Arial" w:eastAsia="Arial" w:hAnsi="Arial"/>
                <w:sz w:val="17"/>
                <w:szCs w:val="17"/>
                <w:color w:val="000000"/>
              </w:rPr>
              <w:t xml:space="preserve">    Reviews senior executive succession plans.</w:t>
            </w:r>
          </w:p>
        </w:tc>
        <w:tc>
          <w:tcPr>
            <w:tcW w:w="0" w:type="dxa"/>
            <w:vAlign w:val="bottom"/>
          </w:tcPr>
          <w:p>
            <w:pPr>
              <w:spacing w:after="0"/>
              <w:rPr>
                <w:sz w:val="1"/>
                <w:szCs w:val="1"/>
                <w:color w:val="auto"/>
              </w:rPr>
            </w:pPr>
          </w:p>
        </w:tc>
      </w:tr>
      <w:tr>
        <w:trPr>
          <w:trHeight w:val="119"/>
        </w:trPr>
        <w:tc>
          <w:tcPr>
            <w:tcW w:w="2760" w:type="dxa"/>
            <w:vAlign w:val="bottom"/>
          </w:tcPr>
          <w:p>
            <w:pPr>
              <w:spacing w:after="0"/>
              <w:rPr>
                <w:sz w:val="10"/>
                <w:szCs w:val="10"/>
                <w:color w:val="auto"/>
              </w:rPr>
            </w:pPr>
          </w:p>
        </w:tc>
        <w:tc>
          <w:tcPr>
            <w:tcW w:w="7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231775</wp:posOffset>
            </wp:positionH>
            <wp:positionV relativeFrom="paragraph">
              <wp:posOffset>97155</wp:posOffset>
            </wp:positionV>
            <wp:extent cx="668782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687820" cy="8255"/>
                    </a:xfrm>
                    <a:prstGeom prst="rect">
                      <a:avLst/>
                    </a:prstGeom>
                    <a:noFill/>
                  </pic:spPr>
                </pic:pic>
              </a:graphicData>
            </a:graphic>
          </wp:anchor>
        </w:drawing>
      </w:r>
    </w:p>
    <w:p>
      <w:pPr>
        <w:sectPr>
          <w:pgSz w:w="11900" w:h="16838" w:orient="portrait"/>
          <w:cols w:equalWidth="0" w:num="1">
            <w:col w:w="10900"/>
          </w:cols>
          <w:pgMar w:left="320" w:top="468" w:right="679" w:bottom="1440" w:gutter="0" w:footer="0" w:header="0"/>
        </w:sectPr>
      </w:pPr>
    </w:p>
    <w:p>
      <w:pPr>
        <w:spacing w:after="0" w:line="200" w:lineRule="exact"/>
        <w:rPr>
          <w:sz w:val="20"/>
          <w:szCs w:val="20"/>
          <w:color w:val="auto"/>
        </w:rPr>
      </w:pPr>
    </w:p>
    <w:p>
      <w:pPr>
        <w:spacing w:after="0" w:line="334" w:lineRule="exact"/>
        <w:rPr>
          <w:sz w:val="20"/>
          <w:szCs w:val="20"/>
          <w:color w:val="auto"/>
        </w:rPr>
      </w:pPr>
    </w:p>
    <w:p>
      <w:pPr>
        <w:ind w:left="420" w:right="340"/>
        <w:spacing w:after="0" w:line="289" w:lineRule="auto"/>
        <w:rPr>
          <w:sz w:val="20"/>
          <w:szCs w:val="20"/>
          <w:color w:val="auto"/>
        </w:rPr>
      </w:pPr>
      <w:r>
        <w:rPr>
          <w:rFonts w:ascii="Arial" w:cs="Arial" w:eastAsia="Arial" w:hAnsi="Arial"/>
          <w:sz w:val="17"/>
          <w:szCs w:val="17"/>
          <w:b w:val="1"/>
          <w:bCs w:val="1"/>
          <w:color w:val="00467D"/>
        </w:rPr>
        <w:t>Nominating and Corporate Governance Committee</w:t>
      </w:r>
    </w:p>
    <w:p>
      <w:pPr>
        <w:spacing w:after="0" w:line="20" w:lineRule="exact"/>
        <w:rPr>
          <w:sz w:val="20"/>
          <w:szCs w:val="20"/>
          <w:color w:val="auto"/>
        </w:rPr>
      </w:pPr>
      <w:r>
        <w:rPr>
          <w:sz w:val="20"/>
          <w:szCs w:val="20"/>
          <w:color w:val="auto"/>
        </w:rPr>
        <w:br w:type="column"/>
      </w:r>
    </w:p>
    <w:p>
      <w:pPr>
        <w:spacing w:after="0" w:line="245" w:lineRule="exact"/>
        <w:rPr>
          <w:sz w:val="20"/>
          <w:szCs w:val="20"/>
          <w:color w:val="auto"/>
        </w:rPr>
      </w:pPr>
    </w:p>
    <w:p>
      <w:pPr>
        <w:ind w:right="700" w:hanging="257"/>
        <w:spacing w:after="0" w:line="274" w:lineRule="auto"/>
        <w:rPr>
          <w:sz w:val="20"/>
          <w:szCs w:val="20"/>
          <w:color w:val="auto"/>
        </w:rPr>
      </w:pPr>
      <w:r>
        <w:rPr>
          <w:rFonts w:ascii="Arial" w:cs="Arial" w:eastAsia="Arial" w:hAnsi="Arial"/>
          <w:sz w:val="17"/>
          <w:szCs w:val="17"/>
          <w:color w:val="00467D"/>
        </w:rPr>
        <w:t>•</w:t>
      </w:r>
      <w:r>
        <w:rPr>
          <w:rFonts w:ascii="Arial" w:cs="Arial" w:eastAsia="Arial" w:hAnsi="Arial"/>
          <w:sz w:val="17"/>
          <w:szCs w:val="17"/>
          <w:color w:val="000000"/>
        </w:rPr>
        <w:t xml:space="preserve">    Assesses risks related to our corporate governance practices and the independence of</w:t>
      </w:r>
      <w:r>
        <w:rPr>
          <w:rFonts w:ascii="Arial" w:cs="Arial" w:eastAsia="Arial" w:hAnsi="Arial"/>
          <w:sz w:val="17"/>
          <w:szCs w:val="17"/>
          <w:color w:val="00467D"/>
        </w:rPr>
        <w:t xml:space="preserve"> </w:t>
      </w:r>
      <w:r>
        <w:rPr>
          <w:rFonts w:ascii="Arial" w:cs="Arial" w:eastAsia="Arial" w:hAnsi="Arial"/>
          <w:sz w:val="17"/>
          <w:szCs w:val="17"/>
          <w:color w:val="000000"/>
        </w:rPr>
        <w:t>directors.</w:t>
      </w:r>
    </w:p>
    <w:p>
      <w:pPr>
        <w:spacing w:after="0" w:line="57" w:lineRule="exact"/>
        <w:rPr>
          <w:sz w:val="20"/>
          <w:szCs w:val="20"/>
          <w:color w:val="auto"/>
        </w:rPr>
      </w:pPr>
    </w:p>
    <w:p>
      <w:pPr>
        <w:ind w:right="860" w:hanging="257"/>
        <w:spacing w:after="0" w:line="274" w:lineRule="auto"/>
        <w:rPr>
          <w:sz w:val="20"/>
          <w:szCs w:val="20"/>
          <w:color w:val="auto"/>
        </w:rPr>
      </w:pPr>
      <w:r>
        <w:rPr>
          <w:rFonts w:ascii="Arial" w:cs="Arial" w:eastAsia="Arial" w:hAnsi="Arial"/>
          <w:sz w:val="17"/>
          <w:szCs w:val="17"/>
          <w:color w:val="auto"/>
        </w:rPr>
        <w:t>•    Oversees our program related to corporate responsibility and sustainability, including environmental (e.g., climate change), social, and corporate governance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-2091690</wp:posOffset>
            </wp:positionH>
            <wp:positionV relativeFrom="paragraph">
              <wp:posOffset>79375</wp:posOffset>
            </wp:positionV>
            <wp:extent cx="668782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68782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940" w:space="720"/>
            <w:col w:w="7240"/>
          </w:cols>
          <w:pgMar w:left="320" w:top="468" w:right="679" w:bottom="1440" w:gutter="0" w:footer="0" w:header="0"/>
          <w:type w:val="continuous"/>
        </w:sectPr>
      </w:pPr>
    </w:p>
    <w:p>
      <w:pPr>
        <w:spacing w:after="0" w:line="38" w:lineRule="exact"/>
        <w:rPr>
          <w:sz w:val="20"/>
          <w:szCs w:val="20"/>
          <w:color w:val="auto"/>
        </w:rPr>
      </w:pPr>
    </w:p>
    <w:p>
      <w:pPr>
        <w:ind w:left="3400"/>
        <w:spacing w:after="0"/>
        <w:rPr>
          <w:sz w:val="20"/>
          <w:szCs w:val="20"/>
          <w:color w:val="auto"/>
        </w:rPr>
      </w:pPr>
      <w:r>
        <w:rPr>
          <w:rFonts w:ascii="Arial" w:cs="Arial" w:eastAsia="Arial" w:hAnsi="Arial"/>
          <w:sz w:val="17"/>
          <w:szCs w:val="17"/>
          <w:color w:val="00467D"/>
        </w:rPr>
        <w:t>•</w:t>
      </w:r>
      <w:r>
        <w:rPr>
          <w:rFonts w:ascii="Arial" w:cs="Arial" w:eastAsia="Arial" w:hAnsi="Arial"/>
          <w:sz w:val="17"/>
          <w:szCs w:val="17"/>
          <w:color w:val="000000"/>
        </w:rPr>
        <w:t xml:space="preserve">    Receives regular briefings regarding ongoing litigation related to EO.</w:t>
      </w:r>
    </w:p>
    <w:p>
      <w:pPr>
        <w:spacing w:after="0" w:line="35" w:lineRule="exact"/>
        <w:rPr>
          <w:sz w:val="20"/>
          <w:szCs w:val="20"/>
          <w:color w:val="auto"/>
        </w:rPr>
      </w:pPr>
    </w:p>
    <w:tbl>
      <w:tblPr>
        <w:tblLayout w:type="fixed"/>
        <w:tblInd w:w="360" w:type="dxa"/>
        <w:tblCellMar>
          <w:top w:w="0" w:type="dxa"/>
          <w:left w:w="0" w:type="dxa"/>
          <w:bottom w:w="0" w:type="dxa"/>
          <w:right w:w="0" w:type="dxa"/>
        </w:tblCellMar>
      </w:tblPr>
      <w:tr>
        <w:trPr>
          <w:trHeight w:val="238"/>
        </w:trPr>
        <w:tc>
          <w:tcPr>
            <w:tcW w:w="2660" w:type="dxa"/>
            <w:vAlign w:val="bottom"/>
          </w:tcPr>
          <w:p>
            <w:pPr>
              <w:ind w:left="60"/>
              <w:spacing w:after="0"/>
              <w:rPr>
                <w:sz w:val="20"/>
                <w:szCs w:val="20"/>
                <w:color w:val="auto"/>
              </w:rPr>
            </w:pPr>
            <w:r>
              <w:rPr>
                <w:rFonts w:ascii="Arial" w:cs="Arial" w:eastAsia="Arial" w:hAnsi="Arial"/>
                <w:sz w:val="17"/>
                <w:szCs w:val="17"/>
                <w:b w:val="1"/>
                <w:bCs w:val="1"/>
                <w:color w:val="00467D"/>
              </w:rPr>
              <w:t>EO Litigation Committee</w:t>
            </w:r>
          </w:p>
        </w:tc>
        <w:tc>
          <w:tcPr>
            <w:tcW w:w="7880" w:type="dxa"/>
            <w:vAlign w:val="bottom"/>
            <w:vMerge w:val="restart"/>
          </w:tcPr>
          <w:p>
            <w:pPr>
              <w:ind w:left="380"/>
              <w:spacing w:after="0"/>
              <w:rPr>
                <w:sz w:val="20"/>
                <w:szCs w:val="20"/>
                <w:color w:val="auto"/>
              </w:rPr>
            </w:pPr>
            <w:r>
              <w:rPr>
                <w:rFonts w:ascii="Arial" w:cs="Arial" w:eastAsia="Arial" w:hAnsi="Arial"/>
                <w:sz w:val="17"/>
                <w:szCs w:val="17"/>
                <w:color w:val="00467D"/>
              </w:rPr>
              <w:t>•</w:t>
            </w:r>
            <w:r>
              <w:rPr>
                <w:rFonts w:ascii="Arial" w:cs="Arial" w:eastAsia="Arial" w:hAnsi="Arial"/>
                <w:sz w:val="17"/>
                <w:szCs w:val="17"/>
                <w:color w:val="000000"/>
              </w:rPr>
              <w:t xml:space="preserve">    Oversees our strategy related to EO litigation.</w:t>
            </w:r>
          </w:p>
        </w:tc>
        <w:tc>
          <w:tcPr>
            <w:tcW w:w="0" w:type="dxa"/>
            <w:vAlign w:val="bottom"/>
          </w:tcPr>
          <w:p>
            <w:pPr>
              <w:spacing w:after="0"/>
              <w:rPr>
                <w:sz w:val="1"/>
                <w:szCs w:val="1"/>
                <w:color w:val="auto"/>
              </w:rPr>
            </w:pPr>
          </w:p>
        </w:tc>
      </w:tr>
      <w:tr>
        <w:trPr>
          <w:trHeight w:val="67"/>
        </w:trPr>
        <w:tc>
          <w:tcPr>
            <w:tcW w:w="2660" w:type="dxa"/>
            <w:vAlign w:val="bottom"/>
          </w:tcPr>
          <w:p>
            <w:pPr>
              <w:spacing w:after="0"/>
              <w:rPr>
                <w:sz w:val="5"/>
                <w:szCs w:val="5"/>
                <w:color w:val="auto"/>
              </w:rPr>
            </w:pPr>
          </w:p>
        </w:tc>
        <w:tc>
          <w:tcPr>
            <w:tcW w:w="78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3"/>
        </w:trPr>
        <w:tc>
          <w:tcPr>
            <w:tcW w:w="2660" w:type="dxa"/>
            <w:vAlign w:val="bottom"/>
            <w:tcBorders>
              <w:bottom w:val="single" w:sz="8" w:color="99B5CB"/>
            </w:tcBorders>
          </w:tcPr>
          <w:p>
            <w:pPr>
              <w:spacing w:after="0"/>
              <w:rPr>
                <w:sz w:val="13"/>
                <w:szCs w:val="13"/>
                <w:color w:val="auto"/>
              </w:rPr>
            </w:pPr>
          </w:p>
        </w:tc>
        <w:tc>
          <w:tcPr>
            <w:tcW w:w="7880" w:type="dxa"/>
            <w:vAlign w:val="bottom"/>
            <w:tcBorders>
              <w:bottom w:val="single" w:sz="8" w:color="99B5CB"/>
            </w:tcBorders>
          </w:tcPr>
          <w:p>
            <w:pPr>
              <w:spacing w:after="0"/>
              <w:rPr>
                <w:sz w:val="13"/>
                <w:szCs w:val="13"/>
                <w:color w:val="auto"/>
              </w:rPr>
            </w:pPr>
          </w:p>
        </w:tc>
        <w:tc>
          <w:tcPr>
            <w:tcW w:w="0" w:type="dxa"/>
            <w:vAlign w:val="bottom"/>
          </w:tcPr>
          <w:p>
            <w:pPr>
              <w:spacing w:after="0"/>
              <w:rPr>
                <w:sz w:val="1"/>
                <w:szCs w:val="1"/>
                <w:color w:val="auto"/>
              </w:rPr>
            </w:pPr>
          </w:p>
        </w:tc>
      </w:tr>
      <w:tr>
        <w:trPr>
          <w:trHeight w:val="286"/>
        </w:trPr>
        <w:tc>
          <w:tcPr>
            <w:tcW w:w="2660" w:type="dxa"/>
            <w:vAlign w:val="bottom"/>
          </w:tcPr>
          <w:p>
            <w:pPr>
              <w:spacing w:after="0"/>
              <w:rPr>
                <w:sz w:val="24"/>
                <w:szCs w:val="24"/>
                <w:color w:val="auto"/>
              </w:rPr>
            </w:pPr>
          </w:p>
        </w:tc>
        <w:tc>
          <w:tcPr>
            <w:tcW w:w="7880" w:type="dxa"/>
            <w:vAlign w:val="bottom"/>
          </w:tcPr>
          <w:p>
            <w:pPr>
              <w:ind w:left="380"/>
              <w:spacing w:after="0"/>
              <w:rPr>
                <w:sz w:val="20"/>
                <w:szCs w:val="20"/>
                <w:color w:val="auto"/>
              </w:rPr>
            </w:pPr>
            <w:r>
              <w:rPr>
                <w:rFonts w:ascii="Arial" w:cs="Arial" w:eastAsia="Arial" w:hAnsi="Arial"/>
                <w:sz w:val="17"/>
                <w:szCs w:val="17"/>
                <w:color w:val="auto"/>
              </w:rPr>
              <w:t>•    Reviews and approves Nordion customer contracts to ensure confidentiality and appropriate</w:t>
            </w:r>
          </w:p>
        </w:tc>
        <w:tc>
          <w:tcPr>
            <w:tcW w:w="0" w:type="dxa"/>
            <w:vAlign w:val="bottom"/>
          </w:tcPr>
          <w:p>
            <w:pPr>
              <w:spacing w:after="0"/>
              <w:rPr>
                <w:sz w:val="1"/>
                <w:szCs w:val="1"/>
                <w:color w:val="auto"/>
              </w:rPr>
            </w:pPr>
          </w:p>
        </w:tc>
      </w:tr>
      <w:tr>
        <w:trPr>
          <w:trHeight w:val="194"/>
        </w:trPr>
        <w:tc>
          <w:tcPr>
            <w:tcW w:w="2660" w:type="dxa"/>
            <w:vAlign w:val="bottom"/>
            <w:vMerge w:val="restart"/>
          </w:tcPr>
          <w:p>
            <w:pPr>
              <w:ind w:left="60"/>
              <w:spacing w:after="0"/>
              <w:rPr>
                <w:sz w:val="20"/>
                <w:szCs w:val="20"/>
                <w:color w:val="auto"/>
              </w:rPr>
            </w:pPr>
            <w:r>
              <w:rPr>
                <w:rFonts w:ascii="Arial" w:cs="Arial" w:eastAsia="Arial" w:hAnsi="Arial"/>
                <w:sz w:val="17"/>
                <w:szCs w:val="17"/>
                <w:b w:val="1"/>
                <w:bCs w:val="1"/>
                <w:color w:val="00467D"/>
              </w:rPr>
              <w:t>Nordion Pricing Committee</w:t>
            </w:r>
          </w:p>
        </w:tc>
        <w:tc>
          <w:tcPr>
            <w:tcW w:w="7880" w:type="dxa"/>
            <w:vAlign w:val="bottom"/>
          </w:tcPr>
          <w:p>
            <w:pPr>
              <w:ind w:left="640"/>
              <w:spacing w:after="0" w:line="194" w:lineRule="exact"/>
              <w:rPr>
                <w:sz w:val="20"/>
                <w:szCs w:val="20"/>
                <w:color w:val="auto"/>
              </w:rPr>
            </w:pPr>
            <w:r>
              <w:rPr>
                <w:rFonts w:ascii="Arial" w:cs="Arial" w:eastAsia="Arial" w:hAnsi="Arial"/>
                <w:sz w:val="17"/>
                <w:szCs w:val="17"/>
                <w:color w:val="auto"/>
              </w:rPr>
              <w:t>risk management and to prevent confidential information related to Nordion’s customers from</w:t>
            </w:r>
          </w:p>
        </w:tc>
        <w:tc>
          <w:tcPr>
            <w:tcW w:w="0" w:type="dxa"/>
            <w:vAlign w:val="bottom"/>
          </w:tcPr>
          <w:p>
            <w:pPr>
              <w:spacing w:after="0"/>
              <w:rPr>
                <w:sz w:val="1"/>
                <w:szCs w:val="1"/>
                <w:color w:val="auto"/>
              </w:rPr>
            </w:pPr>
          </w:p>
        </w:tc>
      </w:tr>
      <w:tr>
        <w:trPr>
          <w:trHeight w:val="120"/>
        </w:trPr>
        <w:tc>
          <w:tcPr>
            <w:tcW w:w="2660" w:type="dxa"/>
            <w:vAlign w:val="bottom"/>
            <w:vMerge w:val="continue"/>
          </w:tcPr>
          <w:p>
            <w:pPr>
              <w:spacing w:after="0"/>
              <w:rPr>
                <w:sz w:val="10"/>
                <w:szCs w:val="10"/>
                <w:color w:val="auto"/>
              </w:rPr>
            </w:pPr>
          </w:p>
        </w:tc>
        <w:tc>
          <w:tcPr>
            <w:tcW w:w="7880" w:type="dxa"/>
            <w:vAlign w:val="bottom"/>
            <w:vMerge w:val="restart"/>
          </w:tcPr>
          <w:p>
            <w:pPr>
              <w:ind w:left="640"/>
              <w:spacing w:after="0"/>
              <w:rPr>
                <w:sz w:val="20"/>
                <w:szCs w:val="20"/>
                <w:color w:val="auto"/>
              </w:rPr>
            </w:pPr>
            <w:r>
              <w:rPr>
                <w:rFonts w:ascii="Arial" w:cs="Arial" w:eastAsia="Arial" w:hAnsi="Arial"/>
                <w:sz w:val="17"/>
                <w:szCs w:val="17"/>
                <w:color w:val="auto"/>
              </w:rPr>
              <w:t>being shared with individuals involved in the day-to-day operations of Sterigenics.</w:t>
            </w:r>
          </w:p>
        </w:tc>
        <w:tc>
          <w:tcPr>
            <w:tcW w:w="0" w:type="dxa"/>
            <w:vAlign w:val="bottom"/>
          </w:tcPr>
          <w:p>
            <w:pPr>
              <w:spacing w:after="0"/>
              <w:rPr>
                <w:sz w:val="1"/>
                <w:szCs w:val="1"/>
                <w:color w:val="auto"/>
              </w:rPr>
            </w:pPr>
          </w:p>
        </w:tc>
      </w:tr>
      <w:tr>
        <w:trPr>
          <w:trHeight w:val="106"/>
        </w:trPr>
        <w:tc>
          <w:tcPr>
            <w:tcW w:w="2660" w:type="dxa"/>
            <w:vAlign w:val="bottom"/>
          </w:tcPr>
          <w:p>
            <w:pPr>
              <w:spacing w:after="0"/>
              <w:rPr>
                <w:sz w:val="9"/>
                <w:szCs w:val="9"/>
                <w:color w:val="auto"/>
              </w:rPr>
            </w:pPr>
          </w:p>
        </w:tc>
        <w:tc>
          <w:tcPr>
            <w:tcW w:w="78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2660" w:type="dxa"/>
            <w:vAlign w:val="bottom"/>
            <w:tcBorders>
              <w:bottom w:val="single" w:sz="8" w:color="00467D"/>
            </w:tcBorders>
          </w:tcPr>
          <w:p>
            <w:pPr>
              <w:spacing w:after="0"/>
              <w:rPr>
                <w:sz w:val="13"/>
                <w:szCs w:val="13"/>
                <w:color w:val="auto"/>
              </w:rPr>
            </w:pPr>
          </w:p>
        </w:tc>
        <w:tc>
          <w:tcPr>
            <w:tcW w:w="7880" w:type="dxa"/>
            <w:vAlign w:val="bottom"/>
            <w:tcBorders>
              <w:bottom w:val="single" w:sz="8" w:color="00467D"/>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283" w:lineRule="exact"/>
        <w:rPr>
          <w:sz w:val="20"/>
          <w:szCs w:val="20"/>
          <w:color w:val="auto"/>
        </w:rPr>
      </w:pPr>
    </w:p>
    <w:p>
      <w:pPr>
        <w:ind w:left="360"/>
        <w:spacing w:after="0"/>
        <w:rPr>
          <w:sz w:val="20"/>
          <w:szCs w:val="20"/>
          <w:color w:val="auto"/>
        </w:rPr>
      </w:pPr>
      <w:r>
        <w:rPr>
          <w:rFonts w:ascii="Arial" w:cs="Arial" w:eastAsia="Arial" w:hAnsi="Arial"/>
          <w:sz w:val="31"/>
          <w:szCs w:val="31"/>
          <w:color w:val="00B0DB"/>
        </w:rPr>
        <w:t>Board Meetings and Attendance</w:t>
      </w:r>
    </w:p>
    <w:p>
      <w:pPr>
        <w:spacing w:after="0" w:line="221" w:lineRule="exact"/>
        <w:rPr>
          <w:sz w:val="20"/>
          <w:szCs w:val="20"/>
          <w:color w:val="auto"/>
        </w:rPr>
      </w:pPr>
    </w:p>
    <w:p>
      <w:pPr>
        <w:ind w:left="360" w:right="60"/>
        <w:spacing w:after="0" w:line="246" w:lineRule="auto"/>
        <w:rPr>
          <w:sz w:val="20"/>
          <w:szCs w:val="20"/>
          <w:color w:val="auto"/>
        </w:rPr>
      </w:pPr>
      <w:r>
        <w:rPr>
          <w:rFonts w:ascii="Arial" w:cs="Arial" w:eastAsia="Arial" w:hAnsi="Arial"/>
          <w:sz w:val="17"/>
          <w:szCs w:val="17"/>
          <w:color w:val="auto"/>
        </w:rPr>
        <w:t>All directors are expected to attend all meetings of the Board and all meetings of the committees of the Board on which they serve, as well as our annual meeting of shareholders. The Board met seventeen times in 2022 and each director attended at least 75% of the aggregate number of meetings of the Board and the committees on which he or she served during the period in which he or she was a director or committee member, with the average attendance exceeding 96%. In addition, all directors attended the 2022 Annual Meeting of Stockholders.</w:t>
      </w:r>
    </w:p>
    <w:p>
      <w:pPr>
        <w:spacing w:after="0" w:line="263" w:lineRule="exact"/>
        <w:rPr>
          <w:sz w:val="20"/>
          <w:szCs w:val="20"/>
          <w:color w:val="auto"/>
        </w:rPr>
      </w:pPr>
    </w:p>
    <w:p>
      <w:pPr>
        <w:ind w:left="360"/>
        <w:spacing w:after="0"/>
        <w:rPr>
          <w:sz w:val="20"/>
          <w:szCs w:val="20"/>
          <w:color w:val="auto"/>
        </w:rPr>
      </w:pPr>
      <w:r>
        <w:rPr>
          <w:rFonts w:ascii="Arial" w:cs="Arial" w:eastAsia="Arial" w:hAnsi="Arial"/>
          <w:sz w:val="28"/>
          <w:szCs w:val="28"/>
          <w:color w:val="auto"/>
        </w:rPr>
        <w:t>Executive Sessions</w:t>
      </w:r>
    </w:p>
    <w:p>
      <w:pPr>
        <w:spacing w:after="0" w:line="220" w:lineRule="exact"/>
        <w:rPr>
          <w:sz w:val="20"/>
          <w:szCs w:val="20"/>
          <w:color w:val="auto"/>
        </w:rPr>
      </w:pPr>
    </w:p>
    <w:p>
      <w:pPr>
        <w:ind w:left="360" w:right="500"/>
        <w:spacing w:after="0" w:line="274" w:lineRule="auto"/>
        <w:rPr>
          <w:sz w:val="20"/>
          <w:szCs w:val="20"/>
          <w:color w:val="auto"/>
        </w:rPr>
      </w:pPr>
      <w:r>
        <w:rPr>
          <w:rFonts w:ascii="Arial" w:cs="Arial" w:eastAsia="Arial" w:hAnsi="Arial"/>
          <w:sz w:val="17"/>
          <w:szCs w:val="17"/>
          <w:color w:val="auto"/>
        </w:rPr>
        <w:t>Executive sessions are typically scheduled immediately after each regular Board meeting. Throughout 2022, directors met in regular executive sessions, both with the Chairman and without the Chairman or any other member of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231775</wp:posOffset>
            </wp:positionH>
            <wp:positionV relativeFrom="paragraph">
              <wp:posOffset>79375</wp:posOffset>
            </wp:positionV>
            <wp:extent cx="6687820" cy="1651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687820" cy="16510"/>
                    </a:xfrm>
                    <a:prstGeom prst="rect">
                      <a:avLst/>
                    </a:prstGeom>
                    <a:noFill/>
                  </pic:spPr>
                </pic:pic>
              </a:graphicData>
            </a:graphic>
          </wp:anchor>
        </w:drawing>
      </w:r>
    </w:p>
    <w:p>
      <w:pPr>
        <w:spacing w:after="0" w:line="295"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6443980</wp:posOffset>
            </wp:positionH>
            <wp:positionV relativeFrom="paragraph">
              <wp:posOffset>-113030</wp:posOffset>
            </wp:positionV>
            <wp:extent cx="475615" cy="15557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475615" cy="155575"/>
                    </a:xfrm>
                    <a:prstGeom prst="rect">
                      <a:avLst/>
                    </a:prstGeom>
                    <a:noFill/>
                  </pic:spPr>
                </pic:pic>
              </a:graphicData>
            </a:graphic>
          </wp:anchor>
        </w:drawing>
      </w:r>
    </w:p>
    <w:p>
      <w:pPr>
        <w:sectPr>
          <w:pgSz w:w="11900" w:h="16838" w:orient="portrait"/>
          <w:cols w:equalWidth="0" w:num="1">
            <w:col w:w="10900"/>
          </w:cols>
          <w:pgMar w:left="320" w:top="468" w:right="679" w:bottom="1440" w:gutter="0" w:footer="0" w:header="0"/>
          <w:type w:val="continuous"/>
        </w:sectPr>
      </w:pPr>
    </w:p>
    <w:bookmarkStart w:id="28" w:name="page29"/>
    <w:bookmarkEnd w:id="2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5397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79945" cy="53975"/>
                    </a:xfrm>
                    <a:prstGeom prst="rect">
                      <a:avLst/>
                    </a:prstGeom>
                    <a:noFill/>
                  </pic:spPr>
                </pic:pic>
              </a:graphicData>
            </a:graphic>
          </wp:anchor>
        </w:drawing>
        <w:t>Table of Contents</w:t>
      </w:r>
    </w:p>
    <w:p>
      <w:pPr>
        <w:spacing w:after="0" w:line="296"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auto"/>
        </w:rPr>
        <w:t>Corporate Governance</w:t>
      </w:r>
    </w:p>
    <w:p>
      <w:pPr>
        <w:spacing w:after="0" w:line="21" w:lineRule="exact"/>
        <w:rPr>
          <w:sz w:val="20"/>
          <w:szCs w:val="20"/>
          <w:color w:val="auto"/>
        </w:rPr>
      </w:pPr>
    </w:p>
    <w:p>
      <w:pPr>
        <w:ind w:left="360"/>
        <w:spacing w:after="0"/>
        <w:rPr>
          <w:sz w:val="20"/>
          <w:szCs w:val="20"/>
          <w:color w:val="auto"/>
        </w:rPr>
      </w:pPr>
      <w:r>
        <w:rPr>
          <w:rFonts w:ascii="Arial" w:cs="Arial" w:eastAsia="Arial" w:hAnsi="Arial"/>
          <w:sz w:val="14"/>
          <w:szCs w:val="14"/>
          <w:b w:val="1"/>
          <w:bCs w:val="1"/>
          <w:color w:val="auto"/>
        </w:rPr>
        <w:t>Committees of the Board of Directors</w:t>
      </w:r>
    </w:p>
    <w:p>
      <w:pPr>
        <w:spacing w:after="0" w:line="114" w:lineRule="exact"/>
        <w:rPr>
          <w:sz w:val="20"/>
          <w:szCs w:val="20"/>
          <w:color w:val="auto"/>
        </w:rPr>
      </w:pPr>
    </w:p>
    <w:p>
      <w:pPr>
        <w:ind w:left="360" w:right="420"/>
        <w:spacing w:after="0" w:line="256" w:lineRule="auto"/>
        <w:rPr>
          <w:sz w:val="20"/>
          <w:szCs w:val="20"/>
          <w:color w:val="auto"/>
        </w:rPr>
      </w:pPr>
      <w:r>
        <w:rPr>
          <w:rFonts w:ascii="Arial" w:cs="Arial" w:eastAsia="Arial" w:hAnsi="Arial"/>
          <w:sz w:val="17"/>
          <w:szCs w:val="17"/>
          <w:color w:val="auto"/>
        </w:rPr>
        <w:t>present. Each of the Audit Committee, Governance Committee and Leadership Development and Compensation Committee met in executive sessions without members of management present. In addition to meeting in executive sessions, the Audit Committee held regularly scheduled private sessions with our Chief Financial Officer and internal audit leadership.</w:t>
      </w:r>
    </w:p>
    <w:p>
      <w:pPr>
        <w:spacing w:after="0" w:line="255" w:lineRule="exact"/>
        <w:rPr>
          <w:sz w:val="20"/>
          <w:szCs w:val="20"/>
          <w:color w:val="auto"/>
        </w:rPr>
      </w:pPr>
    </w:p>
    <w:p>
      <w:pPr>
        <w:ind w:left="360"/>
        <w:spacing w:after="0"/>
        <w:rPr>
          <w:sz w:val="20"/>
          <w:szCs w:val="20"/>
          <w:color w:val="auto"/>
        </w:rPr>
      </w:pPr>
      <w:r>
        <w:rPr>
          <w:rFonts w:ascii="Arial" w:cs="Arial" w:eastAsia="Arial" w:hAnsi="Arial"/>
          <w:sz w:val="31"/>
          <w:szCs w:val="31"/>
          <w:color w:val="00B0DB"/>
        </w:rPr>
        <w:t>Committees of the Board of Directors</w:t>
      </w:r>
    </w:p>
    <w:p>
      <w:pPr>
        <w:spacing w:after="0" w:line="221" w:lineRule="exact"/>
        <w:rPr>
          <w:sz w:val="20"/>
          <w:szCs w:val="20"/>
          <w:color w:val="auto"/>
        </w:rPr>
      </w:pPr>
    </w:p>
    <w:p>
      <w:pPr>
        <w:ind w:left="360" w:right="20"/>
        <w:spacing w:after="0" w:line="243" w:lineRule="auto"/>
        <w:rPr>
          <w:sz w:val="20"/>
          <w:szCs w:val="20"/>
          <w:color w:val="auto"/>
        </w:rPr>
      </w:pPr>
      <w:r>
        <w:rPr>
          <w:rFonts w:ascii="Arial" w:cs="Arial" w:eastAsia="Arial" w:hAnsi="Arial"/>
          <w:sz w:val="17"/>
          <w:szCs w:val="17"/>
          <w:color w:val="auto"/>
        </w:rPr>
        <w:t>We have an Audit Committee, a Leadership Development and Compensation Committee (“LD&amp;C Committee”), a Governance Committee, an EO Litigation Committee, and a Nordion Pricing Committee. The composition and responsibilities of each of the committees of our Board are described below. The Governance Committee is responsible for reviewing committee membership and making recommendations to the Board regarding committee composition, consistent with the Company’s organizational documents, our Stockholders’ Agreement and applicable law. Members serve on committees until their resignation or until otherwise determined by our Board. Our Board may change the membership of committees or establish other committees as it deems necessary or appropriate from time to time. Most recently, in October 2022, upon the recommendation of the Governance Committee, the Board formed the EO Litigation Committee.</w:t>
      </w:r>
    </w:p>
    <w:p>
      <w:pPr>
        <w:spacing w:after="0" w:line="200" w:lineRule="exact"/>
        <w:rPr>
          <w:sz w:val="20"/>
          <w:szCs w:val="20"/>
          <w:color w:val="auto"/>
        </w:rPr>
      </w:pPr>
    </w:p>
    <w:p>
      <w:pPr>
        <w:spacing w:after="0" w:line="260" w:lineRule="exact"/>
        <w:rPr>
          <w:sz w:val="20"/>
          <w:szCs w:val="20"/>
          <w:color w:val="auto"/>
        </w:rPr>
      </w:pPr>
    </w:p>
    <w:p>
      <w:pPr>
        <w:ind w:left="360"/>
        <w:spacing w:after="0"/>
        <w:rPr>
          <w:sz w:val="20"/>
          <w:szCs w:val="20"/>
          <w:color w:val="auto"/>
        </w:rPr>
      </w:pPr>
      <w:r>
        <w:rPr>
          <w:rFonts w:ascii="Arial" w:cs="Arial" w:eastAsia="Arial" w:hAnsi="Arial"/>
          <w:sz w:val="28"/>
          <w:szCs w:val="28"/>
          <w:color w:val="auto"/>
        </w:rPr>
        <w:t>Audit Committee</w:t>
      </w:r>
    </w:p>
    <w:p>
      <w:pPr>
        <w:spacing w:after="0" w:line="220" w:lineRule="exact"/>
        <w:rPr>
          <w:sz w:val="20"/>
          <w:szCs w:val="20"/>
          <w:color w:val="auto"/>
        </w:rPr>
      </w:pPr>
    </w:p>
    <w:p>
      <w:pPr>
        <w:jc w:val="both"/>
        <w:ind w:left="360"/>
        <w:spacing w:after="0" w:line="256" w:lineRule="auto"/>
        <w:rPr>
          <w:sz w:val="20"/>
          <w:szCs w:val="20"/>
          <w:color w:val="auto"/>
        </w:rPr>
      </w:pPr>
      <w:r>
        <w:rPr>
          <w:rFonts w:ascii="Arial" w:cs="Arial" w:eastAsia="Arial" w:hAnsi="Arial"/>
          <w:sz w:val="17"/>
          <w:szCs w:val="17"/>
          <w:color w:val="auto"/>
        </w:rPr>
        <w:t>The Audit Committee’s main purpose is to oversee our accounting and financial reporting processes, our relationship with our independent auditors, our compliance with legal and regulatory requirements and our policies and procedures with respect to risk assessment and risk management.</w:t>
      </w:r>
    </w:p>
    <w:p>
      <w:pPr>
        <w:spacing w:after="0" w:line="162" w:lineRule="exact"/>
        <w:rPr>
          <w:sz w:val="20"/>
          <w:szCs w:val="20"/>
          <w:color w:val="auto"/>
        </w:rPr>
      </w:pPr>
    </w:p>
    <w:p>
      <w:pPr>
        <w:ind w:left="360"/>
        <w:spacing w:after="0"/>
        <w:rPr>
          <w:sz w:val="20"/>
          <w:szCs w:val="20"/>
          <w:color w:val="auto"/>
        </w:rPr>
      </w:pPr>
      <w:r>
        <w:rPr>
          <w:rFonts w:ascii="Arial" w:cs="Arial" w:eastAsia="Arial" w:hAnsi="Arial"/>
          <w:sz w:val="17"/>
          <w:szCs w:val="17"/>
          <w:color w:val="auto"/>
        </w:rPr>
        <w:t>In carrying out this purpose, the Audit Committee:</w:t>
      </w:r>
    </w:p>
    <w:p>
      <w:pPr>
        <w:spacing w:after="0" w:line="114" w:lineRule="exact"/>
        <w:rPr>
          <w:sz w:val="20"/>
          <w:szCs w:val="20"/>
          <w:color w:val="auto"/>
        </w:rPr>
      </w:pPr>
    </w:p>
    <w:p>
      <w:pPr>
        <w:jc w:val="both"/>
        <w:ind w:left="780" w:right="420" w:hanging="422"/>
        <w:spacing w:after="0" w:line="274" w:lineRule="auto"/>
        <w:tabs>
          <w:tab w:leader="none" w:pos="780" w:val="left"/>
        </w:tabs>
        <w:numPr>
          <w:ilvl w:val="0"/>
          <w:numId w:val="14"/>
        </w:numPr>
        <w:rPr>
          <w:rFonts w:ascii="Arial" w:cs="Arial" w:eastAsia="Arial" w:hAnsi="Arial"/>
          <w:sz w:val="17"/>
          <w:szCs w:val="17"/>
          <w:color w:val="00467D"/>
        </w:rPr>
      </w:pPr>
      <w:r>
        <w:rPr>
          <w:rFonts w:ascii="Arial" w:cs="Arial" w:eastAsia="Arial" w:hAnsi="Arial"/>
          <w:sz w:val="17"/>
          <w:szCs w:val="17"/>
          <w:color w:val="auto"/>
        </w:rPr>
        <w:t>oversees the design, implementation, adequacy and effectiveness of our disclosure controls and procedures, system of internal controls over financial accounting, internal audit function and the preparation and audit of our consolidated financial statements;</w:t>
      </w:r>
    </w:p>
    <w:p>
      <w:pPr>
        <w:spacing w:after="0" w:line="57" w:lineRule="exact"/>
        <w:rPr>
          <w:rFonts w:ascii="Arial" w:cs="Arial" w:eastAsia="Arial" w:hAnsi="Arial"/>
          <w:sz w:val="17"/>
          <w:szCs w:val="17"/>
          <w:color w:val="00467D"/>
        </w:rPr>
      </w:pPr>
    </w:p>
    <w:p>
      <w:pPr>
        <w:ind w:left="780" w:right="20" w:hanging="422"/>
        <w:spacing w:after="0" w:line="256" w:lineRule="auto"/>
        <w:tabs>
          <w:tab w:leader="none" w:pos="780" w:val="left"/>
        </w:tabs>
        <w:numPr>
          <w:ilvl w:val="0"/>
          <w:numId w:val="14"/>
        </w:numPr>
        <w:rPr>
          <w:rFonts w:ascii="Arial" w:cs="Arial" w:eastAsia="Arial" w:hAnsi="Arial"/>
          <w:sz w:val="17"/>
          <w:szCs w:val="17"/>
          <w:color w:val="00467D"/>
        </w:rPr>
      </w:pPr>
      <w:r>
        <w:rPr>
          <w:rFonts w:ascii="Arial" w:cs="Arial" w:eastAsia="Arial" w:hAnsi="Arial"/>
          <w:sz w:val="17"/>
          <w:szCs w:val="17"/>
          <w:color w:val="auto"/>
        </w:rPr>
        <w:t>appoints our independent registered public accounting firm annually, reviews the annual audit plan, approves audit and pre-approves any non-audit related services provided to us, evaluates independent auditor qualifications and performance and ensures their independence;</w:t>
      </w:r>
    </w:p>
    <w:p>
      <w:pPr>
        <w:spacing w:after="0" w:line="71" w:lineRule="exact"/>
        <w:rPr>
          <w:rFonts w:ascii="Arial" w:cs="Arial" w:eastAsia="Arial" w:hAnsi="Arial"/>
          <w:sz w:val="17"/>
          <w:szCs w:val="17"/>
          <w:color w:val="00467D"/>
        </w:rPr>
      </w:pPr>
    </w:p>
    <w:p>
      <w:pPr>
        <w:ind w:left="780" w:right="300" w:hanging="422"/>
        <w:spacing w:after="0" w:line="274" w:lineRule="auto"/>
        <w:tabs>
          <w:tab w:leader="none" w:pos="780" w:val="left"/>
        </w:tabs>
        <w:numPr>
          <w:ilvl w:val="0"/>
          <w:numId w:val="14"/>
        </w:numPr>
        <w:rPr>
          <w:rFonts w:ascii="Arial" w:cs="Arial" w:eastAsia="Arial" w:hAnsi="Arial"/>
          <w:sz w:val="17"/>
          <w:szCs w:val="17"/>
          <w:color w:val="00467D"/>
        </w:rPr>
      </w:pPr>
      <w:r>
        <w:rPr>
          <w:rFonts w:ascii="Arial" w:cs="Arial" w:eastAsia="Arial" w:hAnsi="Arial"/>
          <w:sz w:val="17"/>
          <w:szCs w:val="17"/>
          <w:color w:val="auto"/>
        </w:rPr>
        <w:t>oversees procedures for the receipt, retention and treatment of complaints about accounting, internal accounting controls or audit matters, and for the confidential and anonymous submission of complaints by employees concerning such matters;</w:t>
      </w:r>
    </w:p>
    <w:p>
      <w:pPr>
        <w:spacing w:after="0" w:line="57" w:lineRule="exact"/>
        <w:rPr>
          <w:rFonts w:ascii="Arial" w:cs="Arial" w:eastAsia="Arial" w:hAnsi="Arial"/>
          <w:sz w:val="17"/>
          <w:szCs w:val="17"/>
          <w:color w:val="00467D"/>
        </w:rPr>
      </w:pPr>
    </w:p>
    <w:p>
      <w:pPr>
        <w:ind w:left="780" w:right="300" w:hanging="422"/>
        <w:spacing w:after="0" w:line="274" w:lineRule="auto"/>
        <w:tabs>
          <w:tab w:leader="none" w:pos="780" w:val="left"/>
        </w:tabs>
        <w:numPr>
          <w:ilvl w:val="0"/>
          <w:numId w:val="14"/>
        </w:numPr>
        <w:rPr>
          <w:rFonts w:ascii="Arial" w:cs="Arial" w:eastAsia="Arial" w:hAnsi="Arial"/>
          <w:sz w:val="17"/>
          <w:szCs w:val="17"/>
          <w:color w:val="00467D"/>
        </w:rPr>
      </w:pPr>
      <w:r>
        <w:rPr>
          <w:rFonts w:ascii="Arial" w:cs="Arial" w:eastAsia="Arial" w:hAnsi="Arial"/>
          <w:sz w:val="17"/>
          <w:szCs w:val="17"/>
          <w:color w:val="auto"/>
        </w:rPr>
        <w:t>reviews and approves, or ratifies, in accordance with our policies, all related party transactions as defined by applicable rules and regulations;</w:t>
      </w:r>
    </w:p>
    <w:p>
      <w:pPr>
        <w:spacing w:after="0" w:line="57" w:lineRule="exact"/>
        <w:rPr>
          <w:rFonts w:ascii="Arial" w:cs="Arial" w:eastAsia="Arial" w:hAnsi="Arial"/>
          <w:sz w:val="17"/>
          <w:szCs w:val="17"/>
          <w:color w:val="00467D"/>
        </w:rPr>
      </w:pPr>
    </w:p>
    <w:p>
      <w:pPr>
        <w:ind w:left="780" w:right="340" w:hanging="422"/>
        <w:spacing w:after="0" w:line="274" w:lineRule="auto"/>
        <w:tabs>
          <w:tab w:leader="none" w:pos="780" w:val="left"/>
        </w:tabs>
        <w:numPr>
          <w:ilvl w:val="0"/>
          <w:numId w:val="14"/>
        </w:numPr>
        <w:rPr>
          <w:rFonts w:ascii="Arial" w:cs="Arial" w:eastAsia="Arial" w:hAnsi="Arial"/>
          <w:sz w:val="17"/>
          <w:szCs w:val="17"/>
          <w:color w:val="00467D"/>
        </w:rPr>
      </w:pPr>
      <w:r>
        <w:rPr>
          <w:rFonts w:ascii="Arial" w:cs="Arial" w:eastAsia="Arial" w:hAnsi="Arial"/>
          <w:sz w:val="17"/>
          <w:szCs w:val="17"/>
          <w:color w:val="auto"/>
        </w:rPr>
        <w:t>oversees legal and regulatory matters and reviews and approves the adequacy and effectiveness of our compliance policies and procedures, including the global code of conduct;</w:t>
      </w:r>
    </w:p>
    <w:p>
      <w:pPr>
        <w:spacing w:after="0" w:line="57" w:lineRule="exact"/>
        <w:rPr>
          <w:rFonts w:ascii="Arial" w:cs="Arial" w:eastAsia="Arial" w:hAnsi="Arial"/>
          <w:sz w:val="17"/>
          <w:szCs w:val="17"/>
          <w:color w:val="00467D"/>
        </w:rPr>
      </w:pPr>
    </w:p>
    <w:p>
      <w:pPr>
        <w:ind w:left="780" w:right="260" w:hanging="422"/>
        <w:spacing w:after="0" w:line="256" w:lineRule="auto"/>
        <w:tabs>
          <w:tab w:leader="none" w:pos="780" w:val="left"/>
        </w:tabs>
        <w:numPr>
          <w:ilvl w:val="0"/>
          <w:numId w:val="14"/>
        </w:numPr>
        <w:rPr>
          <w:rFonts w:ascii="Arial" w:cs="Arial" w:eastAsia="Arial" w:hAnsi="Arial"/>
          <w:sz w:val="17"/>
          <w:szCs w:val="17"/>
          <w:color w:val="00467D"/>
        </w:rPr>
      </w:pPr>
      <w:r>
        <w:rPr>
          <w:rFonts w:ascii="Arial" w:cs="Arial" w:eastAsia="Arial" w:hAnsi="Arial"/>
          <w:sz w:val="17"/>
          <w:szCs w:val="17"/>
          <w:color w:val="auto"/>
        </w:rPr>
        <w:t>approves the annual internal audit plan and budget, reviews with internal audit the results of the audit work at least annually and more frequently as provided in the policy for reporting financial accounting and auditing concerns, as approved by the Committee, and at least annually reviews the performance of the internal audit team; and</w:t>
      </w:r>
    </w:p>
    <w:p>
      <w:pPr>
        <w:spacing w:after="0" w:line="71" w:lineRule="exact"/>
        <w:rPr>
          <w:rFonts w:ascii="Arial" w:cs="Arial" w:eastAsia="Arial" w:hAnsi="Arial"/>
          <w:sz w:val="17"/>
          <w:szCs w:val="17"/>
          <w:color w:val="00467D"/>
        </w:rPr>
      </w:pPr>
    </w:p>
    <w:p>
      <w:pPr>
        <w:ind w:left="780" w:hanging="422"/>
        <w:spacing w:after="0"/>
        <w:tabs>
          <w:tab w:leader="none" w:pos="780" w:val="left"/>
        </w:tabs>
        <w:numPr>
          <w:ilvl w:val="0"/>
          <w:numId w:val="14"/>
        </w:numPr>
        <w:rPr>
          <w:rFonts w:ascii="Arial" w:cs="Arial" w:eastAsia="Arial" w:hAnsi="Arial"/>
          <w:sz w:val="17"/>
          <w:szCs w:val="17"/>
          <w:color w:val="00467D"/>
        </w:rPr>
      </w:pPr>
      <w:r>
        <w:rPr>
          <w:rFonts w:ascii="Arial" w:cs="Arial" w:eastAsia="Arial" w:hAnsi="Arial"/>
          <w:sz w:val="17"/>
          <w:szCs w:val="17"/>
          <w:color w:val="auto"/>
        </w:rPr>
        <w:t>oversees Company policies and practices with respect to financial risk assessment and risk management.</w:t>
      </w:r>
    </w:p>
    <w:p>
      <w:pPr>
        <w:spacing w:after="0" w:line="179" w:lineRule="exact"/>
        <w:rPr>
          <w:sz w:val="20"/>
          <w:szCs w:val="20"/>
          <w:color w:val="auto"/>
        </w:rPr>
      </w:pPr>
    </w:p>
    <w:p>
      <w:pPr>
        <w:jc w:val="both"/>
        <w:ind w:left="360" w:right="80"/>
        <w:spacing w:after="0" w:line="250" w:lineRule="auto"/>
        <w:rPr>
          <w:sz w:val="20"/>
          <w:szCs w:val="20"/>
          <w:color w:val="auto"/>
        </w:rPr>
      </w:pPr>
      <w:r>
        <w:rPr>
          <w:rFonts w:ascii="Arial" w:cs="Arial" w:eastAsia="Arial" w:hAnsi="Arial"/>
          <w:sz w:val="17"/>
          <w:szCs w:val="17"/>
          <w:color w:val="auto"/>
        </w:rPr>
        <w:t>The Audit Committee met five times in 2022. The current members of the Committee are Mr. Petrella (chair), Ms. Klee and Dr. Wheadon. Each member of the Committee is “independent” as defined under the Nasdaq rules and Rule 10A-3 of the Exchange Act. Our Board has determined that each director appointed to the Audit Committee is financially literate, and the Board has determined that Mr. Petrella is a financial expert.</w:t>
      </w:r>
    </w:p>
    <w:p>
      <w:pPr>
        <w:spacing w:after="0" w:line="128" w:lineRule="exact"/>
        <w:rPr>
          <w:sz w:val="20"/>
          <w:szCs w:val="20"/>
          <w:color w:val="auto"/>
        </w:rPr>
      </w:pPr>
    </w:p>
    <w:p>
      <w:pPr>
        <w:ind w:left="360" w:right="2220"/>
        <w:spacing w:after="0" w:line="274" w:lineRule="auto"/>
        <w:rPr>
          <w:sz w:val="20"/>
          <w:szCs w:val="20"/>
          <w:color w:val="auto"/>
        </w:rPr>
      </w:pPr>
      <w:r>
        <w:rPr>
          <w:rFonts w:ascii="Arial" w:cs="Arial" w:eastAsia="Arial" w:hAnsi="Arial"/>
          <w:sz w:val="17"/>
          <w:szCs w:val="17"/>
          <w:color w:val="auto"/>
        </w:rPr>
        <w:t>Our Audit Committee operates under a written charter, which is available on our Investor Relations website at https://investors.soterahealth.com/.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231775</wp:posOffset>
            </wp:positionH>
            <wp:positionV relativeFrom="paragraph">
              <wp:posOffset>79375</wp:posOffset>
            </wp:positionV>
            <wp:extent cx="6687820" cy="1651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687820" cy="16510"/>
                    </a:xfrm>
                    <a:prstGeom prst="rect">
                      <a:avLst/>
                    </a:prstGeom>
                    <a:noFill/>
                  </pic:spPr>
                </pic:pic>
              </a:graphicData>
            </a:graphic>
          </wp:anchor>
        </w:drawing>
      </w:r>
    </w:p>
    <w:p>
      <w:pPr>
        <w:spacing w:after="0" w:line="295" w:lineRule="exact"/>
        <w:rPr>
          <w:sz w:val="20"/>
          <w:szCs w:val="20"/>
          <w:color w:val="auto"/>
        </w:rPr>
      </w:pPr>
    </w:p>
    <w:tbl>
      <w:tblPr>
        <w:tblLayout w:type="fixed"/>
        <w:tblInd w:w="360" w:type="dxa"/>
        <w:tblCellMar>
          <w:top w:w="0" w:type="dxa"/>
          <w:left w:w="0" w:type="dxa"/>
          <w:bottom w:w="0" w:type="dxa"/>
          <w:right w:w="0" w:type="dxa"/>
        </w:tblCellMar>
      </w:tblPr>
      <w:tr>
        <w:trPr>
          <w:trHeight w:val="226"/>
        </w:trPr>
        <w:tc>
          <w:tcPr>
            <w:tcW w:w="3900" w:type="dxa"/>
            <w:vAlign w:val="bottom"/>
          </w:tcPr>
          <w:p>
            <w:pPr>
              <w:spacing w:after="0"/>
              <w:rPr>
                <w:sz w:val="20"/>
                <w:szCs w:val="20"/>
                <w:color w:val="auto"/>
              </w:rPr>
            </w:pPr>
            <w:r>
              <w:rPr>
                <w:rFonts w:ascii="Arial" w:cs="Arial" w:eastAsia="Arial" w:hAnsi="Arial"/>
                <w:sz w:val="17"/>
                <w:szCs w:val="17"/>
                <w:color w:val="auto"/>
              </w:rPr>
              <w:t>2023 Notice and Proxy Statement</w:t>
            </w:r>
          </w:p>
        </w:tc>
        <w:tc>
          <w:tcPr>
            <w:tcW w:w="1520" w:type="dxa"/>
            <w:vAlign w:val="bottom"/>
          </w:tcPr>
          <w:p>
            <w:pPr>
              <w:jc w:val="right"/>
              <w:spacing w:after="0"/>
              <w:rPr>
                <w:sz w:val="20"/>
                <w:szCs w:val="20"/>
                <w:color w:val="auto"/>
              </w:rPr>
            </w:pPr>
            <w:r>
              <w:rPr>
                <w:rFonts w:ascii="Arial" w:cs="Arial" w:eastAsia="Arial" w:hAnsi="Arial"/>
                <w:sz w:val="17"/>
                <w:szCs w:val="17"/>
                <w:color w:val="auto"/>
              </w:rPr>
              <w:t>20</w:t>
            </w:r>
          </w:p>
        </w:tc>
      </w:tr>
    </w:tbl>
    <w:p>
      <w:pPr>
        <w:sectPr>
          <w:pgSz w:w="11900" w:h="16838" w:orient="portrait"/>
          <w:cols w:equalWidth="0" w:num="1">
            <w:col w:w="10880"/>
          </w:cols>
          <w:pgMar w:left="320" w:top="468" w:right="69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5397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79945" cy="53975"/>
                    </a:xfrm>
                    <a:prstGeom prst="rect">
                      <a:avLst/>
                    </a:prstGeom>
                    <a:noFill/>
                  </pic:spPr>
                </pic:pic>
              </a:graphicData>
            </a:graphic>
          </wp:anchor>
        </w:drawing>
        <w:t>Table of Contents</w:t>
      </w:r>
    </w:p>
    <w:p>
      <w:pPr>
        <w:spacing w:after="0" w:line="296"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Corporate Governance</w:t>
      </w:r>
    </w:p>
    <w:p>
      <w:pPr>
        <w:spacing w:after="0" w:line="21" w:lineRule="exact"/>
        <w:rPr>
          <w:sz w:val="20"/>
          <w:szCs w:val="20"/>
          <w:color w:val="auto"/>
        </w:rPr>
      </w:pPr>
    </w:p>
    <w:p>
      <w:pPr>
        <w:jc w:val="right"/>
        <w:ind w:right="20"/>
        <w:spacing w:after="0"/>
        <w:rPr>
          <w:sz w:val="20"/>
          <w:szCs w:val="20"/>
          <w:color w:val="auto"/>
        </w:rPr>
      </w:pPr>
      <w:r>
        <w:rPr>
          <w:rFonts w:ascii="Arial" w:cs="Arial" w:eastAsia="Arial" w:hAnsi="Arial"/>
          <w:sz w:val="14"/>
          <w:szCs w:val="14"/>
          <w:b w:val="1"/>
          <w:bCs w:val="1"/>
          <w:color w:val="auto"/>
        </w:rPr>
        <w:t>Committees of the Board of Directors</w:t>
      </w:r>
    </w:p>
    <w:p>
      <w:pPr>
        <w:spacing w:after="0" w:line="101" w:lineRule="exact"/>
        <w:rPr>
          <w:sz w:val="20"/>
          <w:szCs w:val="20"/>
          <w:color w:val="auto"/>
        </w:rPr>
      </w:pPr>
    </w:p>
    <w:p>
      <w:pPr>
        <w:ind w:left="360"/>
        <w:spacing w:after="0"/>
        <w:rPr>
          <w:sz w:val="20"/>
          <w:szCs w:val="20"/>
          <w:color w:val="auto"/>
        </w:rPr>
      </w:pPr>
      <w:r>
        <w:rPr>
          <w:rFonts w:ascii="Arial" w:cs="Arial" w:eastAsia="Arial" w:hAnsi="Arial"/>
          <w:sz w:val="28"/>
          <w:szCs w:val="28"/>
          <w:color w:val="auto"/>
        </w:rPr>
        <w:t>Leadership Development and Compensation Committee</w:t>
      </w:r>
    </w:p>
    <w:p>
      <w:pPr>
        <w:spacing w:after="0" w:line="220" w:lineRule="exact"/>
        <w:rPr>
          <w:sz w:val="20"/>
          <w:szCs w:val="20"/>
          <w:color w:val="auto"/>
        </w:rPr>
      </w:pPr>
    </w:p>
    <w:p>
      <w:pPr>
        <w:ind w:left="360" w:right="600"/>
        <w:spacing w:after="0" w:line="274" w:lineRule="auto"/>
        <w:rPr>
          <w:sz w:val="20"/>
          <w:szCs w:val="20"/>
          <w:color w:val="auto"/>
        </w:rPr>
      </w:pPr>
      <w:r>
        <w:rPr>
          <w:rFonts w:ascii="Arial" w:cs="Arial" w:eastAsia="Arial" w:hAnsi="Arial"/>
          <w:sz w:val="17"/>
          <w:szCs w:val="17"/>
          <w:color w:val="auto"/>
        </w:rPr>
        <w:t>The purpose of the LD&amp;C Committee is to oversee the compensation of our directors and employees, including our CEO and other executive officers and to oversee management development and succession planning and related matters.</w:t>
      </w:r>
    </w:p>
    <w:p>
      <w:pPr>
        <w:spacing w:after="0" w:line="122" w:lineRule="exact"/>
        <w:rPr>
          <w:sz w:val="20"/>
          <w:szCs w:val="20"/>
          <w:color w:val="auto"/>
        </w:rPr>
      </w:pPr>
    </w:p>
    <w:p>
      <w:pPr>
        <w:ind w:left="360"/>
        <w:spacing w:after="0"/>
        <w:rPr>
          <w:sz w:val="20"/>
          <w:szCs w:val="20"/>
          <w:color w:val="auto"/>
        </w:rPr>
      </w:pPr>
      <w:r>
        <w:rPr>
          <w:rFonts w:ascii="Arial" w:cs="Arial" w:eastAsia="Arial" w:hAnsi="Arial"/>
          <w:sz w:val="17"/>
          <w:szCs w:val="17"/>
          <w:color w:val="auto"/>
        </w:rPr>
        <w:t>In carrying out these duties, the LD&amp;C Committee:</w:t>
      </w:r>
    </w:p>
    <w:p>
      <w:pPr>
        <w:spacing w:after="0" w:line="114" w:lineRule="exact"/>
        <w:rPr>
          <w:sz w:val="20"/>
          <w:szCs w:val="20"/>
          <w:color w:val="auto"/>
        </w:rPr>
      </w:pPr>
    </w:p>
    <w:p>
      <w:pPr>
        <w:ind w:left="780" w:right="80" w:hanging="422"/>
        <w:spacing w:after="0" w:line="274" w:lineRule="auto"/>
        <w:tabs>
          <w:tab w:leader="none" w:pos="780" w:val="left"/>
        </w:tabs>
        <w:numPr>
          <w:ilvl w:val="0"/>
          <w:numId w:val="15"/>
        </w:numPr>
        <w:rPr>
          <w:rFonts w:ascii="Arial" w:cs="Arial" w:eastAsia="Arial" w:hAnsi="Arial"/>
          <w:sz w:val="17"/>
          <w:szCs w:val="17"/>
          <w:color w:val="00467D"/>
        </w:rPr>
      </w:pPr>
      <w:r>
        <w:rPr>
          <w:rFonts w:ascii="Arial" w:cs="Arial" w:eastAsia="Arial" w:hAnsi="Arial"/>
          <w:sz w:val="17"/>
          <w:szCs w:val="17"/>
          <w:color w:val="auto"/>
        </w:rPr>
        <w:t>reviews and approves our corporate goals relevant to compensation and evaluates the performance of our CEO and other executive officers against those goals;</w:t>
      </w:r>
    </w:p>
    <w:p>
      <w:pPr>
        <w:spacing w:after="0" w:line="57" w:lineRule="exact"/>
        <w:rPr>
          <w:rFonts w:ascii="Arial" w:cs="Arial" w:eastAsia="Arial" w:hAnsi="Arial"/>
          <w:sz w:val="17"/>
          <w:szCs w:val="17"/>
          <w:color w:val="00467D"/>
        </w:rPr>
      </w:pPr>
    </w:p>
    <w:p>
      <w:pPr>
        <w:ind w:left="780" w:right="40" w:hanging="422"/>
        <w:spacing w:after="0" w:line="274" w:lineRule="auto"/>
        <w:tabs>
          <w:tab w:leader="none" w:pos="780" w:val="left"/>
        </w:tabs>
        <w:numPr>
          <w:ilvl w:val="0"/>
          <w:numId w:val="15"/>
        </w:numPr>
        <w:rPr>
          <w:rFonts w:ascii="Arial" w:cs="Arial" w:eastAsia="Arial" w:hAnsi="Arial"/>
          <w:sz w:val="17"/>
          <w:szCs w:val="17"/>
          <w:color w:val="00467D"/>
        </w:rPr>
      </w:pPr>
      <w:r>
        <w:rPr>
          <w:rFonts w:ascii="Arial" w:cs="Arial" w:eastAsia="Arial" w:hAnsi="Arial"/>
          <w:sz w:val="17"/>
          <w:szCs w:val="17"/>
          <w:color w:val="auto"/>
        </w:rPr>
        <w:t>determines the compensation of our CEO and other executive officers based on their evaluations, competitive market data pertaining to compensation at comparable companies and other relevant factors;</w:t>
      </w:r>
    </w:p>
    <w:p>
      <w:pPr>
        <w:spacing w:after="0" w:line="57" w:lineRule="exact"/>
        <w:rPr>
          <w:rFonts w:ascii="Arial" w:cs="Arial" w:eastAsia="Arial" w:hAnsi="Arial"/>
          <w:sz w:val="17"/>
          <w:szCs w:val="17"/>
          <w:color w:val="00467D"/>
        </w:rPr>
      </w:pPr>
    </w:p>
    <w:p>
      <w:pPr>
        <w:ind w:left="780" w:hanging="422"/>
        <w:spacing w:after="0"/>
        <w:tabs>
          <w:tab w:leader="none" w:pos="780" w:val="left"/>
        </w:tabs>
        <w:numPr>
          <w:ilvl w:val="0"/>
          <w:numId w:val="15"/>
        </w:numPr>
        <w:rPr>
          <w:rFonts w:ascii="Arial" w:cs="Arial" w:eastAsia="Arial" w:hAnsi="Arial"/>
          <w:sz w:val="17"/>
          <w:szCs w:val="17"/>
          <w:color w:val="00467D"/>
        </w:rPr>
      </w:pPr>
      <w:r>
        <w:rPr>
          <w:rFonts w:ascii="Arial" w:cs="Arial" w:eastAsia="Arial" w:hAnsi="Arial"/>
          <w:sz w:val="17"/>
          <w:szCs w:val="17"/>
          <w:color w:val="auto"/>
        </w:rPr>
        <w:t>administers and executes discretionary authority over the issuance of equity awards under our equity incentive plan;</w:t>
      </w:r>
    </w:p>
    <w:p>
      <w:pPr>
        <w:spacing w:after="0" w:line="114" w:lineRule="exact"/>
        <w:rPr>
          <w:rFonts w:ascii="Arial" w:cs="Arial" w:eastAsia="Arial" w:hAnsi="Arial"/>
          <w:sz w:val="17"/>
          <w:szCs w:val="17"/>
          <w:color w:val="00467D"/>
        </w:rPr>
      </w:pPr>
    </w:p>
    <w:p>
      <w:pPr>
        <w:ind w:left="780" w:hanging="422"/>
        <w:spacing w:after="0"/>
        <w:tabs>
          <w:tab w:leader="none" w:pos="780" w:val="left"/>
        </w:tabs>
        <w:numPr>
          <w:ilvl w:val="0"/>
          <w:numId w:val="15"/>
        </w:numPr>
        <w:rPr>
          <w:rFonts w:ascii="Arial" w:cs="Arial" w:eastAsia="Arial" w:hAnsi="Arial"/>
          <w:sz w:val="17"/>
          <w:szCs w:val="17"/>
          <w:color w:val="00467D"/>
        </w:rPr>
      </w:pPr>
      <w:r>
        <w:rPr>
          <w:rFonts w:ascii="Arial" w:cs="Arial" w:eastAsia="Arial" w:hAnsi="Arial"/>
          <w:sz w:val="17"/>
          <w:szCs w:val="17"/>
          <w:color w:val="auto"/>
        </w:rPr>
        <w:t>evaluates any applicable post-service arrangements for our CEO and other executive officers;</w:t>
      </w:r>
    </w:p>
    <w:p>
      <w:pPr>
        <w:spacing w:after="0" w:line="114" w:lineRule="exact"/>
        <w:rPr>
          <w:rFonts w:ascii="Arial" w:cs="Arial" w:eastAsia="Arial" w:hAnsi="Arial"/>
          <w:sz w:val="17"/>
          <w:szCs w:val="17"/>
          <w:color w:val="00467D"/>
        </w:rPr>
      </w:pPr>
    </w:p>
    <w:p>
      <w:pPr>
        <w:ind w:left="780" w:right="140" w:hanging="422"/>
        <w:spacing w:after="0" w:line="274" w:lineRule="auto"/>
        <w:tabs>
          <w:tab w:leader="none" w:pos="780" w:val="left"/>
        </w:tabs>
        <w:numPr>
          <w:ilvl w:val="0"/>
          <w:numId w:val="15"/>
        </w:numPr>
        <w:rPr>
          <w:rFonts w:ascii="Arial" w:cs="Arial" w:eastAsia="Arial" w:hAnsi="Arial"/>
          <w:sz w:val="17"/>
          <w:szCs w:val="17"/>
          <w:color w:val="00467D"/>
        </w:rPr>
      </w:pPr>
      <w:r>
        <w:rPr>
          <w:rFonts w:ascii="Arial" w:cs="Arial" w:eastAsia="Arial" w:hAnsi="Arial"/>
          <w:sz w:val="17"/>
          <w:szCs w:val="17"/>
          <w:color w:val="auto"/>
        </w:rPr>
        <w:t>reviews on a periodic basis the operation and structure of our compensation program, considering our business strategy, the results of any most recent Say-on-Pay vote and relative competitiveness against the market;</w:t>
      </w:r>
    </w:p>
    <w:p>
      <w:pPr>
        <w:spacing w:after="0" w:line="57" w:lineRule="exact"/>
        <w:rPr>
          <w:rFonts w:ascii="Arial" w:cs="Arial" w:eastAsia="Arial" w:hAnsi="Arial"/>
          <w:sz w:val="17"/>
          <w:szCs w:val="17"/>
          <w:color w:val="00467D"/>
        </w:rPr>
      </w:pPr>
    </w:p>
    <w:p>
      <w:pPr>
        <w:ind w:left="780" w:hanging="422"/>
        <w:spacing w:after="0"/>
        <w:tabs>
          <w:tab w:leader="none" w:pos="780" w:val="left"/>
        </w:tabs>
        <w:numPr>
          <w:ilvl w:val="0"/>
          <w:numId w:val="15"/>
        </w:numPr>
        <w:rPr>
          <w:rFonts w:ascii="Arial" w:cs="Arial" w:eastAsia="Arial" w:hAnsi="Arial"/>
          <w:sz w:val="17"/>
          <w:szCs w:val="17"/>
          <w:color w:val="00467D"/>
        </w:rPr>
      </w:pPr>
      <w:r>
        <w:rPr>
          <w:rFonts w:ascii="Arial" w:cs="Arial" w:eastAsia="Arial" w:hAnsi="Arial"/>
          <w:sz w:val="17"/>
          <w:szCs w:val="17"/>
          <w:color w:val="auto"/>
        </w:rPr>
        <w:t>advises the Board with respect to our Board and committee compensation;</w:t>
      </w:r>
    </w:p>
    <w:p>
      <w:pPr>
        <w:spacing w:after="0" w:line="114" w:lineRule="exact"/>
        <w:rPr>
          <w:rFonts w:ascii="Arial" w:cs="Arial" w:eastAsia="Arial" w:hAnsi="Arial"/>
          <w:sz w:val="17"/>
          <w:szCs w:val="17"/>
          <w:color w:val="00467D"/>
        </w:rPr>
      </w:pPr>
    </w:p>
    <w:p>
      <w:pPr>
        <w:ind w:left="780" w:right="100" w:hanging="422"/>
        <w:spacing w:after="0" w:line="274" w:lineRule="auto"/>
        <w:tabs>
          <w:tab w:leader="none" w:pos="780" w:val="left"/>
        </w:tabs>
        <w:numPr>
          <w:ilvl w:val="0"/>
          <w:numId w:val="15"/>
        </w:numPr>
        <w:rPr>
          <w:rFonts w:ascii="Arial" w:cs="Arial" w:eastAsia="Arial" w:hAnsi="Arial"/>
          <w:sz w:val="17"/>
          <w:szCs w:val="17"/>
          <w:color w:val="00467D"/>
        </w:rPr>
      </w:pPr>
      <w:r>
        <w:rPr>
          <w:rFonts w:ascii="Arial" w:cs="Arial" w:eastAsia="Arial" w:hAnsi="Arial"/>
          <w:sz w:val="17"/>
          <w:szCs w:val="17"/>
          <w:color w:val="auto"/>
        </w:rPr>
        <w:t>produces the Compensation Committee Report on executive officer compensation and reviews and discusses with management the “Compensation Discussion and Analysis” section proposed for inclusion in our SEC filings; and</w:t>
      </w:r>
    </w:p>
    <w:p>
      <w:pPr>
        <w:spacing w:after="0" w:line="57" w:lineRule="exact"/>
        <w:rPr>
          <w:rFonts w:ascii="Arial" w:cs="Arial" w:eastAsia="Arial" w:hAnsi="Arial"/>
          <w:sz w:val="17"/>
          <w:szCs w:val="17"/>
          <w:color w:val="00467D"/>
        </w:rPr>
      </w:pPr>
    </w:p>
    <w:p>
      <w:pPr>
        <w:ind w:left="780" w:hanging="422"/>
        <w:spacing w:after="0"/>
        <w:tabs>
          <w:tab w:leader="none" w:pos="780" w:val="left"/>
        </w:tabs>
        <w:numPr>
          <w:ilvl w:val="0"/>
          <w:numId w:val="15"/>
        </w:numPr>
        <w:rPr>
          <w:rFonts w:ascii="Arial" w:cs="Arial" w:eastAsia="Arial" w:hAnsi="Arial"/>
          <w:sz w:val="17"/>
          <w:szCs w:val="17"/>
          <w:color w:val="00467D"/>
        </w:rPr>
      </w:pPr>
      <w:r>
        <w:rPr>
          <w:rFonts w:ascii="Arial" w:cs="Arial" w:eastAsia="Arial" w:hAnsi="Arial"/>
          <w:sz w:val="17"/>
          <w:szCs w:val="17"/>
          <w:color w:val="auto"/>
        </w:rPr>
        <w:t>oversees short-term and long-term management succession planning and leadership assessment and development.</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17"/>
          <w:szCs w:val="17"/>
          <w:color w:val="auto"/>
        </w:rPr>
        <w:t>The LD&amp;C Committee met six times in 2022. The members of the LD&amp;C Committee are Mr. Neary (chair) and Mr. Mihas. Each of Messrs.</w:t>
      </w:r>
    </w:p>
    <w:p>
      <w:pPr>
        <w:spacing w:after="0" w:line="14" w:lineRule="exact"/>
        <w:rPr>
          <w:sz w:val="20"/>
          <w:szCs w:val="20"/>
          <w:color w:val="auto"/>
        </w:rPr>
      </w:pPr>
    </w:p>
    <w:p>
      <w:pPr>
        <w:ind w:left="360"/>
        <w:spacing w:after="0"/>
        <w:rPr>
          <w:sz w:val="20"/>
          <w:szCs w:val="20"/>
          <w:color w:val="auto"/>
        </w:rPr>
      </w:pPr>
      <w:r>
        <w:rPr>
          <w:rFonts w:ascii="Arial" w:cs="Arial" w:eastAsia="Arial" w:hAnsi="Arial"/>
          <w:sz w:val="17"/>
          <w:szCs w:val="17"/>
          <w:color w:val="auto"/>
        </w:rPr>
        <w:t>Neary and Mihas is “independent” as defined under the Nasdaq rules.</w:t>
      </w:r>
    </w:p>
    <w:p>
      <w:pPr>
        <w:spacing w:after="0" w:line="150" w:lineRule="exact"/>
        <w:rPr>
          <w:sz w:val="20"/>
          <w:szCs w:val="20"/>
          <w:color w:val="auto"/>
        </w:rPr>
      </w:pPr>
    </w:p>
    <w:p>
      <w:pPr>
        <w:ind w:left="360" w:right="2180"/>
        <w:spacing w:after="0" w:line="274" w:lineRule="auto"/>
        <w:rPr>
          <w:sz w:val="20"/>
          <w:szCs w:val="20"/>
          <w:color w:val="auto"/>
        </w:rPr>
      </w:pPr>
      <w:r>
        <w:rPr>
          <w:rFonts w:ascii="Arial" w:cs="Arial" w:eastAsia="Arial" w:hAnsi="Arial"/>
          <w:sz w:val="17"/>
          <w:szCs w:val="17"/>
          <w:color w:val="auto"/>
        </w:rPr>
        <w:t>Our LD&amp;C Committee operates under a written charter, which is available on our Investor Relations website at https://investors.soterahealth.com/.</w:t>
      </w:r>
    </w:p>
    <w:p>
      <w:pPr>
        <w:spacing w:after="0" w:line="238" w:lineRule="exact"/>
        <w:rPr>
          <w:sz w:val="20"/>
          <w:szCs w:val="20"/>
          <w:color w:val="auto"/>
        </w:rPr>
      </w:pPr>
    </w:p>
    <w:p>
      <w:pPr>
        <w:ind w:left="360"/>
        <w:spacing w:after="0"/>
        <w:rPr>
          <w:sz w:val="20"/>
          <w:szCs w:val="20"/>
          <w:color w:val="auto"/>
        </w:rPr>
      </w:pPr>
      <w:r>
        <w:rPr>
          <w:rFonts w:ascii="Arial" w:cs="Arial" w:eastAsia="Arial" w:hAnsi="Arial"/>
          <w:sz w:val="28"/>
          <w:szCs w:val="28"/>
          <w:color w:val="auto"/>
        </w:rPr>
        <w:t>Nominating and Corporate Governance Committee</w:t>
      </w:r>
    </w:p>
    <w:p>
      <w:pPr>
        <w:spacing w:after="0" w:line="194" w:lineRule="exact"/>
        <w:rPr>
          <w:sz w:val="20"/>
          <w:szCs w:val="20"/>
          <w:color w:val="auto"/>
        </w:rPr>
      </w:pPr>
    </w:p>
    <w:p>
      <w:pPr>
        <w:ind w:left="360" w:right="220"/>
        <w:spacing w:after="0" w:line="246" w:lineRule="auto"/>
        <w:rPr>
          <w:sz w:val="20"/>
          <w:szCs w:val="20"/>
          <w:color w:val="auto"/>
        </w:rPr>
      </w:pPr>
      <w:r>
        <w:rPr>
          <w:rFonts w:ascii="Arial" w:cs="Arial" w:eastAsia="Arial" w:hAnsi="Arial"/>
          <w:sz w:val="17"/>
          <w:szCs w:val="17"/>
          <w:color w:val="auto"/>
        </w:rPr>
        <w:t>The Governance Committee’s main purpose is to identify and evaluate individuals qualified to become Board members consistent with criteria approved by the Board, to recommend for the Board’s approval the slate of nominees for proposal to shareholders for election to the Board, develop and recommend to the Board for approval a set of Corporate Governance Guidelines, lead the annual review of the performance of the Board and each of its standing committees, and oversee our program related to corporate responsibility and sustainability, including ESG initiatives.</w:t>
      </w:r>
    </w:p>
    <w:p>
      <w:pPr>
        <w:spacing w:after="0" w:line="134" w:lineRule="exact"/>
        <w:rPr>
          <w:sz w:val="20"/>
          <w:szCs w:val="20"/>
          <w:color w:val="auto"/>
        </w:rPr>
      </w:pPr>
    </w:p>
    <w:p>
      <w:pPr>
        <w:ind w:left="360"/>
        <w:spacing w:after="0"/>
        <w:rPr>
          <w:sz w:val="20"/>
          <w:szCs w:val="20"/>
          <w:color w:val="auto"/>
        </w:rPr>
      </w:pPr>
      <w:r>
        <w:rPr>
          <w:rFonts w:ascii="Arial" w:cs="Arial" w:eastAsia="Arial" w:hAnsi="Arial"/>
          <w:sz w:val="17"/>
          <w:szCs w:val="17"/>
          <w:color w:val="auto"/>
        </w:rPr>
        <w:t>In carrying out this purpose, the Governance Committee:</w:t>
      </w:r>
    </w:p>
    <w:p>
      <w:pPr>
        <w:spacing w:after="0" w:line="114" w:lineRule="exact"/>
        <w:rPr>
          <w:sz w:val="20"/>
          <w:szCs w:val="20"/>
          <w:color w:val="auto"/>
        </w:rPr>
      </w:pPr>
    </w:p>
    <w:p>
      <w:pPr>
        <w:ind w:left="780" w:right="340" w:hanging="422"/>
        <w:spacing w:after="0" w:line="274" w:lineRule="auto"/>
        <w:tabs>
          <w:tab w:leader="none" w:pos="780" w:val="left"/>
        </w:tabs>
        <w:numPr>
          <w:ilvl w:val="0"/>
          <w:numId w:val="16"/>
        </w:numPr>
        <w:rPr>
          <w:rFonts w:ascii="Arial" w:cs="Arial" w:eastAsia="Arial" w:hAnsi="Arial"/>
          <w:sz w:val="17"/>
          <w:szCs w:val="17"/>
          <w:color w:val="00467D"/>
        </w:rPr>
      </w:pPr>
      <w:r>
        <w:rPr>
          <w:rFonts w:ascii="Arial" w:cs="Arial" w:eastAsia="Arial" w:hAnsi="Arial"/>
          <w:sz w:val="17"/>
          <w:szCs w:val="17"/>
          <w:color w:val="auto"/>
        </w:rPr>
        <w:t>evaluates the composition, size, organization, performance and governance of the Board and each of its committees, and makes recommendations to the Board about the appointment of directors to committees of the Board;</w:t>
      </w:r>
    </w:p>
    <w:p>
      <w:pPr>
        <w:spacing w:after="0" w:line="57" w:lineRule="exact"/>
        <w:rPr>
          <w:rFonts w:ascii="Arial" w:cs="Arial" w:eastAsia="Arial" w:hAnsi="Arial"/>
          <w:sz w:val="17"/>
          <w:szCs w:val="17"/>
          <w:color w:val="00467D"/>
        </w:rPr>
      </w:pPr>
    </w:p>
    <w:p>
      <w:pPr>
        <w:ind w:left="780" w:right="580" w:hanging="422"/>
        <w:spacing w:after="0" w:line="274" w:lineRule="auto"/>
        <w:tabs>
          <w:tab w:leader="none" w:pos="780" w:val="left"/>
        </w:tabs>
        <w:numPr>
          <w:ilvl w:val="0"/>
          <w:numId w:val="16"/>
        </w:numPr>
        <w:rPr>
          <w:rFonts w:ascii="Arial" w:cs="Arial" w:eastAsia="Arial" w:hAnsi="Arial"/>
          <w:sz w:val="17"/>
          <w:szCs w:val="17"/>
          <w:color w:val="00467D"/>
        </w:rPr>
      </w:pPr>
      <w:r>
        <w:rPr>
          <w:rFonts w:ascii="Arial" w:cs="Arial" w:eastAsia="Arial" w:hAnsi="Arial"/>
          <w:sz w:val="17"/>
          <w:szCs w:val="17"/>
          <w:color w:val="auto"/>
        </w:rPr>
        <w:t>monitors developments and oversees our practices and policies related to corporate responsibility and sustainability, including environmental (e.g., climate change), social, and corporate governance issues;</w:t>
      </w:r>
    </w:p>
    <w:p>
      <w:pPr>
        <w:spacing w:after="0" w:line="57" w:lineRule="exact"/>
        <w:rPr>
          <w:rFonts w:ascii="Arial" w:cs="Arial" w:eastAsia="Arial" w:hAnsi="Arial"/>
          <w:sz w:val="17"/>
          <w:szCs w:val="17"/>
          <w:color w:val="00467D"/>
        </w:rPr>
      </w:pPr>
    </w:p>
    <w:p>
      <w:pPr>
        <w:ind w:left="780" w:right="60" w:hanging="422"/>
        <w:spacing w:after="0" w:line="274" w:lineRule="auto"/>
        <w:tabs>
          <w:tab w:leader="none" w:pos="780" w:val="left"/>
        </w:tabs>
        <w:numPr>
          <w:ilvl w:val="0"/>
          <w:numId w:val="16"/>
        </w:numPr>
        <w:rPr>
          <w:rFonts w:ascii="Arial" w:cs="Arial" w:eastAsia="Arial" w:hAnsi="Arial"/>
          <w:sz w:val="17"/>
          <w:szCs w:val="17"/>
          <w:color w:val="00467D"/>
        </w:rPr>
      </w:pPr>
      <w:r>
        <w:rPr>
          <w:rFonts w:ascii="Arial" w:cs="Arial" w:eastAsia="Arial" w:hAnsi="Arial"/>
          <w:sz w:val="17"/>
          <w:szCs w:val="17"/>
          <w:color w:val="auto"/>
        </w:rPr>
        <w:t>develops policies and criteria for considering director nominees for election to the Board, including as appropriate to conduct director independence determinations; and</w:t>
      </w:r>
    </w:p>
    <w:p>
      <w:pPr>
        <w:spacing w:after="0" w:line="57" w:lineRule="exact"/>
        <w:rPr>
          <w:rFonts w:ascii="Arial" w:cs="Arial" w:eastAsia="Arial" w:hAnsi="Arial"/>
          <w:sz w:val="17"/>
          <w:szCs w:val="17"/>
          <w:color w:val="00467D"/>
        </w:rPr>
      </w:pPr>
    </w:p>
    <w:p>
      <w:pPr>
        <w:ind w:left="780" w:right="480" w:hanging="422"/>
        <w:spacing w:after="0" w:line="274" w:lineRule="auto"/>
        <w:tabs>
          <w:tab w:leader="none" w:pos="780" w:val="left"/>
        </w:tabs>
        <w:numPr>
          <w:ilvl w:val="0"/>
          <w:numId w:val="16"/>
        </w:numPr>
        <w:rPr>
          <w:rFonts w:ascii="Arial" w:cs="Arial" w:eastAsia="Arial" w:hAnsi="Arial"/>
          <w:sz w:val="17"/>
          <w:szCs w:val="17"/>
          <w:color w:val="00467D"/>
        </w:rPr>
      </w:pPr>
      <w:r>
        <w:rPr>
          <w:rFonts w:ascii="Arial" w:cs="Arial" w:eastAsia="Arial" w:hAnsi="Arial"/>
          <w:sz w:val="17"/>
          <w:szCs w:val="17"/>
          <w:color w:val="auto"/>
        </w:rPr>
        <w:t>ensures compliance with the Corporate Governance Guidelines and reviews and recommends any changes to the Board on an annual basis.</w:t>
      </w:r>
    </w:p>
    <w:p>
      <w:pPr>
        <w:spacing w:after="0" w:line="109" w:lineRule="exact"/>
        <w:rPr>
          <w:sz w:val="20"/>
          <w:szCs w:val="20"/>
          <w:color w:val="auto"/>
        </w:rPr>
      </w:pPr>
    </w:p>
    <w:p>
      <w:pPr>
        <w:ind w:left="360"/>
        <w:spacing w:after="0"/>
        <w:rPr>
          <w:sz w:val="20"/>
          <w:szCs w:val="20"/>
          <w:color w:val="auto"/>
        </w:rPr>
      </w:pPr>
      <w:r>
        <w:rPr>
          <w:rFonts w:ascii="Arial" w:cs="Arial" w:eastAsia="Arial" w:hAnsi="Arial"/>
          <w:sz w:val="17"/>
          <w:szCs w:val="17"/>
          <w:color w:val="auto"/>
        </w:rPr>
        <w:t>The Governance Committee met four times in 2022. The members of the Governance Committee are Ms. Klee (chair), Mr. Chen,</w:t>
      </w:r>
    </w:p>
    <w:p>
      <w:pPr>
        <w:spacing w:after="0" w:line="14" w:lineRule="exact"/>
        <w:rPr>
          <w:sz w:val="20"/>
          <w:szCs w:val="20"/>
          <w:color w:val="auto"/>
        </w:rPr>
      </w:pPr>
    </w:p>
    <w:p>
      <w:pPr>
        <w:ind w:left="360"/>
        <w:spacing w:after="0"/>
        <w:rPr>
          <w:sz w:val="20"/>
          <w:szCs w:val="20"/>
          <w:color w:val="auto"/>
        </w:rPr>
      </w:pPr>
      <w:r>
        <w:rPr>
          <w:rFonts w:ascii="Arial" w:cs="Arial" w:eastAsia="Arial" w:hAnsi="Arial"/>
          <w:sz w:val="17"/>
          <w:szCs w:val="17"/>
          <w:color w:val="auto"/>
        </w:rPr>
        <w:t>Mr. Cunningham, Mr. Donnini and Dr. Wheadon. Each member of the Committee is “independent” as defined under the Nasdaq rules.</w:t>
      </w:r>
    </w:p>
    <w:p>
      <w:pPr>
        <w:spacing w:after="0" w:line="163" w:lineRule="exact"/>
        <w:rPr>
          <w:sz w:val="20"/>
          <w:szCs w:val="20"/>
          <w:color w:val="auto"/>
        </w:rPr>
      </w:pPr>
    </w:p>
    <w:p>
      <w:pPr>
        <w:ind w:left="360" w:right="1700"/>
        <w:spacing w:after="0" w:line="274" w:lineRule="auto"/>
        <w:rPr>
          <w:sz w:val="20"/>
          <w:szCs w:val="20"/>
          <w:color w:val="auto"/>
        </w:rPr>
      </w:pPr>
      <w:r>
        <w:rPr>
          <w:rFonts w:ascii="Arial" w:cs="Arial" w:eastAsia="Arial" w:hAnsi="Arial"/>
          <w:sz w:val="17"/>
          <w:szCs w:val="17"/>
          <w:color w:val="auto"/>
        </w:rPr>
        <w:t>Our Governance Committee operates under a written charter, which is available on our Investor Relations website at https://investors.soterahealth.com/.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231775</wp:posOffset>
            </wp:positionH>
            <wp:positionV relativeFrom="paragraph">
              <wp:posOffset>79375</wp:posOffset>
            </wp:positionV>
            <wp:extent cx="6687820" cy="1651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687820" cy="16510"/>
                    </a:xfrm>
                    <a:prstGeom prst="rect">
                      <a:avLst/>
                    </a:prstGeom>
                    <a:noFill/>
                  </pic:spPr>
                </pic:pic>
              </a:graphicData>
            </a:graphic>
          </wp:anchor>
        </w:drawing>
      </w:r>
    </w:p>
    <w:p>
      <w:pPr>
        <w:spacing w:after="0" w:line="282"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6443980</wp:posOffset>
            </wp:positionH>
            <wp:positionV relativeFrom="paragraph">
              <wp:posOffset>-113030</wp:posOffset>
            </wp:positionV>
            <wp:extent cx="475615" cy="15557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475615" cy="155575"/>
                    </a:xfrm>
                    <a:prstGeom prst="rect">
                      <a:avLst/>
                    </a:prstGeom>
                    <a:noFill/>
                  </pic:spPr>
                </pic:pic>
              </a:graphicData>
            </a:graphic>
          </wp:anchor>
        </w:drawing>
      </w:r>
    </w:p>
    <w:p>
      <w:pPr>
        <w:sectPr>
          <w:pgSz w:w="11900" w:h="16838" w:orient="portrait"/>
          <w:cols w:equalWidth="0" w:num="1">
            <w:col w:w="10900"/>
          </w:cols>
          <w:pgMar w:left="320" w:top="468" w:right="67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5397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79945" cy="53975"/>
                    </a:xfrm>
                    <a:prstGeom prst="rect">
                      <a:avLst/>
                    </a:prstGeom>
                    <a:noFill/>
                  </pic:spPr>
                </pic:pic>
              </a:graphicData>
            </a:graphic>
          </wp:anchor>
        </w:drawing>
        <w:t>Table of Contents</w:t>
      </w:r>
    </w:p>
    <w:p>
      <w:pPr>
        <w:spacing w:after="0" w:line="296"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auto"/>
        </w:rPr>
        <w:t>Corporate Governance</w:t>
      </w:r>
    </w:p>
    <w:p>
      <w:pPr>
        <w:spacing w:after="0" w:line="21" w:lineRule="exact"/>
        <w:rPr>
          <w:sz w:val="20"/>
          <w:szCs w:val="20"/>
          <w:color w:val="auto"/>
        </w:rPr>
      </w:pPr>
    </w:p>
    <w:p>
      <w:pPr>
        <w:ind w:left="360"/>
        <w:spacing w:after="0"/>
        <w:rPr>
          <w:sz w:val="20"/>
          <w:szCs w:val="20"/>
          <w:color w:val="auto"/>
        </w:rPr>
      </w:pPr>
      <w:r>
        <w:rPr>
          <w:rFonts w:ascii="Arial" w:cs="Arial" w:eastAsia="Arial" w:hAnsi="Arial"/>
          <w:sz w:val="14"/>
          <w:szCs w:val="14"/>
          <w:b w:val="1"/>
          <w:bCs w:val="1"/>
          <w:color w:val="auto"/>
        </w:rPr>
        <w:t>Corporate Governance Policies and Practices</w:t>
      </w:r>
    </w:p>
    <w:p>
      <w:pPr>
        <w:spacing w:after="0" w:line="101" w:lineRule="exact"/>
        <w:rPr>
          <w:sz w:val="20"/>
          <w:szCs w:val="20"/>
          <w:color w:val="auto"/>
        </w:rPr>
      </w:pPr>
    </w:p>
    <w:p>
      <w:pPr>
        <w:ind w:left="360"/>
        <w:spacing w:after="0"/>
        <w:rPr>
          <w:sz w:val="20"/>
          <w:szCs w:val="20"/>
          <w:color w:val="auto"/>
        </w:rPr>
      </w:pPr>
      <w:r>
        <w:rPr>
          <w:rFonts w:ascii="Arial" w:cs="Arial" w:eastAsia="Arial" w:hAnsi="Arial"/>
          <w:sz w:val="28"/>
          <w:szCs w:val="28"/>
          <w:color w:val="auto"/>
        </w:rPr>
        <w:t>EO Litigation Committee</w:t>
      </w:r>
    </w:p>
    <w:p>
      <w:pPr>
        <w:spacing w:after="0" w:line="220" w:lineRule="exact"/>
        <w:rPr>
          <w:sz w:val="20"/>
          <w:szCs w:val="20"/>
          <w:color w:val="auto"/>
        </w:rPr>
      </w:pPr>
    </w:p>
    <w:p>
      <w:pPr>
        <w:ind w:left="360"/>
        <w:spacing w:after="0"/>
        <w:rPr>
          <w:sz w:val="20"/>
          <w:szCs w:val="20"/>
          <w:color w:val="auto"/>
        </w:rPr>
      </w:pPr>
      <w:r>
        <w:rPr>
          <w:rFonts w:ascii="Arial" w:cs="Arial" w:eastAsia="Arial" w:hAnsi="Arial"/>
          <w:sz w:val="17"/>
          <w:szCs w:val="17"/>
          <w:color w:val="auto"/>
        </w:rPr>
        <w:t>The EO Litigation Committee was formed in October 2022 to oversee the Company’s management of litigation involving EO.</w:t>
      </w:r>
    </w:p>
    <w:p>
      <w:pPr>
        <w:spacing w:after="0" w:line="14" w:lineRule="exact"/>
        <w:rPr>
          <w:sz w:val="20"/>
          <w:szCs w:val="20"/>
          <w:color w:val="auto"/>
        </w:rPr>
      </w:pPr>
    </w:p>
    <w:p>
      <w:pPr>
        <w:ind w:left="360" w:right="220"/>
        <w:spacing w:after="0" w:line="246" w:lineRule="auto"/>
        <w:rPr>
          <w:sz w:val="20"/>
          <w:szCs w:val="20"/>
          <w:color w:val="auto"/>
        </w:rPr>
      </w:pPr>
      <w:r>
        <w:rPr>
          <w:rFonts w:ascii="Arial" w:cs="Arial" w:eastAsia="Arial" w:hAnsi="Arial"/>
          <w:sz w:val="17"/>
          <w:szCs w:val="17"/>
          <w:color w:val="auto"/>
        </w:rPr>
        <w:t>The Committee monitors litigation developments, oversees our overall litigation strategy, and reports to and makes recommendations to the Board regarding actions the Committee deems necessary or advisable. The members of the EO Litigation Committee are Messrs. Cunningham, Knauss and Petrella and Ms. Klee.</w:t>
      </w:r>
    </w:p>
    <w:p>
      <w:pPr>
        <w:spacing w:after="0" w:line="260" w:lineRule="exact"/>
        <w:rPr>
          <w:sz w:val="20"/>
          <w:szCs w:val="20"/>
          <w:color w:val="auto"/>
        </w:rPr>
      </w:pPr>
    </w:p>
    <w:p>
      <w:pPr>
        <w:ind w:left="360"/>
        <w:spacing w:after="0"/>
        <w:rPr>
          <w:sz w:val="20"/>
          <w:szCs w:val="20"/>
          <w:color w:val="auto"/>
        </w:rPr>
      </w:pPr>
      <w:r>
        <w:rPr>
          <w:rFonts w:ascii="Arial" w:cs="Arial" w:eastAsia="Arial" w:hAnsi="Arial"/>
          <w:sz w:val="28"/>
          <w:szCs w:val="28"/>
          <w:color w:val="auto"/>
        </w:rPr>
        <w:t>Nordion Pricing Committee</w:t>
      </w:r>
    </w:p>
    <w:p>
      <w:pPr>
        <w:spacing w:after="0" w:line="220" w:lineRule="exact"/>
        <w:rPr>
          <w:sz w:val="20"/>
          <w:szCs w:val="20"/>
          <w:color w:val="auto"/>
        </w:rPr>
      </w:pPr>
    </w:p>
    <w:p>
      <w:pPr>
        <w:ind w:left="360" w:right="80"/>
        <w:spacing w:after="0" w:line="246" w:lineRule="auto"/>
        <w:rPr>
          <w:sz w:val="20"/>
          <w:szCs w:val="20"/>
          <w:color w:val="auto"/>
        </w:rPr>
      </w:pPr>
      <w:r>
        <w:rPr>
          <w:rFonts w:ascii="Arial" w:cs="Arial" w:eastAsia="Arial" w:hAnsi="Arial"/>
          <w:sz w:val="17"/>
          <w:szCs w:val="17"/>
          <w:color w:val="auto"/>
        </w:rPr>
        <w:t>The Nordion Pricing Committee oversees matters related to Nordion’s pricing that require review of sensitive or confidential customer information. The main purpose of this Committee is to prevent confidential information relating to Nordion’s customers from being shared with individuals who are involved in the day-to -day operations of Sterigenics. The members of the Nordion Pricing Committee are Messrs. Chen, Cunningham and Petrella. Ms. Geveda was on the Committee until her resignation from the Board in October 2022, at which time Mr. Chen joined the committee.</w:t>
      </w:r>
    </w:p>
    <w:p>
      <w:pPr>
        <w:spacing w:after="0" w:line="255" w:lineRule="exact"/>
        <w:rPr>
          <w:sz w:val="20"/>
          <w:szCs w:val="20"/>
          <w:color w:val="auto"/>
        </w:rPr>
      </w:pPr>
    </w:p>
    <w:p>
      <w:pPr>
        <w:ind w:left="360"/>
        <w:spacing w:after="0"/>
        <w:rPr>
          <w:sz w:val="20"/>
          <w:szCs w:val="20"/>
          <w:color w:val="auto"/>
        </w:rPr>
      </w:pPr>
      <w:r>
        <w:rPr>
          <w:rFonts w:ascii="Arial" w:cs="Arial" w:eastAsia="Arial" w:hAnsi="Arial"/>
          <w:sz w:val="34"/>
          <w:szCs w:val="34"/>
          <w:b w:val="1"/>
          <w:bCs w:val="1"/>
          <w:color w:val="auto"/>
        </w:rPr>
        <w:t>Corporate Governance Policies and Practices</w:t>
      </w:r>
    </w:p>
    <w:p>
      <w:pPr>
        <w:spacing w:after="0" w:line="227" w:lineRule="exact"/>
        <w:rPr>
          <w:sz w:val="20"/>
          <w:szCs w:val="20"/>
          <w:color w:val="auto"/>
        </w:rPr>
      </w:pPr>
    </w:p>
    <w:p>
      <w:pPr>
        <w:ind w:left="360"/>
        <w:spacing w:after="0"/>
        <w:rPr>
          <w:sz w:val="20"/>
          <w:szCs w:val="20"/>
          <w:color w:val="auto"/>
        </w:rPr>
      </w:pPr>
      <w:r>
        <w:rPr>
          <w:rFonts w:ascii="Arial" w:cs="Arial" w:eastAsia="Arial" w:hAnsi="Arial"/>
          <w:sz w:val="31"/>
          <w:szCs w:val="31"/>
          <w:color w:val="00B0DB"/>
        </w:rPr>
        <w:t>Corporate Governance Guidelines</w:t>
      </w:r>
    </w:p>
    <w:p>
      <w:pPr>
        <w:spacing w:after="0" w:line="221" w:lineRule="exact"/>
        <w:rPr>
          <w:sz w:val="20"/>
          <w:szCs w:val="20"/>
          <w:color w:val="auto"/>
        </w:rPr>
      </w:pPr>
    </w:p>
    <w:p>
      <w:pPr>
        <w:ind w:left="360"/>
        <w:spacing w:after="0" w:line="242" w:lineRule="auto"/>
        <w:rPr>
          <w:sz w:val="20"/>
          <w:szCs w:val="20"/>
          <w:color w:val="auto"/>
        </w:rPr>
      </w:pPr>
      <w:r>
        <w:rPr>
          <w:rFonts w:ascii="Arial" w:cs="Arial" w:eastAsia="Arial" w:hAnsi="Arial"/>
          <w:sz w:val="17"/>
          <w:szCs w:val="17"/>
          <w:color w:val="auto"/>
        </w:rPr>
        <w:t>The Governance Committee is responsible for reviewing our Corporate Governance Guidelines annually and recommending amendments to the Board as it deems necessary or appropriate for the Board to discharge its responsibilities more effectively. In December 2022, the Board approved amendments to the Corporate Governance Guidelines to clarify the qualifications that the Governance Committee will consider during the recruitment and selection of directors. The Governance Committee is committed to including candidates who reflect diverse backgrounds, including diversity of gender, race, ethnicity, sexual orientation, age, education, cultural background and professional experience. In addition, the Board approved amendments to the Corporate Governance Guidelines to clarify that, when reviewing compensation of our CEO and executive officers, the LD&amp;C Committee will consider competitive market data pertaining to compensation at comparable companies and such other factors as it deems relevant. The full text of our Corporate Governance Guidelines is accessible on our investor relations website at https://investors.soterahealth.com/.</w:t>
      </w:r>
    </w:p>
    <w:p>
      <w:pPr>
        <w:spacing w:after="0" w:line="269" w:lineRule="exact"/>
        <w:rPr>
          <w:sz w:val="20"/>
          <w:szCs w:val="20"/>
          <w:color w:val="auto"/>
        </w:rPr>
      </w:pPr>
    </w:p>
    <w:p>
      <w:pPr>
        <w:ind w:left="360"/>
        <w:spacing w:after="0"/>
        <w:rPr>
          <w:sz w:val="20"/>
          <w:szCs w:val="20"/>
          <w:color w:val="auto"/>
        </w:rPr>
      </w:pPr>
      <w:r>
        <w:rPr>
          <w:rFonts w:ascii="Arial" w:cs="Arial" w:eastAsia="Arial" w:hAnsi="Arial"/>
          <w:sz w:val="31"/>
          <w:szCs w:val="31"/>
          <w:color w:val="00B0DB"/>
        </w:rPr>
        <w:t>Board and Committee Self-Evaluations</w:t>
      </w:r>
    </w:p>
    <w:p>
      <w:pPr>
        <w:spacing w:after="0" w:line="221" w:lineRule="exact"/>
        <w:rPr>
          <w:sz w:val="20"/>
          <w:szCs w:val="20"/>
          <w:color w:val="auto"/>
        </w:rPr>
      </w:pPr>
    </w:p>
    <w:p>
      <w:pPr>
        <w:ind w:left="360" w:right="140"/>
        <w:spacing w:after="0" w:line="250" w:lineRule="auto"/>
        <w:rPr>
          <w:sz w:val="20"/>
          <w:szCs w:val="20"/>
          <w:color w:val="auto"/>
        </w:rPr>
      </w:pPr>
      <w:r>
        <w:rPr>
          <w:rFonts w:ascii="Arial" w:cs="Arial" w:eastAsia="Arial" w:hAnsi="Arial"/>
          <w:sz w:val="17"/>
          <w:szCs w:val="17"/>
          <w:color w:val="auto"/>
        </w:rPr>
        <w:t>The Board and each standing committee conduct annual self-evaluations. Consistent with its charter, the Governance Committee led the Board evaluation process and oversaw the annual evaluation of the performance of each standing committee of the Board. The chair of the Governance Committee reports to the Board conclusions about the effectiveness and performance of the Board and may make recommendations to the Chair regarding proposed changes considered appropriate for the Board’s consideration.</w:t>
      </w:r>
    </w:p>
    <w:p>
      <w:pPr>
        <w:spacing w:after="0" w:line="260" w:lineRule="exact"/>
        <w:rPr>
          <w:sz w:val="20"/>
          <w:szCs w:val="20"/>
          <w:color w:val="auto"/>
        </w:rPr>
      </w:pPr>
    </w:p>
    <w:p>
      <w:pPr>
        <w:ind w:left="360"/>
        <w:spacing w:after="0"/>
        <w:rPr>
          <w:sz w:val="20"/>
          <w:szCs w:val="20"/>
          <w:color w:val="auto"/>
        </w:rPr>
      </w:pPr>
      <w:r>
        <w:rPr>
          <w:rFonts w:ascii="Arial" w:cs="Arial" w:eastAsia="Arial" w:hAnsi="Arial"/>
          <w:sz w:val="31"/>
          <w:szCs w:val="31"/>
          <w:color w:val="00B0DB"/>
        </w:rPr>
        <w:t>Code of Business Conduct and Ethics</w:t>
      </w:r>
    </w:p>
    <w:p>
      <w:pPr>
        <w:spacing w:after="0" w:line="221" w:lineRule="exact"/>
        <w:rPr>
          <w:sz w:val="20"/>
          <w:szCs w:val="20"/>
          <w:color w:val="auto"/>
        </w:rPr>
      </w:pPr>
    </w:p>
    <w:p>
      <w:pPr>
        <w:ind w:left="360"/>
        <w:spacing w:after="0" w:line="246" w:lineRule="auto"/>
        <w:rPr>
          <w:sz w:val="20"/>
          <w:szCs w:val="20"/>
          <w:color w:val="auto"/>
        </w:rPr>
      </w:pPr>
      <w:r>
        <w:rPr>
          <w:rFonts w:ascii="Arial" w:cs="Arial" w:eastAsia="Arial" w:hAnsi="Arial"/>
          <w:sz w:val="17"/>
          <w:szCs w:val="17"/>
          <w:color w:val="auto"/>
        </w:rPr>
        <w:t>Our Board has adopted procedures and policies to comply with the Sarbanes-Oxley Act of 2002 and the rules adopted by the SEC and the Nasdaq, including a global code of conduct applicable to all employees, including our CEO, Chief Financial Officer (“CFO”) and other executive and senior financial officers and all persons performing similar functions. Our global code of conduct is available on our website. We intend to disclose any amendments to the code, or any waivers of its requirements, on our website to the extent required by the applicable U.S. federal securities laws and the corporate governance rules of the Nasdaq.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231775</wp:posOffset>
            </wp:positionH>
            <wp:positionV relativeFrom="paragraph">
              <wp:posOffset>95885</wp:posOffset>
            </wp:positionV>
            <wp:extent cx="6687820" cy="1651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687820" cy="16510"/>
                    </a:xfrm>
                    <a:prstGeom prst="rect">
                      <a:avLst/>
                    </a:prstGeom>
                    <a:noFill/>
                  </pic:spPr>
                </pic:pic>
              </a:graphicData>
            </a:graphic>
          </wp:anchor>
        </w:drawing>
      </w:r>
    </w:p>
    <w:p>
      <w:pPr>
        <w:spacing w:after="0" w:line="320" w:lineRule="exact"/>
        <w:rPr>
          <w:sz w:val="20"/>
          <w:szCs w:val="20"/>
          <w:color w:val="auto"/>
        </w:rPr>
      </w:pPr>
    </w:p>
    <w:tbl>
      <w:tblPr>
        <w:tblLayout w:type="fixed"/>
        <w:tblInd w:w="360" w:type="dxa"/>
        <w:tblCellMar>
          <w:top w:w="0" w:type="dxa"/>
          <w:left w:w="0" w:type="dxa"/>
          <w:bottom w:w="0" w:type="dxa"/>
          <w:right w:w="0" w:type="dxa"/>
        </w:tblCellMar>
      </w:tblPr>
      <w:tr>
        <w:trPr>
          <w:trHeight w:val="226"/>
        </w:trPr>
        <w:tc>
          <w:tcPr>
            <w:tcW w:w="3900" w:type="dxa"/>
            <w:vAlign w:val="bottom"/>
          </w:tcPr>
          <w:p>
            <w:pPr>
              <w:spacing w:after="0"/>
              <w:rPr>
                <w:sz w:val="20"/>
                <w:szCs w:val="20"/>
                <w:color w:val="auto"/>
              </w:rPr>
            </w:pPr>
            <w:r>
              <w:rPr>
                <w:rFonts w:ascii="Arial" w:cs="Arial" w:eastAsia="Arial" w:hAnsi="Arial"/>
                <w:sz w:val="17"/>
                <w:szCs w:val="17"/>
                <w:color w:val="auto"/>
              </w:rPr>
              <w:t>2023 Notice and Proxy Statement</w:t>
            </w:r>
          </w:p>
        </w:tc>
        <w:tc>
          <w:tcPr>
            <w:tcW w:w="1520" w:type="dxa"/>
            <w:vAlign w:val="bottom"/>
          </w:tcPr>
          <w:p>
            <w:pPr>
              <w:jc w:val="right"/>
              <w:spacing w:after="0"/>
              <w:rPr>
                <w:sz w:val="20"/>
                <w:szCs w:val="20"/>
                <w:color w:val="auto"/>
              </w:rPr>
            </w:pPr>
            <w:r>
              <w:rPr>
                <w:rFonts w:ascii="Arial" w:cs="Arial" w:eastAsia="Arial" w:hAnsi="Arial"/>
                <w:sz w:val="17"/>
                <w:szCs w:val="17"/>
                <w:color w:val="auto"/>
              </w:rPr>
              <w:t>22</w:t>
            </w:r>
          </w:p>
        </w:tc>
      </w:tr>
    </w:tbl>
    <w:p>
      <w:pPr>
        <w:sectPr>
          <w:pgSz w:w="11900" w:h="16838" w:orient="portrait"/>
          <w:cols w:equalWidth="0" w:num="1">
            <w:col w:w="10880"/>
          </w:cols>
          <w:pgMar w:left="320" w:top="468" w:right="69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5397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79945" cy="53975"/>
                    </a:xfrm>
                    <a:prstGeom prst="rect">
                      <a:avLst/>
                    </a:prstGeom>
                    <a:noFill/>
                  </pic:spPr>
                </pic:pic>
              </a:graphicData>
            </a:graphic>
          </wp:anchor>
        </w:drawing>
        <w:t>Table of Contents</w:t>
      </w:r>
    </w:p>
    <w:p>
      <w:pPr>
        <w:spacing w:after="0" w:line="296"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Corporate Governance</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Code of Business Conduct and Ethics</w:t>
      </w:r>
    </w:p>
    <w:p>
      <w:pPr>
        <w:spacing w:after="0" w:line="105" w:lineRule="exact"/>
        <w:rPr>
          <w:sz w:val="20"/>
          <w:szCs w:val="20"/>
          <w:color w:val="auto"/>
        </w:rPr>
      </w:pPr>
    </w:p>
    <w:p>
      <w:pPr>
        <w:ind w:left="360"/>
        <w:spacing w:after="0"/>
        <w:rPr>
          <w:sz w:val="20"/>
          <w:szCs w:val="20"/>
          <w:color w:val="auto"/>
        </w:rPr>
      </w:pPr>
      <w:r>
        <w:rPr>
          <w:rFonts w:ascii="Arial" w:cs="Arial" w:eastAsia="Arial" w:hAnsi="Arial"/>
          <w:sz w:val="31"/>
          <w:szCs w:val="31"/>
          <w:color w:val="00B0DB"/>
        </w:rPr>
        <w:t>Promoting Integrity</w:t>
      </w:r>
    </w:p>
    <w:p>
      <w:pPr>
        <w:spacing w:after="0" w:line="221" w:lineRule="exact"/>
        <w:rPr>
          <w:sz w:val="20"/>
          <w:szCs w:val="20"/>
          <w:color w:val="auto"/>
        </w:rPr>
      </w:pPr>
    </w:p>
    <w:p>
      <w:pPr>
        <w:ind w:left="360" w:right="20"/>
        <w:spacing w:after="0" w:line="243" w:lineRule="auto"/>
        <w:rPr>
          <w:sz w:val="20"/>
          <w:szCs w:val="20"/>
          <w:color w:val="auto"/>
        </w:rPr>
      </w:pPr>
      <w:r>
        <w:rPr>
          <w:rFonts w:ascii="Arial" w:cs="Arial" w:eastAsia="Arial" w:hAnsi="Arial"/>
          <w:sz w:val="17"/>
          <w:szCs w:val="17"/>
          <w:color w:val="auto"/>
        </w:rPr>
        <w:t>Integrity is one of our core values. We expect the highest standards of integrity from our employees when dealing with customers, suppliers, regulators and each other. If employees do not feel comfortable or are otherwise unable to raise with their manager questions or concerns regarding ethics, compliance with laws, regulations or policies, or workplace culture, employees are expected and encouraged to promptly report those questions or concerns on our Global Ethics Line. Our Global Ethics Line is available 24-hours a day, 7-days a week to every employee worldwide. Live telephonic assistance is available via a tollfree number with operators available in multiple languages. Reports may also be made via electronic submission through our Global Ethics Line web portal. All reporters have the option of remaining anonymous to the extent permitted by local laws and regulations.</w:t>
      </w:r>
    </w:p>
    <w:p>
      <w:pPr>
        <w:spacing w:after="0" w:line="150" w:lineRule="exact"/>
        <w:rPr>
          <w:sz w:val="20"/>
          <w:szCs w:val="20"/>
          <w:color w:val="auto"/>
        </w:rPr>
      </w:pPr>
    </w:p>
    <w:p>
      <w:pPr>
        <w:ind w:left="360" w:right="80"/>
        <w:spacing w:after="0" w:line="243" w:lineRule="auto"/>
        <w:rPr>
          <w:sz w:val="20"/>
          <w:szCs w:val="20"/>
          <w:color w:val="auto"/>
        </w:rPr>
      </w:pPr>
      <w:r>
        <w:rPr>
          <w:rFonts w:ascii="Arial" w:cs="Arial" w:eastAsia="Arial" w:hAnsi="Arial"/>
          <w:sz w:val="17"/>
          <w:szCs w:val="17"/>
          <w:color w:val="auto"/>
        </w:rPr>
        <w:t>Calls to our Global Ethics Line are received by a third-party vendor that promptly reports the issue to our internal investigations team. Pursuant to our whistleblower policy, general reports received via our Global Ethics Line are transmitted to an internal review team from the legal department or human resources, as appropriate. Certain reports, including those related to fraud or error in the preparation or reporting of the Company’s financial condition, are referred to an internal review team composed of at least the General Counsel, CFO and one member of the Company’s disclosure committee. Any reports raising a potentially material issue will be promptly sent to the chair of the Audit Committee for review. Our General Counsel reports to the Audit Committee at least quarterly regarding any other significant issues raised through the Global Ethics Line.</w:t>
      </w:r>
    </w:p>
    <w:p>
      <w:pPr>
        <w:spacing w:after="0" w:line="138" w:lineRule="exact"/>
        <w:rPr>
          <w:sz w:val="20"/>
          <w:szCs w:val="20"/>
          <w:color w:val="auto"/>
        </w:rPr>
      </w:pPr>
    </w:p>
    <w:p>
      <w:pPr>
        <w:ind w:left="360" w:right="40"/>
        <w:spacing w:after="0" w:line="274" w:lineRule="auto"/>
        <w:rPr>
          <w:sz w:val="20"/>
          <w:szCs w:val="20"/>
          <w:color w:val="auto"/>
        </w:rPr>
      </w:pPr>
      <w:r>
        <w:rPr>
          <w:rFonts w:ascii="Arial" w:cs="Arial" w:eastAsia="Arial" w:hAnsi="Arial"/>
          <w:sz w:val="17"/>
          <w:szCs w:val="17"/>
          <w:color w:val="auto"/>
        </w:rPr>
        <w:t>Our whistleblower policy prohibits retaliation against anyone who raises a question or concern or assists in the subsequent investigation of a question or concern.</w:t>
      </w:r>
    </w:p>
    <w:p>
      <w:pPr>
        <w:spacing w:after="0" w:line="241" w:lineRule="exact"/>
        <w:rPr>
          <w:sz w:val="20"/>
          <w:szCs w:val="20"/>
          <w:color w:val="auto"/>
        </w:rPr>
      </w:pPr>
    </w:p>
    <w:p>
      <w:pPr>
        <w:ind w:left="360"/>
        <w:spacing w:after="0"/>
        <w:rPr>
          <w:sz w:val="20"/>
          <w:szCs w:val="20"/>
          <w:color w:val="auto"/>
        </w:rPr>
      </w:pPr>
      <w:r>
        <w:rPr>
          <w:rFonts w:ascii="Arial" w:cs="Arial" w:eastAsia="Arial" w:hAnsi="Arial"/>
          <w:sz w:val="31"/>
          <w:szCs w:val="31"/>
          <w:color w:val="00B0DB"/>
        </w:rPr>
        <w:t>Communications with the Board</w:t>
      </w:r>
    </w:p>
    <w:p>
      <w:pPr>
        <w:spacing w:after="0" w:line="221" w:lineRule="exact"/>
        <w:rPr>
          <w:sz w:val="20"/>
          <w:szCs w:val="20"/>
          <w:color w:val="auto"/>
        </w:rPr>
      </w:pPr>
    </w:p>
    <w:p>
      <w:pPr>
        <w:ind w:left="360" w:right="20"/>
        <w:spacing w:after="0" w:line="245" w:lineRule="auto"/>
        <w:rPr>
          <w:sz w:val="20"/>
          <w:szCs w:val="20"/>
          <w:color w:val="auto"/>
        </w:rPr>
      </w:pPr>
      <w:r>
        <w:rPr>
          <w:rFonts w:ascii="Arial" w:cs="Arial" w:eastAsia="Arial" w:hAnsi="Arial"/>
          <w:sz w:val="17"/>
          <w:szCs w:val="17"/>
          <w:color w:val="auto"/>
        </w:rPr>
        <w:t>Any interested parties wishing to communicate with, or otherwise make his or her concerns known directly to the Board, a Board committee, or to individual directors regarding matters related to the duties and responsibilities of the Board may do so by addressing such communications or concerns to board@soterahealth.com. The Secretary reviews all communications sent to the Board. Inquiries that relate to the functions of the Board or a Board committee will be relayed to the Board, Board committee, or to individual directors, as appropriate. The Secretary will not relay to the Board or its members inquiries unrelated to the duties and responsibilities of the Board or its committees, including complaints, solicitations, advertisements, service or product inquiries, or materials that are threatening or illegal.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231775</wp:posOffset>
            </wp:positionH>
            <wp:positionV relativeFrom="paragraph">
              <wp:posOffset>94615</wp:posOffset>
            </wp:positionV>
            <wp:extent cx="6687820" cy="1651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687820" cy="16510"/>
                    </a:xfrm>
                    <a:prstGeom prst="rect">
                      <a:avLst/>
                    </a:prstGeom>
                    <a:noFill/>
                  </pic:spPr>
                </pic:pic>
              </a:graphicData>
            </a:graphic>
          </wp:anchor>
        </w:drawing>
      </w:r>
    </w:p>
    <w:p>
      <w:pPr>
        <w:spacing w:after="0" w:line="319"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6443980</wp:posOffset>
            </wp:positionH>
            <wp:positionV relativeFrom="paragraph">
              <wp:posOffset>-113030</wp:posOffset>
            </wp:positionV>
            <wp:extent cx="475615" cy="15557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475615" cy="155575"/>
                    </a:xfrm>
                    <a:prstGeom prst="rect">
                      <a:avLst/>
                    </a:prstGeom>
                    <a:noFill/>
                  </pic:spPr>
                </pic:pic>
              </a:graphicData>
            </a:graphic>
          </wp:anchor>
        </w:drawing>
      </w:r>
    </w:p>
    <w:p>
      <w:pPr>
        <w:sectPr>
          <w:pgSz w:w="11900" w:h="16838" w:orient="portrait"/>
          <w:cols w:equalWidth="0" w:num="1">
            <w:col w:w="10900"/>
          </w:cols>
          <w:pgMar w:left="320" w:top="468" w:right="67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5397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79945" cy="53975"/>
                    </a:xfrm>
                    <a:prstGeom prst="rect">
                      <a:avLst/>
                    </a:prstGeom>
                    <a:noFill/>
                  </pic:spPr>
                </pic:pic>
              </a:graphicData>
            </a:graphic>
          </wp:anchor>
        </w:drawing>
        <w:t>Table of Contents</w:t>
      </w:r>
    </w:p>
    <w:p>
      <w:pPr>
        <w:spacing w:after="0" w:line="296"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auto"/>
        </w:rPr>
        <w:t>Non-Employee Director Compensation</w:t>
      </w:r>
    </w:p>
    <w:p>
      <w:pPr>
        <w:spacing w:after="0" w:line="21" w:lineRule="exact"/>
        <w:rPr>
          <w:sz w:val="20"/>
          <w:szCs w:val="20"/>
          <w:color w:val="auto"/>
        </w:rPr>
      </w:pPr>
    </w:p>
    <w:p>
      <w:pPr>
        <w:ind w:left="360"/>
        <w:spacing w:after="0"/>
        <w:rPr>
          <w:sz w:val="20"/>
          <w:szCs w:val="20"/>
          <w:color w:val="auto"/>
        </w:rPr>
      </w:pPr>
      <w:r>
        <w:rPr>
          <w:rFonts w:ascii="Arial" w:cs="Arial" w:eastAsia="Arial" w:hAnsi="Arial"/>
          <w:sz w:val="14"/>
          <w:szCs w:val="14"/>
          <w:b w:val="1"/>
          <w:bCs w:val="1"/>
          <w:color w:val="auto"/>
        </w:rPr>
        <w:t>2022 Non-Employee Director Compensation Table</w:t>
      </w:r>
    </w:p>
    <w:p>
      <w:pPr>
        <w:spacing w:after="0" w:line="90" w:lineRule="exact"/>
        <w:rPr>
          <w:sz w:val="20"/>
          <w:szCs w:val="20"/>
          <w:color w:val="auto"/>
        </w:rPr>
      </w:pPr>
    </w:p>
    <w:p>
      <w:pPr>
        <w:ind w:left="360"/>
        <w:spacing w:after="0"/>
        <w:rPr>
          <w:sz w:val="20"/>
          <w:szCs w:val="20"/>
          <w:color w:val="auto"/>
        </w:rPr>
      </w:pPr>
      <w:r>
        <w:rPr>
          <w:rFonts w:ascii="Arial" w:cs="Arial" w:eastAsia="Arial" w:hAnsi="Arial"/>
          <w:sz w:val="41"/>
          <w:szCs w:val="41"/>
          <w:b w:val="1"/>
          <w:bCs w:val="1"/>
          <w:color w:val="00B0DB"/>
        </w:rPr>
        <w:t>NON-EMPLOYEE DIRECTOR COMPENSATION</w:t>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31"/>
          <w:szCs w:val="31"/>
          <w:color w:val="00B0DB"/>
        </w:rPr>
        <w:t>2022 Non-Employee Director Compensation Table</w:t>
      </w:r>
    </w:p>
    <w:p>
      <w:pPr>
        <w:spacing w:after="0" w:line="221" w:lineRule="exact"/>
        <w:rPr>
          <w:sz w:val="20"/>
          <w:szCs w:val="20"/>
          <w:color w:val="auto"/>
        </w:rPr>
      </w:pPr>
    </w:p>
    <w:p>
      <w:pPr>
        <w:ind w:left="360" w:right="100"/>
        <w:spacing w:after="0" w:line="246" w:lineRule="auto"/>
        <w:rPr>
          <w:sz w:val="20"/>
          <w:szCs w:val="20"/>
          <w:color w:val="auto"/>
        </w:rPr>
      </w:pPr>
      <w:r>
        <w:rPr>
          <w:rFonts w:ascii="Arial" w:cs="Arial" w:eastAsia="Arial" w:hAnsi="Arial"/>
          <w:sz w:val="17"/>
          <w:szCs w:val="17"/>
          <w:color w:val="auto"/>
        </w:rPr>
        <w:t>The following table sets forth information regarding the compensation earned by or paid to each person who served as a non-employee director of our Board during 2022. We reimburse directors for reasonable out-of-pocket expenses incurred in connection with their service to the Board and covered such expenses in 2022. Mr. Petras, our Chairman and CEO, receives no compensation for his service as a director and is not included in this table. The compensation received by Mr. Petras as CEO is presented in the Summary Compensation Table.</w:t>
      </w:r>
    </w:p>
    <w:p>
      <w:pPr>
        <w:spacing w:after="0" w:line="166" w:lineRule="exact"/>
        <w:rPr>
          <w:sz w:val="20"/>
          <w:szCs w:val="20"/>
          <w:color w:val="auto"/>
        </w:rPr>
      </w:pPr>
    </w:p>
    <w:tbl>
      <w:tblPr>
        <w:tblLayout w:type="fixed"/>
        <w:tblInd w:w="360" w:type="dxa"/>
        <w:tblCellMar>
          <w:top w:w="0" w:type="dxa"/>
          <w:left w:w="0" w:type="dxa"/>
          <w:bottom w:w="0" w:type="dxa"/>
          <w:right w:w="0" w:type="dxa"/>
        </w:tblCellMar>
      </w:tblPr>
      <w:tr>
        <w:trPr>
          <w:trHeight w:val="230"/>
        </w:trPr>
        <w:tc>
          <w:tcPr>
            <w:tcW w:w="3380" w:type="dxa"/>
            <w:vAlign w:val="bottom"/>
            <w:tcBorders>
              <w:bottom w:val="single" w:sz="8" w:color="00467D"/>
            </w:tcBorders>
          </w:tcPr>
          <w:p>
            <w:pPr>
              <w:ind w:left="60"/>
              <w:spacing w:after="0"/>
              <w:rPr>
                <w:sz w:val="20"/>
                <w:szCs w:val="20"/>
                <w:color w:val="auto"/>
              </w:rPr>
            </w:pPr>
            <w:r>
              <w:rPr>
                <w:rFonts w:ascii="Arial" w:cs="Arial" w:eastAsia="Arial" w:hAnsi="Arial"/>
                <w:sz w:val="14"/>
                <w:szCs w:val="14"/>
                <w:b w:val="1"/>
                <w:bCs w:val="1"/>
                <w:color w:val="00467D"/>
              </w:rPr>
              <w:t>Name</w:t>
            </w:r>
          </w:p>
        </w:tc>
        <w:tc>
          <w:tcPr>
            <w:tcW w:w="4160" w:type="dxa"/>
            <w:vAlign w:val="bottom"/>
            <w:tcBorders>
              <w:bottom w:val="single" w:sz="8" w:color="00467D"/>
            </w:tcBorders>
          </w:tcPr>
          <w:p>
            <w:pPr>
              <w:jc w:val="right"/>
              <w:ind w:right="223"/>
              <w:spacing w:after="0"/>
              <w:rPr>
                <w:sz w:val="20"/>
                <w:szCs w:val="20"/>
                <w:color w:val="auto"/>
              </w:rPr>
            </w:pPr>
            <w:r>
              <w:rPr>
                <w:rFonts w:ascii="Arial" w:cs="Arial" w:eastAsia="Arial" w:hAnsi="Arial"/>
                <w:sz w:val="14"/>
                <w:szCs w:val="14"/>
                <w:b w:val="1"/>
                <w:bCs w:val="1"/>
                <w:color w:val="00467D"/>
              </w:rPr>
              <w:t xml:space="preserve">Fees Earned or Paid in Cash </w:t>
            </w:r>
            <w:r>
              <w:rPr>
                <w:rFonts w:ascii="Arial" w:cs="Arial" w:eastAsia="Arial" w:hAnsi="Arial"/>
                <w:sz w:val="20"/>
                <w:szCs w:val="20"/>
                <w:b w:val="1"/>
                <w:bCs w:val="1"/>
                <w:color w:val="00467D"/>
                <w:vertAlign w:val="superscript"/>
              </w:rPr>
              <w:t>(1)</w:t>
            </w:r>
          </w:p>
        </w:tc>
        <w:tc>
          <w:tcPr>
            <w:tcW w:w="1860" w:type="dxa"/>
            <w:vAlign w:val="bottom"/>
            <w:tcBorders>
              <w:bottom w:val="single" w:sz="8" w:color="00467D"/>
            </w:tcBorders>
          </w:tcPr>
          <w:p>
            <w:pPr>
              <w:jc w:val="right"/>
              <w:ind w:right="403"/>
              <w:spacing w:after="0"/>
              <w:rPr>
                <w:sz w:val="20"/>
                <w:szCs w:val="20"/>
                <w:color w:val="auto"/>
              </w:rPr>
            </w:pPr>
            <w:r>
              <w:rPr>
                <w:rFonts w:ascii="Arial" w:cs="Arial" w:eastAsia="Arial" w:hAnsi="Arial"/>
                <w:sz w:val="14"/>
                <w:szCs w:val="14"/>
                <w:b w:val="1"/>
                <w:bCs w:val="1"/>
                <w:color w:val="00467D"/>
              </w:rPr>
              <w:t xml:space="preserve">Stock Awards </w:t>
            </w:r>
            <w:r>
              <w:rPr>
                <w:rFonts w:ascii="Arial" w:cs="Arial" w:eastAsia="Arial" w:hAnsi="Arial"/>
                <w:sz w:val="20"/>
                <w:szCs w:val="20"/>
                <w:b w:val="1"/>
                <w:bCs w:val="1"/>
                <w:color w:val="00467D"/>
                <w:vertAlign w:val="superscript"/>
              </w:rPr>
              <w:t>(2)</w:t>
            </w:r>
          </w:p>
        </w:tc>
        <w:tc>
          <w:tcPr>
            <w:tcW w:w="1140" w:type="dxa"/>
            <w:vAlign w:val="bottom"/>
            <w:tcBorders>
              <w:bottom w:val="single" w:sz="8" w:color="00467D"/>
            </w:tcBorders>
          </w:tcPr>
          <w:p>
            <w:pPr>
              <w:jc w:val="right"/>
              <w:ind w:right="103"/>
              <w:spacing w:after="0"/>
              <w:rPr>
                <w:sz w:val="20"/>
                <w:szCs w:val="20"/>
                <w:color w:val="auto"/>
              </w:rPr>
            </w:pPr>
            <w:r>
              <w:rPr>
                <w:rFonts w:ascii="Arial" w:cs="Arial" w:eastAsia="Arial" w:hAnsi="Arial"/>
                <w:sz w:val="14"/>
                <w:szCs w:val="14"/>
                <w:b w:val="1"/>
                <w:bCs w:val="1"/>
                <w:color w:val="00467D"/>
              </w:rPr>
              <w:t>Total</w:t>
            </w:r>
          </w:p>
        </w:tc>
      </w:tr>
      <w:tr>
        <w:trPr>
          <w:trHeight w:val="244"/>
        </w:trPr>
        <w:tc>
          <w:tcPr>
            <w:tcW w:w="3380" w:type="dxa"/>
            <w:vAlign w:val="bottom"/>
            <w:tcBorders>
              <w:bottom w:val="single" w:sz="8" w:color="99B5CB"/>
            </w:tcBorders>
          </w:tcPr>
          <w:p>
            <w:pPr>
              <w:ind w:left="60"/>
              <w:spacing w:after="0"/>
              <w:rPr>
                <w:sz w:val="20"/>
                <w:szCs w:val="20"/>
                <w:color w:val="auto"/>
              </w:rPr>
            </w:pPr>
            <w:r>
              <w:rPr>
                <w:rFonts w:ascii="Arial" w:cs="Arial" w:eastAsia="Arial" w:hAnsi="Arial"/>
                <w:sz w:val="15"/>
                <w:szCs w:val="15"/>
                <w:color w:val="auto"/>
              </w:rPr>
              <w:t>James C. Neary</w:t>
            </w:r>
          </w:p>
        </w:tc>
        <w:tc>
          <w:tcPr>
            <w:tcW w:w="4160" w:type="dxa"/>
            <w:vAlign w:val="bottom"/>
            <w:tcBorders>
              <w:bottom w:val="single" w:sz="8" w:color="99B5CB"/>
            </w:tcBorders>
          </w:tcPr>
          <w:p>
            <w:pPr>
              <w:jc w:val="right"/>
              <w:ind w:right="923"/>
              <w:spacing w:after="0"/>
              <w:rPr>
                <w:sz w:val="20"/>
                <w:szCs w:val="20"/>
                <w:color w:val="auto"/>
              </w:rPr>
            </w:pPr>
            <w:r>
              <w:rPr>
                <w:rFonts w:ascii="Arial" w:cs="Arial" w:eastAsia="Arial" w:hAnsi="Arial"/>
                <w:sz w:val="15"/>
                <w:szCs w:val="15"/>
                <w:color w:val="auto"/>
              </w:rPr>
              <w:t>$ 95,000</w:t>
            </w:r>
          </w:p>
        </w:tc>
        <w:tc>
          <w:tcPr>
            <w:tcW w:w="1860" w:type="dxa"/>
            <w:vAlign w:val="bottom"/>
            <w:tcBorders>
              <w:bottom w:val="single" w:sz="8" w:color="99B5CB"/>
            </w:tcBorders>
          </w:tcPr>
          <w:p>
            <w:pPr>
              <w:jc w:val="right"/>
              <w:ind w:right="603"/>
              <w:spacing w:after="0"/>
              <w:rPr>
                <w:sz w:val="20"/>
                <w:szCs w:val="20"/>
                <w:color w:val="auto"/>
              </w:rPr>
            </w:pPr>
            <w:r>
              <w:rPr>
                <w:rFonts w:ascii="Arial" w:cs="Arial" w:eastAsia="Arial" w:hAnsi="Arial"/>
                <w:sz w:val="15"/>
                <w:szCs w:val="15"/>
                <w:color w:val="auto"/>
              </w:rPr>
              <w:t>$225,000</w:t>
            </w:r>
          </w:p>
        </w:tc>
        <w:tc>
          <w:tcPr>
            <w:tcW w:w="1140" w:type="dxa"/>
            <w:vAlign w:val="bottom"/>
            <w:tcBorders>
              <w:bottom w:val="single" w:sz="8" w:color="99B5CB"/>
            </w:tcBorders>
          </w:tcPr>
          <w:p>
            <w:pPr>
              <w:jc w:val="right"/>
              <w:spacing w:after="0"/>
              <w:rPr>
                <w:sz w:val="20"/>
                <w:szCs w:val="20"/>
                <w:color w:val="auto"/>
              </w:rPr>
            </w:pPr>
            <w:r>
              <w:rPr>
                <w:rFonts w:ascii="Arial" w:cs="Arial" w:eastAsia="Arial" w:hAnsi="Arial"/>
                <w:sz w:val="15"/>
                <w:szCs w:val="15"/>
                <w:color w:val="auto"/>
              </w:rPr>
              <w:t>$320,000</w:t>
            </w:r>
          </w:p>
        </w:tc>
      </w:tr>
      <w:tr>
        <w:trPr>
          <w:trHeight w:val="251"/>
        </w:trPr>
        <w:tc>
          <w:tcPr>
            <w:tcW w:w="3380" w:type="dxa"/>
            <w:vAlign w:val="bottom"/>
            <w:tcBorders>
              <w:bottom w:val="single" w:sz="8" w:color="99B5CB"/>
            </w:tcBorders>
          </w:tcPr>
          <w:p>
            <w:pPr>
              <w:ind w:left="60"/>
              <w:spacing w:after="0"/>
              <w:rPr>
                <w:sz w:val="20"/>
                <w:szCs w:val="20"/>
                <w:color w:val="auto"/>
              </w:rPr>
            </w:pPr>
            <w:r>
              <w:rPr>
                <w:rFonts w:ascii="Arial" w:cs="Arial" w:eastAsia="Arial" w:hAnsi="Arial"/>
                <w:sz w:val="15"/>
                <w:szCs w:val="15"/>
                <w:color w:val="auto"/>
              </w:rPr>
              <w:t>Stephanie M. Geveda</w:t>
            </w:r>
          </w:p>
        </w:tc>
        <w:tc>
          <w:tcPr>
            <w:tcW w:w="4160" w:type="dxa"/>
            <w:vAlign w:val="bottom"/>
            <w:tcBorders>
              <w:bottom w:val="single" w:sz="8" w:color="99B5CB"/>
            </w:tcBorders>
          </w:tcPr>
          <w:p>
            <w:pPr>
              <w:jc w:val="right"/>
              <w:ind w:right="923"/>
              <w:spacing w:after="0"/>
              <w:rPr>
                <w:sz w:val="20"/>
                <w:szCs w:val="20"/>
                <w:color w:val="auto"/>
              </w:rPr>
            </w:pPr>
            <w:r>
              <w:rPr>
                <w:rFonts w:ascii="Arial" w:cs="Arial" w:eastAsia="Arial" w:hAnsi="Arial"/>
                <w:sz w:val="15"/>
                <w:szCs w:val="15"/>
                <w:color w:val="auto"/>
              </w:rPr>
              <w:t>57,677</w:t>
            </w:r>
          </w:p>
        </w:tc>
        <w:tc>
          <w:tcPr>
            <w:tcW w:w="1860" w:type="dxa"/>
            <w:vAlign w:val="bottom"/>
            <w:tcBorders>
              <w:bottom w:val="single" w:sz="8" w:color="99B5CB"/>
            </w:tcBorders>
          </w:tcPr>
          <w:p>
            <w:pPr>
              <w:jc w:val="right"/>
              <w:ind w:right="603"/>
              <w:spacing w:after="0"/>
              <w:rPr>
                <w:sz w:val="20"/>
                <w:szCs w:val="20"/>
                <w:color w:val="auto"/>
              </w:rPr>
            </w:pPr>
            <w:r>
              <w:rPr>
                <w:rFonts w:ascii="Arial" w:cs="Arial" w:eastAsia="Arial" w:hAnsi="Arial"/>
                <w:sz w:val="15"/>
                <w:szCs w:val="15"/>
                <w:color w:val="auto"/>
              </w:rPr>
              <w:t>225,000</w:t>
            </w:r>
          </w:p>
        </w:tc>
        <w:tc>
          <w:tcPr>
            <w:tcW w:w="1140" w:type="dxa"/>
            <w:vAlign w:val="bottom"/>
            <w:tcBorders>
              <w:bottom w:val="single" w:sz="8" w:color="99B5CB"/>
            </w:tcBorders>
          </w:tcPr>
          <w:p>
            <w:pPr>
              <w:jc w:val="right"/>
              <w:spacing w:after="0"/>
              <w:rPr>
                <w:sz w:val="20"/>
                <w:szCs w:val="20"/>
                <w:color w:val="auto"/>
              </w:rPr>
            </w:pPr>
            <w:r>
              <w:rPr>
                <w:rFonts w:ascii="Arial" w:cs="Arial" w:eastAsia="Arial" w:hAnsi="Arial"/>
                <w:sz w:val="15"/>
                <w:szCs w:val="15"/>
                <w:color w:val="auto"/>
              </w:rPr>
              <w:t>282,677</w:t>
            </w:r>
          </w:p>
        </w:tc>
      </w:tr>
      <w:tr>
        <w:trPr>
          <w:trHeight w:val="251"/>
        </w:trPr>
        <w:tc>
          <w:tcPr>
            <w:tcW w:w="3380" w:type="dxa"/>
            <w:vAlign w:val="bottom"/>
            <w:tcBorders>
              <w:bottom w:val="single" w:sz="8" w:color="99B5CB"/>
            </w:tcBorders>
          </w:tcPr>
          <w:p>
            <w:pPr>
              <w:ind w:left="60"/>
              <w:spacing w:after="0"/>
              <w:rPr>
                <w:sz w:val="20"/>
                <w:szCs w:val="20"/>
                <w:color w:val="auto"/>
              </w:rPr>
            </w:pPr>
            <w:r>
              <w:rPr>
                <w:rFonts w:ascii="Arial" w:cs="Arial" w:eastAsia="Arial" w:hAnsi="Arial"/>
                <w:sz w:val="15"/>
                <w:szCs w:val="15"/>
                <w:color w:val="auto"/>
              </w:rPr>
              <w:t>David A. Donnini</w:t>
            </w:r>
          </w:p>
        </w:tc>
        <w:tc>
          <w:tcPr>
            <w:tcW w:w="4160" w:type="dxa"/>
            <w:vAlign w:val="bottom"/>
            <w:tcBorders>
              <w:bottom w:val="single" w:sz="8" w:color="99B5CB"/>
            </w:tcBorders>
          </w:tcPr>
          <w:p>
            <w:pPr>
              <w:jc w:val="right"/>
              <w:ind w:right="923"/>
              <w:spacing w:after="0"/>
              <w:rPr>
                <w:sz w:val="20"/>
                <w:szCs w:val="20"/>
                <w:color w:val="auto"/>
              </w:rPr>
            </w:pPr>
            <w:r>
              <w:rPr>
                <w:rFonts w:ascii="Arial" w:cs="Arial" w:eastAsia="Arial" w:hAnsi="Arial"/>
                <w:sz w:val="15"/>
                <w:szCs w:val="15"/>
                <w:color w:val="auto"/>
              </w:rPr>
              <w:t>77,500</w:t>
            </w:r>
          </w:p>
        </w:tc>
        <w:tc>
          <w:tcPr>
            <w:tcW w:w="1860" w:type="dxa"/>
            <w:vAlign w:val="bottom"/>
            <w:tcBorders>
              <w:bottom w:val="single" w:sz="8" w:color="99B5CB"/>
            </w:tcBorders>
          </w:tcPr>
          <w:p>
            <w:pPr>
              <w:jc w:val="right"/>
              <w:ind w:right="603"/>
              <w:spacing w:after="0"/>
              <w:rPr>
                <w:sz w:val="20"/>
                <w:szCs w:val="20"/>
                <w:color w:val="auto"/>
              </w:rPr>
            </w:pPr>
            <w:r>
              <w:rPr>
                <w:rFonts w:ascii="Arial" w:cs="Arial" w:eastAsia="Arial" w:hAnsi="Arial"/>
                <w:sz w:val="15"/>
                <w:szCs w:val="15"/>
                <w:color w:val="auto"/>
              </w:rPr>
              <w:t>225,000</w:t>
            </w:r>
          </w:p>
        </w:tc>
        <w:tc>
          <w:tcPr>
            <w:tcW w:w="1140" w:type="dxa"/>
            <w:vAlign w:val="bottom"/>
            <w:tcBorders>
              <w:bottom w:val="single" w:sz="8" w:color="99B5CB"/>
            </w:tcBorders>
          </w:tcPr>
          <w:p>
            <w:pPr>
              <w:jc w:val="right"/>
              <w:spacing w:after="0"/>
              <w:rPr>
                <w:sz w:val="20"/>
                <w:szCs w:val="20"/>
                <w:color w:val="auto"/>
              </w:rPr>
            </w:pPr>
            <w:r>
              <w:rPr>
                <w:rFonts w:ascii="Arial" w:cs="Arial" w:eastAsia="Arial" w:hAnsi="Arial"/>
                <w:sz w:val="15"/>
                <w:szCs w:val="15"/>
                <w:color w:val="auto"/>
              </w:rPr>
              <w:t>302,500</w:t>
            </w:r>
          </w:p>
        </w:tc>
      </w:tr>
      <w:tr>
        <w:trPr>
          <w:trHeight w:val="251"/>
        </w:trPr>
        <w:tc>
          <w:tcPr>
            <w:tcW w:w="3380" w:type="dxa"/>
            <w:vAlign w:val="bottom"/>
            <w:tcBorders>
              <w:bottom w:val="single" w:sz="8" w:color="99B5CB"/>
            </w:tcBorders>
          </w:tcPr>
          <w:p>
            <w:pPr>
              <w:ind w:left="60"/>
              <w:spacing w:after="0"/>
              <w:rPr>
                <w:sz w:val="20"/>
                <w:szCs w:val="20"/>
                <w:color w:val="auto"/>
              </w:rPr>
            </w:pPr>
            <w:r>
              <w:rPr>
                <w:rFonts w:ascii="Arial" w:cs="Arial" w:eastAsia="Arial" w:hAnsi="Arial"/>
                <w:sz w:val="15"/>
                <w:szCs w:val="15"/>
                <w:color w:val="auto"/>
              </w:rPr>
              <w:t>Constantine S. Mihas</w:t>
            </w:r>
          </w:p>
        </w:tc>
        <w:tc>
          <w:tcPr>
            <w:tcW w:w="4160" w:type="dxa"/>
            <w:vAlign w:val="bottom"/>
            <w:tcBorders>
              <w:bottom w:val="single" w:sz="8" w:color="99B5CB"/>
            </w:tcBorders>
          </w:tcPr>
          <w:p>
            <w:pPr>
              <w:jc w:val="right"/>
              <w:ind w:right="923"/>
              <w:spacing w:after="0"/>
              <w:rPr>
                <w:sz w:val="20"/>
                <w:szCs w:val="20"/>
                <w:color w:val="auto"/>
              </w:rPr>
            </w:pPr>
            <w:r>
              <w:rPr>
                <w:rFonts w:ascii="Arial" w:cs="Arial" w:eastAsia="Arial" w:hAnsi="Arial"/>
                <w:sz w:val="15"/>
                <w:szCs w:val="15"/>
                <w:color w:val="auto"/>
              </w:rPr>
              <w:t>80,000</w:t>
            </w:r>
          </w:p>
        </w:tc>
        <w:tc>
          <w:tcPr>
            <w:tcW w:w="1860" w:type="dxa"/>
            <w:vAlign w:val="bottom"/>
            <w:tcBorders>
              <w:bottom w:val="single" w:sz="8" w:color="99B5CB"/>
            </w:tcBorders>
          </w:tcPr>
          <w:p>
            <w:pPr>
              <w:jc w:val="right"/>
              <w:ind w:right="603"/>
              <w:spacing w:after="0"/>
              <w:rPr>
                <w:sz w:val="20"/>
                <w:szCs w:val="20"/>
                <w:color w:val="auto"/>
              </w:rPr>
            </w:pPr>
            <w:r>
              <w:rPr>
                <w:rFonts w:ascii="Arial" w:cs="Arial" w:eastAsia="Arial" w:hAnsi="Arial"/>
                <w:sz w:val="15"/>
                <w:szCs w:val="15"/>
                <w:color w:val="auto"/>
              </w:rPr>
              <w:t>225,000</w:t>
            </w:r>
          </w:p>
        </w:tc>
        <w:tc>
          <w:tcPr>
            <w:tcW w:w="1140" w:type="dxa"/>
            <w:vAlign w:val="bottom"/>
            <w:tcBorders>
              <w:bottom w:val="single" w:sz="8" w:color="99B5CB"/>
            </w:tcBorders>
          </w:tcPr>
          <w:p>
            <w:pPr>
              <w:jc w:val="right"/>
              <w:spacing w:after="0"/>
              <w:rPr>
                <w:sz w:val="20"/>
                <w:szCs w:val="20"/>
                <w:color w:val="auto"/>
              </w:rPr>
            </w:pPr>
            <w:r>
              <w:rPr>
                <w:rFonts w:ascii="Arial" w:cs="Arial" w:eastAsia="Arial" w:hAnsi="Arial"/>
                <w:sz w:val="15"/>
                <w:szCs w:val="15"/>
                <w:color w:val="auto"/>
              </w:rPr>
              <w:t>305,000</w:t>
            </w:r>
          </w:p>
        </w:tc>
      </w:tr>
      <w:tr>
        <w:trPr>
          <w:trHeight w:val="251"/>
        </w:trPr>
        <w:tc>
          <w:tcPr>
            <w:tcW w:w="3380" w:type="dxa"/>
            <w:vAlign w:val="bottom"/>
            <w:tcBorders>
              <w:bottom w:val="single" w:sz="8" w:color="99B5CB"/>
            </w:tcBorders>
          </w:tcPr>
          <w:p>
            <w:pPr>
              <w:ind w:left="60"/>
              <w:spacing w:after="0"/>
              <w:rPr>
                <w:sz w:val="20"/>
                <w:szCs w:val="20"/>
                <w:color w:val="auto"/>
              </w:rPr>
            </w:pPr>
            <w:r>
              <w:rPr>
                <w:rFonts w:ascii="Arial" w:cs="Arial" w:eastAsia="Arial" w:hAnsi="Arial"/>
                <w:sz w:val="15"/>
                <w:szCs w:val="15"/>
                <w:color w:val="auto"/>
              </w:rPr>
              <w:t>Sean L. Cunningham</w:t>
            </w:r>
          </w:p>
        </w:tc>
        <w:tc>
          <w:tcPr>
            <w:tcW w:w="4160" w:type="dxa"/>
            <w:vAlign w:val="bottom"/>
            <w:tcBorders>
              <w:bottom w:val="single" w:sz="8" w:color="99B5CB"/>
            </w:tcBorders>
          </w:tcPr>
          <w:p>
            <w:pPr>
              <w:jc w:val="right"/>
              <w:ind w:right="923"/>
              <w:spacing w:after="0"/>
              <w:rPr>
                <w:sz w:val="20"/>
                <w:szCs w:val="20"/>
                <w:color w:val="auto"/>
              </w:rPr>
            </w:pPr>
            <w:r>
              <w:rPr>
                <w:rFonts w:ascii="Arial" w:cs="Arial" w:eastAsia="Arial" w:hAnsi="Arial"/>
                <w:sz w:val="15"/>
                <w:szCs w:val="15"/>
                <w:color w:val="auto"/>
              </w:rPr>
              <w:t>77,500</w:t>
            </w:r>
          </w:p>
        </w:tc>
        <w:tc>
          <w:tcPr>
            <w:tcW w:w="1860" w:type="dxa"/>
            <w:vAlign w:val="bottom"/>
            <w:tcBorders>
              <w:bottom w:val="single" w:sz="8" w:color="99B5CB"/>
            </w:tcBorders>
          </w:tcPr>
          <w:p>
            <w:pPr>
              <w:jc w:val="right"/>
              <w:ind w:right="603"/>
              <w:spacing w:after="0"/>
              <w:rPr>
                <w:sz w:val="20"/>
                <w:szCs w:val="20"/>
                <w:color w:val="auto"/>
              </w:rPr>
            </w:pPr>
            <w:r>
              <w:rPr>
                <w:rFonts w:ascii="Arial" w:cs="Arial" w:eastAsia="Arial" w:hAnsi="Arial"/>
                <w:sz w:val="15"/>
                <w:szCs w:val="15"/>
                <w:color w:val="auto"/>
              </w:rPr>
              <w:t>225,000</w:t>
            </w:r>
          </w:p>
        </w:tc>
        <w:tc>
          <w:tcPr>
            <w:tcW w:w="1140" w:type="dxa"/>
            <w:vAlign w:val="bottom"/>
            <w:tcBorders>
              <w:bottom w:val="single" w:sz="8" w:color="99B5CB"/>
            </w:tcBorders>
          </w:tcPr>
          <w:p>
            <w:pPr>
              <w:jc w:val="right"/>
              <w:spacing w:after="0"/>
              <w:rPr>
                <w:sz w:val="20"/>
                <w:szCs w:val="20"/>
                <w:color w:val="auto"/>
              </w:rPr>
            </w:pPr>
            <w:r>
              <w:rPr>
                <w:rFonts w:ascii="Arial" w:cs="Arial" w:eastAsia="Arial" w:hAnsi="Arial"/>
                <w:sz w:val="15"/>
                <w:szCs w:val="15"/>
                <w:color w:val="auto"/>
              </w:rPr>
              <w:t>302,500</w:t>
            </w:r>
          </w:p>
        </w:tc>
      </w:tr>
      <w:tr>
        <w:trPr>
          <w:trHeight w:val="251"/>
        </w:trPr>
        <w:tc>
          <w:tcPr>
            <w:tcW w:w="3380" w:type="dxa"/>
            <w:vAlign w:val="bottom"/>
            <w:tcBorders>
              <w:bottom w:val="single" w:sz="8" w:color="99B5CB"/>
            </w:tcBorders>
          </w:tcPr>
          <w:p>
            <w:pPr>
              <w:ind w:left="60"/>
              <w:spacing w:after="0"/>
              <w:rPr>
                <w:sz w:val="20"/>
                <w:szCs w:val="20"/>
                <w:color w:val="auto"/>
              </w:rPr>
            </w:pPr>
            <w:r>
              <w:rPr>
                <w:rFonts w:ascii="Arial" w:cs="Arial" w:eastAsia="Arial" w:hAnsi="Arial"/>
                <w:sz w:val="15"/>
                <w:szCs w:val="15"/>
                <w:color w:val="auto"/>
              </w:rPr>
              <w:t>Ann R. Klee</w:t>
            </w:r>
          </w:p>
        </w:tc>
        <w:tc>
          <w:tcPr>
            <w:tcW w:w="4160" w:type="dxa"/>
            <w:vAlign w:val="bottom"/>
            <w:tcBorders>
              <w:bottom w:val="single" w:sz="8" w:color="99B5CB"/>
            </w:tcBorders>
          </w:tcPr>
          <w:p>
            <w:pPr>
              <w:jc w:val="right"/>
              <w:ind w:right="923"/>
              <w:spacing w:after="0"/>
              <w:rPr>
                <w:sz w:val="20"/>
                <w:szCs w:val="20"/>
                <w:color w:val="auto"/>
              </w:rPr>
            </w:pPr>
            <w:r>
              <w:rPr>
                <w:rFonts w:ascii="Arial" w:cs="Arial" w:eastAsia="Arial" w:hAnsi="Arial"/>
                <w:sz w:val="15"/>
                <w:szCs w:val="15"/>
                <w:color w:val="auto"/>
              </w:rPr>
              <w:t>97,500</w:t>
            </w:r>
          </w:p>
        </w:tc>
        <w:tc>
          <w:tcPr>
            <w:tcW w:w="1860" w:type="dxa"/>
            <w:vAlign w:val="bottom"/>
            <w:tcBorders>
              <w:bottom w:val="single" w:sz="8" w:color="99B5CB"/>
            </w:tcBorders>
          </w:tcPr>
          <w:p>
            <w:pPr>
              <w:jc w:val="right"/>
              <w:ind w:right="603"/>
              <w:spacing w:after="0"/>
              <w:rPr>
                <w:sz w:val="20"/>
                <w:szCs w:val="20"/>
                <w:color w:val="auto"/>
              </w:rPr>
            </w:pPr>
            <w:r>
              <w:rPr>
                <w:rFonts w:ascii="Arial" w:cs="Arial" w:eastAsia="Arial" w:hAnsi="Arial"/>
                <w:sz w:val="15"/>
                <w:szCs w:val="15"/>
                <w:color w:val="auto"/>
              </w:rPr>
              <w:t>225,000</w:t>
            </w:r>
          </w:p>
        </w:tc>
        <w:tc>
          <w:tcPr>
            <w:tcW w:w="1140" w:type="dxa"/>
            <w:vAlign w:val="bottom"/>
            <w:tcBorders>
              <w:bottom w:val="single" w:sz="8" w:color="99B5CB"/>
            </w:tcBorders>
          </w:tcPr>
          <w:p>
            <w:pPr>
              <w:jc w:val="right"/>
              <w:spacing w:after="0"/>
              <w:rPr>
                <w:sz w:val="20"/>
                <w:szCs w:val="20"/>
                <w:color w:val="auto"/>
              </w:rPr>
            </w:pPr>
            <w:r>
              <w:rPr>
                <w:rFonts w:ascii="Arial" w:cs="Arial" w:eastAsia="Arial" w:hAnsi="Arial"/>
                <w:sz w:val="15"/>
                <w:szCs w:val="15"/>
                <w:color w:val="auto"/>
              </w:rPr>
              <w:t>322,500</w:t>
            </w:r>
          </w:p>
        </w:tc>
      </w:tr>
      <w:tr>
        <w:trPr>
          <w:trHeight w:val="251"/>
        </w:trPr>
        <w:tc>
          <w:tcPr>
            <w:tcW w:w="3380" w:type="dxa"/>
            <w:vAlign w:val="bottom"/>
            <w:tcBorders>
              <w:bottom w:val="single" w:sz="8" w:color="99B5CB"/>
            </w:tcBorders>
          </w:tcPr>
          <w:p>
            <w:pPr>
              <w:ind w:left="60"/>
              <w:spacing w:after="0"/>
              <w:rPr>
                <w:sz w:val="20"/>
                <w:szCs w:val="20"/>
                <w:color w:val="auto"/>
              </w:rPr>
            </w:pPr>
            <w:r>
              <w:rPr>
                <w:rFonts w:ascii="Arial" w:cs="Arial" w:eastAsia="Arial" w:hAnsi="Arial"/>
                <w:sz w:val="15"/>
                <w:szCs w:val="15"/>
                <w:color w:val="auto"/>
              </w:rPr>
              <w:t>Robert B. Knauss</w:t>
            </w:r>
          </w:p>
        </w:tc>
        <w:tc>
          <w:tcPr>
            <w:tcW w:w="4160" w:type="dxa"/>
            <w:vAlign w:val="bottom"/>
            <w:tcBorders>
              <w:bottom w:val="single" w:sz="8" w:color="99B5CB"/>
            </w:tcBorders>
          </w:tcPr>
          <w:p>
            <w:pPr>
              <w:jc w:val="right"/>
              <w:ind w:right="923"/>
              <w:spacing w:after="0"/>
              <w:rPr>
                <w:sz w:val="20"/>
                <w:szCs w:val="20"/>
                <w:color w:val="auto"/>
              </w:rPr>
            </w:pPr>
            <w:r>
              <w:rPr>
                <w:rFonts w:ascii="Arial" w:cs="Arial" w:eastAsia="Arial" w:hAnsi="Arial"/>
                <w:sz w:val="15"/>
                <w:szCs w:val="15"/>
                <w:color w:val="auto"/>
              </w:rPr>
              <w:t>16,508</w:t>
            </w:r>
          </w:p>
        </w:tc>
        <w:tc>
          <w:tcPr>
            <w:tcW w:w="1860" w:type="dxa"/>
            <w:vAlign w:val="bottom"/>
            <w:tcBorders>
              <w:bottom w:val="single" w:sz="8" w:color="99B5CB"/>
            </w:tcBorders>
          </w:tcPr>
          <w:p>
            <w:pPr>
              <w:jc w:val="right"/>
              <w:ind w:right="843"/>
              <w:spacing w:after="0"/>
              <w:rPr>
                <w:sz w:val="20"/>
                <w:szCs w:val="20"/>
                <w:color w:val="auto"/>
              </w:rPr>
            </w:pPr>
            <w:r>
              <w:rPr>
                <w:rFonts w:ascii="Arial" w:cs="Arial" w:eastAsia="Arial" w:hAnsi="Arial"/>
                <w:sz w:val="15"/>
                <w:szCs w:val="15"/>
                <w:color w:val="auto"/>
              </w:rPr>
              <w:t>—</w:t>
            </w:r>
          </w:p>
        </w:tc>
        <w:tc>
          <w:tcPr>
            <w:tcW w:w="1140" w:type="dxa"/>
            <w:vAlign w:val="bottom"/>
            <w:tcBorders>
              <w:bottom w:val="single" w:sz="8" w:color="99B5CB"/>
            </w:tcBorders>
          </w:tcPr>
          <w:p>
            <w:pPr>
              <w:jc w:val="right"/>
              <w:spacing w:after="0"/>
              <w:rPr>
                <w:sz w:val="20"/>
                <w:szCs w:val="20"/>
                <w:color w:val="auto"/>
              </w:rPr>
            </w:pPr>
            <w:r>
              <w:rPr>
                <w:rFonts w:ascii="Arial" w:cs="Arial" w:eastAsia="Arial" w:hAnsi="Arial"/>
                <w:sz w:val="15"/>
                <w:szCs w:val="15"/>
                <w:color w:val="auto"/>
              </w:rPr>
              <w:t>16,508</w:t>
            </w:r>
          </w:p>
        </w:tc>
      </w:tr>
      <w:tr>
        <w:trPr>
          <w:trHeight w:val="251"/>
        </w:trPr>
        <w:tc>
          <w:tcPr>
            <w:tcW w:w="3380" w:type="dxa"/>
            <w:vAlign w:val="bottom"/>
            <w:tcBorders>
              <w:bottom w:val="single" w:sz="8" w:color="99B5CB"/>
            </w:tcBorders>
          </w:tcPr>
          <w:p>
            <w:pPr>
              <w:ind w:left="60"/>
              <w:spacing w:after="0"/>
              <w:rPr>
                <w:sz w:val="20"/>
                <w:szCs w:val="20"/>
                <w:color w:val="auto"/>
              </w:rPr>
            </w:pPr>
            <w:r>
              <w:rPr>
                <w:rFonts w:ascii="Arial" w:cs="Arial" w:eastAsia="Arial" w:hAnsi="Arial"/>
                <w:sz w:val="15"/>
                <w:szCs w:val="15"/>
                <w:color w:val="auto"/>
              </w:rPr>
              <w:t>Vincent K. Petrella</w:t>
            </w:r>
          </w:p>
        </w:tc>
        <w:tc>
          <w:tcPr>
            <w:tcW w:w="4160" w:type="dxa"/>
            <w:vAlign w:val="bottom"/>
            <w:tcBorders>
              <w:bottom w:val="single" w:sz="8" w:color="99B5CB"/>
            </w:tcBorders>
          </w:tcPr>
          <w:p>
            <w:pPr>
              <w:jc w:val="right"/>
              <w:ind w:right="923"/>
              <w:spacing w:after="0"/>
              <w:rPr>
                <w:sz w:val="20"/>
                <w:szCs w:val="20"/>
                <w:color w:val="auto"/>
              </w:rPr>
            </w:pPr>
            <w:r>
              <w:rPr>
                <w:rFonts w:ascii="Arial" w:cs="Arial" w:eastAsia="Arial" w:hAnsi="Arial"/>
                <w:sz w:val="15"/>
                <w:szCs w:val="15"/>
                <w:color w:val="auto"/>
              </w:rPr>
              <w:t>100,000</w:t>
            </w:r>
          </w:p>
        </w:tc>
        <w:tc>
          <w:tcPr>
            <w:tcW w:w="1860" w:type="dxa"/>
            <w:vAlign w:val="bottom"/>
            <w:tcBorders>
              <w:bottom w:val="single" w:sz="8" w:color="99B5CB"/>
            </w:tcBorders>
          </w:tcPr>
          <w:p>
            <w:pPr>
              <w:jc w:val="right"/>
              <w:ind w:right="603"/>
              <w:spacing w:after="0"/>
              <w:rPr>
                <w:sz w:val="20"/>
                <w:szCs w:val="20"/>
                <w:color w:val="auto"/>
              </w:rPr>
            </w:pPr>
            <w:r>
              <w:rPr>
                <w:rFonts w:ascii="Arial" w:cs="Arial" w:eastAsia="Arial" w:hAnsi="Arial"/>
                <w:sz w:val="15"/>
                <w:szCs w:val="15"/>
                <w:color w:val="auto"/>
              </w:rPr>
              <w:t>225,000</w:t>
            </w:r>
          </w:p>
        </w:tc>
        <w:tc>
          <w:tcPr>
            <w:tcW w:w="1140" w:type="dxa"/>
            <w:vAlign w:val="bottom"/>
            <w:tcBorders>
              <w:bottom w:val="single" w:sz="8" w:color="99B5CB"/>
            </w:tcBorders>
          </w:tcPr>
          <w:p>
            <w:pPr>
              <w:jc w:val="right"/>
              <w:spacing w:after="0"/>
              <w:rPr>
                <w:sz w:val="20"/>
                <w:szCs w:val="20"/>
                <w:color w:val="auto"/>
              </w:rPr>
            </w:pPr>
            <w:r>
              <w:rPr>
                <w:rFonts w:ascii="Arial" w:cs="Arial" w:eastAsia="Arial" w:hAnsi="Arial"/>
                <w:sz w:val="15"/>
                <w:szCs w:val="15"/>
                <w:color w:val="auto"/>
              </w:rPr>
              <w:t>325,000</w:t>
            </w:r>
          </w:p>
        </w:tc>
      </w:tr>
      <w:tr>
        <w:trPr>
          <w:trHeight w:val="251"/>
        </w:trPr>
        <w:tc>
          <w:tcPr>
            <w:tcW w:w="3380" w:type="dxa"/>
            <w:vAlign w:val="bottom"/>
            <w:tcBorders>
              <w:bottom w:val="single" w:sz="8" w:color="99B5CB"/>
            </w:tcBorders>
          </w:tcPr>
          <w:p>
            <w:pPr>
              <w:ind w:left="60"/>
              <w:spacing w:after="0"/>
              <w:rPr>
                <w:sz w:val="20"/>
                <w:szCs w:val="20"/>
                <w:color w:val="auto"/>
              </w:rPr>
            </w:pPr>
            <w:r>
              <w:rPr>
                <w:rFonts w:ascii="Arial" w:cs="Arial" w:eastAsia="Arial" w:hAnsi="Arial"/>
                <w:sz w:val="15"/>
                <w:szCs w:val="15"/>
                <w:color w:val="auto"/>
              </w:rPr>
              <w:t>Ruoxi Chen</w:t>
            </w:r>
          </w:p>
        </w:tc>
        <w:tc>
          <w:tcPr>
            <w:tcW w:w="4160" w:type="dxa"/>
            <w:vAlign w:val="bottom"/>
            <w:tcBorders>
              <w:bottom w:val="single" w:sz="8" w:color="99B5CB"/>
            </w:tcBorders>
          </w:tcPr>
          <w:p>
            <w:pPr>
              <w:jc w:val="right"/>
              <w:ind w:right="923"/>
              <w:spacing w:after="0"/>
              <w:rPr>
                <w:sz w:val="20"/>
                <w:szCs w:val="20"/>
                <w:color w:val="auto"/>
              </w:rPr>
            </w:pPr>
            <w:r>
              <w:rPr>
                <w:rFonts w:ascii="Arial" w:cs="Arial" w:eastAsia="Arial" w:hAnsi="Arial"/>
                <w:sz w:val="15"/>
                <w:szCs w:val="15"/>
                <w:color w:val="auto"/>
              </w:rPr>
              <w:t>77,500</w:t>
            </w:r>
          </w:p>
        </w:tc>
        <w:tc>
          <w:tcPr>
            <w:tcW w:w="1860" w:type="dxa"/>
            <w:vAlign w:val="bottom"/>
            <w:tcBorders>
              <w:bottom w:val="single" w:sz="8" w:color="99B5CB"/>
            </w:tcBorders>
          </w:tcPr>
          <w:p>
            <w:pPr>
              <w:jc w:val="right"/>
              <w:ind w:right="603"/>
              <w:spacing w:after="0"/>
              <w:rPr>
                <w:sz w:val="20"/>
                <w:szCs w:val="20"/>
                <w:color w:val="auto"/>
              </w:rPr>
            </w:pPr>
            <w:r>
              <w:rPr>
                <w:rFonts w:ascii="Arial" w:cs="Arial" w:eastAsia="Arial" w:hAnsi="Arial"/>
                <w:sz w:val="15"/>
                <w:szCs w:val="15"/>
                <w:color w:val="auto"/>
              </w:rPr>
              <w:t>225,000</w:t>
            </w:r>
          </w:p>
        </w:tc>
        <w:tc>
          <w:tcPr>
            <w:tcW w:w="1140" w:type="dxa"/>
            <w:vAlign w:val="bottom"/>
            <w:tcBorders>
              <w:bottom w:val="single" w:sz="8" w:color="99B5CB"/>
            </w:tcBorders>
          </w:tcPr>
          <w:p>
            <w:pPr>
              <w:jc w:val="right"/>
              <w:spacing w:after="0"/>
              <w:rPr>
                <w:sz w:val="20"/>
                <w:szCs w:val="20"/>
                <w:color w:val="auto"/>
              </w:rPr>
            </w:pPr>
            <w:r>
              <w:rPr>
                <w:rFonts w:ascii="Arial" w:cs="Arial" w:eastAsia="Arial" w:hAnsi="Arial"/>
                <w:sz w:val="15"/>
                <w:szCs w:val="15"/>
                <w:color w:val="auto"/>
              </w:rPr>
              <w:t>302,500</w:t>
            </w:r>
          </w:p>
        </w:tc>
      </w:tr>
      <w:tr>
        <w:trPr>
          <w:trHeight w:val="251"/>
        </w:trPr>
        <w:tc>
          <w:tcPr>
            <w:tcW w:w="3380" w:type="dxa"/>
            <w:vAlign w:val="bottom"/>
            <w:tcBorders>
              <w:bottom w:val="single" w:sz="8" w:color="00467D"/>
            </w:tcBorders>
          </w:tcPr>
          <w:p>
            <w:pPr>
              <w:ind w:left="60"/>
              <w:spacing w:after="0"/>
              <w:rPr>
                <w:sz w:val="20"/>
                <w:szCs w:val="20"/>
                <w:color w:val="auto"/>
              </w:rPr>
            </w:pPr>
            <w:r>
              <w:rPr>
                <w:rFonts w:ascii="Arial" w:cs="Arial" w:eastAsia="Arial" w:hAnsi="Arial"/>
                <w:sz w:val="15"/>
                <w:szCs w:val="15"/>
                <w:color w:val="auto"/>
              </w:rPr>
              <w:t>David E. Wheadon</w:t>
            </w:r>
          </w:p>
        </w:tc>
        <w:tc>
          <w:tcPr>
            <w:tcW w:w="4160" w:type="dxa"/>
            <w:vAlign w:val="bottom"/>
            <w:tcBorders>
              <w:bottom w:val="single" w:sz="8" w:color="00467D"/>
            </w:tcBorders>
          </w:tcPr>
          <w:p>
            <w:pPr>
              <w:jc w:val="right"/>
              <w:ind w:right="923"/>
              <w:spacing w:after="0"/>
              <w:rPr>
                <w:sz w:val="20"/>
                <w:szCs w:val="20"/>
                <w:color w:val="auto"/>
              </w:rPr>
            </w:pPr>
            <w:r>
              <w:rPr>
                <w:rFonts w:ascii="Arial" w:cs="Arial" w:eastAsia="Arial" w:hAnsi="Arial"/>
                <w:sz w:val="15"/>
                <w:szCs w:val="15"/>
                <w:color w:val="auto"/>
              </w:rPr>
              <w:t>85,000</w:t>
            </w:r>
          </w:p>
        </w:tc>
        <w:tc>
          <w:tcPr>
            <w:tcW w:w="1860" w:type="dxa"/>
            <w:vAlign w:val="bottom"/>
            <w:tcBorders>
              <w:bottom w:val="single" w:sz="8" w:color="00467D"/>
            </w:tcBorders>
          </w:tcPr>
          <w:p>
            <w:pPr>
              <w:jc w:val="right"/>
              <w:ind w:right="603"/>
              <w:spacing w:after="0"/>
              <w:rPr>
                <w:sz w:val="20"/>
                <w:szCs w:val="20"/>
                <w:color w:val="auto"/>
              </w:rPr>
            </w:pPr>
            <w:r>
              <w:rPr>
                <w:rFonts w:ascii="Arial" w:cs="Arial" w:eastAsia="Arial" w:hAnsi="Arial"/>
                <w:sz w:val="15"/>
                <w:szCs w:val="15"/>
                <w:color w:val="auto"/>
              </w:rPr>
              <w:t>225,000</w:t>
            </w:r>
          </w:p>
        </w:tc>
        <w:tc>
          <w:tcPr>
            <w:tcW w:w="1140" w:type="dxa"/>
            <w:vAlign w:val="bottom"/>
            <w:tcBorders>
              <w:bottom w:val="single" w:sz="8" w:color="00467D"/>
            </w:tcBorders>
          </w:tcPr>
          <w:p>
            <w:pPr>
              <w:jc w:val="right"/>
              <w:spacing w:after="0"/>
              <w:rPr>
                <w:sz w:val="20"/>
                <w:szCs w:val="20"/>
                <w:color w:val="auto"/>
              </w:rPr>
            </w:pPr>
            <w:r>
              <w:rPr>
                <w:rFonts w:ascii="Arial" w:cs="Arial" w:eastAsia="Arial" w:hAnsi="Arial"/>
                <w:sz w:val="15"/>
                <w:szCs w:val="15"/>
                <w:color w:val="auto"/>
              </w:rPr>
              <w:t>310,000</w:t>
            </w:r>
          </w:p>
        </w:tc>
      </w:tr>
    </w:tbl>
    <w:p>
      <w:pPr>
        <w:spacing w:after="0" w:line="70" w:lineRule="exact"/>
        <w:rPr>
          <w:sz w:val="20"/>
          <w:szCs w:val="20"/>
          <w:color w:val="auto"/>
        </w:rPr>
      </w:pPr>
    </w:p>
    <w:p>
      <w:pPr>
        <w:jc w:val="both"/>
        <w:ind w:left="780" w:right="140" w:hanging="422"/>
        <w:spacing w:after="0" w:line="245" w:lineRule="auto"/>
        <w:tabs>
          <w:tab w:leader="none" w:pos="780" w:val="left"/>
        </w:tabs>
        <w:numPr>
          <w:ilvl w:val="0"/>
          <w:numId w:val="17"/>
        </w:numPr>
        <w:rPr>
          <w:rFonts w:ascii="Arial" w:cs="Arial" w:eastAsia="Arial" w:hAnsi="Arial"/>
          <w:sz w:val="14"/>
          <w:szCs w:val="14"/>
          <w:color w:val="auto"/>
        </w:rPr>
      </w:pPr>
      <w:r>
        <w:rPr>
          <w:rFonts w:ascii="Arial" w:cs="Arial" w:eastAsia="Arial" w:hAnsi="Arial"/>
          <w:sz w:val="14"/>
          <w:szCs w:val="14"/>
          <w:color w:val="auto"/>
        </w:rPr>
        <w:t>Reflects cash retainer payments paid for service on our Board or any committee of our Board in 2022. In the case of Ms. Geveda, payments were pro-rated from the time of her resignation from the Board on October 7, 2022. Payments to Mr. Knauss are pro-rated from his start of service on October 12, 2022. See “Non-Employee Director Compensation Policy”.</w:t>
      </w:r>
    </w:p>
    <w:p>
      <w:pPr>
        <w:spacing w:after="0" w:line="87" w:lineRule="exact"/>
        <w:rPr>
          <w:rFonts w:ascii="Arial" w:cs="Arial" w:eastAsia="Arial" w:hAnsi="Arial"/>
          <w:sz w:val="14"/>
          <w:szCs w:val="14"/>
          <w:color w:val="auto"/>
        </w:rPr>
      </w:pPr>
    </w:p>
    <w:p>
      <w:pPr>
        <w:ind w:left="780" w:right="80" w:hanging="422"/>
        <w:spacing w:after="0" w:line="235" w:lineRule="auto"/>
        <w:tabs>
          <w:tab w:leader="none" w:pos="780" w:val="left"/>
        </w:tabs>
        <w:numPr>
          <w:ilvl w:val="0"/>
          <w:numId w:val="17"/>
        </w:numPr>
        <w:rPr>
          <w:rFonts w:ascii="Arial" w:cs="Arial" w:eastAsia="Arial" w:hAnsi="Arial"/>
          <w:sz w:val="14"/>
          <w:szCs w:val="14"/>
          <w:color w:val="auto"/>
        </w:rPr>
      </w:pPr>
      <w:r>
        <w:rPr>
          <w:rFonts w:ascii="Arial" w:cs="Arial" w:eastAsia="Arial" w:hAnsi="Arial"/>
          <w:sz w:val="14"/>
          <w:szCs w:val="14"/>
          <w:color w:val="auto"/>
        </w:rPr>
        <w:t>Amounts in this column reflect the aggregate grant date fair value of share-based compensation awarded during the year. The grant date fair value of this compensation was computed in accordance with the provisions of Financial Accounting Standards Board (“FASB”) Accounting Standards Codification (“ASC”) 718, Stock Compensation. The assumptions that we used to calculate these amounts are discussed in Note 16, “Share-Based Compensation” and Note 1, “Significant Accounting Policies” to our consolidated financial statements included in our Annual Report on Form 10-K for the fiscal year ended December 31, 2022. The grant date fair value does not necessarily correspond to the actual economic value that may be realized for these awards. Ms. Geveda’s unvested May 2022 RSU award was forfeited upon her resignation. See “Non-Employee Director Compensation Policy”. Mr. Knauss did not receive a 2022 RSU award as his service began in October 2022. As of December 31, 2022, each of our non-employee directors (except Ms. Geveda and Mr. Knauss) had 10,643 restricted stock units outstanding that were granted on May 27, 2022.</w:t>
      </w:r>
    </w:p>
    <w:p>
      <w:pPr>
        <w:spacing w:after="0" w:line="269" w:lineRule="exact"/>
        <w:rPr>
          <w:sz w:val="20"/>
          <w:szCs w:val="20"/>
          <w:color w:val="auto"/>
        </w:rPr>
      </w:pPr>
    </w:p>
    <w:p>
      <w:pPr>
        <w:ind w:left="360"/>
        <w:spacing w:after="0"/>
        <w:rPr>
          <w:sz w:val="20"/>
          <w:szCs w:val="20"/>
          <w:color w:val="auto"/>
        </w:rPr>
      </w:pPr>
      <w:r>
        <w:rPr>
          <w:rFonts w:ascii="Arial" w:cs="Arial" w:eastAsia="Arial" w:hAnsi="Arial"/>
          <w:sz w:val="31"/>
          <w:szCs w:val="31"/>
          <w:color w:val="00B0DB"/>
        </w:rPr>
        <w:t>Non-Employee Director Compensation Policy</w:t>
      </w:r>
    </w:p>
    <w:p>
      <w:pPr>
        <w:spacing w:after="0" w:line="221" w:lineRule="exact"/>
        <w:rPr>
          <w:sz w:val="20"/>
          <w:szCs w:val="20"/>
          <w:color w:val="auto"/>
        </w:rPr>
      </w:pPr>
    </w:p>
    <w:p>
      <w:pPr>
        <w:jc w:val="both"/>
        <w:ind w:left="360" w:right="260"/>
        <w:spacing w:after="0" w:line="256" w:lineRule="auto"/>
        <w:rPr>
          <w:sz w:val="20"/>
          <w:szCs w:val="20"/>
          <w:color w:val="auto"/>
        </w:rPr>
      </w:pPr>
      <w:r>
        <w:rPr>
          <w:rFonts w:ascii="Arial" w:cs="Arial" w:eastAsia="Arial" w:hAnsi="Arial"/>
          <w:sz w:val="17"/>
          <w:szCs w:val="17"/>
          <w:color w:val="auto"/>
        </w:rPr>
        <w:t>Our Board adopted a compensation policy for non-employee directors, which became effective in connection with our IPO. Pursuant to this policy, non-employee directors receive the compensation described below. Our non-employee director compensation policy may be amended by our Board from time to time.</w:t>
      </w:r>
    </w:p>
    <w:p>
      <w:pPr>
        <w:spacing w:after="0" w:line="252" w:lineRule="exact"/>
        <w:rPr>
          <w:sz w:val="20"/>
          <w:szCs w:val="20"/>
          <w:color w:val="auto"/>
        </w:rPr>
      </w:pPr>
    </w:p>
    <w:p>
      <w:pPr>
        <w:ind w:left="360"/>
        <w:spacing w:after="0"/>
        <w:rPr>
          <w:sz w:val="20"/>
          <w:szCs w:val="20"/>
          <w:color w:val="auto"/>
        </w:rPr>
      </w:pPr>
      <w:r>
        <w:rPr>
          <w:rFonts w:ascii="Arial" w:cs="Arial" w:eastAsia="Arial" w:hAnsi="Arial"/>
          <w:sz w:val="28"/>
          <w:szCs w:val="28"/>
          <w:color w:val="auto"/>
        </w:rPr>
        <w:t>Cash Compensation</w:t>
      </w:r>
    </w:p>
    <w:p>
      <w:pPr>
        <w:spacing w:after="0" w:line="220" w:lineRule="exact"/>
        <w:rPr>
          <w:sz w:val="20"/>
          <w:szCs w:val="20"/>
          <w:color w:val="auto"/>
        </w:rPr>
      </w:pPr>
    </w:p>
    <w:p>
      <w:pPr>
        <w:ind w:left="360" w:right="100"/>
        <w:spacing w:after="0" w:line="243" w:lineRule="auto"/>
        <w:rPr>
          <w:sz w:val="20"/>
          <w:szCs w:val="20"/>
          <w:color w:val="auto"/>
        </w:rPr>
      </w:pPr>
      <w:r>
        <w:rPr>
          <w:rFonts w:ascii="Arial" w:cs="Arial" w:eastAsia="Arial" w:hAnsi="Arial"/>
          <w:sz w:val="17"/>
          <w:szCs w:val="17"/>
          <w:color w:val="auto"/>
        </w:rPr>
        <w:t>Each non-employee director is entitled to receive an annual cash retainer of $75,000 as remuneration for service to the Company, with an additional $7,500 for service on the Audit Committee (or, in the case of the chair of such Committee, $25,000), an additional $5,000 for service on the LD&amp;C Committee (or, in the case of the chair of such Committee, $ 20,000), and an additional $2,500 for service on the Governance Committee (or, in the case of the chair of such Committee, $ 15,000). There is no additional compensation for service on the EO Litigation or Nordion Pricing Committees. The annual cash retainer is paid on a quarterly basis, pro-rated for any non-employee director whose service (or whose service in any of the additional capacities described above) begins or ends in the midst of a calendar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231775</wp:posOffset>
            </wp:positionH>
            <wp:positionV relativeFrom="paragraph">
              <wp:posOffset>97790</wp:posOffset>
            </wp:positionV>
            <wp:extent cx="6687820" cy="1651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687820" cy="16510"/>
                    </a:xfrm>
                    <a:prstGeom prst="rect">
                      <a:avLst/>
                    </a:prstGeom>
                    <a:noFill/>
                  </pic:spPr>
                </pic:pic>
              </a:graphicData>
            </a:graphic>
          </wp:anchor>
        </w:drawing>
      </w:r>
    </w:p>
    <w:p>
      <w:pPr>
        <w:spacing w:after="0" w:line="324" w:lineRule="exact"/>
        <w:rPr>
          <w:sz w:val="20"/>
          <w:szCs w:val="20"/>
          <w:color w:val="auto"/>
        </w:rPr>
      </w:pPr>
    </w:p>
    <w:tbl>
      <w:tblPr>
        <w:tblLayout w:type="fixed"/>
        <w:tblInd w:w="360" w:type="dxa"/>
        <w:tblCellMar>
          <w:top w:w="0" w:type="dxa"/>
          <w:left w:w="0" w:type="dxa"/>
          <w:bottom w:w="0" w:type="dxa"/>
          <w:right w:w="0" w:type="dxa"/>
        </w:tblCellMar>
      </w:tblPr>
      <w:tr>
        <w:trPr>
          <w:trHeight w:val="226"/>
        </w:trPr>
        <w:tc>
          <w:tcPr>
            <w:tcW w:w="3900" w:type="dxa"/>
            <w:vAlign w:val="bottom"/>
          </w:tcPr>
          <w:p>
            <w:pPr>
              <w:spacing w:after="0"/>
              <w:rPr>
                <w:sz w:val="20"/>
                <w:szCs w:val="20"/>
                <w:color w:val="auto"/>
              </w:rPr>
            </w:pPr>
            <w:r>
              <w:rPr>
                <w:rFonts w:ascii="Arial" w:cs="Arial" w:eastAsia="Arial" w:hAnsi="Arial"/>
                <w:sz w:val="17"/>
                <w:szCs w:val="17"/>
                <w:color w:val="auto"/>
              </w:rPr>
              <w:t>2023 Notice and Proxy Statement</w:t>
            </w:r>
          </w:p>
        </w:tc>
        <w:tc>
          <w:tcPr>
            <w:tcW w:w="1520" w:type="dxa"/>
            <w:vAlign w:val="bottom"/>
          </w:tcPr>
          <w:p>
            <w:pPr>
              <w:jc w:val="right"/>
              <w:spacing w:after="0"/>
              <w:rPr>
                <w:sz w:val="20"/>
                <w:szCs w:val="20"/>
                <w:color w:val="auto"/>
              </w:rPr>
            </w:pPr>
            <w:r>
              <w:rPr>
                <w:rFonts w:ascii="Arial" w:cs="Arial" w:eastAsia="Arial" w:hAnsi="Arial"/>
                <w:sz w:val="17"/>
                <w:szCs w:val="17"/>
                <w:color w:val="auto"/>
              </w:rPr>
              <w:t>24</w:t>
            </w:r>
          </w:p>
        </w:tc>
      </w:tr>
    </w:tbl>
    <w:p>
      <w:pPr>
        <w:sectPr>
          <w:pgSz w:w="11900" w:h="16838" w:orient="portrait"/>
          <w:cols w:equalWidth="0" w:num="1">
            <w:col w:w="10900"/>
          </w:cols>
          <w:pgMar w:left="320" w:top="468" w:right="67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5334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79945" cy="53340"/>
                    </a:xfrm>
                    <a:prstGeom prst="rect">
                      <a:avLst/>
                    </a:prstGeom>
                    <a:noFill/>
                  </pic:spPr>
                </pic:pic>
              </a:graphicData>
            </a:graphic>
          </wp:anchor>
        </w:drawing>
        <w:t>Table of Contents</w:t>
      </w:r>
    </w:p>
    <w:p>
      <w:pPr>
        <w:spacing w:after="0" w:line="296"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Non-Employee Director Compensation</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Non-Employee Director Compensation Policy</w:t>
      </w:r>
    </w:p>
    <w:p>
      <w:pPr>
        <w:spacing w:after="0" w:line="101" w:lineRule="exact"/>
        <w:rPr>
          <w:sz w:val="20"/>
          <w:szCs w:val="20"/>
          <w:color w:val="auto"/>
        </w:rPr>
      </w:pPr>
    </w:p>
    <w:p>
      <w:pPr>
        <w:ind w:left="360"/>
        <w:spacing w:after="0"/>
        <w:rPr>
          <w:sz w:val="20"/>
          <w:szCs w:val="20"/>
          <w:color w:val="auto"/>
        </w:rPr>
      </w:pPr>
      <w:r>
        <w:rPr>
          <w:rFonts w:ascii="Arial" w:cs="Arial" w:eastAsia="Arial" w:hAnsi="Arial"/>
          <w:sz w:val="28"/>
          <w:szCs w:val="28"/>
          <w:color w:val="auto"/>
        </w:rPr>
        <w:t>Equity Compensation</w:t>
      </w:r>
    </w:p>
    <w:p>
      <w:pPr>
        <w:spacing w:after="0" w:line="220" w:lineRule="exact"/>
        <w:rPr>
          <w:sz w:val="20"/>
          <w:szCs w:val="20"/>
          <w:color w:val="auto"/>
        </w:rPr>
      </w:pPr>
    </w:p>
    <w:p>
      <w:pPr>
        <w:ind w:left="360" w:right="380"/>
        <w:spacing w:after="0" w:line="247" w:lineRule="auto"/>
        <w:rPr>
          <w:sz w:val="20"/>
          <w:szCs w:val="20"/>
          <w:color w:val="auto"/>
        </w:rPr>
      </w:pPr>
      <w:r>
        <w:rPr>
          <w:rFonts w:ascii="Arial" w:cs="Arial" w:eastAsia="Arial" w:hAnsi="Arial"/>
          <w:sz w:val="17"/>
          <w:szCs w:val="17"/>
          <w:color w:val="auto"/>
        </w:rPr>
        <w:t>Each non-employee director is entitled to receive an annual grant of restricted stock units (“RSUs”) under the Sotera Health Company 2020 Omnibus Incentive Plan with a grant date fair value of $225,000. Such RSUs are time-based and will vest in full on the earlier of</w:t>
      </w:r>
    </w:p>
    <w:p>
      <w:pPr>
        <w:spacing w:after="0" w:line="1" w:lineRule="exact"/>
        <w:rPr>
          <w:sz w:val="20"/>
          <w:szCs w:val="20"/>
          <w:color w:val="auto"/>
        </w:rPr>
      </w:pPr>
    </w:p>
    <w:p>
      <w:pPr>
        <w:ind w:left="360" w:right="200" w:hanging="2"/>
        <w:spacing w:after="0" w:line="243" w:lineRule="auto"/>
        <w:tabs>
          <w:tab w:leader="none" w:pos="561"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first anniversary of the date of grant, or (ii) the date immediately prior to the Company’s next regular annual meeting of shareholders, in each case, subject to the director’s continued service through such date. Annual grants of RSUs are generally made on the day immediately after our regular annual meeting of shareholders to non-employee directors who are serving on our Board on such date.</w:t>
      </w:r>
    </w:p>
    <w:p>
      <w:pPr>
        <w:spacing w:after="0" w:line="263" w:lineRule="exact"/>
        <w:rPr>
          <w:sz w:val="20"/>
          <w:szCs w:val="20"/>
          <w:color w:val="auto"/>
        </w:rPr>
      </w:pPr>
    </w:p>
    <w:p>
      <w:pPr>
        <w:ind w:left="360"/>
        <w:spacing w:after="0"/>
        <w:rPr>
          <w:sz w:val="20"/>
          <w:szCs w:val="20"/>
          <w:color w:val="auto"/>
        </w:rPr>
      </w:pPr>
      <w:r>
        <w:rPr>
          <w:rFonts w:ascii="Arial" w:cs="Arial" w:eastAsia="Arial" w:hAnsi="Arial"/>
          <w:sz w:val="28"/>
          <w:szCs w:val="28"/>
          <w:color w:val="auto"/>
        </w:rPr>
        <w:t>Expenses</w:t>
      </w:r>
    </w:p>
    <w:p>
      <w:pPr>
        <w:spacing w:after="0" w:line="220" w:lineRule="exact"/>
        <w:rPr>
          <w:sz w:val="20"/>
          <w:szCs w:val="20"/>
          <w:color w:val="auto"/>
        </w:rPr>
      </w:pPr>
    </w:p>
    <w:p>
      <w:pPr>
        <w:ind w:left="360" w:right="160"/>
        <w:spacing w:after="0" w:line="256" w:lineRule="auto"/>
        <w:rPr>
          <w:sz w:val="20"/>
          <w:szCs w:val="20"/>
          <w:color w:val="auto"/>
        </w:rPr>
      </w:pPr>
      <w:r>
        <w:rPr>
          <w:rFonts w:ascii="Arial" w:cs="Arial" w:eastAsia="Arial" w:hAnsi="Arial"/>
          <w:sz w:val="17"/>
          <w:szCs w:val="17"/>
          <w:color w:val="auto"/>
        </w:rPr>
        <w:t>We reimburse our non-employee directors for all reasonable out-of-pocket expenses incurred in connection with his or her service on our Board, including attendance at meetings of the Board, the board of directors of any of our subsidiaries and any committees thereof, in accordance with the terms of our amended and restated bylaws and our expense reimbursement policy, as in effect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231775</wp:posOffset>
            </wp:positionH>
            <wp:positionV relativeFrom="paragraph">
              <wp:posOffset>88900</wp:posOffset>
            </wp:positionV>
            <wp:extent cx="6687820" cy="1651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687820" cy="16510"/>
                    </a:xfrm>
                    <a:prstGeom prst="rect">
                      <a:avLst/>
                    </a:prstGeom>
                    <a:noFill/>
                  </pic:spPr>
                </pic:pic>
              </a:graphicData>
            </a:graphic>
          </wp:anchor>
        </w:drawing>
      </w:r>
    </w:p>
    <w:p>
      <w:pPr>
        <w:spacing w:after="0" w:line="310"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6443980</wp:posOffset>
            </wp:positionH>
            <wp:positionV relativeFrom="paragraph">
              <wp:posOffset>-113030</wp:posOffset>
            </wp:positionV>
            <wp:extent cx="475615" cy="15557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475615" cy="155575"/>
                    </a:xfrm>
                    <a:prstGeom prst="rect">
                      <a:avLst/>
                    </a:prstGeom>
                    <a:noFill/>
                  </pic:spPr>
                </pic:pic>
              </a:graphicData>
            </a:graphic>
          </wp:anchor>
        </w:drawing>
      </w:r>
    </w:p>
    <w:p>
      <w:pPr>
        <w:sectPr>
          <w:pgSz w:w="11900" w:h="16838" w:orient="portrait"/>
          <w:cols w:equalWidth="0" w:num="1">
            <w:col w:w="10900"/>
          </w:cols>
          <w:pgMar w:left="320" w:top="468" w:right="67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5397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79945" cy="53975"/>
                    </a:xfrm>
                    <a:prstGeom prst="rect">
                      <a:avLst/>
                    </a:prstGeom>
                    <a:noFill/>
                  </pic:spPr>
                </pic:pic>
              </a:graphicData>
            </a:graphic>
          </wp:anchor>
        </w:drawing>
        <w:t>Table of Contents</w:t>
      </w:r>
    </w:p>
    <w:p>
      <w:pPr>
        <w:spacing w:after="0" w:line="296"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auto"/>
        </w:rPr>
        <w:t>Proposal 2: Advisory Vote to Approve Named Executive Officer Compensation</w:t>
      </w:r>
    </w:p>
    <w:p>
      <w:pPr>
        <w:spacing w:after="0" w:line="117" w:lineRule="exact"/>
        <w:rPr>
          <w:sz w:val="20"/>
          <w:szCs w:val="20"/>
          <w:color w:val="auto"/>
        </w:rPr>
      </w:pPr>
    </w:p>
    <w:p>
      <w:pPr>
        <w:ind w:left="360" w:right="1080"/>
        <w:spacing w:after="0" w:line="293" w:lineRule="auto"/>
        <w:rPr>
          <w:sz w:val="20"/>
          <w:szCs w:val="20"/>
          <w:color w:val="auto"/>
        </w:rPr>
      </w:pPr>
      <w:r>
        <w:rPr>
          <w:rFonts w:ascii="Arial" w:cs="Arial" w:eastAsia="Arial" w:hAnsi="Arial"/>
          <w:sz w:val="41"/>
          <w:szCs w:val="41"/>
          <w:b w:val="1"/>
          <w:bCs w:val="1"/>
          <w:color w:val="00B0DB"/>
        </w:rPr>
        <w:t>PROPOSAL 2: ADVISORY VOTE TO APPROVE NAMED EXECUTIVE OFFICER COMPENSATION</w:t>
      </w:r>
    </w:p>
    <w:p>
      <w:pPr>
        <w:spacing w:after="0" w:line="35" w:lineRule="exact"/>
        <w:rPr>
          <w:sz w:val="20"/>
          <w:szCs w:val="20"/>
          <w:color w:val="auto"/>
        </w:rPr>
      </w:pPr>
    </w:p>
    <w:p>
      <w:pPr>
        <w:ind w:left="360"/>
        <w:spacing w:after="0" w:line="250" w:lineRule="auto"/>
        <w:rPr>
          <w:sz w:val="20"/>
          <w:szCs w:val="20"/>
          <w:color w:val="auto"/>
        </w:rPr>
      </w:pPr>
      <w:r>
        <w:rPr>
          <w:rFonts w:ascii="Arial" w:cs="Arial" w:eastAsia="Arial" w:hAnsi="Arial"/>
          <w:sz w:val="17"/>
          <w:szCs w:val="17"/>
          <w:color w:val="auto"/>
        </w:rPr>
        <w:t>In accordance with Section 14A of the Securities Exchange Act of 1934, we are asking shareholders to approve on an advisory basis, the compensation of our Named Executive Officers as reported in this Proxy Statement. While this vote (commonly referred to as a “say-on-pay” vote) is non-binding, we and our Board of Directors value the opinions of our shareholders and will consider the outcome of this vote when making future compensation decisions.</w:t>
      </w:r>
    </w:p>
    <w:p>
      <w:pPr>
        <w:spacing w:after="0" w:line="141" w:lineRule="exact"/>
        <w:rPr>
          <w:sz w:val="20"/>
          <w:szCs w:val="20"/>
          <w:color w:val="auto"/>
        </w:rPr>
      </w:pPr>
    </w:p>
    <w:p>
      <w:pPr>
        <w:ind w:left="360" w:right="140"/>
        <w:spacing w:after="0" w:line="246" w:lineRule="auto"/>
        <w:rPr>
          <w:sz w:val="20"/>
          <w:szCs w:val="20"/>
          <w:color w:val="auto"/>
        </w:rPr>
      </w:pPr>
      <w:r>
        <w:rPr>
          <w:rFonts w:ascii="Arial" w:cs="Arial" w:eastAsia="Arial" w:hAnsi="Arial"/>
          <w:sz w:val="17"/>
          <w:szCs w:val="17"/>
          <w:color w:val="auto"/>
        </w:rPr>
        <w:t>We encourage shareholders to review the Compensation Discussion and Analysis, beginning on page 27, as well as the Summary Compensation Table and other related compensation tables, notes and narrative. For the reasons detailed in the Compensation Discussion and Analysis, our executive compensation program aligns the interests between our executive officers and our shareholders by linking a significant portion of our executives’ compensation to Sotera Health’s performance while providing a competitive level of compensation designed to recruit, retain and motivate executives critical to Sotera Health’s long-term success.</w:t>
      </w:r>
    </w:p>
    <w:p>
      <w:pPr>
        <w:spacing w:after="0" w:line="173"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We are asking our shareholders to approve, on an advisory, non-binding basis, the following resolution:</w:t>
      </w:r>
    </w:p>
    <w:p>
      <w:pPr>
        <w:spacing w:after="0" w:line="127" w:lineRule="exact"/>
        <w:rPr>
          <w:sz w:val="20"/>
          <w:szCs w:val="20"/>
          <w:color w:val="auto"/>
        </w:rPr>
      </w:pPr>
    </w:p>
    <w:p>
      <w:pPr>
        <w:ind w:left="780" w:right="140"/>
        <w:spacing w:after="0" w:line="250" w:lineRule="auto"/>
        <w:rPr>
          <w:sz w:val="20"/>
          <w:szCs w:val="20"/>
          <w:color w:val="auto"/>
        </w:rPr>
      </w:pPr>
      <w:r>
        <w:rPr>
          <w:rFonts w:ascii="Arial" w:cs="Arial" w:eastAsia="Arial" w:hAnsi="Arial"/>
          <w:sz w:val="17"/>
          <w:szCs w:val="17"/>
          <w:color w:val="auto"/>
        </w:rPr>
        <w:t>Resolved, that the Sotera Health Company shareholders approve, on an advisory, non-binding basis, the compensation of the Company’s Named Executive Officers as disclosed pursuant to the compensation disclosure rules of the Securities and Exchange Commission, including the Compensation Discussion and Analysis, the Summary Compensation Table, the other compensation tables and related notes and narrative in this Proxy Statement for the 2023 Annual Meeting of Shareholders.</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17"/>
          <w:szCs w:val="17"/>
          <w:color w:val="auto"/>
        </w:rPr>
        <w:t>The Board has adopted a policy of seeking advisory approvals of the compensation of our Named Executive Officers on an annual basis.</w:t>
      </w:r>
    </w:p>
    <w:p>
      <w:pPr>
        <w:spacing w:after="0" w:line="14" w:lineRule="exact"/>
        <w:rPr>
          <w:sz w:val="20"/>
          <w:szCs w:val="20"/>
          <w:color w:val="auto"/>
        </w:rPr>
      </w:pPr>
    </w:p>
    <w:p>
      <w:pPr>
        <w:ind w:left="360"/>
        <w:spacing w:after="0"/>
        <w:rPr>
          <w:sz w:val="20"/>
          <w:szCs w:val="20"/>
          <w:color w:val="auto"/>
        </w:rPr>
      </w:pPr>
      <w:r>
        <w:rPr>
          <w:rFonts w:ascii="Arial" w:cs="Arial" w:eastAsia="Arial" w:hAnsi="Arial"/>
          <w:sz w:val="17"/>
          <w:szCs w:val="17"/>
          <w:color w:val="auto"/>
        </w:rPr>
        <w:t>Accordingly, the next advisory approval of executive compensation will occur at the 2024 Annual Meeting of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384810</wp:posOffset>
            </wp:positionV>
            <wp:extent cx="6146800" cy="62293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146800" cy="622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2240" w:right="420"/>
        <w:spacing w:after="0" w:line="272" w:lineRule="auto"/>
        <w:rPr>
          <w:sz w:val="20"/>
          <w:szCs w:val="20"/>
          <w:color w:val="auto"/>
        </w:rPr>
      </w:pPr>
      <w:r>
        <w:rPr>
          <w:rFonts w:ascii="Arial" w:cs="Arial" w:eastAsia="Arial" w:hAnsi="Arial"/>
          <w:sz w:val="21"/>
          <w:szCs w:val="21"/>
          <w:b w:val="1"/>
          <w:bCs w:val="1"/>
          <w:color w:val="FFFFFF"/>
        </w:rPr>
        <w:t>The Board recommends a vote “FOR” approval, on an advisory, non-binding basis, of the compensation of our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231775</wp:posOffset>
            </wp:positionH>
            <wp:positionV relativeFrom="paragraph">
              <wp:posOffset>316230</wp:posOffset>
            </wp:positionV>
            <wp:extent cx="6687820" cy="1651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687820" cy="16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tbl>
      <w:tblPr>
        <w:tblLayout w:type="fixed"/>
        <w:tblInd w:w="360" w:type="dxa"/>
        <w:tblCellMar>
          <w:top w:w="0" w:type="dxa"/>
          <w:left w:w="0" w:type="dxa"/>
          <w:bottom w:w="0" w:type="dxa"/>
          <w:right w:w="0" w:type="dxa"/>
        </w:tblCellMar>
      </w:tblPr>
      <w:tr>
        <w:trPr>
          <w:trHeight w:val="226"/>
        </w:trPr>
        <w:tc>
          <w:tcPr>
            <w:tcW w:w="3900" w:type="dxa"/>
            <w:vAlign w:val="bottom"/>
          </w:tcPr>
          <w:p>
            <w:pPr>
              <w:spacing w:after="0"/>
              <w:rPr>
                <w:sz w:val="20"/>
                <w:szCs w:val="20"/>
                <w:color w:val="auto"/>
              </w:rPr>
            </w:pPr>
            <w:r>
              <w:rPr>
                <w:rFonts w:ascii="Arial" w:cs="Arial" w:eastAsia="Arial" w:hAnsi="Arial"/>
                <w:sz w:val="17"/>
                <w:szCs w:val="17"/>
                <w:color w:val="auto"/>
              </w:rPr>
              <w:t>2023 Notice and Proxy Statement</w:t>
            </w:r>
          </w:p>
        </w:tc>
        <w:tc>
          <w:tcPr>
            <w:tcW w:w="1520" w:type="dxa"/>
            <w:vAlign w:val="bottom"/>
          </w:tcPr>
          <w:p>
            <w:pPr>
              <w:jc w:val="right"/>
              <w:spacing w:after="0"/>
              <w:rPr>
                <w:sz w:val="20"/>
                <w:szCs w:val="20"/>
                <w:color w:val="auto"/>
              </w:rPr>
            </w:pPr>
            <w:r>
              <w:rPr>
                <w:rFonts w:ascii="Arial" w:cs="Arial" w:eastAsia="Arial" w:hAnsi="Arial"/>
                <w:sz w:val="17"/>
                <w:szCs w:val="17"/>
                <w:color w:val="auto"/>
              </w:rPr>
              <w:t>26</w:t>
            </w:r>
          </w:p>
        </w:tc>
      </w:tr>
    </w:tbl>
    <w:p>
      <w:pPr>
        <w:sectPr>
          <w:pgSz w:w="11900" w:h="16838" w:orient="portrait"/>
          <w:cols w:equalWidth="0" w:num="1">
            <w:col w:w="10800"/>
          </w:cols>
          <w:pgMar w:left="320" w:top="468" w:right="77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5397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79945" cy="53975"/>
                    </a:xfrm>
                    <a:prstGeom prst="rect">
                      <a:avLst/>
                    </a:prstGeom>
                    <a:noFill/>
                  </pic:spPr>
                </pic:pic>
              </a:graphicData>
            </a:graphic>
          </wp:anchor>
        </w:drawing>
        <w:t>Table of Contents</w:t>
      </w:r>
    </w:p>
    <w:p>
      <w:pPr>
        <w:spacing w:after="0" w:line="296"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Compensation Discussion and Analysis</w:t>
      </w:r>
    </w:p>
    <w:p>
      <w:pPr>
        <w:spacing w:after="0" w:line="21" w:lineRule="exact"/>
        <w:rPr>
          <w:sz w:val="20"/>
          <w:szCs w:val="20"/>
          <w:color w:val="auto"/>
        </w:rPr>
      </w:pPr>
    </w:p>
    <w:p>
      <w:pPr>
        <w:jc w:val="right"/>
        <w:ind w:right="20"/>
        <w:spacing w:after="0"/>
        <w:rPr>
          <w:sz w:val="20"/>
          <w:szCs w:val="20"/>
          <w:color w:val="auto"/>
        </w:rPr>
      </w:pPr>
      <w:r>
        <w:rPr>
          <w:rFonts w:ascii="Arial" w:cs="Arial" w:eastAsia="Arial" w:hAnsi="Arial"/>
          <w:sz w:val="14"/>
          <w:szCs w:val="14"/>
          <w:b w:val="1"/>
          <w:bCs w:val="1"/>
          <w:color w:val="auto"/>
        </w:rPr>
        <w:t>Overview</w:t>
      </w:r>
    </w:p>
    <w:p>
      <w:pPr>
        <w:spacing w:after="0" w:line="90" w:lineRule="exact"/>
        <w:rPr>
          <w:sz w:val="20"/>
          <w:szCs w:val="20"/>
          <w:color w:val="auto"/>
        </w:rPr>
      </w:pPr>
    </w:p>
    <w:p>
      <w:pPr>
        <w:ind w:left="360"/>
        <w:spacing w:after="0"/>
        <w:rPr>
          <w:sz w:val="20"/>
          <w:szCs w:val="20"/>
          <w:color w:val="auto"/>
        </w:rPr>
      </w:pPr>
      <w:r>
        <w:rPr>
          <w:rFonts w:ascii="Arial" w:cs="Arial" w:eastAsia="Arial" w:hAnsi="Arial"/>
          <w:sz w:val="41"/>
          <w:szCs w:val="41"/>
          <w:b w:val="1"/>
          <w:bCs w:val="1"/>
          <w:color w:val="00B0DB"/>
        </w:rPr>
        <w:t>COMPENSATION DISCUSSION AND ANALYSIS</w:t>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31"/>
          <w:szCs w:val="31"/>
          <w:color w:val="00B0DB"/>
        </w:rPr>
        <w:t>Overview</w:t>
      </w:r>
    </w:p>
    <w:p>
      <w:pPr>
        <w:spacing w:after="0" w:line="221" w:lineRule="exact"/>
        <w:rPr>
          <w:sz w:val="20"/>
          <w:szCs w:val="20"/>
          <w:color w:val="auto"/>
        </w:rPr>
      </w:pPr>
    </w:p>
    <w:p>
      <w:pPr>
        <w:ind w:left="360" w:right="120"/>
        <w:spacing w:after="0" w:line="256" w:lineRule="auto"/>
        <w:rPr>
          <w:sz w:val="20"/>
          <w:szCs w:val="20"/>
          <w:color w:val="auto"/>
        </w:rPr>
      </w:pPr>
      <w:r>
        <w:rPr>
          <w:rFonts w:ascii="Arial" w:cs="Arial" w:eastAsia="Arial" w:hAnsi="Arial"/>
          <w:sz w:val="17"/>
          <w:szCs w:val="17"/>
          <w:color w:val="auto"/>
        </w:rPr>
        <w:t>This Compensation Discussion and Analysis describes the Company’s executive compensation program and provides an overview of our executive compensation-related policies, practices and decisions for 2022. Our “Named Executive Officers” or “NEOs,” as of December 31, 2022, are listed below:</w:t>
      </w:r>
    </w:p>
    <w:p>
      <w:pPr>
        <w:spacing w:after="0" w:line="250" w:lineRule="exact"/>
        <w:rPr>
          <w:sz w:val="20"/>
          <w:szCs w:val="20"/>
          <w:color w:val="auto"/>
        </w:rPr>
      </w:pPr>
    </w:p>
    <w:tbl>
      <w:tblPr>
        <w:tblLayout w:type="fixed"/>
        <w:tblInd w:w="360" w:type="dxa"/>
        <w:tblCellMar>
          <w:top w:w="0" w:type="dxa"/>
          <w:left w:w="0" w:type="dxa"/>
          <w:bottom w:w="0" w:type="dxa"/>
          <w:right w:w="0" w:type="dxa"/>
        </w:tblCellMar>
      </w:tblPr>
      <w:tr>
        <w:trPr>
          <w:trHeight w:val="238"/>
        </w:trPr>
        <w:tc>
          <w:tcPr>
            <w:tcW w:w="2800" w:type="dxa"/>
            <w:vAlign w:val="bottom"/>
            <w:tcBorders>
              <w:bottom w:val="single" w:sz="8" w:color="99B5CB"/>
            </w:tcBorders>
          </w:tcPr>
          <w:p>
            <w:pPr>
              <w:ind w:left="40"/>
              <w:spacing w:after="0"/>
              <w:rPr>
                <w:sz w:val="20"/>
                <w:szCs w:val="20"/>
                <w:color w:val="auto"/>
              </w:rPr>
            </w:pPr>
            <w:r>
              <w:rPr>
                <w:rFonts w:ascii="Arial" w:cs="Arial" w:eastAsia="Arial" w:hAnsi="Arial"/>
                <w:sz w:val="17"/>
                <w:szCs w:val="17"/>
                <w:b w:val="1"/>
                <w:bCs w:val="1"/>
                <w:color w:val="auto"/>
              </w:rPr>
              <w:t>Michael B. Petras, Jr.</w:t>
            </w:r>
          </w:p>
        </w:tc>
        <w:tc>
          <w:tcPr>
            <w:tcW w:w="7740" w:type="dxa"/>
            <w:vAlign w:val="bottom"/>
            <w:tcBorders>
              <w:bottom w:val="single" w:sz="8" w:color="99B5CB"/>
            </w:tcBorders>
          </w:tcPr>
          <w:p>
            <w:pPr>
              <w:ind w:left="460"/>
              <w:spacing w:after="0"/>
              <w:rPr>
                <w:sz w:val="20"/>
                <w:szCs w:val="20"/>
                <w:color w:val="auto"/>
              </w:rPr>
            </w:pPr>
            <w:r>
              <w:rPr>
                <w:rFonts w:ascii="Arial" w:cs="Arial" w:eastAsia="Arial" w:hAnsi="Arial"/>
                <w:sz w:val="17"/>
                <w:szCs w:val="17"/>
                <w:color w:val="auto"/>
              </w:rPr>
              <w:t>Chairman and CEO</w:t>
            </w:r>
          </w:p>
        </w:tc>
      </w:tr>
      <w:tr>
        <w:trPr>
          <w:trHeight w:val="264"/>
        </w:trPr>
        <w:tc>
          <w:tcPr>
            <w:tcW w:w="2800" w:type="dxa"/>
            <w:vAlign w:val="bottom"/>
            <w:tcBorders>
              <w:bottom w:val="single" w:sz="8" w:color="99B5CB"/>
            </w:tcBorders>
          </w:tcPr>
          <w:p>
            <w:pPr>
              <w:ind w:left="40"/>
              <w:spacing w:after="0" w:line="264" w:lineRule="exact"/>
              <w:rPr>
                <w:sz w:val="20"/>
                <w:szCs w:val="20"/>
                <w:color w:val="auto"/>
              </w:rPr>
            </w:pPr>
            <w:r>
              <w:rPr>
                <w:rFonts w:ascii="Arial" w:cs="Arial" w:eastAsia="Arial" w:hAnsi="Arial"/>
                <w:sz w:val="17"/>
                <w:szCs w:val="17"/>
                <w:b w:val="1"/>
                <w:bCs w:val="1"/>
                <w:color w:val="auto"/>
              </w:rPr>
              <w:t>Michael F. Biehl</w:t>
            </w:r>
            <w:r>
              <w:rPr>
                <w:rFonts w:ascii="Arial" w:cs="Arial" w:eastAsia="Arial" w:hAnsi="Arial"/>
                <w:sz w:val="25"/>
                <w:szCs w:val="25"/>
                <w:b w:val="1"/>
                <w:bCs w:val="1"/>
                <w:color w:val="auto"/>
                <w:vertAlign w:val="superscript"/>
              </w:rPr>
              <w:t>(1)</w:t>
            </w:r>
          </w:p>
        </w:tc>
        <w:tc>
          <w:tcPr>
            <w:tcW w:w="7740" w:type="dxa"/>
            <w:vAlign w:val="bottom"/>
            <w:tcBorders>
              <w:bottom w:val="single" w:sz="8" w:color="99B5CB"/>
            </w:tcBorders>
          </w:tcPr>
          <w:p>
            <w:pPr>
              <w:ind w:left="460"/>
              <w:spacing w:after="0"/>
              <w:rPr>
                <w:sz w:val="20"/>
                <w:szCs w:val="20"/>
                <w:color w:val="auto"/>
              </w:rPr>
            </w:pPr>
            <w:r>
              <w:rPr>
                <w:rFonts w:ascii="Arial" w:cs="Arial" w:eastAsia="Arial" w:hAnsi="Arial"/>
                <w:sz w:val="17"/>
                <w:szCs w:val="17"/>
                <w:color w:val="auto"/>
              </w:rPr>
              <w:t>Interim CFO</w:t>
            </w:r>
          </w:p>
        </w:tc>
      </w:tr>
      <w:tr>
        <w:trPr>
          <w:trHeight w:val="264"/>
        </w:trPr>
        <w:tc>
          <w:tcPr>
            <w:tcW w:w="2800" w:type="dxa"/>
            <w:vAlign w:val="bottom"/>
            <w:tcBorders>
              <w:bottom w:val="single" w:sz="8" w:color="99B5CB"/>
            </w:tcBorders>
          </w:tcPr>
          <w:p>
            <w:pPr>
              <w:ind w:left="40"/>
              <w:spacing w:after="0"/>
              <w:rPr>
                <w:sz w:val="20"/>
                <w:szCs w:val="20"/>
                <w:color w:val="auto"/>
              </w:rPr>
            </w:pPr>
            <w:r>
              <w:rPr>
                <w:rFonts w:ascii="Arial" w:cs="Arial" w:eastAsia="Arial" w:hAnsi="Arial"/>
                <w:sz w:val="17"/>
                <w:szCs w:val="17"/>
                <w:b w:val="1"/>
                <w:bCs w:val="1"/>
                <w:color w:val="auto"/>
              </w:rPr>
              <w:t>Michael P. Rutz</w:t>
            </w:r>
          </w:p>
        </w:tc>
        <w:tc>
          <w:tcPr>
            <w:tcW w:w="7740" w:type="dxa"/>
            <w:vAlign w:val="bottom"/>
            <w:tcBorders>
              <w:bottom w:val="single" w:sz="8" w:color="99B5CB"/>
            </w:tcBorders>
          </w:tcPr>
          <w:p>
            <w:pPr>
              <w:ind w:left="460"/>
              <w:spacing w:after="0"/>
              <w:rPr>
                <w:sz w:val="20"/>
                <w:szCs w:val="20"/>
                <w:color w:val="auto"/>
              </w:rPr>
            </w:pPr>
            <w:r>
              <w:rPr>
                <w:rFonts w:ascii="Arial" w:cs="Arial" w:eastAsia="Arial" w:hAnsi="Arial"/>
                <w:sz w:val="17"/>
                <w:szCs w:val="17"/>
                <w:color w:val="auto"/>
              </w:rPr>
              <w:t>President of Sterigenics</w:t>
            </w:r>
          </w:p>
        </w:tc>
      </w:tr>
      <w:tr>
        <w:trPr>
          <w:trHeight w:val="264"/>
        </w:trPr>
        <w:tc>
          <w:tcPr>
            <w:tcW w:w="2800" w:type="dxa"/>
            <w:vAlign w:val="bottom"/>
            <w:tcBorders>
              <w:bottom w:val="single" w:sz="8" w:color="99B5CB"/>
            </w:tcBorders>
          </w:tcPr>
          <w:p>
            <w:pPr>
              <w:ind w:left="40"/>
              <w:spacing w:after="0" w:line="264" w:lineRule="exact"/>
              <w:rPr>
                <w:sz w:val="20"/>
                <w:szCs w:val="20"/>
                <w:color w:val="auto"/>
              </w:rPr>
            </w:pPr>
            <w:r>
              <w:rPr>
                <w:rFonts w:ascii="Arial" w:cs="Arial" w:eastAsia="Arial" w:hAnsi="Arial"/>
                <w:sz w:val="17"/>
                <w:szCs w:val="17"/>
                <w:b w:val="1"/>
                <w:bCs w:val="1"/>
                <w:color w:val="auto"/>
              </w:rPr>
              <w:t>Alexander Dimitrief</w:t>
            </w:r>
            <w:r>
              <w:rPr>
                <w:rFonts w:ascii="Arial" w:cs="Arial" w:eastAsia="Arial" w:hAnsi="Arial"/>
                <w:sz w:val="25"/>
                <w:szCs w:val="25"/>
                <w:b w:val="1"/>
                <w:bCs w:val="1"/>
                <w:color w:val="auto"/>
                <w:vertAlign w:val="superscript"/>
              </w:rPr>
              <w:t>(2)</w:t>
            </w:r>
          </w:p>
        </w:tc>
        <w:tc>
          <w:tcPr>
            <w:tcW w:w="7740" w:type="dxa"/>
            <w:vAlign w:val="bottom"/>
            <w:tcBorders>
              <w:bottom w:val="single" w:sz="8" w:color="99B5CB"/>
            </w:tcBorders>
          </w:tcPr>
          <w:p>
            <w:pPr>
              <w:ind w:left="460"/>
              <w:spacing w:after="0"/>
              <w:rPr>
                <w:sz w:val="20"/>
                <w:szCs w:val="20"/>
                <w:color w:val="auto"/>
              </w:rPr>
            </w:pPr>
            <w:r>
              <w:rPr>
                <w:rFonts w:ascii="Arial" w:cs="Arial" w:eastAsia="Arial" w:hAnsi="Arial"/>
                <w:sz w:val="17"/>
                <w:szCs w:val="17"/>
                <w:color w:val="auto"/>
              </w:rPr>
              <w:t>Senior Vice President (“SVP”), General Counsel and Secretary</w:t>
            </w:r>
          </w:p>
        </w:tc>
      </w:tr>
      <w:tr>
        <w:trPr>
          <w:trHeight w:val="264"/>
        </w:trPr>
        <w:tc>
          <w:tcPr>
            <w:tcW w:w="2800" w:type="dxa"/>
            <w:vAlign w:val="bottom"/>
            <w:tcBorders>
              <w:bottom w:val="single" w:sz="8" w:color="99B5CB"/>
            </w:tcBorders>
          </w:tcPr>
          <w:p>
            <w:pPr>
              <w:ind w:left="40"/>
              <w:spacing w:after="0" w:line="264" w:lineRule="exact"/>
              <w:rPr>
                <w:sz w:val="20"/>
                <w:szCs w:val="20"/>
                <w:color w:val="auto"/>
              </w:rPr>
            </w:pPr>
            <w:r>
              <w:rPr>
                <w:rFonts w:ascii="Arial" w:cs="Arial" w:eastAsia="Arial" w:hAnsi="Arial"/>
                <w:sz w:val="17"/>
                <w:szCs w:val="17"/>
                <w:b w:val="1"/>
                <w:bCs w:val="1"/>
                <w:color w:val="auto"/>
              </w:rPr>
              <w:t>Matthew J. Klaben</w:t>
            </w:r>
            <w:r>
              <w:rPr>
                <w:rFonts w:ascii="Arial" w:cs="Arial" w:eastAsia="Arial" w:hAnsi="Arial"/>
                <w:sz w:val="25"/>
                <w:szCs w:val="25"/>
                <w:b w:val="1"/>
                <w:bCs w:val="1"/>
                <w:color w:val="auto"/>
                <w:vertAlign w:val="superscript"/>
              </w:rPr>
              <w:t>(3)</w:t>
            </w:r>
          </w:p>
        </w:tc>
        <w:tc>
          <w:tcPr>
            <w:tcW w:w="7740" w:type="dxa"/>
            <w:vAlign w:val="bottom"/>
            <w:tcBorders>
              <w:bottom w:val="single" w:sz="8" w:color="99B5CB"/>
            </w:tcBorders>
          </w:tcPr>
          <w:p>
            <w:pPr>
              <w:ind w:left="460"/>
              <w:spacing w:after="0"/>
              <w:rPr>
                <w:sz w:val="20"/>
                <w:szCs w:val="20"/>
                <w:color w:val="auto"/>
              </w:rPr>
            </w:pPr>
            <w:r>
              <w:rPr>
                <w:rFonts w:ascii="Arial" w:cs="Arial" w:eastAsia="Arial" w:hAnsi="Arial"/>
                <w:sz w:val="17"/>
                <w:szCs w:val="17"/>
                <w:i w:val="1"/>
                <w:iCs w:val="1"/>
                <w:color w:val="auto"/>
              </w:rPr>
              <w:t xml:space="preserve">Former </w:t>
            </w:r>
            <w:r>
              <w:rPr>
                <w:rFonts w:ascii="Arial" w:cs="Arial" w:eastAsia="Arial" w:hAnsi="Arial"/>
                <w:sz w:val="17"/>
                <w:szCs w:val="17"/>
                <w:color w:val="auto"/>
              </w:rPr>
              <w:t>Interim SVP, General Counsel and Secretary</w:t>
            </w:r>
          </w:p>
        </w:tc>
      </w:tr>
      <w:tr>
        <w:trPr>
          <w:trHeight w:val="264"/>
        </w:trPr>
        <w:tc>
          <w:tcPr>
            <w:tcW w:w="2800" w:type="dxa"/>
            <w:vAlign w:val="bottom"/>
            <w:tcBorders>
              <w:bottom w:val="single" w:sz="8" w:color="99B5CB"/>
            </w:tcBorders>
          </w:tcPr>
          <w:p>
            <w:pPr>
              <w:ind w:left="40"/>
              <w:spacing w:after="0" w:line="264" w:lineRule="exact"/>
              <w:rPr>
                <w:sz w:val="20"/>
                <w:szCs w:val="20"/>
                <w:color w:val="auto"/>
              </w:rPr>
            </w:pPr>
            <w:r>
              <w:rPr>
                <w:rFonts w:ascii="Arial" w:cs="Arial" w:eastAsia="Arial" w:hAnsi="Arial"/>
                <w:sz w:val="17"/>
                <w:szCs w:val="17"/>
                <w:b w:val="1"/>
                <w:bCs w:val="1"/>
                <w:color w:val="auto"/>
              </w:rPr>
              <w:t>Scott J. Leffler</w:t>
            </w:r>
            <w:r>
              <w:rPr>
                <w:rFonts w:ascii="Arial" w:cs="Arial" w:eastAsia="Arial" w:hAnsi="Arial"/>
                <w:sz w:val="25"/>
                <w:szCs w:val="25"/>
                <w:b w:val="1"/>
                <w:bCs w:val="1"/>
                <w:color w:val="auto"/>
                <w:vertAlign w:val="superscript"/>
              </w:rPr>
              <w:t>(4)</w:t>
            </w:r>
          </w:p>
        </w:tc>
        <w:tc>
          <w:tcPr>
            <w:tcW w:w="7740" w:type="dxa"/>
            <w:vAlign w:val="bottom"/>
            <w:tcBorders>
              <w:bottom w:val="single" w:sz="8" w:color="99B5CB"/>
            </w:tcBorders>
          </w:tcPr>
          <w:p>
            <w:pPr>
              <w:ind w:left="460"/>
              <w:spacing w:after="0"/>
              <w:rPr>
                <w:sz w:val="20"/>
                <w:szCs w:val="20"/>
                <w:color w:val="auto"/>
              </w:rPr>
            </w:pPr>
            <w:r>
              <w:rPr>
                <w:rFonts w:ascii="Arial" w:cs="Arial" w:eastAsia="Arial" w:hAnsi="Arial"/>
                <w:sz w:val="17"/>
                <w:szCs w:val="17"/>
                <w:i w:val="1"/>
                <w:iCs w:val="1"/>
                <w:color w:val="auto"/>
              </w:rPr>
              <w:t xml:space="preserve">Former </w:t>
            </w:r>
            <w:r>
              <w:rPr>
                <w:rFonts w:ascii="Arial" w:cs="Arial" w:eastAsia="Arial" w:hAnsi="Arial"/>
                <w:sz w:val="17"/>
                <w:szCs w:val="17"/>
                <w:color w:val="auto"/>
              </w:rPr>
              <w:t>CFO and Treasurer</w:t>
            </w:r>
          </w:p>
        </w:tc>
      </w:tr>
      <w:tr>
        <w:trPr>
          <w:trHeight w:val="264"/>
        </w:trPr>
        <w:tc>
          <w:tcPr>
            <w:tcW w:w="2800" w:type="dxa"/>
            <w:vAlign w:val="bottom"/>
            <w:tcBorders>
              <w:bottom w:val="single" w:sz="8" w:color="99B5CB"/>
            </w:tcBorders>
          </w:tcPr>
          <w:p>
            <w:pPr>
              <w:ind w:left="40"/>
              <w:spacing w:after="0" w:line="264" w:lineRule="exact"/>
              <w:rPr>
                <w:sz w:val="20"/>
                <w:szCs w:val="20"/>
                <w:color w:val="auto"/>
              </w:rPr>
            </w:pPr>
            <w:r>
              <w:rPr>
                <w:rFonts w:ascii="Arial" w:cs="Arial" w:eastAsia="Arial" w:hAnsi="Arial"/>
                <w:sz w:val="17"/>
                <w:szCs w:val="17"/>
                <w:b w:val="1"/>
                <w:bCs w:val="1"/>
                <w:color w:val="auto"/>
              </w:rPr>
              <w:t>Terrence G. Hammons, Jr.</w:t>
            </w:r>
            <w:r>
              <w:rPr>
                <w:rFonts w:ascii="Arial" w:cs="Arial" w:eastAsia="Arial" w:hAnsi="Arial"/>
                <w:sz w:val="25"/>
                <w:szCs w:val="25"/>
                <w:b w:val="1"/>
                <w:bCs w:val="1"/>
                <w:color w:val="auto"/>
                <w:vertAlign w:val="superscript"/>
              </w:rPr>
              <w:t>(5)</w:t>
            </w:r>
          </w:p>
        </w:tc>
        <w:tc>
          <w:tcPr>
            <w:tcW w:w="7740" w:type="dxa"/>
            <w:vAlign w:val="bottom"/>
            <w:tcBorders>
              <w:bottom w:val="single" w:sz="8" w:color="99B5CB"/>
            </w:tcBorders>
          </w:tcPr>
          <w:p>
            <w:pPr>
              <w:ind w:left="460"/>
              <w:spacing w:after="0"/>
              <w:rPr>
                <w:sz w:val="20"/>
                <w:szCs w:val="20"/>
                <w:color w:val="auto"/>
              </w:rPr>
            </w:pPr>
            <w:r>
              <w:rPr>
                <w:rFonts w:ascii="Arial" w:cs="Arial" w:eastAsia="Arial" w:hAnsi="Arial"/>
                <w:sz w:val="17"/>
                <w:szCs w:val="17"/>
                <w:i w:val="1"/>
                <w:iCs w:val="1"/>
                <w:color w:val="auto"/>
              </w:rPr>
              <w:t xml:space="preserve">Former </w:t>
            </w:r>
            <w:r>
              <w:rPr>
                <w:rFonts w:ascii="Arial" w:cs="Arial" w:eastAsia="Arial" w:hAnsi="Arial"/>
                <w:sz w:val="17"/>
                <w:szCs w:val="17"/>
                <w:color w:val="auto"/>
              </w:rPr>
              <w:t>SVP, General Counsel and Secretary</w:t>
            </w:r>
          </w:p>
        </w:tc>
      </w:tr>
    </w:tbl>
    <w:p>
      <w:pPr>
        <w:spacing w:after="0" w:line="70" w:lineRule="exact"/>
        <w:rPr>
          <w:sz w:val="20"/>
          <w:szCs w:val="20"/>
          <w:color w:val="auto"/>
        </w:rPr>
      </w:pPr>
    </w:p>
    <w:p>
      <w:pPr>
        <w:ind w:left="780" w:right="360" w:hanging="422"/>
        <w:spacing w:after="0" w:line="259" w:lineRule="auto"/>
        <w:tabs>
          <w:tab w:leader="none" w:pos="780" w:val="left"/>
        </w:tabs>
        <w:numPr>
          <w:ilvl w:val="0"/>
          <w:numId w:val="19"/>
        </w:numPr>
        <w:rPr>
          <w:rFonts w:ascii="Arial" w:cs="Arial" w:eastAsia="Arial" w:hAnsi="Arial"/>
          <w:sz w:val="14"/>
          <w:szCs w:val="14"/>
          <w:color w:val="auto"/>
        </w:rPr>
      </w:pPr>
      <w:r>
        <w:rPr>
          <w:rFonts w:ascii="Arial" w:cs="Arial" w:eastAsia="Arial" w:hAnsi="Arial"/>
          <w:sz w:val="14"/>
          <w:szCs w:val="14"/>
          <w:color w:val="auto"/>
        </w:rPr>
        <w:t>Mr. Biehl was appointed Interim CFO on July 20, 2022. Please refer to “Executive Transitions” below for more information on the NEO transitions that occurred in 2022.</w:t>
      </w:r>
    </w:p>
    <w:p>
      <w:pPr>
        <w:spacing w:after="0" w:line="39" w:lineRule="exact"/>
        <w:rPr>
          <w:rFonts w:ascii="Arial" w:cs="Arial" w:eastAsia="Arial" w:hAnsi="Arial"/>
          <w:sz w:val="14"/>
          <w:szCs w:val="14"/>
          <w:color w:val="auto"/>
        </w:rPr>
      </w:pPr>
    </w:p>
    <w:p>
      <w:pPr>
        <w:ind w:left="780" w:hanging="422"/>
        <w:spacing w:after="0"/>
        <w:tabs>
          <w:tab w:leader="none" w:pos="780" w:val="left"/>
        </w:tabs>
        <w:numPr>
          <w:ilvl w:val="0"/>
          <w:numId w:val="19"/>
        </w:numPr>
        <w:rPr>
          <w:rFonts w:ascii="Arial" w:cs="Arial" w:eastAsia="Arial" w:hAnsi="Arial"/>
          <w:sz w:val="14"/>
          <w:szCs w:val="14"/>
          <w:color w:val="auto"/>
        </w:rPr>
      </w:pPr>
      <w:r>
        <w:rPr>
          <w:rFonts w:ascii="Arial" w:cs="Arial" w:eastAsia="Arial" w:hAnsi="Arial"/>
          <w:sz w:val="14"/>
          <w:szCs w:val="14"/>
          <w:color w:val="auto"/>
        </w:rPr>
        <w:t>Mr. Dimitrief was appointed SVP, General Counsel and Secretary on November 1, 2022.</w:t>
      </w:r>
    </w:p>
    <w:p>
      <w:pPr>
        <w:spacing w:after="0" w:line="71" w:lineRule="exact"/>
        <w:rPr>
          <w:rFonts w:ascii="Arial" w:cs="Arial" w:eastAsia="Arial" w:hAnsi="Arial"/>
          <w:sz w:val="14"/>
          <w:szCs w:val="14"/>
          <w:color w:val="auto"/>
        </w:rPr>
      </w:pPr>
    </w:p>
    <w:p>
      <w:pPr>
        <w:ind w:left="780" w:right="60" w:hanging="422"/>
        <w:spacing w:after="0" w:line="259" w:lineRule="auto"/>
        <w:tabs>
          <w:tab w:leader="none" w:pos="780" w:val="left"/>
        </w:tabs>
        <w:numPr>
          <w:ilvl w:val="0"/>
          <w:numId w:val="19"/>
        </w:numPr>
        <w:rPr>
          <w:rFonts w:ascii="Arial" w:cs="Arial" w:eastAsia="Arial" w:hAnsi="Arial"/>
          <w:sz w:val="14"/>
          <w:szCs w:val="14"/>
          <w:color w:val="auto"/>
        </w:rPr>
      </w:pPr>
      <w:r>
        <w:rPr>
          <w:rFonts w:ascii="Arial" w:cs="Arial" w:eastAsia="Arial" w:hAnsi="Arial"/>
          <w:sz w:val="14"/>
          <w:szCs w:val="14"/>
          <w:color w:val="auto"/>
        </w:rPr>
        <w:t>Mr. Klaben served as our Interim SVP, General Counsel and Secretary from October 1, 2022 to November 1, 2022 and remains with the Company as Deputy General Counsel.</w:t>
      </w:r>
    </w:p>
    <w:p>
      <w:pPr>
        <w:spacing w:after="0" w:line="39" w:lineRule="exact"/>
        <w:rPr>
          <w:rFonts w:ascii="Arial" w:cs="Arial" w:eastAsia="Arial" w:hAnsi="Arial"/>
          <w:sz w:val="14"/>
          <w:szCs w:val="14"/>
          <w:color w:val="auto"/>
        </w:rPr>
      </w:pPr>
    </w:p>
    <w:p>
      <w:pPr>
        <w:ind w:left="780" w:hanging="422"/>
        <w:spacing w:after="0"/>
        <w:tabs>
          <w:tab w:leader="none" w:pos="780" w:val="left"/>
        </w:tabs>
        <w:numPr>
          <w:ilvl w:val="0"/>
          <w:numId w:val="19"/>
        </w:numPr>
        <w:rPr>
          <w:rFonts w:ascii="Arial" w:cs="Arial" w:eastAsia="Arial" w:hAnsi="Arial"/>
          <w:sz w:val="14"/>
          <w:szCs w:val="14"/>
          <w:color w:val="auto"/>
        </w:rPr>
      </w:pPr>
      <w:r>
        <w:rPr>
          <w:rFonts w:ascii="Arial" w:cs="Arial" w:eastAsia="Arial" w:hAnsi="Arial"/>
          <w:sz w:val="14"/>
          <w:szCs w:val="14"/>
          <w:color w:val="auto"/>
        </w:rPr>
        <w:t>Mr. Leffler departed the Company effective July 20, 2022.</w:t>
      </w:r>
    </w:p>
    <w:p>
      <w:pPr>
        <w:spacing w:after="0" w:line="71" w:lineRule="exact"/>
        <w:rPr>
          <w:rFonts w:ascii="Arial" w:cs="Arial" w:eastAsia="Arial" w:hAnsi="Arial"/>
          <w:sz w:val="14"/>
          <w:szCs w:val="14"/>
          <w:color w:val="auto"/>
        </w:rPr>
      </w:pPr>
    </w:p>
    <w:p>
      <w:pPr>
        <w:ind w:left="780" w:hanging="422"/>
        <w:spacing w:after="0"/>
        <w:tabs>
          <w:tab w:leader="none" w:pos="780" w:val="left"/>
        </w:tabs>
        <w:numPr>
          <w:ilvl w:val="0"/>
          <w:numId w:val="19"/>
        </w:numPr>
        <w:rPr>
          <w:rFonts w:ascii="Arial" w:cs="Arial" w:eastAsia="Arial" w:hAnsi="Arial"/>
          <w:sz w:val="14"/>
          <w:szCs w:val="14"/>
          <w:color w:val="auto"/>
        </w:rPr>
      </w:pPr>
      <w:r>
        <w:rPr>
          <w:rFonts w:ascii="Arial" w:cs="Arial" w:eastAsia="Arial" w:hAnsi="Arial"/>
          <w:sz w:val="14"/>
          <w:szCs w:val="14"/>
          <w:color w:val="auto"/>
        </w:rPr>
        <w:t>Mr. Hammons departed the Company effective October 1, 2022.</w:t>
      </w:r>
    </w:p>
    <w:p>
      <w:pPr>
        <w:spacing w:after="0" w:line="285" w:lineRule="exact"/>
        <w:rPr>
          <w:sz w:val="20"/>
          <w:szCs w:val="20"/>
          <w:color w:val="auto"/>
        </w:rPr>
      </w:pPr>
    </w:p>
    <w:p>
      <w:pPr>
        <w:ind w:left="360"/>
        <w:spacing w:after="0"/>
        <w:rPr>
          <w:sz w:val="20"/>
          <w:szCs w:val="20"/>
          <w:color w:val="auto"/>
        </w:rPr>
      </w:pPr>
      <w:r>
        <w:rPr>
          <w:rFonts w:ascii="Arial" w:cs="Arial" w:eastAsia="Arial" w:hAnsi="Arial"/>
          <w:sz w:val="31"/>
          <w:szCs w:val="31"/>
          <w:color w:val="00B0DB"/>
        </w:rPr>
        <w:t>Executive Transitions</w:t>
      </w:r>
    </w:p>
    <w:p>
      <w:pPr>
        <w:spacing w:after="0" w:line="221" w:lineRule="exact"/>
        <w:rPr>
          <w:sz w:val="20"/>
          <w:szCs w:val="20"/>
          <w:color w:val="auto"/>
        </w:rPr>
      </w:pPr>
    </w:p>
    <w:p>
      <w:pPr>
        <w:jc w:val="both"/>
        <w:ind w:left="360" w:right="460"/>
        <w:spacing w:after="0" w:line="250" w:lineRule="auto"/>
        <w:rPr>
          <w:sz w:val="20"/>
          <w:szCs w:val="20"/>
          <w:color w:val="auto"/>
        </w:rPr>
      </w:pPr>
      <w:r>
        <w:rPr>
          <w:rFonts w:ascii="Arial" w:cs="Arial" w:eastAsia="Arial" w:hAnsi="Arial"/>
          <w:sz w:val="17"/>
          <w:szCs w:val="17"/>
          <w:color w:val="auto"/>
        </w:rPr>
        <w:t>In 2022 there were two changes among our NEOs, commencing with the departure of Mr. Leffler and appointment of Mr. Biehl as our Interim CFO effective July 20, 2022. The Board selected Mr. Biehl because of his deep experience leading public company financial organizations. Mr. Biehl entered into an offer letter and restrictive covenants agreement with the Company. Mr. Leffler did not receive severance upon his departure and forfeited his outstanding unvested equity awards.</w:t>
      </w:r>
    </w:p>
    <w:p>
      <w:pPr>
        <w:spacing w:after="0" w:line="141" w:lineRule="exact"/>
        <w:rPr>
          <w:sz w:val="20"/>
          <w:szCs w:val="20"/>
          <w:color w:val="auto"/>
        </w:rPr>
      </w:pPr>
    </w:p>
    <w:p>
      <w:pPr>
        <w:ind w:left="360" w:right="300"/>
        <w:spacing w:after="0" w:line="242" w:lineRule="auto"/>
        <w:rPr>
          <w:sz w:val="20"/>
          <w:szCs w:val="20"/>
          <w:color w:val="auto"/>
        </w:rPr>
      </w:pPr>
      <w:r>
        <w:rPr>
          <w:rFonts w:ascii="Arial" w:cs="Arial" w:eastAsia="Arial" w:hAnsi="Arial"/>
          <w:sz w:val="17"/>
          <w:szCs w:val="17"/>
          <w:color w:val="auto"/>
        </w:rPr>
        <w:t>Mr. Hammons ceased serving as our SVP, General Counsel and Secretary, effective October 1, 2022. In connection with his departure, the Company and Mr. Hammons entered into a Separation and Release Agreement (“Separation Agreement”) and Mr. Hammons was retained as a consultant through December 31, 2022 to assist with the transition of his duties. Details of Mr. Hammons’ Separation Agreement can be found on page 53 under “Offer Letter, Restrictive Covenants Agreement and Separation Agreement with</w:t>
      </w:r>
    </w:p>
    <w:p>
      <w:pPr>
        <w:spacing w:after="0" w:line="2" w:lineRule="exact"/>
        <w:rPr>
          <w:sz w:val="20"/>
          <w:szCs w:val="20"/>
          <w:color w:val="auto"/>
        </w:rPr>
      </w:pPr>
    </w:p>
    <w:p>
      <w:pPr>
        <w:ind w:left="360" w:right="20"/>
        <w:spacing w:after="0" w:line="241" w:lineRule="auto"/>
        <w:rPr>
          <w:sz w:val="20"/>
          <w:szCs w:val="20"/>
          <w:color w:val="auto"/>
        </w:rPr>
      </w:pPr>
      <w:r>
        <w:rPr>
          <w:rFonts w:ascii="Arial" w:cs="Arial" w:eastAsia="Arial" w:hAnsi="Arial"/>
          <w:sz w:val="17"/>
          <w:szCs w:val="17"/>
          <w:color w:val="auto"/>
        </w:rPr>
        <w:t>Mr. Terrence G. Hammons, Jr.” Mr. Klaben, our former General Counsel, who was serving as our Deputy General Counsel at the time of Mr. Hammons’ separation, succeeded Mr. Hammons and was appointed Interim SVP, General Counsel and Secretary on October 1, 2022. On November 1, 2022, the Company hired Mr. Dimitrief as our new SVP, General Counsel and Secretary, at which time Mr. Klaben transitioned back to serving as our Deputy General Counsel. Mr. Dimitrief was selected by the Board based on his deep legal expertise, including in toxic torts litigation, and experience in managing legal organizations. In connection with the commencement of his employment, Mr. Dimitrief entered into an offer letter and restrictive covenants agreement with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231775</wp:posOffset>
            </wp:positionH>
            <wp:positionV relativeFrom="paragraph">
              <wp:posOffset>96520</wp:posOffset>
            </wp:positionV>
            <wp:extent cx="6687820" cy="1651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687820" cy="16510"/>
                    </a:xfrm>
                    <a:prstGeom prst="rect">
                      <a:avLst/>
                    </a:prstGeom>
                    <a:noFill/>
                  </pic:spPr>
                </pic:pic>
              </a:graphicData>
            </a:graphic>
          </wp:anchor>
        </w:drawing>
      </w:r>
    </w:p>
    <w:p>
      <w:pPr>
        <w:spacing w:after="0" w:line="309"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6443980</wp:posOffset>
            </wp:positionH>
            <wp:positionV relativeFrom="paragraph">
              <wp:posOffset>-113030</wp:posOffset>
            </wp:positionV>
            <wp:extent cx="475615" cy="15557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475615" cy="155575"/>
                    </a:xfrm>
                    <a:prstGeom prst="rect">
                      <a:avLst/>
                    </a:prstGeom>
                    <a:noFill/>
                  </pic:spPr>
                </pic:pic>
              </a:graphicData>
            </a:graphic>
          </wp:anchor>
        </w:drawing>
      </w:r>
    </w:p>
    <w:p>
      <w:pPr>
        <w:sectPr>
          <w:pgSz w:w="11900" w:h="16838" w:orient="portrait"/>
          <w:cols w:equalWidth="0" w:num="1">
            <w:col w:w="10900"/>
          </w:cols>
          <w:pgMar w:left="320" w:top="468" w:right="67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5334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79945" cy="53340"/>
                    </a:xfrm>
                    <a:prstGeom prst="rect">
                      <a:avLst/>
                    </a:prstGeom>
                    <a:noFill/>
                  </pic:spPr>
                </pic:pic>
              </a:graphicData>
            </a:graphic>
          </wp:anchor>
        </w:drawing>
        <w:t>Table of Contents</w:t>
      </w:r>
    </w:p>
    <w:p>
      <w:pPr>
        <w:spacing w:after="0" w:line="296"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auto"/>
        </w:rPr>
        <w:t>Compensation Discussion and Analysis</w:t>
      </w:r>
    </w:p>
    <w:p>
      <w:pPr>
        <w:spacing w:after="0" w:line="21" w:lineRule="exact"/>
        <w:rPr>
          <w:sz w:val="20"/>
          <w:szCs w:val="20"/>
          <w:color w:val="auto"/>
        </w:rPr>
      </w:pPr>
    </w:p>
    <w:p>
      <w:pPr>
        <w:ind w:left="360"/>
        <w:spacing w:after="0"/>
        <w:rPr>
          <w:sz w:val="20"/>
          <w:szCs w:val="20"/>
          <w:color w:val="auto"/>
        </w:rPr>
      </w:pPr>
      <w:r>
        <w:rPr>
          <w:rFonts w:ascii="Arial" w:cs="Arial" w:eastAsia="Arial" w:hAnsi="Arial"/>
          <w:sz w:val="14"/>
          <w:szCs w:val="14"/>
          <w:b w:val="1"/>
          <w:bCs w:val="1"/>
          <w:color w:val="auto"/>
        </w:rPr>
        <w:t>2022 Executive Compensation Highlights</w:t>
      </w:r>
    </w:p>
    <w:p>
      <w:pPr>
        <w:spacing w:after="0" w:line="105" w:lineRule="exact"/>
        <w:rPr>
          <w:sz w:val="20"/>
          <w:szCs w:val="20"/>
          <w:color w:val="auto"/>
        </w:rPr>
      </w:pPr>
    </w:p>
    <w:p>
      <w:pPr>
        <w:ind w:left="360"/>
        <w:spacing w:after="0"/>
        <w:rPr>
          <w:sz w:val="20"/>
          <w:szCs w:val="20"/>
          <w:color w:val="auto"/>
        </w:rPr>
      </w:pPr>
      <w:r>
        <w:rPr>
          <w:rFonts w:ascii="Arial" w:cs="Arial" w:eastAsia="Arial" w:hAnsi="Arial"/>
          <w:sz w:val="31"/>
          <w:szCs w:val="31"/>
          <w:color w:val="00B0DB"/>
        </w:rPr>
        <w:t>2022 Executive Compensation Highlights</w:t>
      </w:r>
    </w:p>
    <w:p>
      <w:pPr>
        <w:spacing w:after="0" w:line="221" w:lineRule="exact"/>
        <w:rPr>
          <w:sz w:val="20"/>
          <w:szCs w:val="20"/>
          <w:color w:val="auto"/>
        </w:rPr>
      </w:pPr>
    </w:p>
    <w:p>
      <w:pPr>
        <w:ind w:left="360" w:right="420"/>
        <w:spacing w:after="0" w:line="274" w:lineRule="auto"/>
        <w:rPr>
          <w:sz w:val="20"/>
          <w:szCs w:val="20"/>
          <w:color w:val="auto"/>
        </w:rPr>
      </w:pPr>
      <w:r>
        <w:rPr>
          <w:rFonts w:ascii="Arial" w:cs="Arial" w:eastAsia="Arial" w:hAnsi="Arial"/>
          <w:sz w:val="17"/>
          <w:szCs w:val="17"/>
          <w:color w:val="auto"/>
        </w:rPr>
        <w:t>Our executive compensation program is designed to align the interests of our executives with the interests of our shareholders and is guided by three core principles:</w:t>
      </w:r>
    </w:p>
    <w:p>
      <w:pPr>
        <w:spacing w:after="0" w:line="55" w:lineRule="exact"/>
        <w:rPr>
          <w:sz w:val="20"/>
          <w:szCs w:val="20"/>
          <w:color w:val="auto"/>
        </w:rPr>
      </w:pPr>
    </w:p>
    <w:p>
      <w:pPr>
        <w:ind w:left="780" w:right="40" w:hanging="422"/>
        <w:spacing w:after="0" w:line="250" w:lineRule="auto"/>
        <w:tabs>
          <w:tab w:leader="none" w:pos="780" w:val="left"/>
        </w:tabs>
        <w:numPr>
          <w:ilvl w:val="0"/>
          <w:numId w:val="20"/>
        </w:numPr>
        <w:rPr>
          <w:rFonts w:ascii="Arial" w:cs="Arial" w:eastAsia="Arial" w:hAnsi="Arial"/>
          <w:sz w:val="17"/>
          <w:szCs w:val="17"/>
          <w:color w:val="00467D"/>
        </w:rPr>
      </w:pPr>
      <w:r>
        <w:rPr>
          <w:rFonts w:ascii="Arial" w:cs="Arial" w:eastAsia="Arial" w:hAnsi="Arial"/>
          <w:sz w:val="17"/>
          <w:szCs w:val="17"/>
          <w:b w:val="1"/>
          <w:bCs w:val="1"/>
          <w:color w:val="auto"/>
        </w:rPr>
        <w:t xml:space="preserve">We pay for performance. </w:t>
      </w:r>
      <w:r>
        <w:rPr>
          <w:rFonts w:ascii="Arial" w:cs="Arial" w:eastAsia="Arial" w:hAnsi="Arial"/>
          <w:sz w:val="17"/>
          <w:szCs w:val="17"/>
          <w:color w:val="auto"/>
        </w:rPr>
        <w:t>The majority of executives’ compensation is contingent, rather than fixed, and subject to variability</w:t>
      </w:r>
      <w:r>
        <w:rPr>
          <w:rFonts w:ascii="Arial" w:cs="Arial" w:eastAsia="Arial" w:hAnsi="Arial"/>
          <w:sz w:val="17"/>
          <w:szCs w:val="17"/>
          <w:b w:val="1"/>
          <w:bCs w:val="1"/>
          <w:color w:val="auto"/>
        </w:rPr>
        <w:t xml:space="preserve"> </w:t>
      </w:r>
      <w:r>
        <w:rPr>
          <w:rFonts w:ascii="Arial" w:cs="Arial" w:eastAsia="Arial" w:hAnsi="Arial"/>
          <w:sz w:val="17"/>
          <w:szCs w:val="17"/>
          <w:color w:val="auto"/>
        </w:rPr>
        <w:t>commensurate with Company and individual performance. We set challenging financial and operational performance goals designed to build sustainable long-term shareholder value, while embedding into individual performance goals objectives that advance the Company’s values.</w:t>
      </w:r>
    </w:p>
    <w:p>
      <w:pPr>
        <w:spacing w:after="0" w:line="76" w:lineRule="exact"/>
        <w:rPr>
          <w:rFonts w:ascii="Arial" w:cs="Arial" w:eastAsia="Arial" w:hAnsi="Arial"/>
          <w:sz w:val="17"/>
          <w:szCs w:val="17"/>
          <w:color w:val="00467D"/>
        </w:rPr>
      </w:pPr>
    </w:p>
    <w:p>
      <w:pPr>
        <w:ind w:left="780" w:hanging="422"/>
        <w:spacing w:after="0" w:line="247" w:lineRule="auto"/>
        <w:tabs>
          <w:tab w:leader="none" w:pos="780" w:val="left"/>
        </w:tabs>
        <w:numPr>
          <w:ilvl w:val="0"/>
          <w:numId w:val="20"/>
        </w:numPr>
        <w:rPr>
          <w:rFonts w:ascii="Arial" w:cs="Arial" w:eastAsia="Arial" w:hAnsi="Arial"/>
          <w:sz w:val="17"/>
          <w:szCs w:val="17"/>
          <w:color w:val="00467D"/>
        </w:rPr>
      </w:pPr>
      <w:r>
        <w:rPr>
          <w:rFonts w:ascii="Arial" w:cs="Arial" w:eastAsia="Arial" w:hAnsi="Arial"/>
          <w:sz w:val="17"/>
          <w:szCs w:val="17"/>
          <w:b w:val="1"/>
          <w:bCs w:val="1"/>
          <w:color w:val="auto"/>
        </w:rPr>
        <w:t xml:space="preserve">We reward the achievement of annual short-term and long-term business performance goals. </w:t>
      </w:r>
      <w:r>
        <w:rPr>
          <w:rFonts w:ascii="Arial" w:cs="Arial" w:eastAsia="Arial" w:hAnsi="Arial"/>
          <w:sz w:val="17"/>
          <w:szCs w:val="17"/>
          <w:color w:val="auto"/>
        </w:rPr>
        <w:t>Executives receive short-term</w:t>
      </w:r>
      <w:r>
        <w:rPr>
          <w:rFonts w:ascii="Arial" w:cs="Arial" w:eastAsia="Arial" w:hAnsi="Arial"/>
          <w:sz w:val="17"/>
          <w:szCs w:val="17"/>
          <w:b w:val="1"/>
          <w:bCs w:val="1"/>
          <w:color w:val="auto"/>
        </w:rPr>
        <w:t xml:space="preserve"> </w:t>
      </w:r>
      <w:r>
        <w:rPr>
          <w:rFonts w:ascii="Arial" w:cs="Arial" w:eastAsia="Arial" w:hAnsi="Arial"/>
          <w:sz w:val="17"/>
          <w:szCs w:val="17"/>
          <w:color w:val="auto"/>
        </w:rPr>
        <w:t>and long-term incentive awards, the values of which are dependent on Company performance. Annual variable cash compensation is based on the achievement of predetermined performance goals, which motivates executives to achieve key objectives that support the achievement of the Company’s long-term strategic goals. Long-term equity compensation aligns executive and shareholder interests by linking executive compensation to long-term value creation and stock price performance.</w:t>
      </w:r>
    </w:p>
    <w:p>
      <w:pPr>
        <w:spacing w:after="0" w:line="78" w:lineRule="exact"/>
        <w:rPr>
          <w:rFonts w:ascii="Arial" w:cs="Arial" w:eastAsia="Arial" w:hAnsi="Arial"/>
          <w:sz w:val="17"/>
          <w:szCs w:val="17"/>
          <w:color w:val="00467D"/>
        </w:rPr>
      </w:pPr>
    </w:p>
    <w:p>
      <w:pPr>
        <w:ind w:left="780" w:right="200" w:hanging="422"/>
        <w:spacing w:after="0" w:line="257" w:lineRule="auto"/>
        <w:tabs>
          <w:tab w:leader="none" w:pos="780" w:val="left"/>
        </w:tabs>
        <w:numPr>
          <w:ilvl w:val="0"/>
          <w:numId w:val="20"/>
        </w:numPr>
        <w:rPr>
          <w:rFonts w:ascii="Arial" w:cs="Arial" w:eastAsia="Arial" w:hAnsi="Arial"/>
          <w:sz w:val="17"/>
          <w:szCs w:val="17"/>
          <w:color w:val="00467D"/>
        </w:rPr>
      </w:pPr>
      <w:r>
        <w:rPr>
          <w:rFonts w:ascii="Arial" w:cs="Arial" w:eastAsia="Arial" w:hAnsi="Arial"/>
          <w:sz w:val="17"/>
          <w:szCs w:val="17"/>
          <w:b w:val="1"/>
          <w:bCs w:val="1"/>
          <w:color w:val="auto"/>
        </w:rPr>
        <w:t xml:space="preserve">We provide competitive compensation to attract, retain and motivate top talent. </w:t>
      </w:r>
      <w:r>
        <w:rPr>
          <w:rFonts w:ascii="Arial" w:cs="Arial" w:eastAsia="Arial" w:hAnsi="Arial"/>
          <w:sz w:val="17"/>
          <w:szCs w:val="17"/>
          <w:color w:val="auto"/>
        </w:rPr>
        <w:t>Our compensation programs are market</w:t>
      </w:r>
      <w:r>
        <w:rPr>
          <w:rFonts w:ascii="Arial" w:cs="Arial" w:eastAsia="Arial" w:hAnsi="Arial"/>
          <w:sz w:val="17"/>
          <w:szCs w:val="17"/>
          <w:b w:val="1"/>
          <w:bCs w:val="1"/>
          <w:color w:val="auto"/>
        </w:rPr>
        <w:t xml:space="preserve"> </w:t>
      </w:r>
      <w:r>
        <w:rPr>
          <w:rFonts w:ascii="Arial" w:cs="Arial" w:eastAsia="Arial" w:hAnsi="Arial"/>
          <w:sz w:val="17"/>
          <w:szCs w:val="17"/>
          <w:color w:val="auto"/>
        </w:rPr>
        <w:t>competitive and enable us to attract, retain, and motivate highly talented individuals. We reward over-achievement and our highest performing executives can expect differentiated rewards, contributing to retention and engagement.</w:t>
      </w:r>
    </w:p>
    <w:p>
      <w:pPr>
        <w:spacing w:after="0" w:line="136" w:lineRule="exact"/>
        <w:rPr>
          <w:sz w:val="20"/>
          <w:szCs w:val="20"/>
          <w:color w:val="auto"/>
        </w:rPr>
      </w:pPr>
    </w:p>
    <w:p>
      <w:pPr>
        <w:ind w:left="360" w:right="1040"/>
        <w:spacing w:after="0" w:line="274" w:lineRule="auto"/>
        <w:rPr>
          <w:sz w:val="20"/>
          <w:szCs w:val="20"/>
          <w:color w:val="auto"/>
        </w:rPr>
      </w:pPr>
      <w:r>
        <w:rPr>
          <w:rFonts w:ascii="Arial" w:cs="Arial" w:eastAsia="Arial" w:hAnsi="Arial"/>
          <w:sz w:val="17"/>
          <w:szCs w:val="17"/>
          <w:color w:val="auto"/>
        </w:rPr>
        <w:t>The following summarizes the LD&amp;C Committee’s key actions with respect to our 2022 executive compensation program and demonstrates the program’s focus on the three principles described above.</w:t>
      </w:r>
    </w:p>
    <w:p>
      <w:pPr>
        <w:spacing w:after="0" w:line="107" w:lineRule="exact"/>
        <w:rPr>
          <w:sz w:val="20"/>
          <w:szCs w:val="20"/>
          <w:color w:val="auto"/>
        </w:rPr>
      </w:pPr>
    </w:p>
    <w:p>
      <w:pPr>
        <w:ind w:left="360" w:right="100"/>
        <w:spacing w:after="0" w:line="250" w:lineRule="auto"/>
        <w:rPr>
          <w:sz w:val="20"/>
          <w:szCs w:val="20"/>
          <w:color w:val="auto"/>
        </w:rPr>
      </w:pPr>
      <w:r>
        <w:rPr>
          <w:rFonts w:ascii="Arial" w:cs="Arial" w:eastAsia="Arial" w:hAnsi="Arial"/>
          <w:sz w:val="17"/>
          <w:szCs w:val="17"/>
          <w:b w:val="1"/>
          <w:bCs w:val="1"/>
          <w:color w:val="auto"/>
        </w:rPr>
        <w:t xml:space="preserve">2022 Annual Incentive Plan (AIP) Payouts. </w:t>
      </w:r>
      <w:r>
        <w:rPr>
          <w:rFonts w:ascii="Arial" w:cs="Arial" w:eastAsia="Arial" w:hAnsi="Arial"/>
          <w:sz w:val="17"/>
          <w:szCs w:val="17"/>
          <w:color w:val="auto"/>
        </w:rPr>
        <w:t>The Company’s 2022 performance produced payouts under our Annual Incentive Plan</w:t>
      </w:r>
      <w:r>
        <w:rPr>
          <w:rFonts w:ascii="Arial" w:cs="Arial" w:eastAsia="Arial" w:hAnsi="Arial"/>
          <w:sz w:val="17"/>
          <w:szCs w:val="17"/>
          <w:b w:val="1"/>
          <w:bCs w:val="1"/>
          <w:color w:val="auto"/>
        </w:rPr>
        <w:t xml:space="preserve"> </w:t>
      </w:r>
      <w:r>
        <w:rPr>
          <w:rFonts w:ascii="Arial" w:cs="Arial" w:eastAsia="Arial" w:hAnsi="Arial"/>
          <w:sz w:val="17"/>
          <w:szCs w:val="17"/>
          <w:color w:val="auto"/>
        </w:rPr>
        <w:t>(“AIP”) at 88% of target for overall Company performance and at 97% of target for Sterigenics performance. Executive payouts are based on the achievement of the financial performance goals and individual performance, including the extent to which the executive demonstrates our core values. See “Annual Incentive Plan (AIP)” on page 35 for more information.</w:t>
      </w:r>
    </w:p>
    <w:p>
      <w:pPr>
        <w:spacing w:after="0" w:line="128" w:lineRule="exact"/>
        <w:rPr>
          <w:sz w:val="20"/>
          <w:szCs w:val="20"/>
          <w:color w:val="auto"/>
        </w:rPr>
      </w:pPr>
    </w:p>
    <w:p>
      <w:pPr>
        <w:ind w:left="360" w:right="40"/>
        <w:spacing w:after="0" w:line="247" w:lineRule="auto"/>
        <w:rPr>
          <w:sz w:val="20"/>
          <w:szCs w:val="20"/>
          <w:color w:val="auto"/>
        </w:rPr>
      </w:pPr>
      <w:r>
        <w:rPr>
          <w:rFonts w:ascii="Arial" w:cs="Arial" w:eastAsia="Arial" w:hAnsi="Arial"/>
          <w:sz w:val="17"/>
          <w:szCs w:val="17"/>
          <w:b w:val="1"/>
          <w:bCs w:val="1"/>
          <w:color w:val="auto"/>
        </w:rPr>
        <w:t xml:space="preserve">Annual Long-Term Equity Incentive Awards. </w:t>
      </w:r>
      <w:r>
        <w:rPr>
          <w:rFonts w:ascii="Arial" w:cs="Arial" w:eastAsia="Arial" w:hAnsi="Arial"/>
          <w:sz w:val="17"/>
          <w:szCs w:val="17"/>
          <w:color w:val="auto"/>
        </w:rPr>
        <w:t>In March 2022, we commenced an annual equity award cycle. Each NEO employed by us</w:t>
      </w:r>
      <w:r>
        <w:rPr>
          <w:rFonts w:ascii="Arial" w:cs="Arial" w:eastAsia="Arial" w:hAnsi="Arial"/>
          <w:sz w:val="17"/>
          <w:szCs w:val="17"/>
          <w:b w:val="1"/>
          <w:bCs w:val="1"/>
          <w:color w:val="auto"/>
        </w:rPr>
        <w:t xml:space="preserve"> </w:t>
      </w:r>
      <w:r>
        <w:rPr>
          <w:rFonts w:ascii="Arial" w:cs="Arial" w:eastAsia="Arial" w:hAnsi="Arial"/>
          <w:sz w:val="17"/>
          <w:szCs w:val="17"/>
          <w:color w:val="auto"/>
        </w:rPr>
        <w:t>as of March received a long-term equity incentive award comprising stock options and time-based RSUs (the “March 2022 Equity Awards”). Consistent with our compensation philosophy, we use equity incentive compensation to incentivize long-term value creation and align our executives’ interests with those of our shareholders. The LD&amp;C Committee also uses equity incentive compensation to attract and retain talent.</w:t>
      </w:r>
    </w:p>
    <w:p>
      <w:pPr>
        <w:spacing w:after="0" w:line="143" w:lineRule="exact"/>
        <w:rPr>
          <w:sz w:val="20"/>
          <w:szCs w:val="20"/>
          <w:color w:val="auto"/>
        </w:rPr>
      </w:pPr>
    </w:p>
    <w:p>
      <w:pPr>
        <w:ind w:left="360" w:right="120"/>
        <w:spacing w:after="0" w:line="245" w:lineRule="auto"/>
        <w:rPr>
          <w:sz w:val="20"/>
          <w:szCs w:val="20"/>
          <w:color w:val="auto"/>
        </w:rPr>
      </w:pPr>
      <w:r>
        <w:rPr>
          <w:rFonts w:ascii="Arial" w:cs="Arial" w:eastAsia="Arial" w:hAnsi="Arial"/>
          <w:sz w:val="17"/>
          <w:szCs w:val="17"/>
          <w:b w:val="1"/>
          <w:bCs w:val="1"/>
          <w:color w:val="auto"/>
        </w:rPr>
        <w:t xml:space="preserve">One-Time Incentive Awards. </w:t>
      </w:r>
      <w:r>
        <w:rPr>
          <w:rFonts w:ascii="Arial" w:cs="Arial" w:eastAsia="Arial" w:hAnsi="Arial"/>
          <w:sz w:val="17"/>
          <w:szCs w:val="17"/>
          <w:color w:val="auto"/>
        </w:rPr>
        <w:t>In November 2022, the Committee granted one-time incentive awards (the “November 2022 Incentive</w:t>
      </w:r>
      <w:r>
        <w:rPr>
          <w:rFonts w:ascii="Arial" w:cs="Arial" w:eastAsia="Arial" w:hAnsi="Arial"/>
          <w:sz w:val="17"/>
          <w:szCs w:val="17"/>
          <w:b w:val="1"/>
          <w:bCs w:val="1"/>
          <w:color w:val="auto"/>
        </w:rPr>
        <w:t xml:space="preserve"> </w:t>
      </w:r>
      <w:r>
        <w:rPr>
          <w:rFonts w:ascii="Arial" w:cs="Arial" w:eastAsia="Arial" w:hAnsi="Arial"/>
          <w:sz w:val="17"/>
          <w:szCs w:val="17"/>
          <w:color w:val="auto"/>
        </w:rPr>
        <w:t>Awards”). The November 2022 Incentive Awards were intended to retain critical talent in a challenging operating environment where, due to a significant decline in the Company’s stock price, employees’ (including our NEOs’) recent equity incentive awards had significantly less outstanding retentive value. Consistent with our philosophy of providing competitive compensation to retain and motivate top talent, employees with key roles, including with respect to the ongoing EO litigation, received November 2022 Incentive Awards. For more information on the November 2022 Incentive Awards, please see “2022 Compensation Decisions”.</w:t>
      </w:r>
    </w:p>
    <w:p>
      <w:pPr>
        <w:spacing w:after="0" w:line="132" w:lineRule="exact"/>
        <w:rPr>
          <w:sz w:val="20"/>
          <w:szCs w:val="20"/>
          <w:color w:val="auto"/>
        </w:rPr>
      </w:pPr>
    </w:p>
    <w:p>
      <w:pPr>
        <w:ind w:left="360" w:right="60"/>
        <w:spacing w:after="0" w:line="241" w:lineRule="auto"/>
        <w:rPr>
          <w:sz w:val="20"/>
          <w:szCs w:val="20"/>
          <w:color w:val="auto"/>
        </w:rPr>
      </w:pPr>
      <w:r>
        <w:rPr>
          <w:rFonts w:ascii="Arial" w:cs="Arial" w:eastAsia="Arial" w:hAnsi="Arial"/>
          <w:sz w:val="17"/>
          <w:szCs w:val="17"/>
          <w:b w:val="1"/>
          <w:bCs w:val="1"/>
          <w:color w:val="auto"/>
        </w:rPr>
        <w:t xml:space="preserve">New Compensation Arrangements. </w:t>
      </w:r>
      <w:r>
        <w:rPr>
          <w:rFonts w:ascii="Arial" w:cs="Arial" w:eastAsia="Arial" w:hAnsi="Arial"/>
          <w:sz w:val="17"/>
          <w:szCs w:val="17"/>
          <w:color w:val="auto"/>
        </w:rPr>
        <w:t>Mr. Biehl was appointed our Interim CFO effective July 20, 2022. Pursuant to the terms of his offer</w:t>
      </w:r>
      <w:r>
        <w:rPr>
          <w:rFonts w:ascii="Arial" w:cs="Arial" w:eastAsia="Arial" w:hAnsi="Arial"/>
          <w:sz w:val="17"/>
          <w:szCs w:val="17"/>
          <w:b w:val="1"/>
          <w:bCs w:val="1"/>
          <w:color w:val="auto"/>
        </w:rPr>
        <w:t xml:space="preserve"> </w:t>
      </w:r>
      <w:r>
        <w:rPr>
          <w:rFonts w:ascii="Arial" w:cs="Arial" w:eastAsia="Arial" w:hAnsi="Arial"/>
          <w:sz w:val="17"/>
          <w:szCs w:val="17"/>
          <w:color w:val="auto"/>
        </w:rPr>
        <w:t>letter, Mr. Biehl receives a salary at the monthly rate of $75,000 and, due to the interim nature of his appointment, he does not participate in our Annual Incentive Plan or Long-Term Equity Incentive Program. Mr. Dimitrief joined the Company as SVP, General Counsel and Secretary effective November 1, 2022. Given the Company’s challenging operating environment and Mr. Dimitrief’s experience and expertise, to incentivize Mr. Dimitrief to join the Company, Mr. Dimitrief received a one-time lump sum cash sign-on award of $1,500,000, payable on the first payroll date in November 2022, and an equity award consisting of time-based restricted stock and stock options, each scheduled to vest in two equal installments on October 31, 2023 and October 31, 2024. Commensurate with Mr. Klaben’s increased responsibilities from October to November 2022, Mr. Klaben’s base salary and target annual cash incentive bonus were increased. Upon transitioning back to the role of Deputy General Counsel, Mr. Klaben’s base salary and target annual cash incentive bonus were reduced to their prior levels. For additional detail on each executives’ compensation and employment arrangements, see “Compensation Elements for 2022” on page 35 and “Employment Agreements” on page 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231775</wp:posOffset>
            </wp:positionH>
            <wp:positionV relativeFrom="paragraph">
              <wp:posOffset>99695</wp:posOffset>
            </wp:positionV>
            <wp:extent cx="6687820" cy="1651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687820" cy="16510"/>
                    </a:xfrm>
                    <a:prstGeom prst="rect">
                      <a:avLst/>
                    </a:prstGeom>
                    <a:noFill/>
                  </pic:spPr>
                </pic:pic>
              </a:graphicData>
            </a:graphic>
          </wp:anchor>
        </w:drawing>
      </w:r>
    </w:p>
    <w:p>
      <w:pPr>
        <w:spacing w:after="0" w:line="327" w:lineRule="exact"/>
        <w:rPr>
          <w:sz w:val="20"/>
          <w:szCs w:val="20"/>
          <w:color w:val="auto"/>
        </w:rPr>
      </w:pPr>
    </w:p>
    <w:tbl>
      <w:tblPr>
        <w:tblLayout w:type="fixed"/>
        <w:tblInd w:w="360" w:type="dxa"/>
        <w:tblCellMar>
          <w:top w:w="0" w:type="dxa"/>
          <w:left w:w="0" w:type="dxa"/>
          <w:bottom w:w="0" w:type="dxa"/>
          <w:right w:w="0" w:type="dxa"/>
        </w:tblCellMar>
      </w:tblPr>
      <w:tr>
        <w:trPr>
          <w:trHeight w:val="226"/>
        </w:trPr>
        <w:tc>
          <w:tcPr>
            <w:tcW w:w="3900" w:type="dxa"/>
            <w:vAlign w:val="bottom"/>
          </w:tcPr>
          <w:p>
            <w:pPr>
              <w:spacing w:after="0"/>
              <w:rPr>
                <w:sz w:val="20"/>
                <w:szCs w:val="20"/>
                <w:color w:val="auto"/>
              </w:rPr>
            </w:pPr>
            <w:r>
              <w:rPr>
                <w:rFonts w:ascii="Arial" w:cs="Arial" w:eastAsia="Arial" w:hAnsi="Arial"/>
                <w:sz w:val="17"/>
                <w:szCs w:val="17"/>
                <w:color w:val="auto"/>
              </w:rPr>
              <w:t>2023 Notice and Proxy Statement</w:t>
            </w:r>
          </w:p>
        </w:tc>
        <w:tc>
          <w:tcPr>
            <w:tcW w:w="1520" w:type="dxa"/>
            <w:vAlign w:val="bottom"/>
          </w:tcPr>
          <w:p>
            <w:pPr>
              <w:jc w:val="right"/>
              <w:spacing w:after="0"/>
              <w:rPr>
                <w:sz w:val="20"/>
                <w:szCs w:val="20"/>
                <w:color w:val="auto"/>
              </w:rPr>
            </w:pPr>
            <w:r>
              <w:rPr>
                <w:rFonts w:ascii="Arial" w:cs="Arial" w:eastAsia="Arial" w:hAnsi="Arial"/>
                <w:sz w:val="17"/>
                <w:szCs w:val="17"/>
                <w:color w:val="auto"/>
              </w:rPr>
              <w:t>28</w:t>
            </w:r>
          </w:p>
        </w:tc>
      </w:tr>
    </w:tbl>
    <w:p>
      <w:pPr>
        <w:sectPr>
          <w:pgSz w:w="11900" w:h="16838" w:orient="portrait"/>
          <w:cols w:equalWidth="0" w:num="1">
            <w:col w:w="10880"/>
          </w:cols>
          <w:pgMar w:left="320" w:top="468" w:right="69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5397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79945" cy="53975"/>
                    </a:xfrm>
                    <a:prstGeom prst="rect">
                      <a:avLst/>
                    </a:prstGeom>
                    <a:noFill/>
                  </pic:spPr>
                </pic:pic>
              </a:graphicData>
            </a:graphic>
          </wp:anchor>
        </w:drawing>
        <w:t>Table of Contents</w:t>
      </w:r>
    </w:p>
    <w:p>
      <w:pPr>
        <w:spacing w:after="0" w:line="296"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Compensation Discussion and Analysis</w:t>
      </w:r>
    </w:p>
    <w:p>
      <w:pPr>
        <w:spacing w:after="0" w:line="21" w:lineRule="exact"/>
        <w:rPr>
          <w:sz w:val="20"/>
          <w:szCs w:val="20"/>
          <w:color w:val="auto"/>
        </w:rPr>
      </w:pPr>
    </w:p>
    <w:p>
      <w:pPr>
        <w:jc w:val="right"/>
        <w:ind w:right="20"/>
        <w:spacing w:after="0"/>
        <w:rPr>
          <w:sz w:val="20"/>
          <w:szCs w:val="20"/>
          <w:color w:val="auto"/>
        </w:rPr>
      </w:pPr>
      <w:r>
        <w:rPr>
          <w:rFonts w:ascii="Arial" w:cs="Arial" w:eastAsia="Arial" w:hAnsi="Arial"/>
          <w:sz w:val="14"/>
          <w:szCs w:val="14"/>
          <w:b w:val="1"/>
          <w:bCs w:val="1"/>
          <w:color w:val="auto"/>
        </w:rPr>
        <w:t>2022 Executive Compensation Highlights</w:t>
      </w:r>
    </w:p>
    <w:p>
      <w:pPr>
        <w:spacing w:after="0" w:line="101" w:lineRule="exact"/>
        <w:rPr>
          <w:sz w:val="20"/>
          <w:szCs w:val="20"/>
          <w:color w:val="auto"/>
        </w:rPr>
      </w:pPr>
    </w:p>
    <w:p>
      <w:pPr>
        <w:ind w:left="360"/>
        <w:spacing w:after="0"/>
        <w:rPr>
          <w:sz w:val="20"/>
          <w:szCs w:val="20"/>
          <w:color w:val="auto"/>
        </w:rPr>
      </w:pPr>
      <w:r>
        <w:rPr>
          <w:rFonts w:ascii="Arial" w:cs="Arial" w:eastAsia="Arial" w:hAnsi="Arial"/>
          <w:sz w:val="28"/>
          <w:szCs w:val="28"/>
          <w:color w:val="auto"/>
        </w:rPr>
        <w:t>2022 Business Performance Highlights</w:t>
      </w:r>
    </w:p>
    <w:p>
      <w:pPr>
        <w:spacing w:after="0" w:line="220" w:lineRule="exact"/>
        <w:rPr>
          <w:sz w:val="20"/>
          <w:szCs w:val="20"/>
          <w:color w:val="auto"/>
        </w:rPr>
      </w:pPr>
    </w:p>
    <w:p>
      <w:pPr>
        <w:ind w:left="360" w:right="200"/>
        <w:spacing w:after="0" w:line="243" w:lineRule="auto"/>
        <w:rPr>
          <w:sz w:val="20"/>
          <w:szCs w:val="20"/>
          <w:color w:val="auto"/>
        </w:rPr>
      </w:pPr>
      <w:r>
        <w:rPr>
          <w:rFonts w:ascii="Arial" w:cs="Arial" w:eastAsia="Arial" w:hAnsi="Arial"/>
          <w:sz w:val="17"/>
          <w:szCs w:val="17"/>
          <w:color w:val="auto"/>
        </w:rPr>
        <w:t>Fiscal 2022 was another good year for the Company. On a consolidated basis, we grew revenue by 7.8%. Sterigenics, our largest reporting segment, delivered 9.6% revenue growth and made significant progress on seven capacity expansion projects and numerous EO emissions control enhancements across its North American facilities. These enhancements are industry-leading and underscore our overarching commitment to ensure safe, best-in-class, operations for our employees, customers and the communities in which we operate. Our Nordion segment navigated unprecedented geopolitical uncertainty and adeptly managed third-party Cobalt-60 harvest supply schedules to deliver 9.3% revenue growth from the prior year. Finally, although our Nelson Labs segment fell short of our targets, the business delivered 2% year-over-year revenue growth despite ongoing labor and supply chain challenges.</w:t>
      </w:r>
    </w:p>
    <w:p>
      <w:pPr>
        <w:spacing w:after="0" w:line="266" w:lineRule="exact"/>
        <w:rPr>
          <w:sz w:val="20"/>
          <w:szCs w:val="20"/>
          <w:color w:val="auto"/>
        </w:rPr>
      </w:pPr>
    </w:p>
    <w:p>
      <w:pPr>
        <w:ind w:left="360"/>
        <w:spacing w:after="0"/>
        <w:rPr>
          <w:sz w:val="20"/>
          <w:szCs w:val="20"/>
          <w:color w:val="auto"/>
        </w:rPr>
      </w:pPr>
      <w:r>
        <w:rPr>
          <w:rFonts w:ascii="Arial" w:cs="Arial" w:eastAsia="Arial" w:hAnsi="Arial"/>
          <w:sz w:val="28"/>
          <w:szCs w:val="28"/>
          <w:color w:val="auto"/>
        </w:rPr>
        <w:t>2022 Target Total Direct Compensation</w:t>
      </w:r>
    </w:p>
    <w:p>
      <w:pPr>
        <w:spacing w:after="0" w:line="220" w:lineRule="exact"/>
        <w:rPr>
          <w:sz w:val="20"/>
          <w:szCs w:val="20"/>
          <w:color w:val="auto"/>
        </w:rPr>
      </w:pPr>
    </w:p>
    <w:p>
      <w:pPr>
        <w:ind w:left="360" w:right="20"/>
        <w:spacing w:after="0" w:line="243" w:lineRule="auto"/>
        <w:rPr>
          <w:sz w:val="20"/>
          <w:szCs w:val="20"/>
          <w:color w:val="auto"/>
        </w:rPr>
      </w:pPr>
      <w:r>
        <w:rPr>
          <w:rFonts w:ascii="Arial" w:cs="Arial" w:eastAsia="Arial" w:hAnsi="Arial"/>
          <w:sz w:val="17"/>
          <w:szCs w:val="17"/>
          <w:color w:val="auto"/>
        </w:rPr>
        <w:t>Our NEOs’ 2022 target total compensation was consistent with our pay for performance philosophy and focuses on variable compensation that is aligned with the Company’s overall performance and the Company’s stock performance. The chart below shows that 89% of the CEO’s 2022 compensation was performance-based with a significant portion (76%) tied to the future performance of the Company. For our other NEOs, 75% of their 2022 target total compensation was performance-based, with a significant portion (60%) tied to the future performance of the Company. The variable elements of our 2022 compensation program include (i) our Annual Incentive Plan, which is our annual cash incentive award program, and (ii) Long-Term Equity Incentive Program, which in 2022 was comprised of stock options and RSUs.</w:t>
      </w:r>
    </w:p>
    <w:p>
      <w:pPr>
        <w:spacing w:after="0" w:line="167" w:lineRule="exact"/>
        <w:rPr>
          <w:sz w:val="20"/>
          <w:szCs w:val="20"/>
          <w:color w:val="auto"/>
        </w:rPr>
      </w:pPr>
    </w:p>
    <w:p>
      <w:pPr>
        <w:jc w:val="center"/>
        <w:ind w:right="-359"/>
        <w:spacing w:after="0"/>
        <w:rPr>
          <w:sz w:val="20"/>
          <w:szCs w:val="20"/>
          <w:color w:val="auto"/>
        </w:rPr>
      </w:pPr>
      <w:r>
        <w:rPr>
          <w:rFonts w:ascii="Arial" w:cs="Arial" w:eastAsia="Arial" w:hAnsi="Arial"/>
          <w:sz w:val="21"/>
          <w:szCs w:val="21"/>
          <w:color w:val="auto"/>
        </w:rPr>
        <w:t>CEO Target Total Compensation Mix</w:t>
      </w:r>
      <w:r>
        <w:rPr>
          <w:rFonts w:ascii="Arial" w:cs="Arial" w:eastAsia="Arial" w:hAnsi="Arial"/>
          <w:sz w:val="15"/>
          <w:szCs w:val="15"/>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231775</wp:posOffset>
            </wp:positionH>
            <wp:positionV relativeFrom="paragraph">
              <wp:posOffset>59690</wp:posOffset>
            </wp:positionV>
            <wp:extent cx="668782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687820" cy="8255"/>
                    </a:xfrm>
                    <a:prstGeom prst="rect">
                      <a:avLst/>
                    </a:prstGeom>
                    <a:noFill/>
                  </pic:spPr>
                </pic:pic>
              </a:graphicData>
            </a:graphic>
          </wp:anchor>
        </w:drawing>
        <w:drawing>
          <wp:anchor simplePos="0" relativeHeight="251657728" behindDoc="1" locked="0" layoutInCell="0" allowOverlap="1">
            <wp:simplePos x="0" y="0"/>
            <wp:positionH relativeFrom="column">
              <wp:posOffset>1551305</wp:posOffset>
            </wp:positionH>
            <wp:positionV relativeFrom="paragraph">
              <wp:posOffset>297815</wp:posOffset>
            </wp:positionV>
            <wp:extent cx="4040505" cy="126238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4040505" cy="1262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3240"/>
        <w:spacing w:after="0"/>
        <w:rPr>
          <w:sz w:val="20"/>
          <w:szCs w:val="20"/>
          <w:color w:val="auto"/>
        </w:rPr>
      </w:pPr>
      <w:r>
        <w:rPr>
          <w:rFonts w:ascii="Arial" w:cs="Arial" w:eastAsia="Arial" w:hAnsi="Arial"/>
          <w:sz w:val="21"/>
          <w:szCs w:val="21"/>
          <w:color w:val="auto"/>
        </w:rPr>
        <w:t>Non-CEO NEOs Average Total Compensation Mix</w:t>
      </w:r>
      <w:r>
        <w:rPr>
          <w:rFonts w:ascii="Arial" w:cs="Arial" w:eastAsia="Arial" w:hAnsi="Arial"/>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231775</wp:posOffset>
            </wp:positionH>
            <wp:positionV relativeFrom="paragraph">
              <wp:posOffset>52070</wp:posOffset>
            </wp:positionV>
            <wp:extent cx="668782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687820" cy="8255"/>
                    </a:xfrm>
                    <a:prstGeom prst="rect">
                      <a:avLst/>
                    </a:prstGeom>
                    <a:noFill/>
                  </pic:spPr>
                </pic:pic>
              </a:graphicData>
            </a:graphic>
          </wp:anchor>
        </w:drawing>
        <w:drawing>
          <wp:anchor simplePos="0" relativeHeight="251657728" behindDoc="1" locked="0" layoutInCell="0" allowOverlap="1">
            <wp:simplePos x="0" y="0"/>
            <wp:positionH relativeFrom="column">
              <wp:posOffset>1477010</wp:posOffset>
            </wp:positionH>
            <wp:positionV relativeFrom="paragraph">
              <wp:posOffset>289560</wp:posOffset>
            </wp:positionV>
            <wp:extent cx="4187825" cy="113093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4187825" cy="1130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780" w:right="100" w:hanging="422"/>
        <w:spacing w:after="0" w:line="259" w:lineRule="auto"/>
        <w:tabs>
          <w:tab w:leader="none" w:pos="780" w:val="left"/>
        </w:tabs>
        <w:numPr>
          <w:ilvl w:val="0"/>
          <w:numId w:val="21"/>
        </w:numPr>
        <w:rPr>
          <w:rFonts w:ascii="Arial" w:cs="Arial" w:eastAsia="Arial" w:hAnsi="Arial"/>
          <w:sz w:val="14"/>
          <w:szCs w:val="14"/>
          <w:color w:val="auto"/>
        </w:rPr>
      </w:pPr>
      <w:r>
        <w:rPr>
          <w:rFonts w:ascii="Arial" w:cs="Arial" w:eastAsia="Arial" w:hAnsi="Arial"/>
          <w:sz w:val="14"/>
          <w:szCs w:val="14"/>
          <w:color w:val="auto"/>
        </w:rPr>
        <w:t>Does not include the target value of the one-time November 2022 Incentive Award granted to Mr. Petras on November 7, 2022. Mr. Petras’ November 2022 Incentive Award was comprised of stock options.</w:t>
      </w:r>
    </w:p>
    <w:p>
      <w:pPr>
        <w:spacing w:after="0" w:line="78" w:lineRule="exact"/>
        <w:rPr>
          <w:rFonts w:ascii="Arial" w:cs="Arial" w:eastAsia="Arial" w:hAnsi="Arial"/>
          <w:sz w:val="14"/>
          <w:szCs w:val="14"/>
          <w:color w:val="auto"/>
        </w:rPr>
      </w:pPr>
    </w:p>
    <w:p>
      <w:pPr>
        <w:ind w:left="780" w:right="20" w:hanging="422"/>
        <w:spacing w:after="0"/>
        <w:tabs>
          <w:tab w:leader="none" w:pos="780" w:val="left"/>
        </w:tabs>
        <w:numPr>
          <w:ilvl w:val="0"/>
          <w:numId w:val="21"/>
        </w:numPr>
        <w:rPr>
          <w:rFonts w:ascii="Arial" w:cs="Arial" w:eastAsia="Arial" w:hAnsi="Arial"/>
          <w:sz w:val="14"/>
          <w:szCs w:val="14"/>
          <w:color w:val="auto"/>
        </w:rPr>
      </w:pPr>
      <w:r>
        <w:rPr>
          <w:rFonts w:ascii="Arial" w:cs="Arial" w:eastAsia="Arial" w:hAnsi="Arial"/>
          <w:sz w:val="14"/>
          <w:szCs w:val="14"/>
          <w:color w:val="auto"/>
        </w:rPr>
        <w:t>Includes the NEOs (other than the CEO and Messrs. Biehl and Klaben) employed by the Company as of January 1, 2022. This graph does not include total compensation for Mr. Klaben because although he was employed by the Company as of January 1, 2022, his compensation was initially set with a focus on his role as Deputy General Counsel and not as an executive officer. Total compensation awarded to Mr. Dimitrief is not included as he was hired in the fourth quarter of 2022. This graph does not include Mr. Biehl due to the interim nature of his appointment.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231775</wp:posOffset>
            </wp:positionH>
            <wp:positionV relativeFrom="paragraph">
              <wp:posOffset>95885</wp:posOffset>
            </wp:positionV>
            <wp:extent cx="6687820" cy="1651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687820" cy="16510"/>
                    </a:xfrm>
                    <a:prstGeom prst="rect">
                      <a:avLst/>
                    </a:prstGeom>
                    <a:noFill/>
                  </pic:spPr>
                </pic:pic>
              </a:graphicData>
            </a:graphic>
          </wp:anchor>
        </w:drawing>
      </w:r>
    </w:p>
    <w:p>
      <w:pPr>
        <w:spacing w:after="0" w:line="320"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6443980</wp:posOffset>
            </wp:positionH>
            <wp:positionV relativeFrom="paragraph">
              <wp:posOffset>-113030</wp:posOffset>
            </wp:positionV>
            <wp:extent cx="475615" cy="15557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475615" cy="155575"/>
                    </a:xfrm>
                    <a:prstGeom prst="rect">
                      <a:avLst/>
                    </a:prstGeom>
                    <a:noFill/>
                  </pic:spPr>
                </pic:pic>
              </a:graphicData>
            </a:graphic>
          </wp:anchor>
        </w:drawing>
      </w:r>
    </w:p>
    <w:p>
      <w:pPr>
        <w:sectPr>
          <w:pgSz w:w="11900" w:h="16838" w:orient="portrait"/>
          <w:cols w:equalWidth="0" w:num="1">
            <w:col w:w="10900"/>
          </w:cols>
          <w:pgMar w:left="320" w:top="468" w:right="67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5397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79945" cy="53975"/>
                    </a:xfrm>
                    <a:prstGeom prst="rect">
                      <a:avLst/>
                    </a:prstGeom>
                    <a:noFill/>
                  </pic:spPr>
                </pic:pic>
              </a:graphicData>
            </a:graphic>
          </wp:anchor>
        </w:drawing>
        <w:t>Table of Contents</w:t>
      </w:r>
    </w:p>
    <w:p>
      <w:pPr>
        <w:spacing w:after="0" w:line="296"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auto"/>
        </w:rPr>
        <w:t>Compensation Discussion and Analysis</w:t>
      </w:r>
    </w:p>
    <w:p>
      <w:pPr>
        <w:spacing w:after="0" w:line="21" w:lineRule="exact"/>
        <w:rPr>
          <w:sz w:val="20"/>
          <w:szCs w:val="20"/>
          <w:color w:val="auto"/>
        </w:rPr>
      </w:pPr>
    </w:p>
    <w:p>
      <w:pPr>
        <w:ind w:left="360"/>
        <w:spacing w:after="0"/>
        <w:rPr>
          <w:sz w:val="20"/>
          <w:szCs w:val="20"/>
          <w:color w:val="auto"/>
        </w:rPr>
      </w:pPr>
      <w:r>
        <w:rPr>
          <w:rFonts w:ascii="Arial" w:cs="Arial" w:eastAsia="Arial" w:hAnsi="Arial"/>
          <w:sz w:val="14"/>
          <w:szCs w:val="14"/>
          <w:b w:val="1"/>
          <w:bCs w:val="1"/>
          <w:color w:val="auto"/>
        </w:rPr>
        <w:t>Compensation Philosophy and Program</w:t>
      </w:r>
    </w:p>
    <w:p>
      <w:pPr>
        <w:spacing w:after="0" w:line="105" w:lineRule="exact"/>
        <w:rPr>
          <w:sz w:val="20"/>
          <w:szCs w:val="20"/>
          <w:color w:val="auto"/>
        </w:rPr>
      </w:pPr>
    </w:p>
    <w:p>
      <w:pPr>
        <w:ind w:left="360"/>
        <w:spacing w:after="0"/>
        <w:rPr>
          <w:sz w:val="20"/>
          <w:szCs w:val="20"/>
          <w:color w:val="auto"/>
        </w:rPr>
      </w:pPr>
      <w:r>
        <w:rPr>
          <w:rFonts w:ascii="Arial" w:cs="Arial" w:eastAsia="Arial" w:hAnsi="Arial"/>
          <w:sz w:val="31"/>
          <w:szCs w:val="31"/>
          <w:color w:val="00B0DB"/>
        </w:rPr>
        <w:t>Compensation Philosophy and Program</w:t>
      </w:r>
    </w:p>
    <w:p>
      <w:pPr>
        <w:spacing w:after="0" w:line="221" w:lineRule="exact"/>
        <w:rPr>
          <w:sz w:val="20"/>
          <w:szCs w:val="20"/>
          <w:color w:val="auto"/>
        </w:rPr>
      </w:pPr>
    </w:p>
    <w:p>
      <w:pPr>
        <w:ind w:left="360"/>
        <w:spacing w:after="0" w:line="243" w:lineRule="auto"/>
        <w:rPr>
          <w:sz w:val="20"/>
          <w:szCs w:val="20"/>
          <w:color w:val="auto"/>
        </w:rPr>
      </w:pPr>
      <w:r>
        <w:rPr>
          <w:rFonts w:ascii="Arial" w:cs="Arial" w:eastAsia="Arial" w:hAnsi="Arial"/>
          <w:sz w:val="17"/>
          <w:szCs w:val="17"/>
          <w:color w:val="auto"/>
        </w:rPr>
        <w:t>Our executive compensation program is guided by three principles: (i) paying for performance; (ii) driving achievement of the Company’s annual and long-term business performance goals; and (iii) paying competitively to attract, retain and motivate top talent. These principles guide our program’s design, pay levels, and approach to total rewards. Our executive compensation program comprises three elements: base salary, short-term annual cash incentive compensation and long-term equity incentive compensation. Our NEOs are eligible to participate in the standard health and welfare benefit plans offered to our other employees; a non-qualified deferred compensation plan for which the Company has not to-date provided matching, further described on page 41; and, upon certain qualifying terminations of employment, severance payments described beginning on page 54.</w:t>
      </w:r>
    </w:p>
    <w:p>
      <w:pPr>
        <w:spacing w:after="0" w:line="150" w:lineRule="exact"/>
        <w:rPr>
          <w:sz w:val="20"/>
          <w:szCs w:val="20"/>
          <w:color w:val="auto"/>
        </w:rPr>
      </w:pPr>
    </w:p>
    <w:p>
      <w:pPr>
        <w:ind w:left="360" w:right="980"/>
        <w:spacing w:after="0" w:line="274" w:lineRule="auto"/>
        <w:rPr>
          <w:sz w:val="20"/>
          <w:szCs w:val="20"/>
          <w:color w:val="auto"/>
        </w:rPr>
      </w:pPr>
      <w:r>
        <w:rPr>
          <w:rFonts w:ascii="Arial" w:cs="Arial" w:eastAsia="Arial" w:hAnsi="Arial"/>
          <w:sz w:val="17"/>
          <w:szCs w:val="17"/>
          <w:color w:val="auto"/>
        </w:rPr>
        <w:t>We endeavor to incorporate best practices and good corporate governance policies and procedures throughout our executive compensation program. These compensation practices and governance policies include:</w:t>
      </w:r>
    </w:p>
    <w:p>
      <w:pPr>
        <w:spacing w:after="0" w:line="163" w:lineRule="exact"/>
        <w:rPr>
          <w:sz w:val="20"/>
          <w:szCs w:val="20"/>
          <w:color w:val="auto"/>
        </w:rPr>
      </w:pPr>
    </w:p>
    <w:p>
      <w:pPr>
        <w:ind w:left="2760"/>
        <w:spacing w:after="0"/>
        <w:tabs>
          <w:tab w:leader="none" w:pos="7720" w:val="left"/>
        </w:tabs>
        <w:rPr>
          <w:sz w:val="20"/>
          <w:szCs w:val="20"/>
          <w:color w:val="auto"/>
        </w:rPr>
      </w:pPr>
      <w:r>
        <w:rPr>
          <w:rFonts w:ascii="Arial" w:cs="Arial" w:eastAsia="Arial" w:hAnsi="Arial"/>
          <w:sz w:val="15"/>
          <w:szCs w:val="15"/>
          <w:b w:val="1"/>
          <w:bCs w:val="1"/>
          <w:color w:val="00467D"/>
        </w:rPr>
        <w:t>What We Do</w:t>
      </w:r>
      <w:r>
        <w:rPr>
          <w:sz w:val="20"/>
          <w:szCs w:val="20"/>
          <w:color w:val="auto"/>
        </w:rPr>
        <w:tab/>
      </w:r>
      <w:r>
        <w:rPr>
          <w:rFonts w:ascii="Arial" w:cs="Arial" w:eastAsia="Arial" w:hAnsi="Arial"/>
          <w:sz w:val="15"/>
          <w:szCs w:val="15"/>
          <w:b w:val="1"/>
          <w:bCs w:val="1"/>
          <w:color w:val="00467D"/>
        </w:rPr>
        <w:t>What We Do Not Do</w:t>
      </w:r>
    </w:p>
    <w:p>
      <w:pPr>
        <w:sectPr>
          <w:pgSz w:w="11900" w:h="16838" w:orient="portrait"/>
          <w:cols w:equalWidth="0" w:num="1">
            <w:col w:w="10860"/>
          </w:cols>
          <w:pgMar w:left="320" w:top="468" w:right="719" w:bottom="1440" w:gutter="0" w:footer="0" w:header="0"/>
        </w:sectPr>
      </w:pPr>
    </w:p>
    <w:p>
      <w:pPr>
        <w:spacing w:after="0" w:line="42" w:lineRule="exact"/>
        <w:rPr>
          <w:sz w:val="20"/>
          <w:szCs w:val="20"/>
          <w:color w:val="auto"/>
        </w:rPr>
      </w:pPr>
    </w:p>
    <w:p>
      <w:pPr>
        <w:ind w:left="440"/>
        <w:spacing w:after="0" w:line="357" w:lineRule="exact"/>
        <w:rPr>
          <w:sz w:val="20"/>
          <w:szCs w:val="20"/>
          <w:color w:val="auto"/>
        </w:rPr>
      </w:pPr>
      <w:r>
        <w:rPr>
          <w:rFonts w:ascii="MS PGothic" w:cs="MS PGothic" w:eastAsia="MS PGothic" w:hAnsi="MS PGothic"/>
          <w:sz w:val="31"/>
          <w:szCs w:val="31"/>
          <w:color w:val="00467D"/>
        </w:rPr>
        <w:t>✓</w:t>
      </w:r>
      <w:r>
        <w:rPr>
          <w:rFonts w:ascii="Arial" w:cs="Arial" w:eastAsia="Arial" w:hAnsi="Arial"/>
          <w:sz w:val="31"/>
          <w:szCs w:val="31"/>
          <w:color w:val="auto"/>
        </w:rPr>
        <w:t>  </w:t>
      </w:r>
    </w:p>
    <w:p>
      <w:pPr>
        <w:spacing w:after="0" w:line="114" w:lineRule="exact"/>
        <w:rPr>
          <w:sz w:val="20"/>
          <w:szCs w:val="20"/>
          <w:color w:val="auto"/>
        </w:rPr>
      </w:pPr>
    </w:p>
    <w:p>
      <w:pPr>
        <w:ind w:left="440"/>
        <w:spacing w:after="0" w:line="357" w:lineRule="exact"/>
        <w:rPr>
          <w:sz w:val="20"/>
          <w:szCs w:val="20"/>
          <w:color w:val="auto"/>
        </w:rPr>
      </w:pPr>
      <w:r>
        <w:rPr>
          <w:rFonts w:ascii="MS PGothic" w:cs="MS PGothic" w:eastAsia="MS PGothic" w:hAnsi="MS PGothic"/>
          <w:sz w:val="31"/>
          <w:szCs w:val="31"/>
          <w:color w:val="00467D"/>
        </w:rPr>
        <w:t>✓</w:t>
      </w:r>
      <w:r>
        <w:rPr>
          <w:rFonts w:ascii="Arial" w:cs="Arial" w:eastAsia="Arial" w:hAnsi="Arial"/>
          <w:sz w:val="31"/>
          <w:szCs w:val="31"/>
          <w:color w:val="auto"/>
        </w:rPr>
        <w:t>  </w:t>
      </w:r>
    </w:p>
    <w:p>
      <w:pPr>
        <w:spacing w:after="0" w:line="108" w:lineRule="exact"/>
        <w:rPr>
          <w:sz w:val="20"/>
          <w:szCs w:val="20"/>
          <w:color w:val="auto"/>
        </w:rPr>
      </w:pPr>
    </w:p>
    <w:p>
      <w:pPr>
        <w:ind w:left="440"/>
        <w:spacing w:after="0" w:line="357" w:lineRule="exact"/>
        <w:rPr>
          <w:sz w:val="20"/>
          <w:szCs w:val="20"/>
          <w:color w:val="auto"/>
        </w:rPr>
      </w:pPr>
      <w:r>
        <w:rPr>
          <w:rFonts w:ascii="MS PGothic" w:cs="MS PGothic" w:eastAsia="MS PGothic" w:hAnsi="MS PGothic"/>
          <w:sz w:val="31"/>
          <w:szCs w:val="31"/>
          <w:color w:val="00467D"/>
        </w:rPr>
        <w:t>✓</w:t>
      </w:r>
      <w:r>
        <w:rPr>
          <w:rFonts w:ascii="Arial" w:cs="Arial" w:eastAsia="Arial" w:hAnsi="Arial"/>
          <w:sz w:val="31"/>
          <w:szCs w:val="31"/>
          <w:color w:val="auto"/>
        </w:rPr>
        <w:t>  </w:t>
      </w:r>
    </w:p>
    <w:p>
      <w:pPr>
        <w:spacing w:after="0" w:line="108" w:lineRule="exact"/>
        <w:rPr>
          <w:sz w:val="20"/>
          <w:szCs w:val="20"/>
          <w:color w:val="auto"/>
        </w:rPr>
      </w:pPr>
    </w:p>
    <w:p>
      <w:pPr>
        <w:ind w:left="440"/>
        <w:spacing w:after="0" w:line="357" w:lineRule="exact"/>
        <w:rPr>
          <w:sz w:val="20"/>
          <w:szCs w:val="20"/>
          <w:color w:val="auto"/>
        </w:rPr>
      </w:pPr>
      <w:r>
        <w:rPr>
          <w:rFonts w:ascii="MS PGothic" w:cs="MS PGothic" w:eastAsia="MS PGothic" w:hAnsi="MS PGothic"/>
          <w:sz w:val="31"/>
          <w:szCs w:val="31"/>
          <w:color w:val="00467D"/>
        </w:rPr>
        <w:t>✓</w:t>
      </w:r>
      <w:r>
        <w:rPr>
          <w:rFonts w:ascii="Arial" w:cs="Arial" w:eastAsia="Arial" w:hAnsi="Arial"/>
          <w:sz w:val="31"/>
          <w:szCs w:val="31"/>
          <w:color w:val="auto"/>
        </w:rPr>
        <w:t>  </w:t>
      </w:r>
    </w:p>
    <w:p>
      <w:pPr>
        <w:spacing w:after="0" w:line="108" w:lineRule="exact"/>
        <w:rPr>
          <w:sz w:val="20"/>
          <w:szCs w:val="20"/>
          <w:color w:val="auto"/>
        </w:rPr>
      </w:pPr>
    </w:p>
    <w:p>
      <w:pPr>
        <w:ind w:left="440"/>
        <w:spacing w:after="0" w:line="357" w:lineRule="exact"/>
        <w:rPr>
          <w:sz w:val="20"/>
          <w:szCs w:val="20"/>
          <w:color w:val="auto"/>
        </w:rPr>
      </w:pPr>
      <w:r>
        <w:rPr>
          <w:rFonts w:ascii="MS PGothic" w:cs="MS PGothic" w:eastAsia="MS PGothic" w:hAnsi="MS PGothic"/>
          <w:sz w:val="31"/>
          <w:szCs w:val="31"/>
          <w:color w:val="00467D"/>
        </w:rPr>
        <w:t>✓</w:t>
      </w:r>
      <w:r>
        <w:rPr>
          <w:rFonts w:ascii="Arial" w:cs="Arial" w:eastAsia="Arial" w:hAnsi="Arial"/>
          <w:sz w:val="31"/>
          <w:szCs w:val="31"/>
          <w:color w:val="auto"/>
        </w:rPr>
        <w:t>  </w:t>
      </w:r>
    </w:p>
    <w:p>
      <w:pPr>
        <w:spacing w:after="0" w:line="108" w:lineRule="exact"/>
        <w:rPr>
          <w:sz w:val="20"/>
          <w:szCs w:val="20"/>
          <w:color w:val="auto"/>
        </w:rPr>
      </w:pPr>
    </w:p>
    <w:p>
      <w:pPr>
        <w:ind w:left="440"/>
        <w:spacing w:after="0" w:line="357" w:lineRule="exact"/>
        <w:rPr>
          <w:sz w:val="20"/>
          <w:szCs w:val="20"/>
          <w:color w:val="auto"/>
        </w:rPr>
      </w:pPr>
      <w:r>
        <w:rPr>
          <w:rFonts w:ascii="MS PGothic" w:cs="MS PGothic" w:eastAsia="MS PGothic" w:hAnsi="MS PGothic"/>
          <w:sz w:val="31"/>
          <w:szCs w:val="31"/>
          <w:color w:val="00467D"/>
        </w:rPr>
        <w:t>✓</w:t>
      </w:r>
      <w:r>
        <w:rPr>
          <w:rFonts w:ascii="Arial" w:cs="Arial" w:eastAsia="Arial" w:hAnsi="Arial"/>
          <w:sz w:val="31"/>
          <w:szCs w:val="31"/>
          <w:color w:val="auto"/>
        </w:rPr>
        <w:t>  </w:t>
      </w:r>
    </w:p>
    <w:p>
      <w:pPr>
        <w:spacing w:after="0" w:line="20" w:lineRule="exact"/>
        <w:rPr>
          <w:sz w:val="20"/>
          <w:szCs w:val="20"/>
          <w:color w:val="auto"/>
        </w:rPr>
      </w:pPr>
      <w:r>
        <w:rPr>
          <w:sz w:val="20"/>
          <w:szCs w:val="20"/>
          <w:color w:val="auto"/>
        </w:rPr>
        <w:br w:type="column"/>
      </w:r>
    </w:p>
    <w:p>
      <w:pPr>
        <w:spacing w:after="0" w:line="63" w:lineRule="exact"/>
        <w:rPr>
          <w:sz w:val="20"/>
          <w:szCs w:val="20"/>
          <w:color w:val="auto"/>
        </w:rPr>
      </w:pPr>
    </w:p>
    <w:p>
      <w:pPr>
        <w:ind w:right="760"/>
        <w:spacing w:after="0" w:line="274" w:lineRule="auto"/>
        <w:rPr>
          <w:sz w:val="20"/>
          <w:szCs w:val="20"/>
          <w:color w:val="auto"/>
        </w:rPr>
      </w:pPr>
      <w:r>
        <w:rPr>
          <w:rFonts w:ascii="Arial" w:cs="Arial" w:eastAsia="Arial" w:hAnsi="Arial"/>
          <w:sz w:val="17"/>
          <w:szCs w:val="17"/>
          <w:color w:val="auto"/>
        </w:rPr>
        <w:t>Require executives and directors to meet stock ownership levels</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color w:val="auto"/>
        </w:rPr>
        <w:t>Tie a majority of executive compensation to stock value</w:t>
      </w:r>
    </w:p>
    <w:p>
      <w:pPr>
        <w:spacing w:after="0" w:line="269" w:lineRule="exact"/>
        <w:rPr>
          <w:sz w:val="20"/>
          <w:szCs w:val="20"/>
          <w:color w:val="auto"/>
        </w:rPr>
      </w:pPr>
    </w:p>
    <w:p>
      <w:pPr>
        <w:ind w:right="360"/>
        <w:spacing w:after="0" w:line="274" w:lineRule="auto"/>
        <w:rPr>
          <w:sz w:val="20"/>
          <w:szCs w:val="20"/>
          <w:color w:val="auto"/>
        </w:rPr>
      </w:pPr>
      <w:r>
        <w:rPr>
          <w:rFonts w:ascii="Arial" w:cs="Arial" w:eastAsia="Arial" w:hAnsi="Arial"/>
          <w:sz w:val="17"/>
          <w:szCs w:val="17"/>
          <w:color w:val="auto"/>
        </w:rPr>
        <w:t>Have double-trigger change in control equity vesting provisions</w:t>
      </w:r>
    </w:p>
    <w:p>
      <w:pPr>
        <w:spacing w:after="0" w:line="18" w:lineRule="exact"/>
        <w:rPr>
          <w:sz w:val="20"/>
          <w:szCs w:val="20"/>
          <w:color w:val="auto"/>
        </w:rPr>
      </w:pPr>
    </w:p>
    <w:p>
      <w:pPr>
        <w:spacing w:after="0" w:line="274" w:lineRule="auto"/>
        <w:rPr>
          <w:sz w:val="20"/>
          <w:szCs w:val="20"/>
          <w:color w:val="auto"/>
        </w:rPr>
      </w:pPr>
      <w:r>
        <w:rPr>
          <w:rFonts w:ascii="Arial" w:cs="Arial" w:eastAsia="Arial" w:hAnsi="Arial"/>
          <w:sz w:val="17"/>
          <w:szCs w:val="17"/>
          <w:color w:val="auto"/>
        </w:rPr>
        <w:t>Conduct annual assessment of potential risks associated with compensation programs</w:t>
      </w:r>
    </w:p>
    <w:p>
      <w:pPr>
        <w:spacing w:after="0" w:line="18" w:lineRule="exact"/>
        <w:rPr>
          <w:sz w:val="20"/>
          <w:szCs w:val="20"/>
          <w:color w:val="auto"/>
        </w:rPr>
      </w:pPr>
    </w:p>
    <w:p>
      <w:pPr>
        <w:ind w:right="80"/>
        <w:spacing w:after="0" w:line="274" w:lineRule="auto"/>
        <w:rPr>
          <w:sz w:val="20"/>
          <w:szCs w:val="20"/>
          <w:color w:val="auto"/>
        </w:rPr>
      </w:pPr>
      <w:r>
        <w:rPr>
          <w:rFonts w:ascii="Arial" w:cs="Arial" w:eastAsia="Arial" w:hAnsi="Arial"/>
          <w:sz w:val="17"/>
          <w:szCs w:val="17"/>
          <w:color w:val="auto"/>
        </w:rPr>
        <w:t>Engage an independent compensation consultant to the LD&amp;C Committee</w:t>
      </w:r>
    </w:p>
    <w:p>
      <w:pPr>
        <w:spacing w:after="0" w:line="18" w:lineRule="exact"/>
        <w:rPr>
          <w:sz w:val="20"/>
          <w:szCs w:val="20"/>
          <w:color w:val="auto"/>
        </w:rPr>
      </w:pPr>
    </w:p>
    <w:p>
      <w:pPr>
        <w:ind w:right="780"/>
        <w:spacing w:after="0" w:line="274" w:lineRule="auto"/>
        <w:rPr>
          <w:sz w:val="20"/>
          <w:szCs w:val="20"/>
          <w:color w:val="auto"/>
        </w:rPr>
      </w:pPr>
      <w:r>
        <w:rPr>
          <w:rFonts w:ascii="Arial" w:cs="Arial" w:eastAsia="Arial" w:hAnsi="Arial"/>
          <w:sz w:val="17"/>
          <w:szCs w:val="17"/>
          <w:color w:val="auto"/>
        </w:rPr>
        <w:t>Annual advisory non-binding vote on executive compensation program</w:t>
      </w:r>
    </w:p>
    <w:p>
      <w:pPr>
        <w:spacing w:after="0" w:line="20" w:lineRule="exact"/>
        <w:rPr>
          <w:sz w:val="20"/>
          <w:szCs w:val="20"/>
          <w:color w:val="auto"/>
        </w:rPr>
      </w:pPr>
      <w:r>
        <w:rPr>
          <w:sz w:val="20"/>
          <w:szCs w:val="20"/>
          <w:color w:val="auto"/>
        </w:rPr>
        <w:br w:type="column"/>
      </w:r>
    </w:p>
    <w:p>
      <w:pPr>
        <w:ind w:left="430" w:hanging="430"/>
        <w:spacing w:after="0" w:line="184" w:lineRule="auto"/>
        <w:tabs>
          <w:tab w:leader="none" w:pos="430" w:val="left"/>
        </w:tabs>
        <w:numPr>
          <w:ilvl w:val="0"/>
          <w:numId w:val="22"/>
        </w:numPr>
        <w:rPr>
          <w:rFonts w:ascii="Times New Roman" w:cs="Times New Roman" w:eastAsia="Times New Roman" w:hAnsi="Times New Roman"/>
          <w:sz w:val="35"/>
          <w:szCs w:val="35"/>
          <w:b w:val="1"/>
          <w:bCs w:val="1"/>
          <w:i w:val="1"/>
          <w:iCs w:val="1"/>
          <w:color w:val="00467D"/>
          <w:vertAlign w:val="subscript"/>
        </w:rPr>
      </w:pPr>
      <w:r>
        <w:rPr>
          <w:rFonts w:ascii="Arial" w:cs="Arial" w:eastAsia="Arial" w:hAnsi="Arial"/>
          <w:sz w:val="14"/>
          <w:szCs w:val="14"/>
          <w:color w:val="auto"/>
        </w:rPr>
        <w:t>No automatic or guaranteed salary increases</w:t>
      </w:r>
    </w:p>
    <w:p>
      <w:pPr>
        <w:spacing w:after="0" w:line="239" w:lineRule="exact"/>
        <w:rPr>
          <w:rFonts w:ascii="Times New Roman" w:cs="Times New Roman" w:eastAsia="Times New Roman" w:hAnsi="Times New Roman"/>
          <w:sz w:val="35"/>
          <w:szCs w:val="35"/>
          <w:b w:val="1"/>
          <w:bCs w:val="1"/>
          <w:i w:val="1"/>
          <w:iCs w:val="1"/>
          <w:color w:val="00467D"/>
          <w:vertAlign w:val="subscript"/>
        </w:rPr>
      </w:pPr>
    </w:p>
    <w:p>
      <w:pPr>
        <w:ind w:left="430" w:right="40" w:hanging="430"/>
        <w:spacing w:after="0" w:line="182" w:lineRule="auto"/>
        <w:tabs>
          <w:tab w:leader="none" w:pos="430" w:val="left"/>
        </w:tabs>
        <w:numPr>
          <w:ilvl w:val="0"/>
          <w:numId w:val="22"/>
        </w:numPr>
        <w:rPr>
          <w:rFonts w:ascii="Times New Roman" w:cs="Times New Roman" w:eastAsia="Times New Roman" w:hAnsi="Times New Roman"/>
          <w:sz w:val="34"/>
          <w:szCs w:val="34"/>
          <w:b w:val="1"/>
          <w:bCs w:val="1"/>
          <w:i w:val="1"/>
          <w:iCs w:val="1"/>
          <w:color w:val="00467D"/>
          <w:vertAlign w:val="subscript"/>
        </w:rPr>
      </w:pPr>
      <w:r>
        <w:rPr>
          <w:rFonts w:ascii="Arial" w:cs="Arial" w:eastAsia="Arial" w:hAnsi="Arial"/>
          <w:sz w:val="14"/>
          <w:szCs w:val="14"/>
          <w:color w:val="auto"/>
        </w:rPr>
        <w:t>No awards of compensation that would motivate actions that would risk the financial health of the Company</w:t>
      </w:r>
    </w:p>
    <w:p>
      <w:pPr>
        <w:ind w:left="430" w:hanging="430"/>
        <w:spacing w:after="0" w:line="182" w:lineRule="auto"/>
        <w:tabs>
          <w:tab w:leader="none" w:pos="430" w:val="left"/>
        </w:tabs>
        <w:numPr>
          <w:ilvl w:val="0"/>
          <w:numId w:val="22"/>
        </w:numPr>
        <w:rPr>
          <w:rFonts w:ascii="Times New Roman" w:cs="Times New Roman" w:eastAsia="Times New Roman" w:hAnsi="Times New Roman"/>
          <w:sz w:val="31"/>
          <w:szCs w:val="31"/>
          <w:b w:val="1"/>
          <w:bCs w:val="1"/>
          <w:i w:val="1"/>
          <w:iCs w:val="1"/>
          <w:color w:val="00467D"/>
          <w:vertAlign w:val="subscript"/>
        </w:rPr>
      </w:pPr>
      <w:r>
        <w:rPr>
          <w:rFonts w:ascii="Arial" w:cs="Arial" w:eastAsia="Arial" w:hAnsi="Arial"/>
          <w:sz w:val="14"/>
          <w:szCs w:val="14"/>
          <w:color w:val="auto"/>
        </w:rPr>
        <w:t>No significant executive perquisites</w:t>
      </w:r>
    </w:p>
    <w:p>
      <w:pPr>
        <w:spacing w:after="0" w:line="121" w:lineRule="exact"/>
        <w:rPr>
          <w:rFonts w:ascii="Times New Roman" w:cs="Times New Roman" w:eastAsia="Times New Roman" w:hAnsi="Times New Roman"/>
          <w:sz w:val="31"/>
          <w:szCs w:val="31"/>
          <w:b w:val="1"/>
          <w:bCs w:val="1"/>
          <w:i w:val="1"/>
          <w:iCs w:val="1"/>
          <w:color w:val="00467D"/>
          <w:vertAlign w:val="subscript"/>
        </w:rPr>
      </w:pPr>
    </w:p>
    <w:p>
      <w:pPr>
        <w:ind w:left="430" w:hanging="430"/>
        <w:spacing w:after="0" w:line="184" w:lineRule="auto"/>
        <w:tabs>
          <w:tab w:leader="none" w:pos="430" w:val="left"/>
        </w:tabs>
        <w:numPr>
          <w:ilvl w:val="0"/>
          <w:numId w:val="22"/>
        </w:numPr>
        <w:rPr>
          <w:rFonts w:ascii="Times New Roman" w:cs="Times New Roman" w:eastAsia="Times New Roman" w:hAnsi="Times New Roman"/>
          <w:sz w:val="39"/>
          <w:szCs w:val="39"/>
          <w:b w:val="1"/>
          <w:bCs w:val="1"/>
          <w:i w:val="1"/>
          <w:iCs w:val="1"/>
          <w:color w:val="00467D"/>
          <w:vertAlign w:val="subscript"/>
        </w:rPr>
      </w:pPr>
      <w:r>
        <w:rPr>
          <w:rFonts w:ascii="Arial" w:cs="Arial" w:eastAsia="Arial" w:hAnsi="Arial"/>
          <w:sz w:val="15"/>
          <w:szCs w:val="15"/>
          <w:color w:val="auto"/>
        </w:rPr>
        <w:t>No hedging or pledging of Company stock</w:t>
      </w:r>
    </w:p>
    <w:p>
      <w:pPr>
        <w:spacing w:after="0" w:line="239" w:lineRule="exact"/>
        <w:rPr>
          <w:rFonts w:ascii="Times New Roman" w:cs="Times New Roman" w:eastAsia="Times New Roman" w:hAnsi="Times New Roman"/>
          <w:sz w:val="39"/>
          <w:szCs w:val="39"/>
          <w:b w:val="1"/>
          <w:bCs w:val="1"/>
          <w:i w:val="1"/>
          <w:iCs w:val="1"/>
          <w:color w:val="00467D"/>
          <w:vertAlign w:val="subscript"/>
        </w:rPr>
      </w:pPr>
    </w:p>
    <w:p>
      <w:pPr>
        <w:ind w:left="430" w:right="240" w:hanging="430"/>
        <w:spacing w:after="0" w:line="182" w:lineRule="auto"/>
        <w:tabs>
          <w:tab w:leader="none" w:pos="430" w:val="left"/>
        </w:tabs>
        <w:numPr>
          <w:ilvl w:val="0"/>
          <w:numId w:val="22"/>
        </w:numPr>
        <w:rPr>
          <w:rFonts w:ascii="Times New Roman" w:cs="Times New Roman" w:eastAsia="Times New Roman" w:hAnsi="Times New Roman"/>
          <w:sz w:val="34"/>
          <w:szCs w:val="34"/>
          <w:b w:val="1"/>
          <w:bCs w:val="1"/>
          <w:i w:val="1"/>
          <w:iCs w:val="1"/>
          <w:color w:val="00467D"/>
          <w:vertAlign w:val="subscript"/>
        </w:rPr>
      </w:pPr>
      <w:r>
        <w:rPr>
          <w:rFonts w:ascii="Arial" w:cs="Arial" w:eastAsia="Arial" w:hAnsi="Arial"/>
          <w:sz w:val="14"/>
          <w:szCs w:val="14"/>
          <w:color w:val="auto"/>
        </w:rPr>
        <w:t>No tax gross-ups (other than customary reimbursement of relocation expenses)</w:t>
      </w:r>
    </w:p>
    <w:p>
      <w:pPr>
        <w:ind w:left="430" w:hanging="430"/>
        <w:spacing w:after="0" w:line="182" w:lineRule="auto"/>
        <w:tabs>
          <w:tab w:leader="none" w:pos="430" w:val="left"/>
        </w:tabs>
        <w:numPr>
          <w:ilvl w:val="0"/>
          <w:numId w:val="22"/>
        </w:numPr>
        <w:rPr>
          <w:rFonts w:ascii="Times New Roman" w:cs="Times New Roman" w:eastAsia="Times New Roman" w:hAnsi="Times New Roman"/>
          <w:sz w:val="31"/>
          <w:szCs w:val="31"/>
          <w:b w:val="1"/>
          <w:bCs w:val="1"/>
          <w:i w:val="1"/>
          <w:iCs w:val="1"/>
          <w:color w:val="00467D"/>
          <w:vertAlign w:val="subscript"/>
        </w:rPr>
      </w:pPr>
      <w:r>
        <w:rPr>
          <w:rFonts w:ascii="Arial" w:cs="Arial" w:eastAsia="Arial" w:hAnsi="Arial"/>
          <w:sz w:val="14"/>
          <w:szCs w:val="14"/>
          <w:color w:val="auto"/>
        </w:rPr>
        <w:t>No repricing of stock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-3444240</wp:posOffset>
            </wp:positionH>
            <wp:positionV relativeFrom="paragraph">
              <wp:posOffset>162560</wp:posOffset>
            </wp:positionV>
            <wp:extent cx="668782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687820" cy="8255"/>
                    </a:xfrm>
                    <a:prstGeom prst="rect">
                      <a:avLst/>
                    </a:prstGeom>
                    <a:noFill/>
                  </pic:spPr>
                </pic:pic>
              </a:graphicData>
            </a:graphic>
          </wp:anchor>
        </w:drawing>
        <w:drawing>
          <wp:anchor simplePos="0" relativeHeight="251657728" behindDoc="1" locked="0" layoutInCell="0" allowOverlap="1">
            <wp:simplePos x="0" y="0"/>
            <wp:positionH relativeFrom="column">
              <wp:posOffset>-3444240</wp:posOffset>
            </wp:positionH>
            <wp:positionV relativeFrom="paragraph">
              <wp:posOffset>-1639570</wp:posOffset>
            </wp:positionV>
            <wp:extent cx="668782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687820" cy="8255"/>
                    </a:xfrm>
                    <a:prstGeom prst="rect">
                      <a:avLst/>
                    </a:prstGeom>
                    <a:noFill/>
                  </pic:spPr>
                </pic:pic>
              </a:graphicData>
            </a:graphic>
          </wp:anchor>
        </w:drawing>
      </w:r>
    </w:p>
    <w:p>
      <w:pPr>
        <w:spacing w:after="0" w:line="421" w:lineRule="exact"/>
        <w:rPr>
          <w:sz w:val="20"/>
          <w:szCs w:val="20"/>
          <w:color w:val="auto"/>
        </w:rPr>
      </w:pPr>
    </w:p>
    <w:p>
      <w:pPr>
        <w:sectPr>
          <w:pgSz w:w="11900" w:h="16838" w:orient="portrait"/>
          <w:cols w:equalWidth="0" w:num="3">
            <w:col w:w="860" w:space="220"/>
            <w:col w:w="4340" w:space="370"/>
            <w:col w:w="5070"/>
          </w:cols>
          <w:pgMar w:left="320" w:top="468" w:right="719" w:bottom="1440" w:gutter="0" w:footer="0" w:header="0"/>
          <w:type w:val="continuous"/>
        </w:sectPr>
      </w:pPr>
    </w:p>
    <w:p>
      <w:pPr>
        <w:spacing w:after="0" w:line="128" w:lineRule="exact"/>
        <w:rPr>
          <w:sz w:val="20"/>
          <w:szCs w:val="20"/>
          <w:color w:val="auto"/>
        </w:rPr>
      </w:pPr>
    </w:p>
    <w:p>
      <w:pPr>
        <w:ind w:left="360"/>
        <w:spacing w:after="0"/>
        <w:rPr>
          <w:sz w:val="20"/>
          <w:szCs w:val="20"/>
          <w:color w:val="auto"/>
        </w:rPr>
      </w:pPr>
      <w:r>
        <w:rPr>
          <w:rFonts w:ascii="Arial" w:cs="Arial" w:eastAsia="Arial" w:hAnsi="Arial"/>
          <w:sz w:val="28"/>
          <w:szCs w:val="28"/>
          <w:color w:val="auto"/>
        </w:rPr>
        <w:t>First Compensation Principle: Paying for Performance</w:t>
      </w:r>
    </w:p>
    <w:p>
      <w:pPr>
        <w:spacing w:after="0" w:line="220" w:lineRule="exact"/>
        <w:rPr>
          <w:sz w:val="20"/>
          <w:szCs w:val="20"/>
          <w:color w:val="auto"/>
        </w:rPr>
      </w:pPr>
    </w:p>
    <w:p>
      <w:pPr>
        <w:ind w:left="360" w:right="60"/>
        <w:spacing w:after="0" w:line="242" w:lineRule="auto"/>
        <w:rPr>
          <w:sz w:val="20"/>
          <w:szCs w:val="20"/>
          <w:color w:val="auto"/>
        </w:rPr>
      </w:pPr>
      <w:r>
        <w:rPr>
          <w:rFonts w:ascii="Arial" w:cs="Arial" w:eastAsia="Arial" w:hAnsi="Arial"/>
          <w:sz w:val="17"/>
          <w:szCs w:val="17"/>
          <w:color w:val="auto"/>
        </w:rPr>
        <w:t>Executive compensation, including merit increases and annual incentive payouts, is determined primarily by Company performance and individual performance. An individual’s annual performance can positively or negatively impact that individual’s merit base pay increase. For example, our highest performing employees can expect differentiated rewards, contributing to engagement and retention, and those who miss expectations and performance goals can expect reduced or no merit increases. Earned values under our AIP are directly tied to Company-wide, business unit success. Demonstrating the link between pay and performance, although our consolidated 2022 results were strong, we fell short of our target, which resulted in an AIP payout at 88% of target for overall Company performance. Equity incentive compensation further aligns NEOs’ compensation with long-term Company performance. Stock options are valuable only to the extent the stock price increases from the grant date, and the value of RSUs and restricted stock is by definition driven by the performance of our stock.</w:t>
      </w:r>
    </w:p>
    <w:p>
      <w:pPr>
        <w:spacing w:after="0" w:line="265" w:lineRule="exact"/>
        <w:rPr>
          <w:sz w:val="20"/>
          <w:szCs w:val="20"/>
          <w:color w:val="auto"/>
        </w:rPr>
      </w:pPr>
    </w:p>
    <w:p>
      <w:pPr>
        <w:ind w:left="360" w:right="840"/>
        <w:spacing w:after="0" w:line="271" w:lineRule="auto"/>
        <w:rPr>
          <w:sz w:val="20"/>
          <w:szCs w:val="20"/>
          <w:color w:val="auto"/>
        </w:rPr>
      </w:pPr>
      <w:r>
        <w:rPr>
          <w:rFonts w:ascii="Arial" w:cs="Arial" w:eastAsia="Arial" w:hAnsi="Arial"/>
          <w:sz w:val="28"/>
          <w:szCs w:val="28"/>
          <w:color w:val="auto"/>
        </w:rPr>
        <w:t>Second Compensation Principle: Driving Achievement of Short- and Long-Term Business Performance Goals</w:t>
      </w:r>
    </w:p>
    <w:p>
      <w:pPr>
        <w:spacing w:after="0" w:line="138" w:lineRule="exact"/>
        <w:rPr>
          <w:sz w:val="20"/>
          <w:szCs w:val="20"/>
          <w:color w:val="auto"/>
        </w:rPr>
      </w:pPr>
    </w:p>
    <w:p>
      <w:pPr>
        <w:ind w:left="360" w:right="260"/>
        <w:spacing w:after="0" w:line="250" w:lineRule="auto"/>
        <w:rPr>
          <w:sz w:val="20"/>
          <w:szCs w:val="20"/>
          <w:color w:val="auto"/>
        </w:rPr>
      </w:pPr>
      <w:r>
        <w:rPr>
          <w:rFonts w:ascii="Arial" w:cs="Arial" w:eastAsia="Arial" w:hAnsi="Arial"/>
          <w:sz w:val="17"/>
          <w:szCs w:val="17"/>
          <w:color w:val="auto"/>
        </w:rPr>
        <w:t>We believe it is important to reward achievement of annual and long-term business goals and we structure our performance-based compensation accordingly. We maintain an Annual Incentive Plan, pursuant to which the LD&amp;C Committee sets performance targets to motivate NEOs to achieve our short-term financial and operational objectives, ensuring accountability for progress towards longer-term strategic goals. Under our AIP, NEOs receive annual cash incentive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231775</wp:posOffset>
            </wp:positionH>
            <wp:positionV relativeFrom="paragraph">
              <wp:posOffset>92075</wp:posOffset>
            </wp:positionV>
            <wp:extent cx="6687820" cy="1651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687820" cy="16510"/>
                    </a:xfrm>
                    <a:prstGeom prst="rect">
                      <a:avLst/>
                    </a:prstGeom>
                    <a:noFill/>
                  </pic:spPr>
                </pic:pic>
              </a:graphicData>
            </a:graphic>
          </wp:anchor>
        </w:drawing>
      </w:r>
    </w:p>
    <w:p>
      <w:pPr>
        <w:spacing w:after="0" w:line="301" w:lineRule="exact"/>
        <w:rPr>
          <w:sz w:val="20"/>
          <w:szCs w:val="20"/>
          <w:color w:val="auto"/>
        </w:rPr>
      </w:pPr>
    </w:p>
    <w:tbl>
      <w:tblPr>
        <w:tblLayout w:type="fixed"/>
        <w:tblInd w:w="360" w:type="dxa"/>
        <w:tblCellMar>
          <w:top w:w="0" w:type="dxa"/>
          <w:left w:w="0" w:type="dxa"/>
          <w:bottom w:w="0" w:type="dxa"/>
          <w:right w:w="0" w:type="dxa"/>
        </w:tblCellMar>
      </w:tblPr>
      <w:tr>
        <w:trPr>
          <w:trHeight w:val="226"/>
        </w:trPr>
        <w:tc>
          <w:tcPr>
            <w:tcW w:w="3900" w:type="dxa"/>
            <w:vAlign w:val="bottom"/>
          </w:tcPr>
          <w:p>
            <w:pPr>
              <w:spacing w:after="0"/>
              <w:rPr>
                <w:sz w:val="20"/>
                <w:szCs w:val="20"/>
                <w:color w:val="auto"/>
              </w:rPr>
            </w:pPr>
            <w:r>
              <w:rPr>
                <w:rFonts w:ascii="Arial" w:cs="Arial" w:eastAsia="Arial" w:hAnsi="Arial"/>
                <w:sz w:val="17"/>
                <w:szCs w:val="17"/>
                <w:color w:val="auto"/>
              </w:rPr>
              <w:t>2023 Notice and Proxy Statement</w:t>
            </w:r>
          </w:p>
        </w:tc>
        <w:tc>
          <w:tcPr>
            <w:tcW w:w="1520" w:type="dxa"/>
            <w:vAlign w:val="bottom"/>
          </w:tcPr>
          <w:p>
            <w:pPr>
              <w:jc w:val="right"/>
              <w:spacing w:after="0"/>
              <w:rPr>
                <w:sz w:val="20"/>
                <w:szCs w:val="20"/>
                <w:color w:val="auto"/>
              </w:rPr>
            </w:pPr>
            <w:r>
              <w:rPr>
                <w:rFonts w:ascii="Arial" w:cs="Arial" w:eastAsia="Arial" w:hAnsi="Arial"/>
                <w:sz w:val="17"/>
                <w:szCs w:val="17"/>
                <w:color w:val="auto"/>
              </w:rPr>
              <w:t>30</w:t>
            </w:r>
          </w:p>
        </w:tc>
      </w:tr>
    </w:tbl>
    <w:p>
      <w:pPr>
        <w:sectPr>
          <w:pgSz w:w="11900" w:h="16838" w:orient="portrait"/>
          <w:cols w:equalWidth="0" w:num="1">
            <w:col w:w="10860"/>
          </w:cols>
          <w:pgMar w:left="320" w:top="468" w:right="719" w:bottom="1440" w:gutter="0" w:footer="0" w:header="0"/>
          <w:type w:val="continuous"/>
        </w:sectPr>
      </w:pPr>
    </w:p>
    <w:bookmarkStart w:id="39" w:name="page40"/>
    <w:bookmarkEnd w:id="3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5397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79945" cy="53975"/>
                    </a:xfrm>
                    <a:prstGeom prst="rect">
                      <a:avLst/>
                    </a:prstGeom>
                    <a:noFill/>
                  </pic:spPr>
                </pic:pic>
              </a:graphicData>
            </a:graphic>
          </wp:anchor>
        </w:drawing>
        <w:t>Table of Contents</w:t>
      </w:r>
    </w:p>
    <w:p>
      <w:pPr>
        <w:spacing w:after="0" w:line="296"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Compensation Discussion and Analysis</w:t>
      </w:r>
    </w:p>
    <w:p>
      <w:pPr>
        <w:spacing w:after="0" w:line="21" w:lineRule="exact"/>
        <w:rPr>
          <w:sz w:val="20"/>
          <w:szCs w:val="20"/>
          <w:color w:val="auto"/>
        </w:rPr>
      </w:pPr>
    </w:p>
    <w:p>
      <w:pPr>
        <w:ind w:left="8260"/>
        <w:spacing w:after="0"/>
        <w:rPr>
          <w:sz w:val="20"/>
          <w:szCs w:val="20"/>
          <w:color w:val="auto"/>
        </w:rPr>
      </w:pPr>
      <w:r>
        <w:rPr>
          <w:rFonts w:ascii="Arial" w:cs="Arial" w:eastAsia="Arial" w:hAnsi="Arial"/>
          <w:sz w:val="13"/>
          <w:szCs w:val="13"/>
          <w:b w:val="1"/>
          <w:bCs w:val="1"/>
          <w:color w:val="auto"/>
        </w:rPr>
        <w:t>Compensation Philosophy and Program</w:t>
      </w:r>
    </w:p>
    <w:p>
      <w:pPr>
        <w:spacing w:after="0" w:line="126" w:lineRule="exact"/>
        <w:rPr>
          <w:sz w:val="20"/>
          <w:szCs w:val="20"/>
          <w:color w:val="auto"/>
        </w:rPr>
      </w:pPr>
    </w:p>
    <w:p>
      <w:pPr>
        <w:ind w:left="360" w:right="80"/>
        <w:spacing w:after="0" w:line="250" w:lineRule="auto"/>
        <w:rPr>
          <w:sz w:val="20"/>
          <w:szCs w:val="20"/>
          <w:color w:val="auto"/>
        </w:rPr>
      </w:pPr>
      <w:r>
        <w:rPr>
          <w:rFonts w:ascii="Arial" w:cs="Arial" w:eastAsia="Arial" w:hAnsi="Arial"/>
          <w:sz w:val="17"/>
          <w:szCs w:val="17"/>
          <w:color w:val="auto"/>
        </w:rPr>
        <w:t>opportunities tied to the achievement of both target annual EBITDA performance metrics set for the Company (and, in Mr. Rutz’s case, for the Sterigenics business and the Company) and individual performance factors, which include individual performance against Company values, which are foundational to our Company’s culture, including our ESG initiatives. See “Annual Incentive Plan (AIP)” on page 35 for additional detail about our annual performance assessment process.</w:t>
      </w:r>
    </w:p>
    <w:p>
      <w:pPr>
        <w:spacing w:after="0" w:line="166" w:lineRule="exact"/>
        <w:rPr>
          <w:sz w:val="20"/>
          <w:szCs w:val="20"/>
          <w:color w:val="auto"/>
        </w:rPr>
      </w:pPr>
    </w:p>
    <w:p>
      <w:pPr>
        <w:ind w:left="360" w:right="40"/>
        <w:spacing w:after="0" w:line="241" w:lineRule="auto"/>
        <w:rPr>
          <w:sz w:val="20"/>
          <w:szCs w:val="20"/>
          <w:color w:val="auto"/>
        </w:rPr>
      </w:pPr>
      <w:r>
        <w:rPr>
          <w:rFonts w:ascii="Arial" w:cs="Arial" w:eastAsia="Arial" w:hAnsi="Arial"/>
          <w:sz w:val="17"/>
          <w:szCs w:val="17"/>
          <w:color w:val="auto"/>
        </w:rPr>
        <w:t>While we believe incentivizing the achievement of annual business goals is critical, we strive to reward an appropriate balance of annual and long-term financial and strategic business results. Our pay mix is designed to deliver over 50% percent of NEOs’ target total compensation in the form of equity awards linked to the value of our stock. We use equity awards to incentivize and reward long-term value creation and align our executives’ interests with those of our shareholders. In connection with our IPO in November 2020, the NEOs with the Company at that time (Messrs. Petras, Rutz, Klaben and Leffler) received long-term equity incentive awards consisting of stock option awards and time-based RSUs, which vest over a four-year term beginning on the first anniversary of the grant date (the “IPO Equity Awards”). No additional long-term equity awards were granted in 2021 to recipients of the IPO Equity Awards. In 2022, we commenced an annual equity award cycle and each NEO employed by us in March 2022 received a long-term equity incentive award comprising stock option awards and time-based RSUs. Our policies and practices regarding stock option and RSU grants, including the timing of grants and the determination of the exercise price, are further described beginning on page 43.</w:t>
      </w:r>
    </w:p>
    <w:p>
      <w:pPr>
        <w:spacing w:after="0" w:line="270" w:lineRule="exact"/>
        <w:rPr>
          <w:sz w:val="20"/>
          <w:szCs w:val="20"/>
          <w:color w:val="auto"/>
        </w:rPr>
      </w:pPr>
    </w:p>
    <w:p>
      <w:pPr>
        <w:ind w:left="360"/>
        <w:spacing w:after="0"/>
        <w:rPr>
          <w:sz w:val="20"/>
          <w:szCs w:val="20"/>
          <w:color w:val="auto"/>
        </w:rPr>
      </w:pPr>
      <w:r>
        <w:rPr>
          <w:rFonts w:ascii="Arial" w:cs="Arial" w:eastAsia="Arial" w:hAnsi="Arial"/>
          <w:sz w:val="28"/>
          <w:szCs w:val="28"/>
          <w:color w:val="auto"/>
        </w:rPr>
        <w:t>Third Compensation Principle: Paying Competitively to Attract and Retain Top Talent</w:t>
      </w:r>
    </w:p>
    <w:p>
      <w:pPr>
        <w:spacing w:after="0" w:line="220" w:lineRule="exact"/>
        <w:rPr>
          <w:sz w:val="20"/>
          <w:szCs w:val="20"/>
          <w:color w:val="auto"/>
        </w:rPr>
      </w:pPr>
    </w:p>
    <w:p>
      <w:pPr>
        <w:ind w:left="360" w:right="160"/>
        <w:spacing w:after="0" w:line="243" w:lineRule="auto"/>
        <w:rPr>
          <w:sz w:val="20"/>
          <w:szCs w:val="20"/>
          <w:color w:val="auto"/>
        </w:rPr>
      </w:pPr>
      <w:r>
        <w:rPr>
          <w:rFonts w:ascii="Arial" w:cs="Arial" w:eastAsia="Arial" w:hAnsi="Arial"/>
          <w:sz w:val="17"/>
          <w:szCs w:val="17"/>
          <w:color w:val="auto"/>
        </w:rPr>
        <w:t>Our compensation program is designed to attract, retain and motivate high-performing executives critical to the Company’s short- and long-term success. As described in more detail below, we seek to ensure the overall level of total compensation for our executive officers is reasonable in relation to, and competitive with, the compensation paid by similarly situated peer leaders in our industry, subject to variation for individual factors such as experience, performance, duties, scope of responsibility, prior contributions and future potential contributions to our business. With the assistance of our independent compensation consultant, the LD&amp;C Committee monitors market trends, including the prevalence of compensation delivery mechanisms, and adjusts the design and operation of our executive compensation program periodically as the LD&amp;C Committee deems appropriate, including to achieve our executive retention objectives.</w:t>
      </w:r>
    </w:p>
    <w:p>
      <w:pPr>
        <w:spacing w:after="0" w:line="270" w:lineRule="exact"/>
        <w:rPr>
          <w:sz w:val="20"/>
          <w:szCs w:val="20"/>
          <w:color w:val="auto"/>
        </w:rPr>
      </w:pPr>
    </w:p>
    <w:p>
      <w:pPr>
        <w:ind w:left="360"/>
        <w:spacing w:after="0"/>
        <w:rPr>
          <w:sz w:val="20"/>
          <w:szCs w:val="20"/>
          <w:color w:val="auto"/>
        </w:rPr>
      </w:pPr>
      <w:r>
        <w:rPr>
          <w:rFonts w:ascii="Arial" w:cs="Arial" w:eastAsia="Arial" w:hAnsi="Arial"/>
          <w:sz w:val="31"/>
          <w:szCs w:val="31"/>
          <w:color w:val="00B0DB"/>
        </w:rPr>
        <w:t>Compensation-Setting Process</w:t>
      </w:r>
    </w:p>
    <w:p>
      <w:pPr>
        <w:spacing w:after="0" w:line="208" w:lineRule="exact"/>
        <w:rPr>
          <w:sz w:val="20"/>
          <w:szCs w:val="20"/>
          <w:color w:val="auto"/>
        </w:rPr>
      </w:pPr>
    </w:p>
    <w:p>
      <w:pPr>
        <w:ind w:left="360"/>
        <w:spacing w:after="0"/>
        <w:rPr>
          <w:sz w:val="20"/>
          <w:szCs w:val="20"/>
          <w:color w:val="auto"/>
        </w:rPr>
      </w:pPr>
      <w:r>
        <w:rPr>
          <w:rFonts w:ascii="Arial" w:cs="Arial" w:eastAsia="Arial" w:hAnsi="Arial"/>
          <w:sz w:val="28"/>
          <w:szCs w:val="28"/>
          <w:color w:val="auto"/>
        </w:rPr>
        <w:t>The Role of the LD&amp;C Committee</w:t>
      </w:r>
    </w:p>
    <w:p>
      <w:pPr>
        <w:spacing w:after="0" w:line="220" w:lineRule="exact"/>
        <w:rPr>
          <w:sz w:val="20"/>
          <w:szCs w:val="20"/>
          <w:color w:val="auto"/>
        </w:rPr>
      </w:pPr>
    </w:p>
    <w:p>
      <w:pPr>
        <w:ind w:left="360" w:right="180"/>
        <w:spacing w:after="0" w:line="250" w:lineRule="auto"/>
        <w:rPr>
          <w:sz w:val="20"/>
          <w:szCs w:val="20"/>
          <w:color w:val="auto"/>
        </w:rPr>
      </w:pPr>
      <w:r>
        <w:rPr>
          <w:rFonts w:ascii="Arial" w:cs="Arial" w:eastAsia="Arial" w:hAnsi="Arial"/>
          <w:sz w:val="17"/>
          <w:szCs w:val="17"/>
          <w:color w:val="auto"/>
        </w:rPr>
        <w:t>The LD&amp;C Committee establishes our compensation philosophy and annually reviews and approves our executive compensation program. The Committee reviews and approves each NEO’s base salary, target and earned annual cash incentive awards and recommends to the full Board for approval the type and target value of each NEO’s long-term equity incentive award. The Board (without the CEO’s participation) also reviews and approves each element of our CEO’s compensation.</w:t>
      </w:r>
    </w:p>
    <w:p>
      <w:pPr>
        <w:spacing w:after="0" w:line="141" w:lineRule="exact"/>
        <w:rPr>
          <w:sz w:val="20"/>
          <w:szCs w:val="20"/>
          <w:color w:val="auto"/>
        </w:rPr>
      </w:pPr>
    </w:p>
    <w:p>
      <w:pPr>
        <w:ind w:left="360" w:right="40"/>
        <w:spacing w:after="0" w:line="243" w:lineRule="auto"/>
        <w:rPr>
          <w:sz w:val="20"/>
          <w:szCs w:val="20"/>
          <w:color w:val="auto"/>
        </w:rPr>
      </w:pPr>
      <w:r>
        <w:rPr>
          <w:rFonts w:ascii="Arial" w:cs="Arial" w:eastAsia="Arial" w:hAnsi="Arial"/>
          <w:sz w:val="17"/>
          <w:szCs w:val="17"/>
          <w:color w:val="auto"/>
        </w:rPr>
        <w:t>The LD&amp;C Committee is authorized to retain independent advisors to assist the LD&amp;C Committee in carrying out its responsibilities and, in 2021 and 2022, the Committee retained Exequity, LLP (“Exequity”) to review and provide input on our executive compensation program. At least annually, the Committee reviews with Exequity the executive compensation program, including incentive compensation plans and arrangements, to: (i) ensure the elements of our compensation program are based on appropriate measures, goals and targets for our industry and our business objectives; (ii) ensure our program is achieving its intended purpose of incentivizing achievement of short- and long-term business goals, as well as attracting and retaining executive talent; and (iii) determine whether any changes to our compensation program are advisable.</w:t>
      </w:r>
    </w:p>
    <w:p>
      <w:pPr>
        <w:spacing w:after="0" w:line="266" w:lineRule="exact"/>
        <w:rPr>
          <w:sz w:val="20"/>
          <w:szCs w:val="20"/>
          <w:color w:val="auto"/>
        </w:rPr>
      </w:pPr>
    </w:p>
    <w:p>
      <w:pPr>
        <w:ind w:left="360"/>
        <w:spacing w:after="0"/>
        <w:rPr>
          <w:sz w:val="20"/>
          <w:szCs w:val="20"/>
          <w:color w:val="auto"/>
        </w:rPr>
      </w:pPr>
      <w:r>
        <w:rPr>
          <w:rFonts w:ascii="Arial" w:cs="Arial" w:eastAsia="Arial" w:hAnsi="Arial"/>
          <w:sz w:val="28"/>
          <w:szCs w:val="28"/>
          <w:color w:val="auto"/>
        </w:rPr>
        <w:t>The Role of our CEO and Management</w:t>
      </w:r>
    </w:p>
    <w:p>
      <w:pPr>
        <w:spacing w:after="0" w:line="220" w:lineRule="exact"/>
        <w:rPr>
          <w:sz w:val="20"/>
          <w:szCs w:val="20"/>
          <w:color w:val="auto"/>
        </w:rPr>
      </w:pPr>
    </w:p>
    <w:p>
      <w:pPr>
        <w:ind w:left="360" w:right="680"/>
        <w:spacing w:after="0" w:line="274" w:lineRule="auto"/>
        <w:rPr>
          <w:sz w:val="20"/>
          <w:szCs w:val="20"/>
          <w:color w:val="auto"/>
        </w:rPr>
      </w:pPr>
      <w:r>
        <w:rPr>
          <w:rFonts w:ascii="Arial" w:cs="Arial" w:eastAsia="Arial" w:hAnsi="Arial"/>
          <w:sz w:val="17"/>
          <w:szCs w:val="17"/>
          <w:color w:val="auto"/>
        </w:rPr>
        <w:t>The LD&amp;C Committee works with members of management, including our CEO and Chief Human Resources Officer (“CHRO”), to determine the compensation of our NEOs and other executives. Management further works with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231775</wp:posOffset>
            </wp:positionH>
            <wp:positionV relativeFrom="paragraph">
              <wp:posOffset>79375</wp:posOffset>
            </wp:positionV>
            <wp:extent cx="6687820" cy="1651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687820" cy="16510"/>
                    </a:xfrm>
                    <a:prstGeom prst="rect">
                      <a:avLst/>
                    </a:prstGeom>
                    <a:noFill/>
                  </pic:spPr>
                </pic:pic>
              </a:graphicData>
            </a:graphic>
          </wp:anchor>
        </w:drawing>
      </w:r>
    </w:p>
    <w:p>
      <w:pPr>
        <w:spacing w:after="0" w:line="282"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6443980</wp:posOffset>
            </wp:positionH>
            <wp:positionV relativeFrom="paragraph">
              <wp:posOffset>-113030</wp:posOffset>
            </wp:positionV>
            <wp:extent cx="475615" cy="15557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475615" cy="155575"/>
                    </a:xfrm>
                    <a:prstGeom prst="rect">
                      <a:avLst/>
                    </a:prstGeom>
                    <a:noFill/>
                  </pic:spPr>
                </pic:pic>
              </a:graphicData>
            </a:graphic>
          </wp:anchor>
        </w:drawing>
      </w:r>
    </w:p>
    <w:p>
      <w:pPr>
        <w:sectPr>
          <w:pgSz w:w="11900" w:h="16838" w:orient="portrait"/>
          <w:cols w:equalWidth="0" w:num="1">
            <w:col w:w="10900"/>
          </w:cols>
          <w:pgMar w:left="320" w:top="468" w:right="67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5397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79945" cy="53975"/>
                    </a:xfrm>
                    <a:prstGeom prst="rect">
                      <a:avLst/>
                    </a:prstGeom>
                    <a:noFill/>
                  </pic:spPr>
                </pic:pic>
              </a:graphicData>
            </a:graphic>
          </wp:anchor>
        </w:drawing>
        <w:t>Table of Contents</w:t>
      </w:r>
    </w:p>
    <w:p>
      <w:pPr>
        <w:spacing w:after="0" w:line="296"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auto"/>
        </w:rPr>
        <w:t>Compensation Discussion and Analysis</w:t>
      </w:r>
    </w:p>
    <w:p>
      <w:pPr>
        <w:spacing w:after="0" w:line="21" w:lineRule="exact"/>
        <w:rPr>
          <w:sz w:val="20"/>
          <w:szCs w:val="20"/>
          <w:color w:val="auto"/>
        </w:rPr>
      </w:pPr>
    </w:p>
    <w:p>
      <w:pPr>
        <w:ind w:left="360"/>
        <w:spacing w:after="0"/>
        <w:rPr>
          <w:sz w:val="20"/>
          <w:szCs w:val="20"/>
          <w:color w:val="auto"/>
        </w:rPr>
      </w:pPr>
      <w:r>
        <w:rPr>
          <w:rFonts w:ascii="Arial" w:cs="Arial" w:eastAsia="Arial" w:hAnsi="Arial"/>
          <w:sz w:val="14"/>
          <w:szCs w:val="14"/>
          <w:b w:val="1"/>
          <w:bCs w:val="1"/>
          <w:color w:val="auto"/>
        </w:rPr>
        <w:t>Compensation-Setting Process</w:t>
      </w:r>
    </w:p>
    <w:p>
      <w:pPr>
        <w:spacing w:after="0" w:line="114" w:lineRule="exact"/>
        <w:rPr>
          <w:sz w:val="20"/>
          <w:szCs w:val="20"/>
          <w:color w:val="auto"/>
        </w:rPr>
      </w:pPr>
    </w:p>
    <w:p>
      <w:pPr>
        <w:ind w:left="360" w:right="60"/>
        <w:spacing w:after="0" w:line="274" w:lineRule="auto"/>
        <w:rPr>
          <w:sz w:val="20"/>
          <w:szCs w:val="20"/>
          <w:color w:val="auto"/>
        </w:rPr>
      </w:pPr>
      <w:r>
        <w:rPr>
          <w:rFonts w:ascii="Arial" w:cs="Arial" w:eastAsia="Arial" w:hAnsi="Arial"/>
          <w:sz w:val="17"/>
          <w:szCs w:val="17"/>
          <w:color w:val="auto"/>
        </w:rPr>
        <w:t>Committee annually to recommend the structure of our AIP, to develop AIP performance metrics, including threshold, target and maximum performance levels, and to evaluate actual Company performance against selected measures.</w:t>
      </w:r>
    </w:p>
    <w:p>
      <w:pPr>
        <w:spacing w:after="0" w:line="122" w:lineRule="exact"/>
        <w:rPr>
          <w:sz w:val="20"/>
          <w:szCs w:val="20"/>
          <w:color w:val="auto"/>
        </w:rPr>
      </w:pPr>
    </w:p>
    <w:p>
      <w:pPr>
        <w:ind w:left="360" w:right="40"/>
        <w:spacing w:after="0" w:line="241" w:lineRule="auto"/>
        <w:rPr>
          <w:sz w:val="20"/>
          <w:szCs w:val="20"/>
          <w:color w:val="auto"/>
        </w:rPr>
      </w:pPr>
      <w:r>
        <w:rPr>
          <w:rFonts w:ascii="Arial" w:cs="Arial" w:eastAsia="Arial" w:hAnsi="Arial"/>
          <w:sz w:val="17"/>
          <w:szCs w:val="17"/>
          <w:color w:val="auto"/>
        </w:rPr>
        <w:t>Additionally, the CEO makes recommendations to the Committee regarding the compensation of our NEOs (other than himself) and other executives. At the beginning of each year, our CEO reviews our NEOs’ and other executives’ prior year’s performance and makes recommendations to the LD&amp;C Committee for each element of such executives’ compensation (other than his own), including any salary adjustments, adjustments to AIP target as a percentage of salary for the current year, actual AIP payout for the previous year, and target grant date value of long-term equity awards. The CEO’s compensation recommendations are based on his performance evaluation of each executive, the Company’s performance in the preceding year, and data provided by the LD&amp;C Committee’s compensation consultant concerning compensation practices among the Company’s compensation peer group. The LD&amp;C Committee considers the CEO’s recommendations when making executive compensation decisions, but the LD&amp;C Committee (and the Board, with respect to equity awards and CEO compensation) retains full discretion to set all compensation for our NEOs. For further discussion of the annual performance management process, see “Compensation Elements for 2022 — Annual Incentive Plan (AIP)”.</w:t>
      </w:r>
    </w:p>
    <w:p>
      <w:pPr>
        <w:spacing w:after="0" w:line="270" w:lineRule="exact"/>
        <w:rPr>
          <w:sz w:val="20"/>
          <w:szCs w:val="20"/>
          <w:color w:val="auto"/>
        </w:rPr>
      </w:pPr>
    </w:p>
    <w:p>
      <w:pPr>
        <w:ind w:left="360"/>
        <w:spacing w:after="0"/>
        <w:rPr>
          <w:sz w:val="20"/>
          <w:szCs w:val="20"/>
          <w:color w:val="auto"/>
        </w:rPr>
      </w:pPr>
      <w:r>
        <w:rPr>
          <w:rFonts w:ascii="Arial" w:cs="Arial" w:eastAsia="Arial" w:hAnsi="Arial"/>
          <w:sz w:val="28"/>
          <w:szCs w:val="28"/>
          <w:color w:val="auto"/>
        </w:rPr>
        <w:t>The Role of the Compensation Consultant</w:t>
      </w:r>
    </w:p>
    <w:p>
      <w:pPr>
        <w:spacing w:after="0" w:line="220" w:lineRule="exact"/>
        <w:rPr>
          <w:sz w:val="20"/>
          <w:szCs w:val="20"/>
          <w:color w:val="auto"/>
        </w:rPr>
      </w:pPr>
    </w:p>
    <w:p>
      <w:pPr>
        <w:ind w:left="360" w:right="80"/>
        <w:spacing w:after="0" w:line="243" w:lineRule="auto"/>
        <w:rPr>
          <w:sz w:val="20"/>
          <w:szCs w:val="20"/>
          <w:color w:val="auto"/>
        </w:rPr>
      </w:pPr>
      <w:r>
        <w:rPr>
          <w:rFonts w:ascii="Arial" w:cs="Arial" w:eastAsia="Arial" w:hAnsi="Arial"/>
          <w:sz w:val="17"/>
          <w:szCs w:val="17"/>
          <w:color w:val="auto"/>
        </w:rPr>
        <w:t>The LD&amp;C Committee has engaged Exequity as its independent compensation consultant. Although Exequity periodically meets with the CEO and CHRO to gather information and provide advice about management proposals to the Committee, Exequity reports directly to the LD&amp;C Committee and not to management. Pursuant to its charter, the LD&amp;C Committee makes all determinations regarding the terms of the Company’s engagement with Exequity, including the services Exequity provides to the Company and the fees paid for those services. The Committee retains the prerogative to replace its compensation consultant or hire additional advisors at any time. At the invitation of the LD&amp;C Committee, representatives of Exequity attend meetings of the LD&amp;C Committee. The Committee also communicates with Exequity outside of meetings as needed.</w:t>
      </w:r>
    </w:p>
    <w:p>
      <w:pPr>
        <w:spacing w:after="0" w:line="13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The nature and scope of services provided by Exequity in 2021 and 2022 for 2022 compensation included the following:</w:t>
      </w:r>
    </w:p>
    <w:p>
      <w:pPr>
        <w:spacing w:after="0" w:line="114" w:lineRule="exact"/>
        <w:rPr>
          <w:sz w:val="20"/>
          <w:szCs w:val="20"/>
          <w:color w:val="auto"/>
        </w:rPr>
      </w:pPr>
    </w:p>
    <w:p>
      <w:pPr>
        <w:ind w:left="780" w:hanging="422"/>
        <w:spacing w:after="0"/>
        <w:tabs>
          <w:tab w:leader="none" w:pos="780" w:val="left"/>
        </w:tabs>
        <w:numPr>
          <w:ilvl w:val="0"/>
          <w:numId w:val="23"/>
        </w:numPr>
        <w:rPr>
          <w:rFonts w:ascii="Arial" w:cs="Arial" w:eastAsia="Arial" w:hAnsi="Arial"/>
          <w:sz w:val="17"/>
          <w:szCs w:val="17"/>
          <w:color w:val="00467D"/>
        </w:rPr>
      </w:pPr>
      <w:r>
        <w:rPr>
          <w:rFonts w:ascii="Arial" w:cs="Arial" w:eastAsia="Arial" w:hAnsi="Arial"/>
          <w:sz w:val="17"/>
          <w:szCs w:val="17"/>
          <w:color w:val="auto"/>
        </w:rPr>
        <w:t>Advice and assistance developing a relevant compensation peer group;</w:t>
      </w:r>
    </w:p>
    <w:p>
      <w:pPr>
        <w:spacing w:after="0" w:line="114" w:lineRule="exact"/>
        <w:rPr>
          <w:rFonts w:ascii="Arial" w:cs="Arial" w:eastAsia="Arial" w:hAnsi="Arial"/>
          <w:sz w:val="17"/>
          <w:szCs w:val="17"/>
          <w:color w:val="00467D"/>
        </w:rPr>
      </w:pPr>
    </w:p>
    <w:p>
      <w:pPr>
        <w:ind w:left="780" w:right="360" w:hanging="422"/>
        <w:spacing w:after="0" w:line="274" w:lineRule="auto"/>
        <w:tabs>
          <w:tab w:leader="none" w:pos="780" w:val="left"/>
        </w:tabs>
        <w:numPr>
          <w:ilvl w:val="0"/>
          <w:numId w:val="23"/>
        </w:numPr>
        <w:rPr>
          <w:rFonts w:ascii="Arial" w:cs="Arial" w:eastAsia="Arial" w:hAnsi="Arial"/>
          <w:sz w:val="17"/>
          <w:szCs w:val="17"/>
          <w:color w:val="00467D"/>
        </w:rPr>
      </w:pPr>
      <w:r>
        <w:rPr>
          <w:rFonts w:ascii="Arial" w:cs="Arial" w:eastAsia="Arial" w:hAnsi="Arial"/>
          <w:sz w:val="17"/>
          <w:szCs w:val="17"/>
          <w:color w:val="auto"/>
        </w:rPr>
        <w:t>Advice and assistance regarding compensation best practices and market trends for executives and directors, including new hire executive compensation packages and retention incentive programs;</w:t>
      </w:r>
    </w:p>
    <w:p>
      <w:pPr>
        <w:spacing w:after="0" w:line="57" w:lineRule="exact"/>
        <w:rPr>
          <w:rFonts w:ascii="Arial" w:cs="Arial" w:eastAsia="Arial" w:hAnsi="Arial"/>
          <w:sz w:val="17"/>
          <w:szCs w:val="17"/>
          <w:color w:val="00467D"/>
        </w:rPr>
      </w:pPr>
    </w:p>
    <w:p>
      <w:pPr>
        <w:ind w:left="780" w:right="660" w:hanging="422"/>
        <w:spacing w:after="0" w:line="274" w:lineRule="auto"/>
        <w:tabs>
          <w:tab w:leader="none" w:pos="780" w:val="left"/>
        </w:tabs>
        <w:numPr>
          <w:ilvl w:val="0"/>
          <w:numId w:val="23"/>
        </w:numPr>
        <w:rPr>
          <w:rFonts w:ascii="Arial" w:cs="Arial" w:eastAsia="Arial" w:hAnsi="Arial"/>
          <w:sz w:val="17"/>
          <w:szCs w:val="17"/>
          <w:color w:val="00467D"/>
        </w:rPr>
      </w:pPr>
      <w:r>
        <w:rPr>
          <w:rFonts w:ascii="Arial" w:cs="Arial" w:eastAsia="Arial" w:hAnsi="Arial"/>
          <w:sz w:val="17"/>
          <w:szCs w:val="17"/>
          <w:color w:val="auto"/>
        </w:rPr>
        <w:t>Analysis of appropriate levels and design of total overall compensation and each element of compensation for our NEOs and directors;</w:t>
      </w:r>
    </w:p>
    <w:p>
      <w:pPr>
        <w:spacing w:after="0" w:line="57" w:lineRule="exact"/>
        <w:rPr>
          <w:rFonts w:ascii="Arial" w:cs="Arial" w:eastAsia="Arial" w:hAnsi="Arial"/>
          <w:sz w:val="17"/>
          <w:szCs w:val="17"/>
          <w:color w:val="00467D"/>
        </w:rPr>
      </w:pPr>
    </w:p>
    <w:p>
      <w:pPr>
        <w:ind w:left="780" w:right="520" w:hanging="422"/>
        <w:spacing w:after="0" w:line="274" w:lineRule="auto"/>
        <w:tabs>
          <w:tab w:leader="none" w:pos="780" w:val="left"/>
        </w:tabs>
        <w:numPr>
          <w:ilvl w:val="0"/>
          <w:numId w:val="23"/>
        </w:numPr>
        <w:rPr>
          <w:rFonts w:ascii="Arial" w:cs="Arial" w:eastAsia="Arial" w:hAnsi="Arial"/>
          <w:sz w:val="17"/>
          <w:szCs w:val="17"/>
          <w:color w:val="00467D"/>
        </w:rPr>
      </w:pPr>
      <w:r>
        <w:rPr>
          <w:rFonts w:ascii="Arial" w:cs="Arial" w:eastAsia="Arial" w:hAnsi="Arial"/>
          <w:sz w:val="17"/>
          <w:szCs w:val="17"/>
          <w:color w:val="auto"/>
        </w:rPr>
        <w:t>Consultation on technical matters such as the taxation of executive pay arrangements, as well as assistance with disclosure of executive pay arrangements;</w:t>
      </w:r>
    </w:p>
    <w:p>
      <w:pPr>
        <w:spacing w:after="0" w:line="57" w:lineRule="exact"/>
        <w:rPr>
          <w:rFonts w:ascii="Arial" w:cs="Arial" w:eastAsia="Arial" w:hAnsi="Arial"/>
          <w:sz w:val="17"/>
          <w:szCs w:val="17"/>
          <w:color w:val="00467D"/>
        </w:rPr>
      </w:pPr>
    </w:p>
    <w:p>
      <w:pPr>
        <w:ind w:left="780" w:hanging="422"/>
        <w:spacing w:after="0"/>
        <w:tabs>
          <w:tab w:leader="none" w:pos="780" w:val="left"/>
        </w:tabs>
        <w:numPr>
          <w:ilvl w:val="0"/>
          <w:numId w:val="23"/>
        </w:numPr>
        <w:rPr>
          <w:rFonts w:ascii="Arial" w:cs="Arial" w:eastAsia="Arial" w:hAnsi="Arial"/>
          <w:sz w:val="17"/>
          <w:szCs w:val="17"/>
          <w:color w:val="00467D"/>
        </w:rPr>
      </w:pPr>
      <w:r>
        <w:rPr>
          <w:rFonts w:ascii="Arial" w:cs="Arial" w:eastAsia="Arial" w:hAnsi="Arial"/>
          <w:sz w:val="17"/>
          <w:szCs w:val="17"/>
          <w:color w:val="auto"/>
        </w:rPr>
        <w:t>Annual assessment of potential risks associated with compensation programs; and</w:t>
      </w:r>
    </w:p>
    <w:p>
      <w:pPr>
        <w:spacing w:after="0" w:line="114" w:lineRule="exact"/>
        <w:rPr>
          <w:rFonts w:ascii="Arial" w:cs="Arial" w:eastAsia="Arial" w:hAnsi="Arial"/>
          <w:sz w:val="17"/>
          <w:szCs w:val="17"/>
          <w:color w:val="00467D"/>
        </w:rPr>
      </w:pPr>
    </w:p>
    <w:p>
      <w:pPr>
        <w:ind w:left="780" w:hanging="422"/>
        <w:spacing w:after="0"/>
        <w:tabs>
          <w:tab w:leader="none" w:pos="780" w:val="left"/>
        </w:tabs>
        <w:numPr>
          <w:ilvl w:val="0"/>
          <w:numId w:val="23"/>
        </w:numPr>
        <w:rPr>
          <w:rFonts w:ascii="Arial" w:cs="Arial" w:eastAsia="Arial" w:hAnsi="Arial"/>
          <w:sz w:val="17"/>
          <w:szCs w:val="17"/>
          <w:color w:val="00467D"/>
        </w:rPr>
      </w:pPr>
      <w:r>
        <w:rPr>
          <w:rFonts w:ascii="Arial" w:cs="Arial" w:eastAsia="Arial" w:hAnsi="Arial"/>
          <w:sz w:val="17"/>
          <w:szCs w:val="17"/>
          <w:color w:val="auto"/>
        </w:rPr>
        <w:t>Advice and assistance developing various Company policies or programs.</w:t>
      </w:r>
    </w:p>
    <w:p>
      <w:pPr>
        <w:spacing w:after="0" w:line="295" w:lineRule="exact"/>
        <w:rPr>
          <w:sz w:val="20"/>
          <w:szCs w:val="20"/>
          <w:color w:val="auto"/>
        </w:rPr>
      </w:pPr>
    </w:p>
    <w:p>
      <w:pPr>
        <w:ind w:left="360"/>
        <w:spacing w:after="0"/>
        <w:rPr>
          <w:sz w:val="20"/>
          <w:szCs w:val="20"/>
          <w:color w:val="auto"/>
        </w:rPr>
      </w:pPr>
      <w:r>
        <w:rPr>
          <w:rFonts w:ascii="Arial" w:cs="Arial" w:eastAsia="Arial" w:hAnsi="Arial"/>
          <w:sz w:val="28"/>
          <w:szCs w:val="28"/>
          <w:color w:val="auto"/>
        </w:rPr>
        <w:t>Competitive Positioning</w:t>
      </w:r>
    </w:p>
    <w:p>
      <w:pPr>
        <w:spacing w:after="0" w:line="220" w:lineRule="exact"/>
        <w:rPr>
          <w:sz w:val="20"/>
          <w:szCs w:val="20"/>
          <w:color w:val="auto"/>
        </w:rPr>
      </w:pPr>
    </w:p>
    <w:p>
      <w:pPr>
        <w:ind w:left="360" w:right="40"/>
        <w:spacing w:after="0" w:line="246" w:lineRule="auto"/>
        <w:rPr>
          <w:sz w:val="20"/>
          <w:szCs w:val="20"/>
          <w:color w:val="auto"/>
        </w:rPr>
      </w:pPr>
      <w:r>
        <w:rPr>
          <w:rFonts w:ascii="Arial" w:cs="Arial" w:eastAsia="Arial" w:hAnsi="Arial"/>
          <w:sz w:val="17"/>
          <w:szCs w:val="17"/>
          <w:color w:val="auto"/>
        </w:rPr>
        <w:t>Consistent with our goal of providing competitive compensation to attract and retain executives, the LD&amp;C Committee reviews market data on executive compensation levels and practices drawn from a group of peer companies similar to the Company in industry focus, revenue and market capitalization. While the Committee does not specifically target any particular percentile for any element of an NEO’s compensation, it does consider as a reference point the market median for each element of an NEO’s compensation. The compensation peer group used in 2021 and 2022 for 2022 compensation decisions consisted of the following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231775</wp:posOffset>
            </wp:positionH>
            <wp:positionV relativeFrom="paragraph">
              <wp:posOffset>120650</wp:posOffset>
            </wp:positionV>
            <wp:extent cx="668782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687820" cy="8255"/>
                    </a:xfrm>
                    <a:prstGeom prst="rect">
                      <a:avLst/>
                    </a:prstGeom>
                    <a:noFill/>
                  </pic:spPr>
                </pic:pic>
              </a:graphicData>
            </a:graphic>
          </wp:anchor>
        </w:drawing>
      </w:r>
    </w:p>
    <w:p>
      <w:pPr>
        <w:spacing w:after="0" w:line="208" w:lineRule="exact"/>
        <w:rPr>
          <w:sz w:val="20"/>
          <w:szCs w:val="20"/>
          <w:color w:val="auto"/>
        </w:rPr>
      </w:pPr>
    </w:p>
    <w:tbl>
      <w:tblPr>
        <w:tblLayout w:type="fixed"/>
        <w:tblInd w:w="360" w:type="dxa"/>
        <w:tblCellMar>
          <w:top w:w="0" w:type="dxa"/>
          <w:left w:w="0" w:type="dxa"/>
          <w:bottom w:w="0" w:type="dxa"/>
          <w:right w:w="0" w:type="dxa"/>
        </w:tblCellMar>
      </w:tblPr>
      <w:tr>
        <w:trPr>
          <w:trHeight w:val="161"/>
        </w:trPr>
        <w:tc>
          <w:tcPr>
            <w:tcW w:w="3260" w:type="dxa"/>
            <w:vAlign w:val="bottom"/>
          </w:tcPr>
          <w:p>
            <w:pPr>
              <w:spacing w:after="0"/>
              <w:rPr>
                <w:sz w:val="20"/>
                <w:szCs w:val="20"/>
                <w:color w:val="auto"/>
              </w:rPr>
            </w:pPr>
            <w:r>
              <w:rPr>
                <w:rFonts w:ascii="Arial" w:cs="Arial" w:eastAsia="Arial" w:hAnsi="Arial"/>
                <w:sz w:val="14"/>
                <w:szCs w:val="14"/>
                <w:color w:val="auto"/>
              </w:rPr>
              <w:t>Hologic, Inc.</w:t>
            </w:r>
          </w:p>
        </w:tc>
        <w:tc>
          <w:tcPr>
            <w:tcW w:w="3620" w:type="dxa"/>
            <w:vAlign w:val="bottom"/>
          </w:tcPr>
          <w:p>
            <w:pPr>
              <w:ind w:left="540"/>
              <w:spacing w:after="0"/>
              <w:rPr>
                <w:sz w:val="20"/>
                <w:szCs w:val="20"/>
                <w:color w:val="auto"/>
              </w:rPr>
            </w:pPr>
            <w:r>
              <w:rPr>
                <w:rFonts w:ascii="Arial" w:cs="Arial" w:eastAsia="Arial" w:hAnsi="Arial"/>
                <w:sz w:val="14"/>
                <w:szCs w:val="14"/>
                <w:color w:val="auto"/>
              </w:rPr>
              <w:t>Waters Corporation</w:t>
            </w:r>
          </w:p>
        </w:tc>
        <w:tc>
          <w:tcPr>
            <w:tcW w:w="3660" w:type="dxa"/>
            <w:vAlign w:val="bottom"/>
          </w:tcPr>
          <w:p>
            <w:pPr>
              <w:ind w:left="500"/>
              <w:spacing w:after="0"/>
              <w:rPr>
                <w:sz w:val="20"/>
                <w:szCs w:val="20"/>
                <w:color w:val="auto"/>
              </w:rPr>
            </w:pPr>
            <w:r>
              <w:rPr>
                <w:rFonts w:ascii="Arial" w:cs="Arial" w:eastAsia="Arial" w:hAnsi="Arial"/>
                <w:sz w:val="14"/>
                <w:szCs w:val="14"/>
                <w:color w:val="auto"/>
              </w:rPr>
              <w:t>Medpace Holdings, Inc.</w:t>
            </w:r>
          </w:p>
        </w:tc>
      </w:tr>
      <w:tr>
        <w:trPr>
          <w:trHeight w:val="155"/>
        </w:trPr>
        <w:tc>
          <w:tcPr>
            <w:tcW w:w="3260" w:type="dxa"/>
            <w:vAlign w:val="bottom"/>
          </w:tcPr>
          <w:p>
            <w:pPr>
              <w:spacing w:after="0" w:line="155" w:lineRule="exact"/>
              <w:rPr>
                <w:sz w:val="20"/>
                <w:szCs w:val="20"/>
                <w:color w:val="auto"/>
              </w:rPr>
            </w:pPr>
            <w:r>
              <w:rPr>
                <w:rFonts w:ascii="Arial" w:cs="Arial" w:eastAsia="Arial" w:hAnsi="Arial"/>
                <w:sz w:val="14"/>
                <w:szCs w:val="14"/>
                <w:color w:val="auto"/>
              </w:rPr>
              <w:t>Catalent, Inc.</w:t>
            </w:r>
          </w:p>
        </w:tc>
        <w:tc>
          <w:tcPr>
            <w:tcW w:w="3620" w:type="dxa"/>
            <w:vAlign w:val="bottom"/>
          </w:tcPr>
          <w:p>
            <w:pPr>
              <w:ind w:left="540"/>
              <w:spacing w:after="0" w:line="155" w:lineRule="exact"/>
              <w:rPr>
                <w:sz w:val="20"/>
                <w:szCs w:val="20"/>
                <w:color w:val="auto"/>
              </w:rPr>
            </w:pPr>
            <w:r>
              <w:rPr>
                <w:rFonts w:ascii="Arial" w:cs="Arial" w:eastAsia="Arial" w:hAnsi="Arial"/>
                <w:sz w:val="14"/>
                <w:szCs w:val="14"/>
                <w:color w:val="auto"/>
              </w:rPr>
              <w:t>West Pharmaceutical Services, Inc.</w:t>
            </w:r>
          </w:p>
        </w:tc>
        <w:tc>
          <w:tcPr>
            <w:tcW w:w="3660" w:type="dxa"/>
            <w:vAlign w:val="bottom"/>
          </w:tcPr>
          <w:p>
            <w:pPr>
              <w:ind w:left="500"/>
              <w:spacing w:after="0" w:line="155" w:lineRule="exact"/>
              <w:rPr>
                <w:sz w:val="20"/>
                <w:szCs w:val="20"/>
                <w:color w:val="auto"/>
              </w:rPr>
            </w:pPr>
            <w:r>
              <w:rPr>
                <w:rFonts w:ascii="Arial" w:cs="Arial" w:eastAsia="Arial" w:hAnsi="Arial"/>
                <w:sz w:val="14"/>
                <w:szCs w:val="14"/>
                <w:color w:val="auto"/>
              </w:rPr>
              <w:t>CONMED Corporation</w:t>
            </w:r>
          </w:p>
        </w:tc>
      </w:tr>
      <w:tr>
        <w:trPr>
          <w:trHeight w:val="155"/>
        </w:trPr>
        <w:tc>
          <w:tcPr>
            <w:tcW w:w="3260" w:type="dxa"/>
            <w:vAlign w:val="bottom"/>
          </w:tcPr>
          <w:p>
            <w:pPr>
              <w:spacing w:after="0" w:line="155" w:lineRule="exact"/>
              <w:rPr>
                <w:sz w:val="20"/>
                <w:szCs w:val="20"/>
                <w:color w:val="auto"/>
              </w:rPr>
            </w:pPr>
            <w:r>
              <w:rPr>
                <w:rFonts w:ascii="Arial" w:cs="Arial" w:eastAsia="Arial" w:hAnsi="Arial"/>
                <w:sz w:val="14"/>
                <w:szCs w:val="14"/>
                <w:color w:val="auto"/>
              </w:rPr>
              <w:t>STERIS plc</w:t>
            </w:r>
          </w:p>
        </w:tc>
        <w:tc>
          <w:tcPr>
            <w:tcW w:w="3620" w:type="dxa"/>
            <w:vAlign w:val="bottom"/>
          </w:tcPr>
          <w:p>
            <w:pPr>
              <w:ind w:left="540"/>
              <w:spacing w:after="0" w:line="155" w:lineRule="exact"/>
              <w:rPr>
                <w:sz w:val="20"/>
                <w:szCs w:val="20"/>
                <w:color w:val="auto"/>
              </w:rPr>
            </w:pPr>
            <w:r>
              <w:rPr>
                <w:rFonts w:ascii="Arial" w:cs="Arial" w:eastAsia="Arial" w:hAnsi="Arial"/>
                <w:sz w:val="14"/>
                <w:szCs w:val="14"/>
                <w:color w:val="auto"/>
              </w:rPr>
              <w:t>Quidel Corporation</w:t>
            </w:r>
          </w:p>
        </w:tc>
        <w:tc>
          <w:tcPr>
            <w:tcW w:w="3660" w:type="dxa"/>
            <w:vAlign w:val="bottom"/>
          </w:tcPr>
          <w:p>
            <w:pPr>
              <w:ind w:left="500"/>
              <w:spacing w:after="0" w:line="155" w:lineRule="exact"/>
              <w:rPr>
                <w:sz w:val="20"/>
                <w:szCs w:val="20"/>
                <w:color w:val="auto"/>
              </w:rPr>
            </w:pPr>
            <w:r>
              <w:rPr>
                <w:rFonts w:ascii="Arial" w:cs="Arial" w:eastAsia="Arial" w:hAnsi="Arial"/>
                <w:sz w:val="14"/>
                <w:szCs w:val="14"/>
                <w:color w:val="auto"/>
              </w:rPr>
              <w:t>Abiomed, Inc.</w:t>
            </w:r>
          </w:p>
        </w:tc>
      </w:tr>
      <w:tr>
        <w:trPr>
          <w:trHeight w:val="155"/>
        </w:trPr>
        <w:tc>
          <w:tcPr>
            <w:tcW w:w="3260" w:type="dxa"/>
            <w:vAlign w:val="bottom"/>
          </w:tcPr>
          <w:p>
            <w:pPr>
              <w:spacing w:after="0" w:line="155" w:lineRule="exact"/>
              <w:rPr>
                <w:sz w:val="20"/>
                <w:szCs w:val="20"/>
                <w:color w:val="auto"/>
              </w:rPr>
            </w:pPr>
            <w:r>
              <w:rPr>
                <w:rFonts w:ascii="Arial" w:cs="Arial" w:eastAsia="Arial" w:hAnsi="Arial"/>
                <w:sz w:val="14"/>
                <w:szCs w:val="14"/>
                <w:color w:val="auto"/>
              </w:rPr>
              <w:t>Charles River Laboratories International, Inc.</w:t>
            </w:r>
          </w:p>
        </w:tc>
        <w:tc>
          <w:tcPr>
            <w:tcW w:w="3620" w:type="dxa"/>
            <w:vAlign w:val="bottom"/>
          </w:tcPr>
          <w:p>
            <w:pPr>
              <w:ind w:left="540"/>
              <w:spacing w:after="0" w:line="155" w:lineRule="exact"/>
              <w:rPr>
                <w:sz w:val="20"/>
                <w:szCs w:val="20"/>
                <w:color w:val="auto"/>
              </w:rPr>
            </w:pPr>
            <w:r>
              <w:rPr>
                <w:rFonts w:ascii="Arial" w:cs="Arial" w:eastAsia="Arial" w:hAnsi="Arial"/>
                <w:sz w:val="14"/>
                <w:szCs w:val="14"/>
                <w:color w:val="auto"/>
              </w:rPr>
              <w:t>Avanos Medical, Inc.</w:t>
            </w:r>
          </w:p>
        </w:tc>
        <w:tc>
          <w:tcPr>
            <w:tcW w:w="3660" w:type="dxa"/>
            <w:vAlign w:val="bottom"/>
          </w:tcPr>
          <w:p>
            <w:pPr>
              <w:ind w:left="500"/>
              <w:spacing w:after="0" w:line="155" w:lineRule="exact"/>
              <w:rPr>
                <w:sz w:val="20"/>
                <w:szCs w:val="20"/>
                <w:color w:val="auto"/>
              </w:rPr>
            </w:pPr>
            <w:r>
              <w:rPr>
                <w:rFonts w:ascii="Arial" w:cs="Arial" w:eastAsia="Arial" w:hAnsi="Arial"/>
                <w:sz w:val="14"/>
                <w:szCs w:val="14"/>
                <w:color w:val="auto"/>
              </w:rPr>
              <w:t>Bio-Techne Corporation</w:t>
            </w:r>
          </w:p>
        </w:tc>
      </w:tr>
      <w:tr>
        <w:trPr>
          <w:trHeight w:val="155"/>
        </w:trPr>
        <w:tc>
          <w:tcPr>
            <w:tcW w:w="3260" w:type="dxa"/>
            <w:vAlign w:val="bottom"/>
          </w:tcPr>
          <w:p>
            <w:pPr>
              <w:spacing w:after="0" w:line="155" w:lineRule="exact"/>
              <w:rPr>
                <w:sz w:val="20"/>
                <w:szCs w:val="20"/>
                <w:color w:val="auto"/>
              </w:rPr>
            </w:pPr>
            <w:r>
              <w:rPr>
                <w:rFonts w:ascii="Arial" w:cs="Arial" w:eastAsia="Arial" w:hAnsi="Arial"/>
                <w:sz w:val="14"/>
                <w:szCs w:val="14"/>
                <w:color w:val="auto"/>
              </w:rPr>
              <w:t>ResMed Inc.</w:t>
            </w:r>
          </w:p>
        </w:tc>
        <w:tc>
          <w:tcPr>
            <w:tcW w:w="3620" w:type="dxa"/>
            <w:vAlign w:val="bottom"/>
          </w:tcPr>
          <w:p>
            <w:pPr>
              <w:ind w:left="540"/>
              <w:spacing w:after="0" w:line="155" w:lineRule="exact"/>
              <w:rPr>
                <w:sz w:val="20"/>
                <w:szCs w:val="20"/>
                <w:color w:val="auto"/>
              </w:rPr>
            </w:pPr>
            <w:r>
              <w:rPr>
                <w:rFonts w:ascii="Arial" w:cs="Arial" w:eastAsia="Arial" w:hAnsi="Arial"/>
                <w:sz w:val="14"/>
                <w:szCs w:val="14"/>
                <w:color w:val="auto"/>
              </w:rPr>
              <w:t>Integra LifeSciences Holdings Corporation</w:t>
            </w:r>
          </w:p>
        </w:tc>
        <w:tc>
          <w:tcPr>
            <w:tcW w:w="3660" w:type="dxa"/>
            <w:vAlign w:val="bottom"/>
          </w:tcPr>
          <w:p>
            <w:pPr>
              <w:ind w:left="500"/>
              <w:spacing w:after="0" w:line="155" w:lineRule="exact"/>
              <w:rPr>
                <w:sz w:val="20"/>
                <w:szCs w:val="20"/>
                <w:color w:val="auto"/>
              </w:rPr>
            </w:pPr>
            <w:r>
              <w:rPr>
                <w:rFonts w:ascii="Arial" w:cs="Arial" w:eastAsia="Arial" w:hAnsi="Arial"/>
                <w:sz w:val="14"/>
                <w:szCs w:val="14"/>
                <w:color w:val="auto"/>
              </w:rPr>
              <w:t>Haemonetics Corporation</w:t>
            </w:r>
          </w:p>
        </w:tc>
      </w:tr>
      <w:tr>
        <w:trPr>
          <w:trHeight w:val="155"/>
        </w:trPr>
        <w:tc>
          <w:tcPr>
            <w:tcW w:w="3260" w:type="dxa"/>
            <w:vAlign w:val="bottom"/>
          </w:tcPr>
          <w:p>
            <w:pPr>
              <w:spacing w:after="0" w:line="155" w:lineRule="exact"/>
              <w:rPr>
                <w:sz w:val="20"/>
                <w:szCs w:val="20"/>
                <w:color w:val="auto"/>
              </w:rPr>
            </w:pPr>
            <w:r>
              <w:rPr>
                <w:rFonts w:ascii="Arial" w:cs="Arial" w:eastAsia="Arial" w:hAnsi="Arial"/>
                <w:sz w:val="14"/>
                <w:szCs w:val="14"/>
                <w:color w:val="auto"/>
              </w:rPr>
              <w:t>The Cooper Companies, Inc.</w:t>
            </w:r>
          </w:p>
        </w:tc>
        <w:tc>
          <w:tcPr>
            <w:tcW w:w="3620" w:type="dxa"/>
            <w:vAlign w:val="bottom"/>
          </w:tcPr>
          <w:p>
            <w:pPr>
              <w:ind w:left="540"/>
              <w:spacing w:after="0" w:line="155" w:lineRule="exact"/>
              <w:rPr>
                <w:sz w:val="20"/>
                <w:szCs w:val="20"/>
                <w:color w:val="auto"/>
              </w:rPr>
            </w:pPr>
            <w:r>
              <w:rPr>
                <w:rFonts w:ascii="Arial" w:cs="Arial" w:eastAsia="Arial" w:hAnsi="Arial"/>
                <w:sz w:val="14"/>
                <w:szCs w:val="14"/>
                <w:color w:val="auto"/>
              </w:rPr>
              <w:t>Masimo Corporation</w:t>
            </w:r>
          </w:p>
        </w:tc>
        <w:tc>
          <w:tcPr>
            <w:tcW w:w="3660" w:type="dxa"/>
            <w:vAlign w:val="bottom"/>
          </w:tcPr>
          <w:p>
            <w:pPr>
              <w:ind w:left="500"/>
              <w:spacing w:after="0" w:line="155" w:lineRule="exact"/>
              <w:rPr>
                <w:sz w:val="20"/>
                <w:szCs w:val="20"/>
                <w:color w:val="auto"/>
              </w:rPr>
            </w:pPr>
            <w:r>
              <w:rPr>
                <w:rFonts w:ascii="Arial" w:cs="Arial" w:eastAsia="Arial" w:hAnsi="Arial"/>
                <w:sz w:val="14"/>
                <w:szCs w:val="14"/>
                <w:color w:val="auto"/>
              </w:rPr>
              <w:t>Tandem Diabetes Care, Inc.</w:t>
            </w:r>
          </w:p>
        </w:tc>
      </w:tr>
      <w:tr>
        <w:trPr>
          <w:trHeight w:val="184"/>
        </w:trPr>
        <w:tc>
          <w:tcPr>
            <w:tcW w:w="3260" w:type="dxa"/>
            <w:vAlign w:val="bottom"/>
            <w:tcBorders>
              <w:bottom w:val="single" w:sz="8" w:color="00467D"/>
            </w:tcBorders>
          </w:tcPr>
          <w:p>
            <w:pPr>
              <w:spacing w:after="0"/>
              <w:rPr>
                <w:sz w:val="20"/>
                <w:szCs w:val="20"/>
                <w:color w:val="auto"/>
              </w:rPr>
            </w:pPr>
            <w:r>
              <w:rPr>
                <w:rFonts w:ascii="Arial" w:cs="Arial" w:eastAsia="Arial" w:hAnsi="Arial"/>
                <w:sz w:val="14"/>
                <w:szCs w:val="14"/>
                <w:color w:val="auto"/>
              </w:rPr>
              <w:t>Teleflex Incorporated</w:t>
            </w:r>
          </w:p>
        </w:tc>
        <w:tc>
          <w:tcPr>
            <w:tcW w:w="3620" w:type="dxa"/>
            <w:vAlign w:val="bottom"/>
            <w:tcBorders>
              <w:bottom w:val="single" w:sz="8" w:color="00467D"/>
            </w:tcBorders>
          </w:tcPr>
          <w:p>
            <w:pPr>
              <w:ind w:left="540"/>
              <w:spacing w:after="0"/>
              <w:rPr>
                <w:sz w:val="20"/>
                <w:szCs w:val="20"/>
                <w:color w:val="auto"/>
              </w:rPr>
            </w:pPr>
            <w:r>
              <w:rPr>
                <w:rFonts w:ascii="Arial" w:cs="Arial" w:eastAsia="Arial" w:hAnsi="Arial"/>
                <w:sz w:val="14"/>
                <w:szCs w:val="14"/>
                <w:color w:val="auto"/>
              </w:rPr>
              <w:t>Merit Medical Systems, Inc.</w:t>
            </w:r>
          </w:p>
        </w:tc>
        <w:tc>
          <w:tcPr>
            <w:tcW w:w="3660" w:type="dxa"/>
            <w:vAlign w:val="bottom"/>
            <w:tcBorders>
              <w:bottom w:val="single" w:sz="8" w:color="00467D"/>
            </w:tcBorders>
          </w:tcPr>
          <w:p>
            <w:pPr>
              <w:ind w:left="500"/>
              <w:spacing w:after="0"/>
              <w:rPr>
                <w:sz w:val="20"/>
                <w:szCs w:val="20"/>
                <w:color w:val="auto"/>
              </w:rPr>
            </w:pPr>
            <w:r>
              <w:rPr>
                <w:rFonts w:ascii="Arial" w:cs="Arial" w:eastAsia="Arial" w:hAnsi="Arial"/>
                <w:sz w:val="14"/>
                <w:szCs w:val="14"/>
                <w:color w:val="auto"/>
              </w:rPr>
              <w:t>Repligen Corporation</w:t>
            </w:r>
          </w:p>
        </w:tc>
      </w:tr>
      <w:tr>
        <w:trPr>
          <w:trHeight w:val="170"/>
        </w:trPr>
        <w:tc>
          <w:tcPr>
            <w:tcW w:w="3260" w:type="dxa"/>
            <w:vAlign w:val="bottom"/>
            <w:tcBorders>
              <w:bottom w:val="single" w:sz="8" w:color="00B0DB"/>
            </w:tcBorders>
          </w:tcPr>
          <w:p>
            <w:pPr>
              <w:spacing w:after="0"/>
              <w:rPr>
                <w:sz w:val="14"/>
                <w:szCs w:val="14"/>
                <w:color w:val="auto"/>
              </w:rPr>
            </w:pPr>
          </w:p>
        </w:tc>
        <w:tc>
          <w:tcPr>
            <w:tcW w:w="3620" w:type="dxa"/>
            <w:vAlign w:val="bottom"/>
            <w:tcBorders>
              <w:bottom w:val="single" w:sz="8" w:color="00B0DB"/>
            </w:tcBorders>
          </w:tcPr>
          <w:p>
            <w:pPr>
              <w:spacing w:after="0"/>
              <w:rPr>
                <w:sz w:val="14"/>
                <w:szCs w:val="14"/>
                <w:color w:val="auto"/>
              </w:rPr>
            </w:pPr>
          </w:p>
        </w:tc>
        <w:tc>
          <w:tcPr>
            <w:tcW w:w="3660" w:type="dxa"/>
            <w:vAlign w:val="bottom"/>
            <w:tcBorders>
              <w:bottom w:val="single" w:sz="8" w:color="00B0DB"/>
            </w:tcBorders>
          </w:tcPr>
          <w:p>
            <w:pPr>
              <w:spacing w:after="0"/>
              <w:rPr>
                <w:sz w:val="14"/>
                <w:szCs w:val="14"/>
                <w:color w:val="auto"/>
              </w:rPr>
            </w:pPr>
          </w:p>
        </w:tc>
      </w:tr>
    </w:tbl>
    <w:p>
      <w:pPr>
        <w:spacing w:after="0" w:line="164" w:lineRule="exact"/>
        <w:rPr>
          <w:sz w:val="20"/>
          <w:szCs w:val="20"/>
          <w:color w:val="auto"/>
        </w:rPr>
      </w:pPr>
    </w:p>
    <w:tbl>
      <w:tblPr>
        <w:tblLayout w:type="fixed"/>
        <w:tblInd w:w="360" w:type="dxa"/>
        <w:tblCellMar>
          <w:top w:w="0" w:type="dxa"/>
          <w:left w:w="0" w:type="dxa"/>
          <w:bottom w:w="0" w:type="dxa"/>
          <w:right w:w="0" w:type="dxa"/>
        </w:tblCellMar>
      </w:tblPr>
      <w:tr>
        <w:trPr>
          <w:trHeight w:val="226"/>
        </w:trPr>
        <w:tc>
          <w:tcPr>
            <w:tcW w:w="3900" w:type="dxa"/>
            <w:vAlign w:val="bottom"/>
          </w:tcPr>
          <w:p>
            <w:pPr>
              <w:spacing w:after="0"/>
              <w:rPr>
                <w:sz w:val="20"/>
                <w:szCs w:val="20"/>
                <w:color w:val="auto"/>
              </w:rPr>
            </w:pPr>
            <w:r>
              <w:rPr>
                <w:rFonts w:ascii="Arial" w:cs="Arial" w:eastAsia="Arial" w:hAnsi="Arial"/>
                <w:sz w:val="17"/>
                <w:szCs w:val="17"/>
                <w:color w:val="auto"/>
              </w:rPr>
              <w:t>2023 Notice and Proxy Statement</w:t>
            </w:r>
          </w:p>
        </w:tc>
        <w:tc>
          <w:tcPr>
            <w:tcW w:w="1520" w:type="dxa"/>
            <w:vAlign w:val="bottom"/>
          </w:tcPr>
          <w:p>
            <w:pPr>
              <w:jc w:val="right"/>
              <w:spacing w:after="0"/>
              <w:rPr>
                <w:sz w:val="20"/>
                <w:szCs w:val="20"/>
                <w:color w:val="auto"/>
              </w:rPr>
            </w:pPr>
            <w:r>
              <w:rPr>
                <w:rFonts w:ascii="Arial" w:cs="Arial" w:eastAsia="Arial" w:hAnsi="Arial"/>
                <w:sz w:val="17"/>
                <w:szCs w:val="17"/>
                <w:color w:val="auto"/>
              </w:rPr>
              <w:t>32</w:t>
            </w:r>
          </w:p>
        </w:tc>
      </w:tr>
    </w:tbl>
    <w:p>
      <w:pPr>
        <w:sectPr>
          <w:pgSz w:w="11900" w:h="16838" w:orient="portrait"/>
          <w:cols w:equalWidth="0" w:num="1">
            <w:col w:w="10900"/>
          </w:cols>
          <w:pgMar w:left="320" w:top="468" w:right="67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5397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79945" cy="53975"/>
                    </a:xfrm>
                    <a:prstGeom prst="rect">
                      <a:avLst/>
                    </a:prstGeom>
                    <a:noFill/>
                  </pic:spPr>
                </pic:pic>
              </a:graphicData>
            </a:graphic>
          </wp:anchor>
        </w:drawing>
        <w:t>Table of Contents</w:t>
      </w:r>
    </w:p>
    <w:p>
      <w:pPr>
        <w:spacing w:after="0" w:line="296"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Compensation Discussion and Analysis</w:t>
      </w:r>
    </w:p>
    <w:p>
      <w:pPr>
        <w:spacing w:after="0" w:line="21" w:lineRule="exact"/>
        <w:rPr>
          <w:sz w:val="20"/>
          <w:szCs w:val="20"/>
          <w:color w:val="auto"/>
        </w:rPr>
      </w:pPr>
    </w:p>
    <w:p>
      <w:pPr>
        <w:ind w:left="8840"/>
        <w:spacing w:after="0"/>
        <w:rPr>
          <w:sz w:val="20"/>
          <w:szCs w:val="20"/>
          <w:color w:val="auto"/>
        </w:rPr>
      </w:pPr>
      <w:r>
        <w:rPr>
          <w:rFonts w:ascii="Arial" w:cs="Arial" w:eastAsia="Arial" w:hAnsi="Arial"/>
          <w:sz w:val="13"/>
          <w:szCs w:val="13"/>
          <w:b w:val="1"/>
          <w:bCs w:val="1"/>
          <w:color w:val="auto"/>
        </w:rPr>
        <w:t>Compensation-Setting Process</w:t>
      </w:r>
    </w:p>
    <w:p>
      <w:pPr>
        <w:spacing w:after="0" w:line="126" w:lineRule="exact"/>
        <w:rPr>
          <w:sz w:val="20"/>
          <w:szCs w:val="20"/>
          <w:color w:val="auto"/>
        </w:rPr>
      </w:pPr>
    </w:p>
    <w:p>
      <w:pPr>
        <w:ind w:left="360" w:right="20"/>
        <w:spacing w:after="0" w:line="241" w:lineRule="auto"/>
        <w:rPr>
          <w:sz w:val="20"/>
          <w:szCs w:val="20"/>
          <w:color w:val="auto"/>
        </w:rPr>
      </w:pPr>
      <w:r>
        <w:rPr>
          <w:rFonts w:ascii="Arial" w:cs="Arial" w:eastAsia="Arial" w:hAnsi="Arial"/>
          <w:sz w:val="17"/>
          <w:szCs w:val="17"/>
          <w:color w:val="auto"/>
        </w:rPr>
        <w:t>The LD&amp;C Committee reassessed our 2021 compensation peer group for 2022 compensation decisions, based on a review by Exequity. The peer group was updated to account for the acquisitions of Cantel Medical and Hill-Rom, which companies were removed and replaced with Avanos Medical, Tandem Diabetes Care and Repligen. The peer group is comprised of companies identified as serving as competitors with the Company for executive talent, business competitors, and those companies referenced by such talent and business competitors in their own executive pay benchmarking processes. In identifying candidates for the peer group, in consultation with Exequity, the LD&amp;C Committee reviewed companies that generally operated within the following industry segments: Health Care Equipment, Life Sciences Tools and Services, Health Care Supplies, Biotechnology and Pharmaceuticals, and Health Care Technology. When assessing potential peers with the aforementioned characteristics, the LD&amp;C Committee further considered the relative sizes of those peer candidates in relation to the Company. The LD&amp;C Committee generally sought to include peer candidates with annual revenues of 0.5x – 4.0x the Company’s revenues and a total enterprise value of 0.2x – 3x the Company’s total enterprise value. The LD&amp;C Committee also reviewed peer candidates’ EBITDA relative to the Company’s as an indicator of each company’s scale and performance.</w:t>
      </w:r>
    </w:p>
    <w:p>
      <w:pPr>
        <w:spacing w:after="0" w:line="267" w:lineRule="exact"/>
        <w:rPr>
          <w:sz w:val="20"/>
          <w:szCs w:val="20"/>
          <w:color w:val="auto"/>
        </w:rPr>
      </w:pPr>
    </w:p>
    <w:p>
      <w:pPr>
        <w:ind w:left="360"/>
        <w:spacing w:after="0"/>
        <w:rPr>
          <w:sz w:val="20"/>
          <w:szCs w:val="20"/>
          <w:color w:val="auto"/>
        </w:rPr>
      </w:pPr>
      <w:r>
        <w:rPr>
          <w:rFonts w:ascii="Arial" w:cs="Arial" w:eastAsia="Arial" w:hAnsi="Arial"/>
          <w:sz w:val="28"/>
          <w:szCs w:val="28"/>
          <w:color w:val="auto"/>
        </w:rPr>
        <w:t>2022 Compensation Decisions</w:t>
      </w:r>
    </w:p>
    <w:p>
      <w:pPr>
        <w:spacing w:after="0" w:line="194" w:lineRule="exact"/>
        <w:rPr>
          <w:sz w:val="20"/>
          <w:szCs w:val="20"/>
          <w:color w:val="auto"/>
        </w:rPr>
      </w:pPr>
    </w:p>
    <w:p>
      <w:pPr>
        <w:ind w:left="360" w:right="40"/>
        <w:spacing w:after="0" w:line="241" w:lineRule="auto"/>
        <w:rPr>
          <w:sz w:val="20"/>
          <w:szCs w:val="20"/>
          <w:color w:val="auto"/>
        </w:rPr>
      </w:pPr>
      <w:r>
        <w:rPr>
          <w:rFonts w:ascii="Arial" w:cs="Arial" w:eastAsia="Arial" w:hAnsi="Arial"/>
          <w:sz w:val="17"/>
          <w:szCs w:val="17"/>
          <w:color w:val="auto"/>
        </w:rPr>
        <w:t>The LD&amp;C Committee reviewed with Exequity target total 2022 compensation levels for each NEO, our annual- and long-term incentive compensation programs and the types of compensation offered. The Committee also considered the CEO’s recommendations with respect to each NEO’s compensation (other than the CEO). In March 2022, each executive with the Company at the time (Messrs. Petras, Rutz, Klaben, Leffler and Hammons) received a base salary increase and an equity award in the form of stock options and RSUs. In February 2022, the LD&amp;C Committee reviewed and approved target annual performance metrics for the Company and its business units under our AIP, but otherwise made no changes to any NEOs’ target annual bonus as a percentage of base salary. Outside of our annual compensation review cycle, consistent with the change in his role from Deputy General Counsel to Interim SVP, General Counsel and Secretary, in September 2022, the Committee approved an increase in Mr. Klaben’s base salary from $303,000 to $440,000 and target annual bonus from 30% to 50%. After hiring Mr. Dimitrief effective November 1, Mr. Klaben’s salary and target annual bonus percentage were reset to $303,000 and 30%.</w:t>
      </w:r>
    </w:p>
    <w:p>
      <w:pPr>
        <w:spacing w:after="0" w:line="141" w:lineRule="exact"/>
        <w:rPr>
          <w:sz w:val="20"/>
          <w:szCs w:val="20"/>
          <w:color w:val="auto"/>
        </w:rPr>
      </w:pPr>
    </w:p>
    <w:p>
      <w:pPr>
        <w:ind w:left="360"/>
        <w:spacing w:after="0"/>
        <w:rPr>
          <w:sz w:val="20"/>
          <w:szCs w:val="20"/>
          <w:color w:val="auto"/>
        </w:rPr>
      </w:pPr>
      <w:r>
        <w:rPr>
          <w:rFonts w:ascii="Arial" w:cs="Arial" w:eastAsia="Arial" w:hAnsi="Arial"/>
          <w:sz w:val="17"/>
          <w:szCs w:val="17"/>
          <w:color w:val="auto"/>
        </w:rPr>
        <w:t>In connection with the CFO and General Counsel transitions, the LD&amp;C Committee recommended and the Board approved the hiring of</w:t>
      </w:r>
    </w:p>
    <w:p>
      <w:pPr>
        <w:spacing w:after="0" w:line="12" w:lineRule="exact"/>
        <w:rPr>
          <w:sz w:val="20"/>
          <w:szCs w:val="20"/>
          <w:color w:val="auto"/>
        </w:rPr>
      </w:pPr>
    </w:p>
    <w:p>
      <w:pPr>
        <w:ind w:left="360"/>
        <w:spacing w:after="0"/>
        <w:rPr>
          <w:sz w:val="20"/>
          <w:szCs w:val="20"/>
          <w:color w:val="auto"/>
        </w:rPr>
      </w:pPr>
      <w:r>
        <w:rPr>
          <w:rFonts w:ascii="Arial" w:cs="Arial" w:eastAsia="Arial" w:hAnsi="Arial"/>
          <w:sz w:val="17"/>
          <w:szCs w:val="17"/>
          <w:color w:val="auto"/>
        </w:rPr>
        <w:t>Messrs. Biehl and Dimitrief. Mr. Biehl joined the Company in July 2022 on an interim basis and receives a salary at a monthly rate of</w:t>
      </w:r>
    </w:p>
    <w:p>
      <w:pPr>
        <w:ind w:left="360"/>
        <w:spacing w:after="0" w:line="237" w:lineRule="auto"/>
        <w:rPr>
          <w:sz w:val="20"/>
          <w:szCs w:val="20"/>
          <w:color w:val="auto"/>
        </w:rPr>
      </w:pPr>
      <w:r>
        <w:rPr>
          <w:rFonts w:ascii="Arial" w:cs="Arial" w:eastAsia="Arial" w:hAnsi="Arial"/>
          <w:sz w:val="17"/>
          <w:szCs w:val="17"/>
          <w:color w:val="auto"/>
        </w:rPr>
        <w:t>$75,000. Due to the interim nature of his appointment, Mr. Biehl does not participate in our annual- or long-term incentive compensation</w:t>
      </w:r>
    </w:p>
    <w:p>
      <w:pPr>
        <w:ind w:left="360"/>
        <w:spacing w:after="0" w:line="238" w:lineRule="auto"/>
        <w:rPr>
          <w:sz w:val="20"/>
          <w:szCs w:val="20"/>
          <w:color w:val="auto"/>
        </w:rPr>
      </w:pPr>
      <w:r>
        <w:rPr>
          <w:rFonts w:ascii="Arial" w:cs="Arial" w:eastAsia="Arial" w:hAnsi="Arial"/>
          <w:sz w:val="17"/>
          <w:szCs w:val="17"/>
          <w:color w:val="auto"/>
        </w:rPr>
        <w:t>programs. Mr. Dimitrief joined the Company in November 2022. As described above, in “Executive Transitions”, to incent Mr. Dimitrief to</w:t>
      </w:r>
    </w:p>
    <w:p>
      <w:pPr>
        <w:ind w:left="360"/>
        <w:spacing w:after="0" w:line="238" w:lineRule="auto"/>
        <w:rPr>
          <w:sz w:val="20"/>
          <w:szCs w:val="20"/>
          <w:color w:val="auto"/>
        </w:rPr>
      </w:pPr>
      <w:r>
        <w:rPr>
          <w:rFonts w:ascii="Arial" w:cs="Arial" w:eastAsia="Arial" w:hAnsi="Arial"/>
          <w:sz w:val="17"/>
          <w:szCs w:val="17"/>
          <w:color w:val="auto"/>
        </w:rPr>
        <w:t>join the Company, he received a cash sign-on award of $1,500,000 and an equity award comprised of restricted stock and stock options,</w:t>
      </w:r>
    </w:p>
    <w:p>
      <w:pPr>
        <w:ind w:left="360"/>
        <w:spacing w:after="0" w:line="237" w:lineRule="auto"/>
        <w:rPr>
          <w:sz w:val="20"/>
          <w:szCs w:val="20"/>
          <w:color w:val="auto"/>
        </w:rPr>
      </w:pPr>
      <w:r>
        <w:rPr>
          <w:rFonts w:ascii="Arial" w:cs="Arial" w:eastAsia="Arial" w:hAnsi="Arial"/>
          <w:sz w:val="17"/>
          <w:szCs w:val="17"/>
          <w:color w:val="auto"/>
        </w:rPr>
        <w:t>each of which vest annually in two equal installments over two years, subject to Mr. Dimitrief’s continued employment in good standing</w:t>
      </w:r>
    </w:p>
    <w:p>
      <w:pPr>
        <w:ind w:left="360"/>
        <w:spacing w:after="0" w:line="238" w:lineRule="auto"/>
        <w:rPr>
          <w:sz w:val="20"/>
          <w:szCs w:val="20"/>
          <w:color w:val="auto"/>
        </w:rPr>
      </w:pPr>
      <w:r>
        <w:rPr>
          <w:rFonts w:ascii="Arial" w:cs="Arial" w:eastAsia="Arial" w:hAnsi="Arial"/>
          <w:sz w:val="17"/>
          <w:szCs w:val="17"/>
          <w:color w:val="auto"/>
        </w:rPr>
        <w:t>with the Company through each applicable vesting date. Pursuant to the terms of his offer letter, Mr. Dimitrief is entitled to an annual salary</w:t>
      </w:r>
    </w:p>
    <w:p>
      <w:pPr>
        <w:ind w:left="360"/>
        <w:spacing w:after="0" w:line="238" w:lineRule="auto"/>
        <w:rPr>
          <w:sz w:val="20"/>
          <w:szCs w:val="20"/>
          <w:color w:val="auto"/>
        </w:rPr>
      </w:pPr>
      <w:r>
        <w:rPr>
          <w:rFonts w:ascii="Arial" w:cs="Arial" w:eastAsia="Arial" w:hAnsi="Arial"/>
          <w:sz w:val="17"/>
          <w:szCs w:val="17"/>
          <w:color w:val="auto"/>
        </w:rPr>
        <w:t>of $600,000 and a target annual bonus of 50% of his base salary. The Committee determined the target direct value of Mr. Dimitrief’s</w:t>
      </w:r>
    </w:p>
    <w:p>
      <w:pPr>
        <w:ind w:left="360"/>
        <w:spacing w:after="0" w:line="237" w:lineRule="auto"/>
        <w:rPr>
          <w:sz w:val="20"/>
          <w:szCs w:val="20"/>
          <w:color w:val="auto"/>
        </w:rPr>
      </w:pPr>
      <w:r>
        <w:rPr>
          <w:rFonts w:ascii="Arial" w:cs="Arial" w:eastAsia="Arial" w:hAnsi="Arial"/>
          <w:sz w:val="17"/>
          <w:szCs w:val="17"/>
          <w:color w:val="auto"/>
        </w:rPr>
        <w:t>compensation package, including his cash and equity sign-on awards, was compelling to attract the talent needed given the challenges</w:t>
      </w:r>
    </w:p>
    <w:p>
      <w:pPr>
        <w:spacing w:after="0" w:line="1" w:lineRule="exact"/>
        <w:rPr>
          <w:sz w:val="20"/>
          <w:szCs w:val="20"/>
          <w:color w:val="auto"/>
        </w:rPr>
      </w:pPr>
    </w:p>
    <w:p>
      <w:pPr>
        <w:ind w:left="360"/>
        <w:spacing w:after="0"/>
        <w:rPr>
          <w:sz w:val="20"/>
          <w:szCs w:val="20"/>
          <w:color w:val="auto"/>
        </w:rPr>
      </w:pPr>
      <w:r>
        <w:rPr>
          <w:rFonts w:ascii="Arial" w:cs="Arial" w:eastAsia="Arial" w:hAnsi="Arial"/>
          <w:sz w:val="17"/>
          <w:szCs w:val="17"/>
          <w:color w:val="auto"/>
        </w:rPr>
        <w:t>facing the Company.</w:t>
      </w:r>
    </w:p>
    <w:p>
      <w:pPr>
        <w:spacing w:after="0" w:line="150" w:lineRule="exact"/>
        <w:rPr>
          <w:sz w:val="20"/>
          <w:szCs w:val="20"/>
          <w:color w:val="auto"/>
        </w:rPr>
      </w:pPr>
    </w:p>
    <w:p>
      <w:pPr>
        <w:ind w:left="360" w:right="60"/>
        <w:spacing w:after="0" w:line="246" w:lineRule="auto"/>
        <w:rPr>
          <w:sz w:val="20"/>
          <w:szCs w:val="20"/>
          <w:color w:val="auto"/>
        </w:rPr>
      </w:pPr>
      <w:r>
        <w:rPr>
          <w:rFonts w:ascii="Arial" w:cs="Arial" w:eastAsia="Arial" w:hAnsi="Arial"/>
          <w:sz w:val="17"/>
          <w:szCs w:val="17"/>
          <w:color w:val="auto"/>
        </w:rPr>
        <w:t>In February 2022, Mr. Hammons received a $500,000 cash sign-on award to replace compensation he forfeited with his former employer. This award was approved by the Committee in November 2021, when Mr. Hammons joined the Company and was appointed SVP, General Counsel and Secretary. The decision regarding Mr. Hammons’ sign-on award was discussed in our 2022 Proxy Statement dated April 14, 2022. Please see “Offer Letter, Restrictive Covenants Agreement and Separation Agreement with Mr. Terrence G. Hammons, Jr.” on page 53 for details regarding the compensation approved for Mr. Hammons in light of his departure from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231775</wp:posOffset>
            </wp:positionH>
            <wp:positionV relativeFrom="paragraph">
              <wp:posOffset>95885</wp:posOffset>
            </wp:positionV>
            <wp:extent cx="6687820" cy="1651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687820" cy="16510"/>
                    </a:xfrm>
                    <a:prstGeom prst="rect">
                      <a:avLst/>
                    </a:prstGeom>
                    <a:noFill/>
                  </pic:spPr>
                </pic:pic>
              </a:graphicData>
            </a:graphic>
          </wp:anchor>
        </w:drawing>
      </w:r>
    </w:p>
    <w:p>
      <w:pPr>
        <w:spacing w:after="0" w:line="320"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6443980</wp:posOffset>
            </wp:positionH>
            <wp:positionV relativeFrom="paragraph">
              <wp:posOffset>-113030</wp:posOffset>
            </wp:positionV>
            <wp:extent cx="475615" cy="15557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475615" cy="155575"/>
                    </a:xfrm>
                    <a:prstGeom prst="rect">
                      <a:avLst/>
                    </a:prstGeom>
                    <a:noFill/>
                  </pic:spPr>
                </pic:pic>
              </a:graphicData>
            </a:graphic>
          </wp:anchor>
        </w:drawing>
      </w:r>
    </w:p>
    <w:p>
      <w:pPr>
        <w:sectPr>
          <w:pgSz w:w="11900" w:h="16838" w:orient="portrait"/>
          <w:cols w:equalWidth="0" w:num="1">
            <w:col w:w="10900"/>
          </w:cols>
          <w:pgMar w:left="320" w:top="468" w:right="67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5397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79945" cy="53975"/>
                    </a:xfrm>
                    <a:prstGeom prst="rect">
                      <a:avLst/>
                    </a:prstGeom>
                    <a:noFill/>
                  </pic:spPr>
                </pic:pic>
              </a:graphicData>
            </a:graphic>
          </wp:anchor>
        </w:drawing>
        <w:t>Table of Contents</w:t>
      </w:r>
    </w:p>
    <w:p>
      <w:pPr>
        <w:spacing w:after="0" w:line="296"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auto"/>
        </w:rPr>
        <w:t>Compensation Discussion and Analysis</w:t>
      </w:r>
    </w:p>
    <w:p>
      <w:pPr>
        <w:spacing w:after="0" w:line="21" w:lineRule="exact"/>
        <w:rPr>
          <w:sz w:val="20"/>
          <w:szCs w:val="20"/>
          <w:color w:val="auto"/>
        </w:rPr>
      </w:pPr>
    </w:p>
    <w:p>
      <w:pPr>
        <w:ind w:left="360"/>
        <w:spacing w:after="0"/>
        <w:rPr>
          <w:sz w:val="20"/>
          <w:szCs w:val="20"/>
          <w:color w:val="auto"/>
        </w:rPr>
      </w:pPr>
      <w:r>
        <w:rPr>
          <w:rFonts w:ascii="Arial" w:cs="Arial" w:eastAsia="Arial" w:hAnsi="Arial"/>
          <w:sz w:val="14"/>
          <w:szCs w:val="14"/>
          <w:b w:val="1"/>
          <w:bCs w:val="1"/>
          <w:color w:val="auto"/>
        </w:rPr>
        <w:t>Compensation-Setting Process</w:t>
      </w:r>
    </w:p>
    <w:p>
      <w:pPr>
        <w:spacing w:after="0" w:line="114" w:lineRule="exact"/>
        <w:rPr>
          <w:sz w:val="20"/>
          <w:szCs w:val="20"/>
          <w:color w:val="auto"/>
        </w:rPr>
      </w:pPr>
    </w:p>
    <w:p>
      <w:pPr>
        <w:jc w:val="both"/>
        <w:ind w:left="360" w:right="60"/>
        <w:spacing w:after="0" w:line="256" w:lineRule="auto"/>
        <w:rPr>
          <w:sz w:val="20"/>
          <w:szCs w:val="20"/>
          <w:color w:val="auto"/>
        </w:rPr>
      </w:pPr>
      <w:r>
        <w:rPr>
          <w:rFonts w:ascii="Arial" w:cs="Arial" w:eastAsia="Arial" w:hAnsi="Arial"/>
          <w:sz w:val="17"/>
          <w:szCs w:val="17"/>
          <w:color w:val="auto"/>
        </w:rPr>
        <w:t>The factors described in the table below informed the Committee’s decisions with respect to the actions it took in 2021 and 2022 in setting 2022 executive compensation. Specifically, in determining our non-CEO NEOs’ 2022 total target compensation, and recommending to the Board the CEO’s total target compensation and NEOs’ long-term equity incentive compensation, the Committee considered: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231775</wp:posOffset>
            </wp:positionH>
            <wp:positionV relativeFrom="paragraph">
              <wp:posOffset>113665</wp:posOffset>
            </wp:positionV>
            <wp:extent cx="668782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687820" cy="8255"/>
                    </a:xfrm>
                    <a:prstGeom prst="rect">
                      <a:avLst/>
                    </a:prstGeom>
                    <a:noFill/>
                  </pic:spPr>
                </pic:pic>
              </a:graphicData>
            </a:graphic>
          </wp:anchor>
        </w:drawing>
      </w:r>
    </w:p>
    <w:p>
      <w:pPr>
        <w:sectPr>
          <w:pgSz w:w="11900" w:h="16838" w:orient="portrait"/>
          <w:cols w:equalWidth="0" w:num="1">
            <w:col w:w="10880"/>
          </w:cols>
          <w:pgMar w:left="320" w:top="468" w:right="699" w:bottom="1440" w:gutter="0" w:footer="0" w:header="0"/>
        </w:sectPr>
      </w:pPr>
    </w:p>
    <w:p>
      <w:pPr>
        <w:spacing w:after="0" w:line="213" w:lineRule="exact"/>
        <w:rPr>
          <w:sz w:val="20"/>
          <w:szCs w:val="20"/>
          <w:color w:val="auto"/>
        </w:rPr>
      </w:pPr>
    </w:p>
    <w:p>
      <w:pPr>
        <w:ind w:left="780" w:right="180" w:hanging="343"/>
        <w:spacing w:after="0" w:line="274" w:lineRule="auto"/>
        <w:rPr>
          <w:sz w:val="20"/>
          <w:szCs w:val="20"/>
          <w:color w:val="auto"/>
        </w:rPr>
      </w:pPr>
      <w:r>
        <w:rPr>
          <w:rFonts w:ascii="Arial" w:cs="Arial" w:eastAsia="Arial" w:hAnsi="Arial"/>
          <w:sz w:val="17"/>
          <w:szCs w:val="17"/>
          <w:color w:val="00467D"/>
        </w:rPr>
        <w:t>•</w:t>
      </w:r>
      <w:r>
        <w:rPr>
          <w:rFonts w:ascii="Arial" w:cs="Arial" w:eastAsia="Arial" w:hAnsi="Arial"/>
          <w:sz w:val="17"/>
          <w:szCs w:val="17"/>
          <w:color w:val="000000"/>
        </w:rPr>
        <w:t xml:space="preserve">     Recommendations of our CEO (except with respect to his own</w:t>
      </w:r>
      <w:r>
        <w:rPr>
          <w:rFonts w:ascii="Arial" w:cs="Arial" w:eastAsia="Arial" w:hAnsi="Arial"/>
          <w:sz w:val="17"/>
          <w:szCs w:val="17"/>
          <w:color w:val="00467D"/>
        </w:rPr>
        <w:t xml:space="preserve"> </w:t>
      </w:r>
      <w:r>
        <w:rPr>
          <w:rFonts w:ascii="Arial" w:cs="Arial" w:eastAsia="Arial" w:hAnsi="Arial"/>
          <w:sz w:val="17"/>
          <w:szCs w:val="17"/>
          <w:color w:val="000000"/>
        </w:rPr>
        <w:t>compensation)</w:t>
      </w:r>
    </w:p>
    <w:p>
      <w:pPr>
        <w:spacing w:after="0" w:line="18" w:lineRule="exact"/>
        <w:rPr>
          <w:sz w:val="20"/>
          <w:szCs w:val="20"/>
          <w:color w:val="auto"/>
        </w:rPr>
      </w:pPr>
    </w:p>
    <w:p>
      <w:pPr>
        <w:ind w:left="440"/>
        <w:spacing w:after="0"/>
        <w:rPr>
          <w:sz w:val="20"/>
          <w:szCs w:val="20"/>
          <w:color w:val="auto"/>
        </w:rPr>
      </w:pPr>
      <w:r>
        <w:rPr>
          <w:rFonts w:ascii="Arial" w:cs="Arial" w:eastAsia="Arial" w:hAnsi="Arial"/>
          <w:sz w:val="17"/>
          <w:szCs w:val="17"/>
          <w:color w:val="00467D"/>
        </w:rPr>
        <w:t>•</w:t>
      </w:r>
      <w:r>
        <w:rPr>
          <w:rFonts w:ascii="Arial" w:cs="Arial" w:eastAsia="Arial" w:hAnsi="Arial"/>
          <w:sz w:val="17"/>
          <w:szCs w:val="17"/>
          <w:color w:val="000000"/>
        </w:rPr>
        <w:t xml:space="preserve">      Compensation peer group data</w:t>
      </w:r>
    </w:p>
    <w:p>
      <w:pPr>
        <w:spacing w:after="0" w:line="76" w:lineRule="exact"/>
        <w:rPr>
          <w:sz w:val="20"/>
          <w:szCs w:val="20"/>
          <w:color w:val="auto"/>
        </w:rPr>
      </w:pPr>
    </w:p>
    <w:p>
      <w:pPr>
        <w:ind w:left="780" w:hanging="343"/>
        <w:spacing w:after="0" w:line="256" w:lineRule="auto"/>
        <w:rPr>
          <w:sz w:val="20"/>
          <w:szCs w:val="20"/>
          <w:color w:val="auto"/>
        </w:rPr>
      </w:pPr>
      <w:r>
        <w:rPr>
          <w:rFonts w:ascii="Arial" w:cs="Arial" w:eastAsia="Arial" w:hAnsi="Arial"/>
          <w:sz w:val="17"/>
          <w:szCs w:val="17"/>
          <w:color w:val="00467D"/>
        </w:rPr>
        <w:t>•</w:t>
      </w:r>
      <w:r>
        <w:rPr>
          <w:rFonts w:ascii="Arial" w:cs="Arial" w:eastAsia="Arial" w:hAnsi="Arial"/>
          <w:sz w:val="17"/>
          <w:szCs w:val="17"/>
          <w:color w:val="000000"/>
        </w:rPr>
        <w:t xml:space="preserve">     Experience, knowledge, skills, qualifications, tenure in position,</w:t>
      </w:r>
      <w:r>
        <w:rPr>
          <w:rFonts w:ascii="Arial" w:cs="Arial" w:eastAsia="Arial" w:hAnsi="Arial"/>
          <w:sz w:val="17"/>
          <w:szCs w:val="17"/>
          <w:color w:val="00467D"/>
        </w:rPr>
        <w:t xml:space="preserve"> </w:t>
      </w:r>
      <w:r>
        <w:rPr>
          <w:rFonts w:ascii="Arial" w:cs="Arial" w:eastAsia="Arial" w:hAnsi="Arial"/>
          <w:sz w:val="17"/>
          <w:szCs w:val="17"/>
          <w:color w:val="000000"/>
        </w:rPr>
        <w:t>and expected future contributions of the individual, including with respect to the ongoing EO litigation</w:t>
      </w:r>
    </w:p>
    <w:p>
      <w:pPr>
        <w:spacing w:after="0" w:line="33" w:lineRule="exact"/>
        <w:rPr>
          <w:sz w:val="20"/>
          <w:szCs w:val="20"/>
          <w:color w:val="auto"/>
        </w:rPr>
      </w:pPr>
    </w:p>
    <w:p>
      <w:pPr>
        <w:ind w:left="440"/>
        <w:spacing w:after="0"/>
        <w:rPr>
          <w:sz w:val="20"/>
          <w:szCs w:val="20"/>
          <w:color w:val="auto"/>
        </w:rPr>
      </w:pPr>
      <w:r>
        <w:rPr>
          <w:rFonts w:ascii="Arial" w:cs="Arial" w:eastAsia="Arial" w:hAnsi="Arial"/>
          <w:sz w:val="17"/>
          <w:szCs w:val="17"/>
          <w:color w:val="00467D"/>
        </w:rPr>
        <w:t>•</w:t>
      </w:r>
      <w:r>
        <w:rPr>
          <w:rFonts w:ascii="Arial" w:cs="Arial" w:eastAsia="Arial" w:hAnsi="Arial"/>
          <w:sz w:val="17"/>
          <w:szCs w:val="17"/>
          <w:color w:val="000000"/>
        </w:rPr>
        <w:t xml:space="preserve">      The need to attract executives</w:t>
      </w:r>
    </w:p>
    <w:p>
      <w:pPr>
        <w:spacing w:after="0" w:line="76" w:lineRule="exact"/>
        <w:rPr>
          <w:sz w:val="20"/>
          <w:szCs w:val="20"/>
          <w:color w:val="auto"/>
        </w:rPr>
      </w:pPr>
    </w:p>
    <w:p>
      <w:pPr>
        <w:ind w:left="440"/>
        <w:spacing w:after="0"/>
        <w:rPr>
          <w:sz w:val="20"/>
          <w:szCs w:val="20"/>
          <w:color w:val="auto"/>
        </w:rPr>
      </w:pPr>
      <w:r>
        <w:rPr>
          <w:rFonts w:ascii="Arial" w:cs="Arial" w:eastAsia="Arial" w:hAnsi="Arial"/>
          <w:sz w:val="17"/>
          <w:szCs w:val="17"/>
          <w:color w:val="00467D"/>
        </w:rPr>
        <w:t>•</w:t>
      </w:r>
      <w:r>
        <w:rPr>
          <w:rFonts w:ascii="Arial" w:cs="Arial" w:eastAsia="Arial" w:hAnsi="Arial"/>
          <w:sz w:val="17"/>
          <w:szCs w:val="17"/>
          <w:color w:val="000000"/>
        </w:rPr>
        <w:t xml:space="preserve">      The need to retain executives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231775</wp:posOffset>
            </wp:positionH>
            <wp:positionV relativeFrom="paragraph">
              <wp:posOffset>50165</wp:posOffset>
            </wp:positionV>
            <wp:extent cx="668782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6878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3" w:lineRule="exact"/>
        <w:rPr>
          <w:sz w:val="20"/>
          <w:szCs w:val="20"/>
          <w:color w:val="auto"/>
        </w:rPr>
      </w:pPr>
    </w:p>
    <w:p>
      <w:pPr>
        <w:ind w:left="340" w:hanging="343"/>
        <w:spacing w:after="0" w:line="274" w:lineRule="auto"/>
        <w:rPr>
          <w:sz w:val="20"/>
          <w:szCs w:val="20"/>
          <w:color w:val="auto"/>
        </w:rPr>
      </w:pPr>
      <w:r>
        <w:rPr>
          <w:rFonts w:ascii="Arial" w:cs="Arial" w:eastAsia="Arial" w:hAnsi="Arial"/>
          <w:sz w:val="17"/>
          <w:szCs w:val="17"/>
          <w:color w:val="00467D"/>
        </w:rPr>
        <w:t>•</w:t>
      </w:r>
      <w:r>
        <w:rPr>
          <w:rFonts w:ascii="Arial" w:cs="Arial" w:eastAsia="Arial" w:hAnsi="Arial"/>
          <w:sz w:val="17"/>
          <w:szCs w:val="17"/>
          <w:color w:val="000000"/>
        </w:rPr>
        <w:t xml:space="preserve">     Performance of the executive against his short- and long-term</w:t>
      </w:r>
      <w:r>
        <w:rPr>
          <w:rFonts w:ascii="Arial" w:cs="Arial" w:eastAsia="Arial" w:hAnsi="Arial"/>
          <w:sz w:val="17"/>
          <w:szCs w:val="17"/>
          <w:color w:val="00467D"/>
        </w:rPr>
        <w:t xml:space="preserve"> </w:t>
      </w:r>
      <w:r>
        <w:rPr>
          <w:rFonts w:ascii="Arial" w:cs="Arial" w:eastAsia="Arial" w:hAnsi="Arial"/>
          <w:sz w:val="17"/>
          <w:szCs w:val="17"/>
          <w:color w:val="000000"/>
        </w:rPr>
        <w:t>objectives</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color w:val="00467D"/>
        </w:rPr>
        <w:t>•</w:t>
      </w:r>
      <w:r>
        <w:rPr>
          <w:rFonts w:ascii="Arial" w:cs="Arial" w:eastAsia="Arial" w:hAnsi="Arial"/>
          <w:sz w:val="17"/>
          <w:szCs w:val="17"/>
          <w:color w:val="000000"/>
        </w:rPr>
        <w:t xml:space="preserve">      Relative scope of each NEO’s responsibilities</w:t>
      </w:r>
    </w:p>
    <w:p>
      <w:pPr>
        <w:spacing w:after="0" w:line="76" w:lineRule="exact"/>
        <w:rPr>
          <w:sz w:val="20"/>
          <w:szCs w:val="20"/>
          <w:color w:val="auto"/>
        </w:rPr>
      </w:pPr>
    </w:p>
    <w:p>
      <w:pPr>
        <w:spacing w:after="0"/>
        <w:rPr>
          <w:sz w:val="20"/>
          <w:szCs w:val="20"/>
          <w:color w:val="auto"/>
        </w:rPr>
      </w:pPr>
      <w:r>
        <w:rPr>
          <w:rFonts w:ascii="Arial" w:cs="Arial" w:eastAsia="Arial" w:hAnsi="Arial"/>
          <w:sz w:val="17"/>
          <w:szCs w:val="17"/>
          <w:color w:val="00467D"/>
        </w:rPr>
        <w:t>•</w:t>
      </w:r>
      <w:r>
        <w:rPr>
          <w:rFonts w:ascii="Arial" w:cs="Arial" w:eastAsia="Arial" w:hAnsi="Arial"/>
          <w:sz w:val="17"/>
          <w:szCs w:val="17"/>
          <w:color w:val="000000"/>
        </w:rPr>
        <w:t xml:space="preserve">      Internal pay equity</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color w:val="00467D"/>
        </w:rPr>
        <w:t>•</w:t>
      </w:r>
      <w:r>
        <w:rPr>
          <w:rFonts w:ascii="Arial" w:cs="Arial" w:eastAsia="Arial" w:hAnsi="Arial"/>
          <w:sz w:val="17"/>
          <w:szCs w:val="17"/>
          <w:color w:val="000000"/>
        </w:rPr>
        <w:t xml:space="preserve">      Historical compensation</w:t>
      </w:r>
    </w:p>
    <w:p>
      <w:pPr>
        <w:spacing w:after="0" w:line="871" w:lineRule="exact"/>
        <w:rPr>
          <w:sz w:val="20"/>
          <w:szCs w:val="20"/>
          <w:color w:val="auto"/>
        </w:rPr>
      </w:pPr>
    </w:p>
    <w:p>
      <w:pPr>
        <w:sectPr>
          <w:pgSz w:w="11900" w:h="16838" w:orient="portrait"/>
          <w:cols w:equalWidth="0" w:num="2">
            <w:col w:w="5700" w:space="140"/>
            <w:col w:w="5040"/>
          </w:cols>
          <w:pgMar w:left="320" w:top="468" w:right="699" w:bottom="1440" w:gutter="0" w:footer="0" w:header="0"/>
          <w:type w:val="continuous"/>
        </w:sectPr>
      </w:pPr>
    </w:p>
    <w:p>
      <w:pPr>
        <w:spacing w:after="0" w:line="56" w:lineRule="exact"/>
        <w:rPr>
          <w:sz w:val="20"/>
          <w:szCs w:val="20"/>
          <w:color w:val="auto"/>
        </w:rPr>
      </w:pPr>
    </w:p>
    <w:p>
      <w:pPr>
        <w:ind w:left="360" w:right="100"/>
        <w:spacing w:after="0" w:line="256" w:lineRule="auto"/>
        <w:rPr>
          <w:sz w:val="20"/>
          <w:szCs w:val="20"/>
          <w:color w:val="auto"/>
        </w:rPr>
      </w:pPr>
      <w:r>
        <w:rPr>
          <w:rFonts w:ascii="Arial" w:cs="Arial" w:eastAsia="Arial" w:hAnsi="Arial"/>
          <w:sz w:val="17"/>
          <w:szCs w:val="17"/>
          <w:color w:val="auto"/>
        </w:rPr>
        <w:t>The LD&amp;C Committee did not assign a particular weighting to any of these factors. Rather, the Committee considered this information in light of their experience and knowledge of the Company, the competitive market in which the Company operates, their knowledge of each NEO and business judgment.</w:t>
      </w:r>
    </w:p>
    <w:p>
      <w:pPr>
        <w:spacing w:after="0" w:line="123" w:lineRule="exact"/>
        <w:rPr>
          <w:sz w:val="20"/>
          <w:szCs w:val="20"/>
          <w:color w:val="auto"/>
        </w:rPr>
      </w:pPr>
    </w:p>
    <w:p>
      <w:pPr>
        <w:ind w:left="360" w:right="200"/>
        <w:spacing w:after="0" w:line="245" w:lineRule="auto"/>
        <w:rPr>
          <w:sz w:val="20"/>
          <w:szCs w:val="20"/>
          <w:color w:val="auto"/>
        </w:rPr>
      </w:pPr>
      <w:r>
        <w:rPr>
          <w:rFonts w:ascii="Arial" w:cs="Arial" w:eastAsia="Arial" w:hAnsi="Arial"/>
          <w:sz w:val="17"/>
          <w:szCs w:val="17"/>
          <w:color w:val="auto"/>
        </w:rPr>
        <w:t>This year, on November 7, 2022, the Committee also granted one-time incentive awards intended to retain critical talent in a challenging operating environment where, due to a significant decline in the Company’s stock price, employees’ (including our NEOs’) recent equity incentive awards had significantly less outstanding retentive value. With the assistance of Exequity, the LD&amp;C Committee conducted a review of market practices regarding retention incentive programs. In establishing the form, value, and terms of the awards granted to employees, including to each of Messrs. Petras, Rutz, and Klaben, the Committee considered market practices for retention incentives and the below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231775</wp:posOffset>
            </wp:positionH>
            <wp:positionV relativeFrom="paragraph">
              <wp:posOffset>119380</wp:posOffset>
            </wp:positionV>
            <wp:extent cx="668782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687820" cy="8255"/>
                    </a:xfrm>
                    <a:prstGeom prst="rect">
                      <a:avLst/>
                    </a:prstGeom>
                    <a:noFill/>
                  </pic:spPr>
                </pic:pic>
              </a:graphicData>
            </a:graphic>
          </wp:anchor>
        </w:drawing>
      </w:r>
    </w:p>
    <w:p>
      <w:pPr>
        <w:spacing w:after="0" w:line="202" w:lineRule="exact"/>
        <w:rPr>
          <w:sz w:val="20"/>
          <w:szCs w:val="20"/>
          <w:color w:val="auto"/>
        </w:rPr>
      </w:pPr>
    </w:p>
    <w:p>
      <w:pPr>
        <w:ind w:left="440"/>
        <w:spacing w:after="0"/>
        <w:rPr>
          <w:sz w:val="20"/>
          <w:szCs w:val="20"/>
          <w:color w:val="auto"/>
        </w:rPr>
      </w:pPr>
      <w:r>
        <w:rPr>
          <w:rFonts w:ascii="Arial" w:cs="Arial" w:eastAsia="Arial" w:hAnsi="Arial"/>
          <w:sz w:val="17"/>
          <w:szCs w:val="17"/>
          <w:color w:val="00467D"/>
        </w:rPr>
        <w:t>•</w:t>
      </w:r>
      <w:r>
        <w:rPr>
          <w:rFonts w:ascii="Arial" w:cs="Arial" w:eastAsia="Arial" w:hAnsi="Arial"/>
          <w:sz w:val="17"/>
          <w:szCs w:val="17"/>
          <w:color w:val="000000"/>
        </w:rPr>
        <w:t xml:space="preserve">      Retention objectives, including the overall retentive value of the executive’s existing unvested equity awards</w:t>
      </w:r>
    </w:p>
    <w:p>
      <w:pPr>
        <w:spacing w:after="0" w:line="76" w:lineRule="exact"/>
        <w:rPr>
          <w:sz w:val="20"/>
          <w:szCs w:val="20"/>
          <w:color w:val="auto"/>
        </w:rPr>
      </w:pPr>
    </w:p>
    <w:p>
      <w:pPr>
        <w:ind w:left="440"/>
        <w:spacing w:after="0"/>
        <w:rPr>
          <w:sz w:val="20"/>
          <w:szCs w:val="20"/>
          <w:color w:val="auto"/>
        </w:rPr>
      </w:pPr>
      <w:r>
        <w:rPr>
          <w:rFonts w:ascii="Arial" w:cs="Arial" w:eastAsia="Arial" w:hAnsi="Arial"/>
          <w:sz w:val="17"/>
          <w:szCs w:val="17"/>
          <w:color w:val="00467D"/>
        </w:rPr>
        <w:t>•</w:t>
      </w:r>
      <w:r>
        <w:rPr>
          <w:rFonts w:ascii="Arial" w:cs="Arial" w:eastAsia="Arial" w:hAnsi="Arial"/>
          <w:sz w:val="17"/>
          <w:szCs w:val="17"/>
          <w:color w:val="000000"/>
        </w:rPr>
        <w:t xml:space="preserve">      The criticality of the employee’s role and scope of responsibilities, including with respect to the ongoing EO litigation</w:t>
      </w:r>
    </w:p>
    <w:p>
      <w:pPr>
        <w:spacing w:after="0" w:line="50" w:lineRule="exact"/>
        <w:rPr>
          <w:sz w:val="20"/>
          <w:szCs w:val="20"/>
          <w:color w:val="auto"/>
        </w:rPr>
      </w:pPr>
    </w:p>
    <w:p>
      <w:pPr>
        <w:ind w:left="780" w:right="320" w:hanging="343"/>
        <w:spacing w:after="0" w:line="269" w:lineRule="auto"/>
        <w:rPr>
          <w:sz w:val="20"/>
          <w:szCs w:val="20"/>
          <w:color w:val="auto"/>
        </w:rPr>
      </w:pPr>
      <w:r>
        <w:rPr>
          <w:rFonts w:ascii="Arial" w:cs="Arial" w:eastAsia="Arial" w:hAnsi="Arial"/>
          <w:sz w:val="17"/>
          <w:szCs w:val="17"/>
          <w:color w:val="00467D"/>
        </w:rPr>
        <w:t>•</w:t>
      </w:r>
      <w:r>
        <w:rPr>
          <w:rFonts w:ascii="Arial" w:cs="Arial" w:eastAsia="Arial" w:hAnsi="Arial"/>
          <w:sz w:val="17"/>
          <w:szCs w:val="17"/>
          <w:color w:val="000000"/>
        </w:rPr>
        <w:t xml:space="preserve">     The desire to further align executives’ interests with shareholders’ in the achievement of strong long-term performance and value</w:t>
      </w:r>
      <w:r>
        <w:rPr>
          <w:rFonts w:ascii="Arial" w:cs="Arial" w:eastAsia="Arial" w:hAnsi="Arial"/>
          <w:sz w:val="17"/>
          <w:szCs w:val="17"/>
          <w:color w:val="00467D"/>
        </w:rPr>
        <w:t xml:space="preserve"> </w:t>
      </w:r>
      <w:r>
        <w:rPr>
          <w:rFonts w:ascii="Arial" w:cs="Arial" w:eastAsia="Arial" w:hAnsi="Arial"/>
          <w:sz w:val="17"/>
          <w:szCs w:val="17"/>
          <w:color w:val="000000"/>
        </w:rPr>
        <w:t>creation, while discouraging the undertaking of undue short-term risks</w:t>
      </w:r>
    </w:p>
    <w:p>
      <w:pPr>
        <w:spacing w:after="0" w:line="1" w:lineRule="exact"/>
        <w:rPr>
          <w:sz w:val="20"/>
          <w:szCs w:val="20"/>
          <w:color w:val="auto"/>
        </w:rPr>
      </w:pPr>
    </w:p>
    <w:p>
      <w:pPr>
        <w:ind w:left="440"/>
        <w:spacing w:after="0"/>
        <w:rPr>
          <w:sz w:val="20"/>
          <w:szCs w:val="20"/>
          <w:color w:val="auto"/>
        </w:rPr>
      </w:pPr>
      <w:r>
        <w:rPr>
          <w:rFonts w:ascii="Arial" w:cs="Arial" w:eastAsia="Arial" w:hAnsi="Arial"/>
          <w:sz w:val="17"/>
          <w:szCs w:val="17"/>
          <w:color w:val="00467D"/>
        </w:rPr>
        <w:t>•</w:t>
      </w:r>
      <w:r>
        <w:rPr>
          <w:rFonts w:ascii="Arial" w:cs="Arial" w:eastAsia="Arial" w:hAnsi="Arial"/>
          <w:sz w:val="17"/>
          <w:szCs w:val="17"/>
          <w:color w:val="000000"/>
        </w:rPr>
        <w:t xml:space="preserve">      Market competitive values for companies facing comparable challenges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231775</wp:posOffset>
            </wp:positionH>
            <wp:positionV relativeFrom="paragraph">
              <wp:posOffset>9525</wp:posOffset>
            </wp:positionV>
            <wp:extent cx="668782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687820" cy="8255"/>
                    </a:xfrm>
                    <a:prstGeom prst="rect">
                      <a:avLst/>
                    </a:prstGeom>
                    <a:noFill/>
                  </pic:spPr>
                </pic:pic>
              </a:graphicData>
            </a:graphic>
          </wp:anchor>
        </w:drawing>
      </w:r>
    </w:p>
    <w:p>
      <w:pPr>
        <w:spacing w:after="0" w:line="159" w:lineRule="exact"/>
        <w:rPr>
          <w:sz w:val="20"/>
          <w:szCs w:val="20"/>
          <w:color w:val="auto"/>
        </w:rPr>
      </w:pPr>
    </w:p>
    <w:p>
      <w:pPr>
        <w:ind w:left="360" w:right="60"/>
        <w:spacing w:after="0" w:line="250" w:lineRule="auto"/>
        <w:rPr>
          <w:sz w:val="20"/>
          <w:szCs w:val="20"/>
          <w:color w:val="auto"/>
        </w:rPr>
      </w:pPr>
      <w:r>
        <w:rPr>
          <w:rFonts w:ascii="Arial" w:cs="Arial" w:eastAsia="Arial" w:hAnsi="Arial"/>
          <w:sz w:val="17"/>
          <w:szCs w:val="17"/>
          <w:color w:val="auto"/>
        </w:rPr>
        <w:t>Following this consideration, the Committee implemented a tailored incentive award program designed to address the Company’s specific challenges and retention needs. In light of each executive’s role, scope of responsibility, and the overall retentive value of recipients’ existing unvested equity awards, the Committee evaluated the form of award likely to be the most effective to retain and motivate that executive.</w:t>
      </w:r>
    </w:p>
    <w:p>
      <w:pPr>
        <w:spacing w:after="0" w:line="141" w:lineRule="exact"/>
        <w:rPr>
          <w:sz w:val="20"/>
          <w:szCs w:val="20"/>
          <w:color w:val="auto"/>
        </w:rPr>
      </w:pPr>
    </w:p>
    <w:p>
      <w:pPr>
        <w:ind w:left="360" w:right="80"/>
        <w:spacing w:after="0" w:line="241" w:lineRule="auto"/>
        <w:rPr>
          <w:sz w:val="20"/>
          <w:szCs w:val="20"/>
          <w:color w:val="auto"/>
        </w:rPr>
      </w:pPr>
      <w:r>
        <w:rPr>
          <w:rFonts w:ascii="Arial" w:cs="Arial" w:eastAsia="Arial" w:hAnsi="Arial"/>
          <w:sz w:val="17"/>
          <w:szCs w:val="17"/>
          <w:color w:val="auto"/>
        </w:rPr>
        <w:t>Mr. Petras’ November 2022 Incentive Award was granted in the form of options to purchase shares of our common stock. The Committee recommended and the Board approved an option award for Mr. Petras because an option award has no intrinsic value unless the stock price appreciates. The option award is intended to motivate long-term stock price appreciation aligned with the Company’s strategic goals and values. Mr. Petras’ November 2022 option award will vest in three installments as follows: (i) 30% will vest 12 months from the grant date; (ii) 30% will vest 18 months from the grant date; and (iii) 40% will vest 24 months from the grant date, subject in each case to</w:t>
      </w:r>
    </w:p>
    <w:p>
      <w:pPr>
        <w:spacing w:after="0" w:line="3" w:lineRule="exact"/>
        <w:rPr>
          <w:sz w:val="20"/>
          <w:szCs w:val="20"/>
          <w:color w:val="auto"/>
        </w:rPr>
      </w:pPr>
    </w:p>
    <w:p>
      <w:pPr>
        <w:ind w:left="360" w:right="40"/>
        <w:spacing w:after="0" w:line="246" w:lineRule="auto"/>
        <w:rPr>
          <w:sz w:val="20"/>
          <w:szCs w:val="20"/>
          <w:color w:val="auto"/>
        </w:rPr>
      </w:pPr>
      <w:r>
        <w:rPr>
          <w:rFonts w:ascii="Arial" w:cs="Arial" w:eastAsia="Arial" w:hAnsi="Arial"/>
          <w:sz w:val="17"/>
          <w:szCs w:val="17"/>
          <w:color w:val="auto"/>
        </w:rPr>
        <w:t>Mr. Petras’ continued employment in good standing with the Company through each applicable vesting date. The award is subject to accelerated vesting upon a termination by the Company without cause, due to death or disability, by Mr. Petras for good reason, or upon a qualifying retirement.</w:t>
      </w:r>
    </w:p>
    <w:p>
      <w:pPr>
        <w:spacing w:after="0" w:line="131" w:lineRule="exact"/>
        <w:rPr>
          <w:sz w:val="20"/>
          <w:szCs w:val="20"/>
          <w:color w:val="auto"/>
        </w:rPr>
      </w:pPr>
    </w:p>
    <w:p>
      <w:pPr>
        <w:ind w:left="360" w:right="120"/>
        <w:spacing w:after="0" w:line="247" w:lineRule="auto"/>
        <w:rPr>
          <w:sz w:val="20"/>
          <w:szCs w:val="20"/>
          <w:color w:val="auto"/>
        </w:rPr>
      </w:pPr>
      <w:r>
        <w:rPr>
          <w:rFonts w:ascii="Arial" w:cs="Arial" w:eastAsia="Arial" w:hAnsi="Arial"/>
          <w:sz w:val="17"/>
          <w:szCs w:val="17"/>
          <w:color w:val="auto"/>
        </w:rPr>
        <w:t>Mr. Rutz’s November 2022 Incentive Award was granted in the form of a $1,000,000 cash award, subject to the terms and conditions of a cash incentive bonus agreement (the “Cash Incentive Bonus Agreement”). Per the terms of the Cash Incentive Bonus Agreement,</w:t>
      </w:r>
    </w:p>
    <w:p>
      <w:pPr>
        <w:spacing w:after="0" w:line="1" w:lineRule="exact"/>
        <w:rPr>
          <w:sz w:val="20"/>
          <w:szCs w:val="20"/>
          <w:color w:val="auto"/>
        </w:rPr>
      </w:pPr>
    </w:p>
    <w:p>
      <w:pPr>
        <w:ind w:left="360" w:right="60"/>
        <w:spacing w:after="0" w:line="255" w:lineRule="auto"/>
        <w:rPr>
          <w:sz w:val="20"/>
          <w:szCs w:val="20"/>
          <w:color w:val="auto"/>
        </w:rPr>
      </w:pPr>
      <w:r>
        <w:rPr>
          <w:rFonts w:ascii="Arial" w:cs="Arial" w:eastAsia="Arial" w:hAnsi="Arial"/>
          <w:sz w:val="17"/>
          <w:szCs w:val="17"/>
          <w:color w:val="auto"/>
        </w:rPr>
        <w:t>Mr. Rutz’s November 2022 Incentive Award will vest in four installments as follows: (i) 10% will vest 6 months from the grant date; (ii) 20% will vest 12 months from the grant date; (iii) 30% will vest 18 months from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231775</wp:posOffset>
            </wp:positionH>
            <wp:positionV relativeFrom="paragraph">
              <wp:posOffset>88900</wp:posOffset>
            </wp:positionV>
            <wp:extent cx="6687820" cy="1651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687820" cy="16510"/>
                    </a:xfrm>
                    <a:prstGeom prst="rect">
                      <a:avLst/>
                    </a:prstGeom>
                    <a:noFill/>
                  </pic:spPr>
                </pic:pic>
              </a:graphicData>
            </a:graphic>
          </wp:anchor>
        </w:drawing>
      </w:r>
    </w:p>
    <w:p>
      <w:pPr>
        <w:spacing w:after="0" w:line="310" w:lineRule="exact"/>
        <w:rPr>
          <w:sz w:val="20"/>
          <w:szCs w:val="20"/>
          <w:color w:val="auto"/>
        </w:rPr>
      </w:pPr>
    </w:p>
    <w:tbl>
      <w:tblPr>
        <w:tblLayout w:type="fixed"/>
        <w:tblInd w:w="360" w:type="dxa"/>
        <w:tblCellMar>
          <w:top w:w="0" w:type="dxa"/>
          <w:left w:w="0" w:type="dxa"/>
          <w:bottom w:w="0" w:type="dxa"/>
          <w:right w:w="0" w:type="dxa"/>
        </w:tblCellMar>
      </w:tblPr>
      <w:tr>
        <w:trPr>
          <w:trHeight w:val="226"/>
        </w:trPr>
        <w:tc>
          <w:tcPr>
            <w:tcW w:w="3900" w:type="dxa"/>
            <w:vAlign w:val="bottom"/>
          </w:tcPr>
          <w:p>
            <w:pPr>
              <w:spacing w:after="0"/>
              <w:rPr>
                <w:sz w:val="20"/>
                <w:szCs w:val="20"/>
                <w:color w:val="auto"/>
              </w:rPr>
            </w:pPr>
            <w:r>
              <w:rPr>
                <w:rFonts w:ascii="Arial" w:cs="Arial" w:eastAsia="Arial" w:hAnsi="Arial"/>
                <w:sz w:val="17"/>
                <w:szCs w:val="17"/>
                <w:color w:val="auto"/>
              </w:rPr>
              <w:t>2023 Notice and Proxy Statement</w:t>
            </w:r>
          </w:p>
        </w:tc>
        <w:tc>
          <w:tcPr>
            <w:tcW w:w="1520" w:type="dxa"/>
            <w:vAlign w:val="bottom"/>
          </w:tcPr>
          <w:p>
            <w:pPr>
              <w:jc w:val="right"/>
              <w:spacing w:after="0"/>
              <w:rPr>
                <w:sz w:val="20"/>
                <w:szCs w:val="20"/>
                <w:color w:val="auto"/>
              </w:rPr>
            </w:pPr>
            <w:r>
              <w:rPr>
                <w:rFonts w:ascii="Arial" w:cs="Arial" w:eastAsia="Arial" w:hAnsi="Arial"/>
                <w:sz w:val="17"/>
                <w:szCs w:val="17"/>
                <w:color w:val="auto"/>
              </w:rPr>
              <w:t>34</w:t>
            </w:r>
          </w:p>
        </w:tc>
      </w:tr>
    </w:tbl>
    <w:p>
      <w:pPr>
        <w:sectPr>
          <w:pgSz w:w="11900" w:h="16838" w:orient="portrait"/>
          <w:cols w:equalWidth="0" w:num="1">
            <w:col w:w="10880"/>
          </w:cols>
          <w:pgMar w:left="320" w:top="468" w:right="699" w:bottom="1440" w:gutter="0" w:footer="0" w:header="0"/>
          <w:type w:val="continuous"/>
        </w:sectPr>
      </w:pPr>
    </w:p>
    <w:bookmarkStart w:id="43" w:name="page44"/>
    <w:bookmarkEnd w:id="4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5397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79945" cy="53975"/>
                    </a:xfrm>
                    <a:prstGeom prst="rect">
                      <a:avLst/>
                    </a:prstGeom>
                    <a:noFill/>
                  </pic:spPr>
                </pic:pic>
              </a:graphicData>
            </a:graphic>
          </wp:anchor>
        </w:drawing>
        <w:t>Table of Contents</w:t>
      </w:r>
    </w:p>
    <w:p>
      <w:pPr>
        <w:spacing w:after="0" w:line="296"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Compensation Discussion and Analysis</w:t>
      </w:r>
    </w:p>
    <w:p>
      <w:pPr>
        <w:spacing w:after="0" w:line="21" w:lineRule="exact"/>
        <w:rPr>
          <w:sz w:val="20"/>
          <w:szCs w:val="20"/>
          <w:color w:val="auto"/>
        </w:rPr>
      </w:pPr>
    </w:p>
    <w:p>
      <w:pPr>
        <w:ind w:left="8840"/>
        <w:spacing w:after="0"/>
        <w:rPr>
          <w:sz w:val="20"/>
          <w:szCs w:val="20"/>
          <w:color w:val="auto"/>
        </w:rPr>
      </w:pPr>
      <w:r>
        <w:rPr>
          <w:rFonts w:ascii="Arial" w:cs="Arial" w:eastAsia="Arial" w:hAnsi="Arial"/>
          <w:sz w:val="13"/>
          <w:szCs w:val="13"/>
          <w:b w:val="1"/>
          <w:bCs w:val="1"/>
          <w:color w:val="auto"/>
        </w:rPr>
        <w:t>Compensation-Setting Process</w:t>
      </w:r>
    </w:p>
    <w:p>
      <w:pPr>
        <w:spacing w:after="0" w:line="126" w:lineRule="exact"/>
        <w:rPr>
          <w:sz w:val="20"/>
          <w:szCs w:val="20"/>
          <w:color w:val="auto"/>
        </w:rPr>
      </w:pPr>
    </w:p>
    <w:p>
      <w:pPr>
        <w:ind w:left="360" w:right="660"/>
        <w:spacing w:after="0" w:line="274" w:lineRule="auto"/>
        <w:rPr>
          <w:sz w:val="20"/>
          <w:szCs w:val="20"/>
          <w:color w:val="auto"/>
        </w:rPr>
      </w:pPr>
      <w:r>
        <w:rPr>
          <w:rFonts w:ascii="Arial" w:cs="Arial" w:eastAsia="Arial" w:hAnsi="Arial"/>
          <w:sz w:val="17"/>
          <w:szCs w:val="17"/>
          <w:color w:val="auto"/>
        </w:rPr>
        <w:t>grant date; and (iv) 40% will vest 24 months from the grant date, subject in each case to Mr. Rutz’s continued employment in good standing with the Company through each applicable vesting date.</w:t>
      </w:r>
    </w:p>
    <w:p>
      <w:pPr>
        <w:spacing w:after="0" w:line="122" w:lineRule="exact"/>
        <w:rPr>
          <w:sz w:val="20"/>
          <w:szCs w:val="20"/>
          <w:color w:val="auto"/>
        </w:rPr>
      </w:pPr>
    </w:p>
    <w:p>
      <w:pPr>
        <w:jc w:val="both"/>
        <w:ind w:left="360" w:right="100"/>
        <w:spacing w:after="0" w:line="256" w:lineRule="auto"/>
        <w:rPr>
          <w:sz w:val="20"/>
          <w:szCs w:val="20"/>
          <w:color w:val="auto"/>
        </w:rPr>
      </w:pPr>
      <w:r>
        <w:rPr>
          <w:rFonts w:ascii="Arial" w:cs="Arial" w:eastAsia="Arial" w:hAnsi="Arial"/>
          <w:sz w:val="17"/>
          <w:szCs w:val="17"/>
          <w:color w:val="auto"/>
        </w:rPr>
        <w:t>Mr. Klaben’s November 2022 Incentive Award was granted in the form of RSUs and vests over three years as follows: (i) 25% will vest 12 months from the grant date; (ii) 25% will vest 24 months from the grant date; and (iii) 50% will vest 36 months from the grant date, subject in each case to Mr. Klaben’s continued employment in good standing with the Company through each applicable vesting date.</w:t>
      </w:r>
    </w:p>
    <w:p>
      <w:pPr>
        <w:spacing w:after="0" w:line="123" w:lineRule="exact"/>
        <w:rPr>
          <w:sz w:val="20"/>
          <w:szCs w:val="20"/>
          <w:color w:val="auto"/>
        </w:rPr>
      </w:pPr>
    </w:p>
    <w:p>
      <w:pPr>
        <w:ind w:left="360"/>
        <w:spacing w:after="0"/>
        <w:rPr>
          <w:sz w:val="20"/>
          <w:szCs w:val="20"/>
          <w:color w:val="auto"/>
        </w:rPr>
      </w:pPr>
      <w:r>
        <w:rPr>
          <w:rFonts w:ascii="Arial" w:cs="Arial" w:eastAsia="Arial" w:hAnsi="Arial"/>
          <w:sz w:val="17"/>
          <w:szCs w:val="17"/>
          <w:color w:val="auto"/>
        </w:rPr>
        <w:t>See “Long-Term Equity Incentive Compensation” on page 37 for additional information about the November 2022 Incentive Awards.</w:t>
      </w:r>
    </w:p>
    <w:p>
      <w:pPr>
        <w:spacing w:after="0" w:line="298" w:lineRule="exact"/>
        <w:rPr>
          <w:sz w:val="20"/>
          <w:szCs w:val="20"/>
          <w:color w:val="auto"/>
        </w:rPr>
      </w:pPr>
    </w:p>
    <w:p>
      <w:pPr>
        <w:ind w:left="360"/>
        <w:spacing w:after="0"/>
        <w:rPr>
          <w:sz w:val="20"/>
          <w:szCs w:val="20"/>
          <w:color w:val="auto"/>
        </w:rPr>
      </w:pPr>
      <w:r>
        <w:rPr>
          <w:rFonts w:ascii="Arial" w:cs="Arial" w:eastAsia="Arial" w:hAnsi="Arial"/>
          <w:sz w:val="31"/>
          <w:szCs w:val="31"/>
          <w:color w:val="00B0DB"/>
        </w:rPr>
        <w:t>Compensation Elements for 2022</w:t>
      </w:r>
    </w:p>
    <w:p>
      <w:pPr>
        <w:spacing w:after="0" w:line="208" w:lineRule="exact"/>
        <w:rPr>
          <w:sz w:val="20"/>
          <w:szCs w:val="20"/>
          <w:color w:val="auto"/>
        </w:rPr>
      </w:pPr>
    </w:p>
    <w:p>
      <w:pPr>
        <w:ind w:left="360"/>
        <w:spacing w:after="0"/>
        <w:rPr>
          <w:sz w:val="20"/>
          <w:szCs w:val="20"/>
          <w:color w:val="auto"/>
        </w:rPr>
      </w:pPr>
      <w:r>
        <w:rPr>
          <w:rFonts w:ascii="Arial" w:cs="Arial" w:eastAsia="Arial" w:hAnsi="Arial"/>
          <w:sz w:val="28"/>
          <w:szCs w:val="28"/>
          <w:color w:val="auto"/>
        </w:rPr>
        <w:t>Base Salary</w:t>
      </w:r>
    </w:p>
    <w:p>
      <w:pPr>
        <w:spacing w:after="0" w:line="220" w:lineRule="exact"/>
        <w:rPr>
          <w:sz w:val="20"/>
          <w:szCs w:val="20"/>
          <w:color w:val="auto"/>
        </w:rPr>
      </w:pPr>
    </w:p>
    <w:p>
      <w:pPr>
        <w:ind w:left="360" w:right="180"/>
        <w:spacing w:after="0" w:line="246" w:lineRule="auto"/>
        <w:rPr>
          <w:sz w:val="20"/>
          <w:szCs w:val="20"/>
          <w:color w:val="auto"/>
        </w:rPr>
      </w:pPr>
      <w:r>
        <w:rPr>
          <w:rFonts w:ascii="Arial" w:cs="Arial" w:eastAsia="Arial" w:hAnsi="Arial"/>
          <w:sz w:val="17"/>
          <w:szCs w:val="17"/>
          <w:color w:val="auto"/>
        </w:rPr>
        <w:t>To maintain competitiveness and internal pay equity, we provide each NEO with a base salary for the services the executive performs for us. This compensation component constitutes a stable element of compensation while other compensation elements are variable. As described above, when setting base salaries, the LD&amp;C Committee considers a multitude of factors, including market practice, individual performance, Company performance, any change in the executive’s position within our business, the scope of his or her responsibilities and any changes thereto.</w:t>
      </w:r>
    </w:p>
    <w:p>
      <w:pPr>
        <w:spacing w:after="0" w:line="134" w:lineRule="exact"/>
        <w:rPr>
          <w:sz w:val="20"/>
          <w:szCs w:val="20"/>
          <w:color w:val="auto"/>
        </w:rPr>
      </w:pPr>
    </w:p>
    <w:p>
      <w:pPr>
        <w:ind w:left="360" w:right="20"/>
        <w:spacing w:after="0" w:line="246" w:lineRule="auto"/>
        <w:rPr>
          <w:sz w:val="20"/>
          <w:szCs w:val="20"/>
          <w:color w:val="auto"/>
        </w:rPr>
      </w:pPr>
      <w:r>
        <w:rPr>
          <w:rFonts w:ascii="Arial" w:cs="Arial" w:eastAsia="Arial" w:hAnsi="Arial"/>
          <w:sz w:val="17"/>
          <w:szCs w:val="17"/>
          <w:color w:val="auto"/>
        </w:rPr>
        <w:t>Base salary increases are not guaranteed or automatic. In March 2022, based on the factors described in “2022 Compensation Decisions”, the LD&amp;C Committee approved base salary increases for Messrs. Petras, Rutz, Klaben, Leffler and Hammons, effective March 21, 2022. Base salaries for each of Messrs. Biehl and Dimitrief were approved by the Committee in July and October 2022, in connection with their joining the Company as Interim CFO and SVP, General Counsel and Secretary, respectively. The base salaries of our NEOs for 2021 (as applicable) and 2022 were as follows:</w:t>
      </w:r>
    </w:p>
    <w:p>
      <w:pPr>
        <w:spacing w:after="0" w:line="170" w:lineRule="exact"/>
        <w:rPr>
          <w:sz w:val="20"/>
          <w:szCs w:val="20"/>
          <w:color w:val="auto"/>
        </w:rPr>
      </w:pPr>
    </w:p>
    <w:tbl>
      <w:tblPr>
        <w:tblLayout w:type="fixed"/>
        <w:tblInd w:w="360" w:type="dxa"/>
        <w:tblCellMar>
          <w:top w:w="0" w:type="dxa"/>
          <w:left w:w="0" w:type="dxa"/>
          <w:bottom w:w="0" w:type="dxa"/>
          <w:right w:w="0" w:type="dxa"/>
        </w:tblCellMar>
      </w:tblPr>
      <w:tr>
        <w:trPr>
          <w:trHeight w:val="161"/>
        </w:trPr>
        <w:tc>
          <w:tcPr>
            <w:tcW w:w="6900" w:type="dxa"/>
            <w:vAlign w:val="bottom"/>
          </w:tcPr>
          <w:p>
            <w:pPr>
              <w:spacing w:after="0"/>
              <w:rPr>
                <w:sz w:val="14"/>
                <w:szCs w:val="14"/>
                <w:color w:val="auto"/>
              </w:rPr>
            </w:pPr>
          </w:p>
        </w:tc>
        <w:tc>
          <w:tcPr>
            <w:tcW w:w="2460" w:type="dxa"/>
            <w:vAlign w:val="bottom"/>
            <w:gridSpan w:val="2"/>
          </w:tcPr>
          <w:p>
            <w:pPr>
              <w:jc w:val="right"/>
              <w:ind w:right="636"/>
              <w:spacing w:after="0"/>
              <w:rPr>
                <w:sz w:val="20"/>
                <w:szCs w:val="20"/>
                <w:color w:val="auto"/>
              </w:rPr>
            </w:pPr>
            <w:r>
              <w:rPr>
                <w:rFonts w:ascii="Arial" w:cs="Arial" w:eastAsia="Arial" w:hAnsi="Arial"/>
                <w:sz w:val="14"/>
                <w:szCs w:val="14"/>
                <w:b w:val="1"/>
                <w:bCs w:val="1"/>
                <w:color w:val="00467D"/>
              </w:rPr>
              <w:t>Base Salary</w:t>
            </w:r>
          </w:p>
        </w:tc>
        <w:tc>
          <w:tcPr>
            <w:tcW w:w="1180" w:type="dxa"/>
            <w:vAlign w:val="bottom"/>
          </w:tcPr>
          <w:p>
            <w:pPr>
              <w:spacing w:after="0"/>
              <w:rPr>
                <w:sz w:val="14"/>
                <w:szCs w:val="14"/>
                <w:color w:val="auto"/>
              </w:rPr>
            </w:pPr>
          </w:p>
        </w:tc>
      </w:tr>
      <w:tr>
        <w:trPr>
          <w:trHeight w:val="245"/>
        </w:trPr>
        <w:tc>
          <w:tcPr>
            <w:tcW w:w="6900" w:type="dxa"/>
            <w:vAlign w:val="bottom"/>
          </w:tcPr>
          <w:p>
            <w:pPr>
              <w:spacing w:after="0"/>
              <w:rPr>
                <w:sz w:val="21"/>
                <w:szCs w:val="21"/>
                <w:color w:val="auto"/>
              </w:rPr>
            </w:pPr>
          </w:p>
        </w:tc>
        <w:tc>
          <w:tcPr>
            <w:tcW w:w="2460" w:type="dxa"/>
            <w:vAlign w:val="bottom"/>
            <w:tcBorders>
              <w:bottom w:val="single" w:sz="8" w:color="00467D"/>
            </w:tcBorders>
            <w:gridSpan w:val="2"/>
          </w:tcPr>
          <w:p>
            <w:pPr>
              <w:jc w:val="right"/>
              <w:ind w:right="376"/>
              <w:spacing w:after="0"/>
              <w:rPr>
                <w:sz w:val="20"/>
                <w:szCs w:val="20"/>
                <w:color w:val="auto"/>
              </w:rPr>
            </w:pPr>
            <w:r>
              <w:rPr>
                <w:rFonts w:ascii="Arial" w:cs="Arial" w:eastAsia="Arial" w:hAnsi="Arial"/>
                <w:sz w:val="14"/>
                <w:szCs w:val="14"/>
                <w:b w:val="1"/>
                <w:bCs w:val="1"/>
                <w:color w:val="00467D"/>
              </w:rPr>
              <w:t xml:space="preserve">(Annualized Rate) </w:t>
            </w:r>
            <w:r>
              <w:rPr>
                <w:rFonts w:ascii="Arial" w:cs="Arial" w:eastAsia="Arial" w:hAnsi="Arial"/>
                <w:sz w:val="20"/>
                <w:szCs w:val="20"/>
                <w:b w:val="1"/>
                <w:bCs w:val="1"/>
                <w:color w:val="00467D"/>
                <w:vertAlign w:val="superscript"/>
              </w:rPr>
              <w:t>(1)</w:t>
            </w:r>
          </w:p>
        </w:tc>
        <w:tc>
          <w:tcPr>
            <w:tcW w:w="1180" w:type="dxa"/>
            <w:vAlign w:val="bottom"/>
          </w:tcPr>
          <w:p>
            <w:pPr>
              <w:spacing w:after="0"/>
              <w:rPr>
                <w:sz w:val="21"/>
                <w:szCs w:val="21"/>
                <w:color w:val="auto"/>
              </w:rPr>
            </w:pPr>
          </w:p>
        </w:tc>
      </w:tr>
      <w:tr>
        <w:trPr>
          <w:trHeight w:val="148"/>
        </w:trPr>
        <w:tc>
          <w:tcPr>
            <w:tcW w:w="6900" w:type="dxa"/>
            <w:vAlign w:val="bottom"/>
            <w:tcBorders>
              <w:bottom w:val="single" w:sz="8" w:color="00467D"/>
            </w:tcBorders>
          </w:tcPr>
          <w:p>
            <w:pPr>
              <w:ind w:left="60"/>
              <w:spacing w:after="0" w:line="148" w:lineRule="exact"/>
              <w:rPr>
                <w:sz w:val="20"/>
                <w:szCs w:val="20"/>
                <w:color w:val="auto"/>
              </w:rPr>
            </w:pPr>
            <w:r>
              <w:rPr>
                <w:rFonts w:ascii="Arial" w:cs="Arial" w:eastAsia="Arial" w:hAnsi="Arial"/>
                <w:sz w:val="14"/>
                <w:szCs w:val="14"/>
                <w:b w:val="1"/>
                <w:bCs w:val="1"/>
                <w:color w:val="00467D"/>
              </w:rPr>
              <w:t>Named Executive Officer</w:t>
            </w:r>
          </w:p>
        </w:tc>
        <w:tc>
          <w:tcPr>
            <w:tcW w:w="1360" w:type="dxa"/>
            <w:vAlign w:val="bottom"/>
            <w:tcBorders>
              <w:bottom w:val="single" w:sz="8" w:color="00467D"/>
            </w:tcBorders>
          </w:tcPr>
          <w:p>
            <w:pPr>
              <w:jc w:val="right"/>
              <w:ind w:right="379"/>
              <w:spacing w:after="0" w:line="148" w:lineRule="exact"/>
              <w:rPr>
                <w:sz w:val="20"/>
                <w:szCs w:val="20"/>
                <w:color w:val="auto"/>
              </w:rPr>
            </w:pPr>
            <w:r>
              <w:rPr>
                <w:rFonts w:ascii="Arial" w:cs="Arial" w:eastAsia="Arial" w:hAnsi="Arial"/>
                <w:sz w:val="14"/>
                <w:szCs w:val="14"/>
                <w:b w:val="1"/>
                <w:bCs w:val="1"/>
                <w:color w:val="00467D"/>
              </w:rPr>
              <w:t>2021</w:t>
            </w:r>
          </w:p>
        </w:tc>
        <w:tc>
          <w:tcPr>
            <w:tcW w:w="1100" w:type="dxa"/>
            <w:vAlign w:val="bottom"/>
            <w:tcBorders>
              <w:bottom w:val="single" w:sz="8" w:color="00467D"/>
            </w:tcBorders>
          </w:tcPr>
          <w:p>
            <w:pPr>
              <w:jc w:val="right"/>
              <w:ind w:right="256"/>
              <w:spacing w:after="0" w:line="148" w:lineRule="exact"/>
              <w:rPr>
                <w:sz w:val="20"/>
                <w:szCs w:val="20"/>
                <w:color w:val="auto"/>
              </w:rPr>
            </w:pPr>
            <w:r>
              <w:rPr>
                <w:rFonts w:ascii="Arial" w:cs="Arial" w:eastAsia="Arial" w:hAnsi="Arial"/>
                <w:sz w:val="14"/>
                <w:szCs w:val="14"/>
                <w:b w:val="1"/>
                <w:bCs w:val="1"/>
                <w:color w:val="00467D"/>
              </w:rPr>
              <w:t>2022</w:t>
            </w:r>
          </w:p>
        </w:tc>
        <w:tc>
          <w:tcPr>
            <w:tcW w:w="1180" w:type="dxa"/>
            <w:vAlign w:val="bottom"/>
            <w:tcBorders>
              <w:bottom w:val="single" w:sz="8" w:color="00467D"/>
            </w:tcBorders>
          </w:tcPr>
          <w:p>
            <w:pPr>
              <w:jc w:val="right"/>
              <w:ind w:right="136"/>
              <w:spacing w:after="0" w:line="148" w:lineRule="exact"/>
              <w:rPr>
                <w:sz w:val="20"/>
                <w:szCs w:val="20"/>
                <w:color w:val="auto"/>
              </w:rPr>
            </w:pPr>
            <w:r>
              <w:rPr>
                <w:rFonts w:ascii="Arial" w:cs="Arial" w:eastAsia="Arial" w:hAnsi="Arial"/>
                <w:sz w:val="14"/>
                <w:szCs w:val="14"/>
                <w:b w:val="1"/>
                <w:bCs w:val="1"/>
                <w:color w:val="00467D"/>
              </w:rPr>
              <w:t>% Change</w:t>
            </w:r>
          </w:p>
        </w:tc>
      </w:tr>
      <w:tr>
        <w:trPr>
          <w:trHeight w:val="246"/>
        </w:trPr>
        <w:tc>
          <w:tcPr>
            <w:tcW w:w="6900" w:type="dxa"/>
            <w:vAlign w:val="bottom"/>
            <w:tcBorders>
              <w:bottom w:val="single" w:sz="8" w:color="99B5CB"/>
            </w:tcBorders>
          </w:tcPr>
          <w:p>
            <w:pPr>
              <w:ind w:left="60"/>
              <w:spacing w:after="0"/>
              <w:rPr>
                <w:sz w:val="20"/>
                <w:szCs w:val="20"/>
                <w:color w:val="auto"/>
              </w:rPr>
            </w:pPr>
            <w:r>
              <w:rPr>
                <w:rFonts w:ascii="Arial" w:cs="Arial" w:eastAsia="Arial" w:hAnsi="Arial"/>
                <w:sz w:val="17"/>
                <w:szCs w:val="17"/>
                <w:color w:val="auto"/>
              </w:rPr>
              <w:t>Michael B. Petras, Jr.</w:t>
            </w:r>
          </w:p>
        </w:tc>
        <w:tc>
          <w:tcPr>
            <w:tcW w:w="1360" w:type="dxa"/>
            <w:vAlign w:val="bottom"/>
            <w:tcBorders>
              <w:bottom w:val="single" w:sz="8" w:color="99B5CB"/>
            </w:tcBorders>
          </w:tcPr>
          <w:p>
            <w:pPr>
              <w:jc w:val="right"/>
              <w:ind w:right="99"/>
              <w:spacing w:after="0"/>
              <w:rPr>
                <w:sz w:val="20"/>
                <w:szCs w:val="20"/>
                <w:color w:val="auto"/>
              </w:rPr>
            </w:pPr>
            <w:r>
              <w:rPr>
                <w:rFonts w:ascii="Arial" w:cs="Arial" w:eastAsia="Arial" w:hAnsi="Arial"/>
                <w:sz w:val="17"/>
                <w:szCs w:val="17"/>
                <w:color w:val="auto"/>
              </w:rPr>
              <w:t>$1,000,000</w:t>
            </w:r>
          </w:p>
        </w:tc>
        <w:tc>
          <w:tcPr>
            <w:tcW w:w="1100" w:type="dxa"/>
            <w:vAlign w:val="bottom"/>
            <w:tcBorders>
              <w:bottom w:val="single" w:sz="8" w:color="99B5CB"/>
            </w:tcBorders>
          </w:tcPr>
          <w:p>
            <w:pPr>
              <w:jc w:val="right"/>
              <w:spacing w:after="0"/>
              <w:rPr>
                <w:sz w:val="20"/>
                <w:szCs w:val="20"/>
                <w:color w:val="auto"/>
              </w:rPr>
            </w:pPr>
            <w:r>
              <w:rPr>
                <w:rFonts w:ascii="Arial" w:cs="Arial" w:eastAsia="Arial" w:hAnsi="Arial"/>
                <w:sz w:val="17"/>
                <w:szCs w:val="17"/>
                <w:color w:val="auto"/>
              </w:rPr>
              <w:t>$1,050,000</w:t>
            </w:r>
          </w:p>
        </w:tc>
        <w:tc>
          <w:tcPr>
            <w:tcW w:w="1180" w:type="dxa"/>
            <w:vAlign w:val="bottom"/>
            <w:tcBorders>
              <w:bottom w:val="single" w:sz="8" w:color="99B5CB"/>
            </w:tcBorders>
          </w:tcPr>
          <w:p>
            <w:pPr>
              <w:jc w:val="right"/>
              <w:spacing w:after="0"/>
              <w:rPr>
                <w:sz w:val="20"/>
                <w:szCs w:val="20"/>
                <w:color w:val="auto"/>
              </w:rPr>
            </w:pPr>
            <w:r>
              <w:rPr>
                <w:rFonts w:ascii="Arial" w:cs="Arial" w:eastAsia="Arial" w:hAnsi="Arial"/>
                <w:sz w:val="17"/>
                <w:szCs w:val="17"/>
                <w:color w:val="auto"/>
              </w:rPr>
              <w:t>5%</w:t>
            </w:r>
          </w:p>
        </w:tc>
      </w:tr>
      <w:tr>
        <w:trPr>
          <w:trHeight w:val="251"/>
        </w:trPr>
        <w:tc>
          <w:tcPr>
            <w:tcW w:w="6900" w:type="dxa"/>
            <w:vAlign w:val="bottom"/>
            <w:tcBorders>
              <w:bottom w:val="single" w:sz="8" w:color="99B5CB"/>
            </w:tcBorders>
          </w:tcPr>
          <w:p>
            <w:pPr>
              <w:ind w:left="60"/>
              <w:spacing w:after="0"/>
              <w:rPr>
                <w:sz w:val="20"/>
                <w:szCs w:val="20"/>
                <w:color w:val="auto"/>
              </w:rPr>
            </w:pPr>
            <w:r>
              <w:rPr>
                <w:rFonts w:ascii="Arial" w:cs="Arial" w:eastAsia="Arial" w:hAnsi="Arial"/>
                <w:sz w:val="17"/>
                <w:szCs w:val="17"/>
                <w:color w:val="auto"/>
              </w:rPr>
              <w:t>Michael F. Biehl</w:t>
            </w:r>
          </w:p>
        </w:tc>
        <w:tc>
          <w:tcPr>
            <w:tcW w:w="1360" w:type="dxa"/>
            <w:vAlign w:val="bottom"/>
            <w:tcBorders>
              <w:bottom w:val="single" w:sz="8" w:color="99B5CB"/>
            </w:tcBorders>
          </w:tcPr>
          <w:p>
            <w:pPr>
              <w:jc w:val="right"/>
              <w:ind w:right="99"/>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99B5CB"/>
            </w:tcBorders>
          </w:tcPr>
          <w:p>
            <w:pPr>
              <w:jc w:val="right"/>
              <w:spacing w:after="0"/>
              <w:rPr>
                <w:sz w:val="20"/>
                <w:szCs w:val="20"/>
                <w:color w:val="auto"/>
              </w:rPr>
            </w:pPr>
            <w:r>
              <w:rPr>
                <w:rFonts w:ascii="Arial" w:cs="Arial" w:eastAsia="Arial" w:hAnsi="Arial"/>
                <w:sz w:val="17"/>
                <w:szCs w:val="17"/>
                <w:color w:val="auto"/>
              </w:rPr>
              <w:t>900,000</w:t>
            </w:r>
          </w:p>
        </w:tc>
        <w:tc>
          <w:tcPr>
            <w:tcW w:w="1180" w:type="dxa"/>
            <w:vAlign w:val="bottom"/>
            <w:tcBorders>
              <w:bottom w:val="single" w:sz="8" w:color="99B5CB"/>
            </w:tcBorders>
          </w:tcPr>
          <w:p>
            <w:pPr>
              <w:jc w:val="right"/>
              <w:ind w:right="136"/>
              <w:spacing w:after="0"/>
              <w:rPr>
                <w:sz w:val="20"/>
                <w:szCs w:val="20"/>
                <w:color w:val="auto"/>
              </w:rPr>
            </w:pPr>
            <w:r>
              <w:rPr>
                <w:rFonts w:ascii="Arial" w:cs="Arial" w:eastAsia="Arial" w:hAnsi="Arial"/>
                <w:sz w:val="17"/>
                <w:szCs w:val="17"/>
                <w:color w:val="auto"/>
              </w:rPr>
              <w:t>—</w:t>
            </w:r>
          </w:p>
        </w:tc>
      </w:tr>
      <w:tr>
        <w:trPr>
          <w:trHeight w:val="251"/>
        </w:trPr>
        <w:tc>
          <w:tcPr>
            <w:tcW w:w="6900" w:type="dxa"/>
            <w:vAlign w:val="bottom"/>
            <w:tcBorders>
              <w:bottom w:val="single" w:sz="8" w:color="99B5CB"/>
            </w:tcBorders>
          </w:tcPr>
          <w:p>
            <w:pPr>
              <w:ind w:left="60"/>
              <w:spacing w:after="0"/>
              <w:rPr>
                <w:sz w:val="20"/>
                <w:szCs w:val="20"/>
                <w:color w:val="auto"/>
              </w:rPr>
            </w:pPr>
            <w:r>
              <w:rPr>
                <w:rFonts w:ascii="Arial" w:cs="Arial" w:eastAsia="Arial" w:hAnsi="Arial"/>
                <w:sz w:val="17"/>
                <w:szCs w:val="17"/>
                <w:color w:val="auto"/>
              </w:rPr>
              <w:t>Michael P. Rutz</w:t>
            </w:r>
          </w:p>
        </w:tc>
        <w:tc>
          <w:tcPr>
            <w:tcW w:w="1360" w:type="dxa"/>
            <w:vAlign w:val="bottom"/>
            <w:tcBorders>
              <w:bottom w:val="single" w:sz="8" w:color="99B5CB"/>
            </w:tcBorders>
          </w:tcPr>
          <w:p>
            <w:pPr>
              <w:jc w:val="right"/>
              <w:ind w:right="99"/>
              <w:spacing w:after="0"/>
              <w:rPr>
                <w:sz w:val="20"/>
                <w:szCs w:val="20"/>
                <w:color w:val="auto"/>
              </w:rPr>
            </w:pPr>
            <w:r>
              <w:rPr>
                <w:rFonts w:ascii="Arial" w:cs="Arial" w:eastAsia="Arial" w:hAnsi="Arial"/>
                <w:sz w:val="17"/>
                <w:szCs w:val="17"/>
                <w:color w:val="auto"/>
              </w:rPr>
              <w:t>430,000</w:t>
            </w:r>
          </w:p>
        </w:tc>
        <w:tc>
          <w:tcPr>
            <w:tcW w:w="1100" w:type="dxa"/>
            <w:vAlign w:val="bottom"/>
            <w:tcBorders>
              <w:bottom w:val="single" w:sz="8" w:color="99B5CB"/>
            </w:tcBorders>
          </w:tcPr>
          <w:p>
            <w:pPr>
              <w:jc w:val="right"/>
              <w:spacing w:after="0"/>
              <w:rPr>
                <w:sz w:val="20"/>
                <w:szCs w:val="20"/>
                <w:color w:val="auto"/>
              </w:rPr>
            </w:pPr>
            <w:r>
              <w:rPr>
                <w:rFonts w:ascii="Arial" w:cs="Arial" w:eastAsia="Arial" w:hAnsi="Arial"/>
                <w:sz w:val="17"/>
                <w:szCs w:val="17"/>
                <w:color w:val="auto"/>
              </w:rPr>
              <w:t>450,000</w:t>
            </w:r>
          </w:p>
        </w:tc>
        <w:tc>
          <w:tcPr>
            <w:tcW w:w="1180" w:type="dxa"/>
            <w:vAlign w:val="bottom"/>
            <w:tcBorders>
              <w:bottom w:val="single" w:sz="8" w:color="99B5CB"/>
            </w:tcBorders>
          </w:tcPr>
          <w:p>
            <w:pPr>
              <w:jc w:val="right"/>
              <w:spacing w:after="0"/>
              <w:rPr>
                <w:sz w:val="20"/>
                <w:szCs w:val="20"/>
                <w:color w:val="auto"/>
              </w:rPr>
            </w:pPr>
            <w:r>
              <w:rPr>
                <w:rFonts w:ascii="Arial" w:cs="Arial" w:eastAsia="Arial" w:hAnsi="Arial"/>
                <w:sz w:val="17"/>
                <w:szCs w:val="17"/>
                <w:color w:val="auto"/>
              </w:rPr>
              <w:t>5%</w:t>
            </w:r>
          </w:p>
        </w:tc>
      </w:tr>
      <w:tr>
        <w:trPr>
          <w:trHeight w:val="251"/>
        </w:trPr>
        <w:tc>
          <w:tcPr>
            <w:tcW w:w="6900" w:type="dxa"/>
            <w:vAlign w:val="bottom"/>
            <w:tcBorders>
              <w:bottom w:val="single" w:sz="8" w:color="99B5CB"/>
            </w:tcBorders>
          </w:tcPr>
          <w:p>
            <w:pPr>
              <w:ind w:left="60"/>
              <w:spacing w:after="0"/>
              <w:rPr>
                <w:sz w:val="20"/>
                <w:szCs w:val="20"/>
                <w:color w:val="auto"/>
              </w:rPr>
            </w:pPr>
            <w:r>
              <w:rPr>
                <w:rFonts w:ascii="Arial" w:cs="Arial" w:eastAsia="Arial" w:hAnsi="Arial"/>
                <w:sz w:val="17"/>
                <w:szCs w:val="17"/>
                <w:color w:val="auto"/>
              </w:rPr>
              <w:t>Alexander Dimitrief</w:t>
            </w:r>
          </w:p>
        </w:tc>
        <w:tc>
          <w:tcPr>
            <w:tcW w:w="1360" w:type="dxa"/>
            <w:vAlign w:val="bottom"/>
            <w:tcBorders>
              <w:bottom w:val="single" w:sz="8" w:color="99B5CB"/>
            </w:tcBorders>
          </w:tcPr>
          <w:p>
            <w:pPr>
              <w:jc w:val="right"/>
              <w:ind w:right="99"/>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99B5CB"/>
            </w:tcBorders>
          </w:tcPr>
          <w:p>
            <w:pPr>
              <w:jc w:val="right"/>
              <w:spacing w:after="0"/>
              <w:rPr>
                <w:sz w:val="20"/>
                <w:szCs w:val="20"/>
                <w:color w:val="auto"/>
              </w:rPr>
            </w:pPr>
            <w:r>
              <w:rPr>
                <w:rFonts w:ascii="Arial" w:cs="Arial" w:eastAsia="Arial" w:hAnsi="Arial"/>
                <w:sz w:val="17"/>
                <w:szCs w:val="17"/>
                <w:color w:val="auto"/>
              </w:rPr>
              <w:t>600,000</w:t>
            </w:r>
          </w:p>
        </w:tc>
        <w:tc>
          <w:tcPr>
            <w:tcW w:w="1180" w:type="dxa"/>
            <w:vAlign w:val="bottom"/>
            <w:tcBorders>
              <w:bottom w:val="single" w:sz="8" w:color="99B5CB"/>
            </w:tcBorders>
          </w:tcPr>
          <w:p>
            <w:pPr>
              <w:jc w:val="right"/>
              <w:ind w:right="136"/>
              <w:spacing w:after="0"/>
              <w:rPr>
                <w:sz w:val="20"/>
                <w:szCs w:val="20"/>
                <w:color w:val="auto"/>
              </w:rPr>
            </w:pPr>
            <w:r>
              <w:rPr>
                <w:rFonts w:ascii="Arial" w:cs="Arial" w:eastAsia="Arial" w:hAnsi="Arial"/>
                <w:sz w:val="17"/>
                <w:szCs w:val="17"/>
                <w:color w:val="auto"/>
              </w:rPr>
              <w:t>—</w:t>
            </w:r>
          </w:p>
        </w:tc>
      </w:tr>
      <w:tr>
        <w:trPr>
          <w:trHeight w:val="256"/>
        </w:trPr>
        <w:tc>
          <w:tcPr>
            <w:tcW w:w="6900" w:type="dxa"/>
            <w:vAlign w:val="bottom"/>
            <w:tcBorders>
              <w:bottom w:val="single" w:sz="8" w:color="99B5CB"/>
            </w:tcBorders>
          </w:tcPr>
          <w:p>
            <w:pPr>
              <w:ind w:left="60"/>
              <w:spacing w:after="0" w:line="256" w:lineRule="exact"/>
              <w:rPr>
                <w:sz w:val="20"/>
                <w:szCs w:val="20"/>
                <w:color w:val="auto"/>
              </w:rPr>
            </w:pPr>
            <w:r>
              <w:rPr>
                <w:rFonts w:ascii="Arial" w:cs="Arial" w:eastAsia="Arial" w:hAnsi="Arial"/>
                <w:sz w:val="17"/>
                <w:szCs w:val="17"/>
                <w:color w:val="auto"/>
              </w:rPr>
              <w:t>Matthew J. Klaben</w:t>
            </w:r>
            <w:r>
              <w:rPr>
                <w:rFonts w:ascii="Arial" w:cs="Arial" w:eastAsia="Arial" w:hAnsi="Arial"/>
                <w:sz w:val="25"/>
                <w:szCs w:val="25"/>
                <w:color w:val="auto"/>
                <w:vertAlign w:val="superscript"/>
              </w:rPr>
              <w:t>(2)</w:t>
            </w:r>
          </w:p>
        </w:tc>
        <w:tc>
          <w:tcPr>
            <w:tcW w:w="1360" w:type="dxa"/>
            <w:vAlign w:val="bottom"/>
            <w:tcBorders>
              <w:bottom w:val="single" w:sz="8" w:color="99B5CB"/>
            </w:tcBorders>
          </w:tcPr>
          <w:p>
            <w:pPr>
              <w:jc w:val="right"/>
              <w:ind w:right="99"/>
              <w:spacing w:after="0"/>
              <w:rPr>
                <w:sz w:val="20"/>
                <w:szCs w:val="20"/>
                <w:color w:val="auto"/>
              </w:rPr>
            </w:pPr>
            <w:r>
              <w:rPr>
                <w:rFonts w:ascii="Arial" w:cs="Arial" w:eastAsia="Arial" w:hAnsi="Arial"/>
                <w:sz w:val="17"/>
                <w:szCs w:val="17"/>
                <w:color w:val="auto"/>
              </w:rPr>
              <w:t>425,000</w:t>
            </w:r>
          </w:p>
        </w:tc>
        <w:tc>
          <w:tcPr>
            <w:tcW w:w="1100" w:type="dxa"/>
            <w:vAlign w:val="bottom"/>
            <w:tcBorders>
              <w:bottom w:val="single" w:sz="8" w:color="99B5CB"/>
            </w:tcBorders>
          </w:tcPr>
          <w:p>
            <w:pPr>
              <w:jc w:val="right"/>
              <w:spacing w:after="0"/>
              <w:rPr>
                <w:sz w:val="20"/>
                <w:szCs w:val="20"/>
                <w:color w:val="auto"/>
              </w:rPr>
            </w:pPr>
            <w:r>
              <w:rPr>
                <w:rFonts w:ascii="Arial" w:cs="Arial" w:eastAsia="Arial" w:hAnsi="Arial"/>
                <w:sz w:val="17"/>
                <w:szCs w:val="17"/>
                <w:color w:val="auto"/>
              </w:rPr>
              <w:t>440,000</w:t>
            </w:r>
          </w:p>
        </w:tc>
        <w:tc>
          <w:tcPr>
            <w:tcW w:w="1180" w:type="dxa"/>
            <w:vAlign w:val="bottom"/>
            <w:tcBorders>
              <w:bottom w:val="single" w:sz="8" w:color="99B5CB"/>
            </w:tcBorders>
          </w:tcPr>
          <w:p>
            <w:pPr>
              <w:jc w:val="right"/>
              <w:spacing w:after="0"/>
              <w:rPr>
                <w:sz w:val="20"/>
                <w:szCs w:val="20"/>
                <w:color w:val="auto"/>
              </w:rPr>
            </w:pPr>
            <w:r>
              <w:rPr>
                <w:rFonts w:ascii="Arial" w:cs="Arial" w:eastAsia="Arial" w:hAnsi="Arial"/>
                <w:sz w:val="17"/>
                <w:szCs w:val="17"/>
                <w:color w:val="auto"/>
              </w:rPr>
              <w:t>4%</w:t>
            </w:r>
          </w:p>
        </w:tc>
      </w:tr>
      <w:tr>
        <w:trPr>
          <w:trHeight w:val="246"/>
        </w:trPr>
        <w:tc>
          <w:tcPr>
            <w:tcW w:w="6900" w:type="dxa"/>
            <w:vAlign w:val="bottom"/>
            <w:tcBorders>
              <w:bottom w:val="single" w:sz="8" w:color="99B5CB"/>
            </w:tcBorders>
          </w:tcPr>
          <w:p>
            <w:pPr>
              <w:ind w:left="60"/>
              <w:spacing w:after="0"/>
              <w:rPr>
                <w:sz w:val="20"/>
                <w:szCs w:val="20"/>
                <w:color w:val="auto"/>
              </w:rPr>
            </w:pPr>
            <w:r>
              <w:rPr>
                <w:rFonts w:ascii="Arial" w:cs="Arial" w:eastAsia="Arial" w:hAnsi="Arial"/>
                <w:sz w:val="17"/>
                <w:szCs w:val="17"/>
                <w:color w:val="auto"/>
              </w:rPr>
              <w:t>Scott J. Leffler</w:t>
            </w:r>
          </w:p>
        </w:tc>
        <w:tc>
          <w:tcPr>
            <w:tcW w:w="1360" w:type="dxa"/>
            <w:vAlign w:val="bottom"/>
            <w:tcBorders>
              <w:bottom w:val="single" w:sz="8" w:color="99B5CB"/>
            </w:tcBorders>
          </w:tcPr>
          <w:p>
            <w:pPr>
              <w:jc w:val="right"/>
              <w:ind w:right="99"/>
              <w:spacing w:after="0"/>
              <w:rPr>
                <w:sz w:val="20"/>
                <w:szCs w:val="20"/>
                <w:color w:val="auto"/>
              </w:rPr>
            </w:pPr>
            <w:r>
              <w:rPr>
                <w:rFonts w:ascii="Arial" w:cs="Arial" w:eastAsia="Arial" w:hAnsi="Arial"/>
                <w:sz w:val="17"/>
                <w:szCs w:val="17"/>
                <w:color w:val="auto"/>
              </w:rPr>
              <w:t>450,000</w:t>
            </w:r>
          </w:p>
        </w:tc>
        <w:tc>
          <w:tcPr>
            <w:tcW w:w="1100" w:type="dxa"/>
            <w:vAlign w:val="bottom"/>
            <w:tcBorders>
              <w:bottom w:val="single" w:sz="8" w:color="99B5CB"/>
            </w:tcBorders>
          </w:tcPr>
          <w:p>
            <w:pPr>
              <w:jc w:val="right"/>
              <w:spacing w:after="0"/>
              <w:rPr>
                <w:sz w:val="20"/>
                <w:szCs w:val="20"/>
                <w:color w:val="auto"/>
              </w:rPr>
            </w:pPr>
            <w:r>
              <w:rPr>
                <w:rFonts w:ascii="Arial" w:cs="Arial" w:eastAsia="Arial" w:hAnsi="Arial"/>
                <w:sz w:val="17"/>
                <w:szCs w:val="17"/>
                <w:color w:val="auto"/>
              </w:rPr>
              <w:t>500,000</w:t>
            </w:r>
          </w:p>
        </w:tc>
        <w:tc>
          <w:tcPr>
            <w:tcW w:w="1180" w:type="dxa"/>
            <w:vAlign w:val="bottom"/>
            <w:tcBorders>
              <w:bottom w:val="single" w:sz="8" w:color="99B5CB"/>
            </w:tcBorders>
          </w:tcPr>
          <w:p>
            <w:pPr>
              <w:jc w:val="right"/>
              <w:spacing w:after="0"/>
              <w:rPr>
                <w:sz w:val="20"/>
                <w:szCs w:val="20"/>
                <w:color w:val="auto"/>
              </w:rPr>
            </w:pPr>
            <w:r>
              <w:rPr>
                <w:rFonts w:ascii="Arial" w:cs="Arial" w:eastAsia="Arial" w:hAnsi="Arial"/>
                <w:sz w:val="17"/>
                <w:szCs w:val="17"/>
                <w:color w:val="auto"/>
              </w:rPr>
              <w:t>11%</w:t>
            </w:r>
          </w:p>
        </w:tc>
      </w:tr>
      <w:tr>
        <w:trPr>
          <w:trHeight w:val="251"/>
        </w:trPr>
        <w:tc>
          <w:tcPr>
            <w:tcW w:w="6900" w:type="dxa"/>
            <w:vAlign w:val="bottom"/>
            <w:tcBorders>
              <w:bottom w:val="single" w:sz="8" w:color="00467D"/>
            </w:tcBorders>
          </w:tcPr>
          <w:p>
            <w:pPr>
              <w:ind w:left="60"/>
              <w:spacing w:after="0"/>
              <w:rPr>
                <w:sz w:val="20"/>
                <w:szCs w:val="20"/>
                <w:color w:val="auto"/>
              </w:rPr>
            </w:pPr>
            <w:r>
              <w:rPr>
                <w:rFonts w:ascii="Arial" w:cs="Arial" w:eastAsia="Arial" w:hAnsi="Arial"/>
                <w:sz w:val="17"/>
                <w:szCs w:val="17"/>
                <w:color w:val="auto"/>
              </w:rPr>
              <w:t>Terrence G. Hammons, Jr.</w:t>
            </w:r>
          </w:p>
        </w:tc>
        <w:tc>
          <w:tcPr>
            <w:tcW w:w="1360" w:type="dxa"/>
            <w:vAlign w:val="bottom"/>
            <w:tcBorders>
              <w:bottom w:val="single" w:sz="8" w:color="00467D"/>
            </w:tcBorders>
          </w:tcPr>
          <w:p>
            <w:pPr>
              <w:jc w:val="right"/>
              <w:ind w:right="99"/>
              <w:spacing w:after="0"/>
              <w:rPr>
                <w:sz w:val="20"/>
                <w:szCs w:val="20"/>
                <w:color w:val="auto"/>
              </w:rPr>
            </w:pPr>
            <w:r>
              <w:rPr>
                <w:rFonts w:ascii="Arial" w:cs="Arial" w:eastAsia="Arial" w:hAnsi="Arial"/>
                <w:sz w:val="17"/>
                <w:szCs w:val="17"/>
                <w:color w:val="auto"/>
              </w:rPr>
              <w:t>425,000</w:t>
            </w:r>
          </w:p>
        </w:tc>
        <w:tc>
          <w:tcPr>
            <w:tcW w:w="1100" w:type="dxa"/>
            <w:vAlign w:val="bottom"/>
            <w:tcBorders>
              <w:bottom w:val="single" w:sz="8" w:color="00467D"/>
            </w:tcBorders>
          </w:tcPr>
          <w:p>
            <w:pPr>
              <w:jc w:val="right"/>
              <w:spacing w:after="0"/>
              <w:rPr>
                <w:sz w:val="20"/>
                <w:szCs w:val="20"/>
                <w:color w:val="auto"/>
              </w:rPr>
            </w:pPr>
            <w:r>
              <w:rPr>
                <w:rFonts w:ascii="Arial" w:cs="Arial" w:eastAsia="Arial" w:hAnsi="Arial"/>
                <w:sz w:val="17"/>
                <w:szCs w:val="17"/>
                <w:color w:val="auto"/>
              </w:rPr>
              <w:t>440,000</w:t>
            </w:r>
          </w:p>
        </w:tc>
        <w:tc>
          <w:tcPr>
            <w:tcW w:w="1180" w:type="dxa"/>
            <w:vAlign w:val="bottom"/>
            <w:tcBorders>
              <w:bottom w:val="single" w:sz="8" w:color="00467D"/>
            </w:tcBorders>
          </w:tcPr>
          <w:p>
            <w:pPr>
              <w:jc w:val="right"/>
              <w:spacing w:after="0"/>
              <w:rPr>
                <w:sz w:val="20"/>
                <w:szCs w:val="20"/>
                <w:color w:val="auto"/>
              </w:rPr>
            </w:pPr>
            <w:r>
              <w:rPr>
                <w:rFonts w:ascii="Arial" w:cs="Arial" w:eastAsia="Arial" w:hAnsi="Arial"/>
                <w:sz w:val="17"/>
                <w:szCs w:val="17"/>
                <w:color w:val="auto"/>
              </w:rPr>
              <w:t>4%</w:t>
            </w:r>
          </w:p>
        </w:tc>
      </w:tr>
    </w:tbl>
    <w:p>
      <w:pPr>
        <w:spacing w:after="0" w:line="70" w:lineRule="exact"/>
        <w:rPr>
          <w:sz w:val="20"/>
          <w:szCs w:val="20"/>
          <w:color w:val="auto"/>
        </w:rPr>
      </w:pPr>
    </w:p>
    <w:p>
      <w:pPr>
        <w:ind w:left="780" w:hanging="422"/>
        <w:spacing w:after="0"/>
        <w:tabs>
          <w:tab w:leader="none" w:pos="780" w:val="left"/>
        </w:tabs>
        <w:numPr>
          <w:ilvl w:val="0"/>
          <w:numId w:val="24"/>
        </w:numPr>
        <w:rPr>
          <w:rFonts w:ascii="Arial" w:cs="Arial" w:eastAsia="Arial" w:hAnsi="Arial"/>
          <w:sz w:val="14"/>
          <w:szCs w:val="14"/>
          <w:color w:val="auto"/>
        </w:rPr>
      </w:pPr>
      <w:r>
        <w:rPr>
          <w:rFonts w:ascii="Arial" w:cs="Arial" w:eastAsia="Arial" w:hAnsi="Arial"/>
          <w:sz w:val="14"/>
          <w:szCs w:val="14"/>
          <w:color w:val="auto"/>
        </w:rPr>
        <w:t>Please refer to the Summary Compensation Table for actual base salary amounts earned by our NEOs in 2021 and 2022.</w:t>
      </w:r>
    </w:p>
    <w:p>
      <w:pPr>
        <w:spacing w:after="0" w:line="71" w:lineRule="exact"/>
        <w:rPr>
          <w:rFonts w:ascii="Arial" w:cs="Arial" w:eastAsia="Arial" w:hAnsi="Arial"/>
          <w:sz w:val="14"/>
          <w:szCs w:val="14"/>
          <w:color w:val="auto"/>
        </w:rPr>
      </w:pPr>
    </w:p>
    <w:p>
      <w:pPr>
        <w:ind w:left="780" w:right="20" w:hanging="422"/>
        <w:spacing w:after="0" w:line="245" w:lineRule="auto"/>
        <w:tabs>
          <w:tab w:leader="none" w:pos="780" w:val="left"/>
        </w:tabs>
        <w:numPr>
          <w:ilvl w:val="0"/>
          <w:numId w:val="24"/>
        </w:numPr>
        <w:rPr>
          <w:rFonts w:ascii="Arial" w:cs="Arial" w:eastAsia="Arial" w:hAnsi="Arial"/>
          <w:sz w:val="14"/>
          <w:szCs w:val="14"/>
          <w:color w:val="auto"/>
        </w:rPr>
      </w:pPr>
      <w:r>
        <w:rPr>
          <w:rFonts w:ascii="Arial" w:cs="Arial" w:eastAsia="Arial" w:hAnsi="Arial"/>
          <w:sz w:val="14"/>
          <w:szCs w:val="14"/>
          <w:color w:val="auto"/>
        </w:rPr>
        <w:t>For 2021, reflects Mr. Klaben’s salary as SVP, General Counsel and Secretary, before he stepped down from the position in November 2021, and for 2022, when he served as Interim SVP, General Counsel and Secretary in October 2022. Commensurate with his position change to Deputy General Counsel, from November 1, 2021 through March 20, 2022, Mr. Klaben’s salary was $300,000, and from March 21, 2022 through September 30, 2022, it was $303,000.</w:t>
      </w:r>
    </w:p>
    <w:p>
      <w:pPr>
        <w:spacing w:after="0" w:line="259" w:lineRule="exact"/>
        <w:rPr>
          <w:sz w:val="20"/>
          <w:szCs w:val="20"/>
          <w:color w:val="auto"/>
        </w:rPr>
      </w:pPr>
    </w:p>
    <w:p>
      <w:pPr>
        <w:ind w:left="360"/>
        <w:spacing w:after="0"/>
        <w:rPr>
          <w:sz w:val="20"/>
          <w:szCs w:val="20"/>
          <w:color w:val="auto"/>
        </w:rPr>
      </w:pPr>
      <w:r>
        <w:rPr>
          <w:rFonts w:ascii="Arial" w:cs="Arial" w:eastAsia="Arial" w:hAnsi="Arial"/>
          <w:sz w:val="28"/>
          <w:szCs w:val="28"/>
          <w:color w:val="auto"/>
        </w:rPr>
        <w:t>Annual Incentive Plan (AIP)</w:t>
      </w:r>
    </w:p>
    <w:p>
      <w:pPr>
        <w:spacing w:after="0" w:line="220" w:lineRule="exact"/>
        <w:rPr>
          <w:sz w:val="20"/>
          <w:szCs w:val="20"/>
          <w:color w:val="auto"/>
        </w:rPr>
      </w:pPr>
    </w:p>
    <w:p>
      <w:pPr>
        <w:ind w:left="360" w:right="40"/>
        <w:spacing w:after="0" w:line="246" w:lineRule="auto"/>
        <w:rPr>
          <w:sz w:val="20"/>
          <w:szCs w:val="20"/>
          <w:color w:val="auto"/>
        </w:rPr>
      </w:pPr>
      <w:r>
        <w:rPr>
          <w:rFonts w:ascii="Arial" w:cs="Arial" w:eastAsia="Arial" w:hAnsi="Arial"/>
          <w:sz w:val="17"/>
          <w:szCs w:val="17"/>
          <w:color w:val="auto"/>
        </w:rPr>
        <w:t>Our AIP is designed to reward high performance, ensure employees are aligned with our mission, values and priorities and provide market competitive rewards. Our executive officers (including our NEOs, other than Mr. Biehl) are eligible to participate in our AIP. The LD&amp;C Committee administers the AIP with respect to our NEOs by approving annual performance metrics, including threshold, target and maximum performance levels, establishing performance targets as a percentage of base salary for each NEO, and evaluating actual Company performance against selected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231775</wp:posOffset>
            </wp:positionH>
            <wp:positionV relativeFrom="paragraph">
              <wp:posOffset>95885</wp:posOffset>
            </wp:positionV>
            <wp:extent cx="6687820" cy="1651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687820" cy="16510"/>
                    </a:xfrm>
                    <a:prstGeom prst="rect">
                      <a:avLst/>
                    </a:prstGeom>
                    <a:noFill/>
                  </pic:spPr>
                </pic:pic>
              </a:graphicData>
            </a:graphic>
          </wp:anchor>
        </w:drawing>
      </w:r>
    </w:p>
    <w:p>
      <w:pPr>
        <w:spacing w:after="0" w:line="320"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6443980</wp:posOffset>
            </wp:positionH>
            <wp:positionV relativeFrom="paragraph">
              <wp:posOffset>-113030</wp:posOffset>
            </wp:positionV>
            <wp:extent cx="475615" cy="15557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475615" cy="155575"/>
                    </a:xfrm>
                    <a:prstGeom prst="rect">
                      <a:avLst/>
                    </a:prstGeom>
                    <a:noFill/>
                  </pic:spPr>
                </pic:pic>
              </a:graphicData>
            </a:graphic>
          </wp:anchor>
        </w:drawing>
      </w:r>
    </w:p>
    <w:p>
      <w:pPr>
        <w:sectPr>
          <w:pgSz w:w="11900" w:h="16838" w:orient="portrait"/>
          <w:cols w:equalWidth="0" w:num="1">
            <w:col w:w="10900"/>
          </w:cols>
          <w:pgMar w:left="320" w:top="468" w:right="67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5397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79945" cy="53975"/>
                    </a:xfrm>
                    <a:prstGeom prst="rect">
                      <a:avLst/>
                    </a:prstGeom>
                    <a:noFill/>
                  </pic:spPr>
                </pic:pic>
              </a:graphicData>
            </a:graphic>
          </wp:anchor>
        </w:drawing>
        <w:t>Table of Contents</w:t>
      </w:r>
    </w:p>
    <w:p>
      <w:pPr>
        <w:spacing w:after="0" w:line="296"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auto"/>
        </w:rPr>
        <w:t>Compensation Discussion and Analysis</w:t>
      </w:r>
    </w:p>
    <w:p>
      <w:pPr>
        <w:spacing w:after="0" w:line="21" w:lineRule="exact"/>
        <w:rPr>
          <w:sz w:val="20"/>
          <w:szCs w:val="20"/>
          <w:color w:val="auto"/>
        </w:rPr>
      </w:pPr>
    </w:p>
    <w:p>
      <w:pPr>
        <w:ind w:left="360"/>
        <w:spacing w:after="0"/>
        <w:rPr>
          <w:sz w:val="20"/>
          <w:szCs w:val="20"/>
          <w:color w:val="auto"/>
        </w:rPr>
      </w:pPr>
      <w:r>
        <w:rPr>
          <w:rFonts w:ascii="Arial" w:cs="Arial" w:eastAsia="Arial" w:hAnsi="Arial"/>
          <w:sz w:val="14"/>
          <w:szCs w:val="14"/>
          <w:b w:val="1"/>
          <w:bCs w:val="1"/>
          <w:color w:val="auto"/>
        </w:rPr>
        <w:t>Compensation Elements for 2022</w:t>
      </w:r>
    </w:p>
    <w:p>
      <w:pPr>
        <w:spacing w:after="0" w:line="114" w:lineRule="exact"/>
        <w:rPr>
          <w:sz w:val="20"/>
          <w:szCs w:val="20"/>
          <w:color w:val="auto"/>
        </w:rPr>
      </w:pPr>
    </w:p>
    <w:p>
      <w:pPr>
        <w:ind w:left="360" w:right="140"/>
        <w:spacing w:after="0" w:line="246" w:lineRule="auto"/>
        <w:rPr>
          <w:sz w:val="20"/>
          <w:szCs w:val="20"/>
          <w:color w:val="auto"/>
        </w:rPr>
      </w:pPr>
      <w:r>
        <w:rPr>
          <w:rFonts w:ascii="Arial" w:cs="Arial" w:eastAsia="Arial" w:hAnsi="Arial"/>
          <w:sz w:val="17"/>
          <w:szCs w:val="17"/>
          <w:color w:val="auto"/>
        </w:rPr>
        <w:t>The annual cash incentive opportunities set for our NEOs under our 2022 Annual Incentive Plan were tied to (i) the Company’s achievement of financial performance goals (and Sterigenics financial performance goals, in Mr. Rutz’s case) approved by the LD&amp;C Committee at the beginning of the applicable performance period, and (ii) individual performance. There is no AIP payout if the Company does not (or, in the case of Mr. Rutz, the Company and Sterigenics do not) achieve threshold performance for the financial performance metric.</w:t>
      </w:r>
    </w:p>
    <w:p>
      <w:pPr>
        <w:spacing w:after="0" w:line="147" w:lineRule="exact"/>
        <w:rPr>
          <w:sz w:val="20"/>
          <w:szCs w:val="20"/>
          <w:color w:val="auto"/>
        </w:rPr>
      </w:pPr>
    </w:p>
    <w:p>
      <w:pPr>
        <w:ind w:left="360" w:right="60"/>
        <w:spacing w:after="0" w:line="242" w:lineRule="auto"/>
        <w:rPr>
          <w:sz w:val="20"/>
          <w:szCs w:val="20"/>
          <w:color w:val="auto"/>
        </w:rPr>
      </w:pPr>
      <w:r>
        <w:rPr>
          <w:rFonts w:ascii="Arial" w:cs="Arial" w:eastAsia="Arial" w:hAnsi="Arial"/>
          <w:sz w:val="17"/>
          <w:szCs w:val="17"/>
          <w:color w:val="auto"/>
        </w:rPr>
        <w:t>The target financial metrics for the Company and Sterigenics for our 2022 AIP are included in the below table. Our 2022 AIP financial performance metric for the Company (“Company AIP Metric”) was based on our non-GAAP financial measure, Adjusted EBITDA. The 2022 Company AIP Metric was calculated in a manner consistent with the calculation of Adjusted EBITDA as reported in the Company’s Form 10-K for the year ended December 31, 2022, subject to adjustments as deemed appropriate by the LD&amp;C Committee. Our 2022 AIP financial performance metric for Sterigenics (“Sterigenics AIP Metric”) was based on Sterigenics Segment Income. The 2022 Sterigenics AIP Metric was calculated in a manner consistent with the calculation of Sterigenics Segment Income as reported in the Company’s Form 10-K for the year ended December 31, 2022, similarly subject to adjustments as deemed appropriate by the LD&amp;C Committee. AIP performance between threshold, target and maximum goals is determined based on linear interpolation.</w:t>
      </w:r>
    </w:p>
    <w:p>
      <w:pPr>
        <w:spacing w:after="0" w:line="180" w:lineRule="exact"/>
        <w:rPr>
          <w:sz w:val="20"/>
          <w:szCs w:val="20"/>
          <w:color w:val="auto"/>
        </w:rPr>
      </w:pPr>
    </w:p>
    <w:tbl>
      <w:tblPr>
        <w:tblLayout w:type="fixed"/>
        <w:tblInd w:w="360" w:type="dxa"/>
        <w:tblCellMar>
          <w:top w:w="0" w:type="dxa"/>
          <w:left w:w="0" w:type="dxa"/>
          <w:bottom w:w="0" w:type="dxa"/>
          <w:right w:w="0" w:type="dxa"/>
        </w:tblCellMar>
      </w:tblPr>
      <w:tr>
        <w:trPr>
          <w:trHeight w:val="161"/>
        </w:trPr>
        <w:tc>
          <w:tcPr>
            <w:tcW w:w="4260" w:type="dxa"/>
            <w:vAlign w:val="bottom"/>
          </w:tcPr>
          <w:p>
            <w:pPr>
              <w:ind w:left="60"/>
              <w:spacing w:after="0"/>
              <w:rPr>
                <w:sz w:val="20"/>
                <w:szCs w:val="20"/>
                <w:color w:val="auto"/>
              </w:rPr>
            </w:pPr>
            <w:r>
              <w:rPr>
                <w:rFonts w:ascii="Arial" w:cs="Arial" w:eastAsia="Arial" w:hAnsi="Arial"/>
                <w:sz w:val="14"/>
                <w:szCs w:val="14"/>
                <w:b w:val="1"/>
                <w:bCs w:val="1"/>
                <w:color w:val="00467D"/>
              </w:rPr>
              <w:t>2022 Financial Performance Goal</w:t>
            </w:r>
          </w:p>
        </w:tc>
        <w:tc>
          <w:tcPr>
            <w:tcW w:w="3760" w:type="dxa"/>
            <w:vAlign w:val="bottom"/>
          </w:tcPr>
          <w:p>
            <w:pPr>
              <w:jc w:val="center"/>
              <w:ind w:left="1578"/>
              <w:spacing w:after="0"/>
              <w:rPr>
                <w:sz w:val="20"/>
                <w:szCs w:val="20"/>
                <w:color w:val="auto"/>
              </w:rPr>
            </w:pPr>
            <w:r>
              <w:rPr>
                <w:rFonts w:ascii="Arial" w:cs="Arial" w:eastAsia="Arial" w:hAnsi="Arial"/>
                <w:sz w:val="14"/>
                <w:szCs w:val="14"/>
                <w:b w:val="1"/>
                <w:bCs w:val="1"/>
                <w:color w:val="00467D"/>
                <w:w w:val="97"/>
              </w:rPr>
              <w:t>Performance as</w:t>
            </w:r>
          </w:p>
        </w:tc>
        <w:tc>
          <w:tcPr>
            <w:tcW w:w="2520" w:type="dxa"/>
            <w:vAlign w:val="bottom"/>
          </w:tcPr>
          <w:p>
            <w:pPr>
              <w:jc w:val="center"/>
              <w:ind w:left="138"/>
              <w:spacing w:after="0"/>
              <w:rPr>
                <w:sz w:val="20"/>
                <w:szCs w:val="20"/>
                <w:color w:val="auto"/>
              </w:rPr>
            </w:pPr>
            <w:r>
              <w:rPr>
                <w:rFonts w:ascii="Arial" w:cs="Arial" w:eastAsia="Arial" w:hAnsi="Arial"/>
                <w:sz w:val="14"/>
                <w:szCs w:val="14"/>
                <w:b w:val="1"/>
                <w:bCs w:val="1"/>
                <w:color w:val="00467D"/>
                <w:w w:val="98"/>
              </w:rPr>
              <w:t>AIP Earned Value</w:t>
            </w:r>
          </w:p>
        </w:tc>
      </w:tr>
      <w:tr>
        <w:trPr>
          <w:trHeight w:val="177"/>
        </w:trPr>
        <w:tc>
          <w:tcPr>
            <w:tcW w:w="4260" w:type="dxa"/>
            <w:vAlign w:val="bottom"/>
            <w:tcBorders>
              <w:bottom w:val="single" w:sz="8" w:color="00467D"/>
            </w:tcBorders>
          </w:tcPr>
          <w:p>
            <w:pPr>
              <w:ind w:left="60"/>
              <w:spacing w:after="0"/>
              <w:rPr>
                <w:sz w:val="20"/>
                <w:szCs w:val="20"/>
                <w:color w:val="auto"/>
              </w:rPr>
            </w:pPr>
            <w:r>
              <w:rPr>
                <w:rFonts w:ascii="Arial" w:cs="Arial" w:eastAsia="Arial" w:hAnsi="Arial"/>
                <w:sz w:val="14"/>
                <w:szCs w:val="14"/>
                <w:b w:val="1"/>
                <w:bCs w:val="1"/>
                <w:color w:val="00467D"/>
              </w:rPr>
              <w:t>(dollars in millions)</w:t>
            </w:r>
          </w:p>
        </w:tc>
        <w:tc>
          <w:tcPr>
            <w:tcW w:w="3760" w:type="dxa"/>
            <w:vAlign w:val="bottom"/>
            <w:tcBorders>
              <w:bottom w:val="single" w:sz="8" w:color="00467D"/>
            </w:tcBorders>
          </w:tcPr>
          <w:p>
            <w:pPr>
              <w:jc w:val="center"/>
              <w:ind w:left="1558"/>
              <w:spacing w:after="0"/>
              <w:rPr>
                <w:sz w:val="20"/>
                <w:szCs w:val="20"/>
                <w:color w:val="auto"/>
              </w:rPr>
            </w:pPr>
            <w:r>
              <w:rPr>
                <w:rFonts w:ascii="Arial" w:cs="Arial" w:eastAsia="Arial" w:hAnsi="Arial"/>
                <w:sz w:val="14"/>
                <w:szCs w:val="14"/>
                <w:b w:val="1"/>
                <w:bCs w:val="1"/>
                <w:color w:val="00467D"/>
                <w:w w:val="97"/>
              </w:rPr>
              <w:t>Percentage of Target</w:t>
            </w:r>
          </w:p>
        </w:tc>
        <w:tc>
          <w:tcPr>
            <w:tcW w:w="2520" w:type="dxa"/>
            <w:vAlign w:val="bottom"/>
            <w:tcBorders>
              <w:bottom w:val="single" w:sz="8" w:color="00467D"/>
            </w:tcBorders>
          </w:tcPr>
          <w:p>
            <w:pPr>
              <w:jc w:val="center"/>
              <w:ind w:left="138"/>
              <w:spacing w:after="0"/>
              <w:rPr>
                <w:sz w:val="20"/>
                <w:szCs w:val="20"/>
                <w:color w:val="auto"/>
              </w:rPr>
            </w:pPr>
            <w:r>
              <w:rPr>
                <w:rFonts w:ascii="Arial" w:cs="Arial" w:eastAsia="Arial" w:hAnsi="Arial"/>
                <w:sz w:val="14"/>
                <w:szCs w:val="14"/>
                <w:b w:val="1"/>
                <w:bCs w:val="1"/>
                <w:color w:val="00467D"/>
                <w:w w:val="98"/>
              </w:rPr>
              <w:t>(as % of Target Opportunity)</w:t>
            </w:r>
          </w:p>
        </w:tc>
      </w:tr>
      <w:tr>
        <w:trPr>
          <w:trHeight w:val="251"/>
        </w:trPr>
        <w:tc>
          <w:tcPr>
            <w:tcW w:w="4260" w:type="dxa"/>
            <w:vAlign w:val="bottom"/>
          </w:tcPr>
          <w:p>
            <w:pPr>
              <w:ind w:left="40"/>
              <w:spacing w:after="0"/>
              <w:rPr>
                <w:sz w:val="20"/>
                <w:szCs w:val="20"/>
                <w:color w:val="auto"/>
              </w:rPr>
            </w:pPr>
            <w:r>
              <w:rPr>
                <w:rFonts w:ascii="Arial" w:cs="Arial" w:eastAsia="Arial" w:hAnsi="Arial"/>
                <w:sz w:val="17"/>
                <w:szCs w:val="17"/>
                <w:b w:val="1"/>
                <w:bCs w:val="1"/>
                <w:i w:val="1"/>
                <w:iCs w:val="1"/>
                <w:color w:val="auto"/>
              </w:rPr>
              <w:t>Company AIP Metric</w:t>
            </w:r>
          </w:p>
        </w:tc>
        <w:tc>
          <w:tcPr>
            <w:tcW w:w="3760" w:type="dxa"/>
            <w:vAlign w:val="bottom"/>
          </w:tcPr>
          <w:p>
            <w:pPr>
              <w:spacing w:after="0"/>
              <w:rPr>
                <w:sz w:val="21"/>
                <w:szCs w:val="21"/>
                <w:color w:val="auto"/>
              </w:rPr>
            </w:pPr>
          </w:p>
        </w:tc>
        <w:tc>
          <w:tcPr>
            <w:tcW w:w="2520" w:type="dxa"/>
            <w:vAlign w:val="bottom"/>
          </w:tcPr>
          <w:p>
            <w:pPr>
              <w:spacing w:after="0"/>
              <w:rPr>
                <w:sz w:val="21"/>
                <w:szCs w:val="21"/>
                <w:color w:val="auto"/>
              </w:rPr>
            </w:pPr>
          </w:p>
        </w:tc>
      </w:tr>
      <w:tr>
        <w:trPr>
          <w:trHeight w:val="39"/>
        </w:trPr>
        <w:tc>
          <w:tcPr>
            <w:tcW w:w="4260" w:type="dxa"/>
            <w:vAlign w:val="bottom"/>
            <w:tcBorders>
              <w:bottom w:val="single" w:sz="8" w:color="99B5CB"/>
            </w:tcBorders>
          </w:tcPr>
          <w:p>
            <w:pPr>
              <w:spacing w:after="0"/>
              <w:rPr>
                <w:sz w:val="3"/>
                <w:szCs w:val="3"/>
                <w:color w:val="auto"/>
              </w:rPr>
            </w:pPr>
          </w:p>
        </w:tc>
        <w:tc>
          <w:tcPr>
            <w:tcW w:w="3760" w:type="dxa"/>
            <w:vAlign w:val="bottom"/>
            <w:tcBorders>
              <w:bottom w:val="single" w:sz="8" w:color="99B5CB"/>
            </w:tcBorders>
          </w:tcPr>
          <w:p>
            <w:pPr>
              <w:spacing w:after="0"/>
              <w:rPr>
                <w:sz w:val="3"/>
                <w:szCs w:val="3"/>
                <w:color w:val="auto"/>
              </w:rPr>
            </w:pPr>
          </w:p>
        </w:tc>
        <w:tc>
          <w:tcPr>
            <w:tcW w:w="2520" w:type="dxa"/>
            <w:vAlign w:val="bottom"/>
            <w:tcBorders>
              <w:bottom w:val="single" w:sz="8" w:color="99B5CB"/>
            </w:tcBorders>
          </w:tcPr>
          <w:p>
            <w:pPr>
              <w:spacing w:after="0"/>
              <w:rPr>
                <w:sz w:val="3"/>
                <w:szCs w:val="3"/>
                <w:color w:val="auto"/>
              </w:rPr>
            </w:pPr>
          </w:p>
        </w:tc>
      </w:tr>
      <w:tr>
        <w:trPr>
          <w:trHeight w:val="241"/>
        </w:trPr>
        <w:tc>
          <w:tcPr>
            <w:tcW w:w="4260" w:type="dxa"/>
            <w:vAlign w:val="bottom"/>
          </w:tcPr>
          <w:p>
            <w:pPr>
              <w:ind w:left="40"/>
              <w:spacing w:after="0"/>
              <w:rPr>
                <w:sz w:val="20"/>
                <w:szCs w:val="20"/>
                <w:color w:val="auto"/>
              </w:rPr>
            </w:pPr>
            <w:r>
              <w:rPr>
                <w:rFonts w:ascii="Arial" w:cs="Arial" w:eastAsia="Arial" w:hAnsi="Arial"/>
                <w:sz w:val="17"/>
                <w:szCs w:val="17"/>
                <w:color w:val="auto"/>
              </w:rPr>
              <w:t>Threshold $490.4</w:t>
            </w:r>
          </w:p>
        </w:tc>
        <w:tc>
          <w:tcPr>
            <w:tcW w:w="3760" w:type="dxa"/>
            <w:vAlign w:val="bottom"/>
          </w:tcPr>
          <w:p>
            <w:pPr>
              <w:jc w:val="center"/>
              <w:ind w:left="1578"/>
              <w:spacing w:after="0"/>
              <w:rPr>
                <w:sz w:val="20"/>
                <w:szCs w:val="20"/>
                <w:color w:val="auto"/>
              </w:rPr>
            </w:pPr>
            <w:r>
              <w:rPr>
                <w:rFonts w:ascii="Arial" w:cs="Arial" w:eastAsia="Arial" w:hAnsi="Arial"/>
                <w:sz w:val="17"/>
                <w:szCs w:val="17"/>
                <w:color w:val="auto"/>
                <w:w w:val="99"/>
              </w:rPr>
              <w:t>90%</w:t>
            </w:r>
          </w:p>
        </w:tc>
        <w:tc>
          <w:tcPr>
            <w:tcW w:w="2520" w:type="dxa"/>
            <w:vAlign w:val="bottom"/>
          </w:tcPr>
          <w:p>
            <w:pPr>
              <w:jc w:val="center"/>
              <w:ind w:left="138"/>
              <w:spacing w:after="0"/>
              <w:rPr>
                <w:sz w:val="20"/>
                <w:szCs w:val="20"/>
                <w:color w:val="auto"/>
              </w:rPr>
            </w:pPr>
            <w:r>
              <w:rPr>
                <w:rFonts w:ascii="Arial" w:cs="Arial" w:eastAsia="Arial" w:hAnsi="Arial"/>
                <w:sz w:val="17"/>
                <w:szCs w:val="17"/>
                <w:color w:val="auto"/>
                <w:w w:val="99"/>
              </w:rPr>
              <w:t>70%</w:t>
            </w:r>
          </w:p>
        </w:tc>
      </w:tr>
      <w:tr>
        <w:trPr>
          <w:trHeight w:val="49"/>
        </w:trPr>
        <w:tc>
          <w:tcPr>
            <w:tcW w:w="4260" w:type="dxa"/>
            <w:vAlign w:val="bottom"/>
            <w:tcBorders>
              <w:bottom w:val="single" w:sz="8" w:color="99B5CB"/>
            </w:tcBorders>
          </w:tcPr>
          <w:p>
            <w:pPr>
              <w:spacing w:after="0"/>
              <w:rPr>
                <w:sz w:val="4"/>
                <w:szCs w:val="4"/>
                <w:color w:val="auto"/>
              </w:rPr>
            </w:pPr>
          </w:p>
        </w:tc>
        <w:tc>
          <w:tcPr>
            <w:tcW w:w="3760" w:type="dxa"/>
            <w:vAlign w:val="bottom"/>
            <w:tcBorders>
              <w:bottom w:val="single" w:sz="8" w:color="99B5CB"/>
            </w:tcBorders>
          </w:tcPr>
          <w:p>
            <w:pPr>
              <w:spacing w:after="0"/>
              <w:rPr>
                <w:sz w:val="4"/>
                <w:szCs w:val="4"/>
                <w:color w:val="auto"/>
              </w:rPr>
            </w:pPr>
          </w:p>
        </w:tc>
        <w:tc>
          <w:tcPr>
            <w:tcW w:w="2520" w:type="dxa"/>
            <w:vAlign w:val="bottom"/>
            <w:tcBorders>
              <w:bottom w:val="single" w:sz="8" w:color="99B5CB"/>
            </w:tcBorders>
          </w:tcPr>
          <w:p>
            <w:pPr>
              <w:spacing w:after="0"/>
              <w:rPr>
                <w:sz w:val="4"/>
                <w:szCs w:val="4"/>
                <w:color w:val="auto"/>
              </w:rPr>
            </w:pPr>
          </w:p>
        </w:tc>
      </w:tr>
      <w:tr>
        <w:trPr>
          <w:trHeight w:val="241"/>
        </w:trPr>
        <w:tc>
          <w:tcPr>
            <w:tcW w:w="4260" w:type="dxa"/>
            <w:vAlign w:val="bottom"/>
          </w:tcPr>
          <w:p>
            <w:pPr>
              <w:ind w:left="40"/>
              <w:spacing w:after="0"/>
              <w:rPr>
                <w:sz w:val="20"/>
                <w:szCs w:val="20"/>
                <w:color w:val="auto"/>
              </w:rPr>
            </w:pPr>
            <w:r>
              <w:rPr>
                <w:rFonts w:ascii="Arial" w:cs="Arial" w:eastAsia="Arial" w:hAnsi="Arial"/>
                <w:sz w:val="17"/>
                <w:szCs w:val="17"/>
                <w:color w:val="auto"/>
              </w:rPr>
              <w:t>Target $544.9</w:t>
            </w:r>
          </w:p>
        </w:tc>
        <w:tc>
          <w:tcPr>
            <w:tcW w:w="3760" w:type="dxa"/>
            <w:vAlign w:val="bottom"/>
          </w:tcPr>
          <w:p>
            <w:pPr>
              <w:jc w:val="center"/>
              <w:ind w:left="1558"/>
              <w:spacing w:after="0"/>
              <w:rPr>
                <w:sz w:val="20"/>
                <w:szCs w:val="20"/>
                <w:color w:val="auto"/>
              </w:rPr>
            </w:pPr>
            <w:r>
              <w:rPr>
                <w:rFonts w:ascii="Arial" w:cs="Arial" w:eastAsia="Arial" w:hAnsi="Arial"/>
                <w:sz w:val="17"/>
                <w:szCs w:val="17"/>
                <w:color w:val="auto"/>
              </w:rPr>
              <w:t>100%</w:t>
            </w:r>
          </w:p>
        </w:tc>
        <w:tc>
          <w:tcPr>
            <w:tcW w:w="2520" w:type="dxa"/>
            <w:vAlign w:val="bottom"/>
          </w:tcPr>
          <w:p>
            <w:pPr>
              <w:jc w:val="center"/>
              <w:ind w:left="118"/>
              <w:spacing w:after="0"/>
              <w:rPr>
                <w:sz w:val="20"/>
                <w:szCs w:val="20"/>
                <w:color w:val="auto"/>
              </w:rPr>
            </w:pPr>
            <w:r>
              <w:rPr>
                <w:rFonts w:ascii="Arial" w:cs="Arial" w:eastAsia="Arial" w:hAnsi="Arial"/>
                <w:sz w:val="17"/>
                <w:szCs w:val="17"/>
                <w:color w:val="auto"/>
              </w:rPr>
              <w:t>100%</w:t>
            </w:r>
          </w:p>
        </w:tc>
      </w:tr>
      <w:tr>
        <w:trPr>
          <w:trHeight w:val="49"/>
        </w:trPr>
        <w:tc>
          <w:tcPr>
            <w:tcW w:w="4260" w:type="dxa"/>
            <w:vAlign w:val="bottom"/>
            <w:tcBorders>
              <w:bottom w:val="single" w:sz="8" w:color="99B5CB"/>
            </w:tcBorders>
          </w:tcPr>
          <w:p>
            <w:pPr>
              <w:spacing w:after="0"/>
              <w:rPr>
                <w:sz w:val="4"/>
                <w:szCs w:val="4"/>
                <w:color w:val="auto"/>
              </w:rPr>
            </w:pPr>
          </w:p>
        </w:tc>
        <w:tc>
          <w:tcPr>
            <w:tcW w:w="3760" w:type="dxa"/>
            <w:vAlign w:val="bottom"/>
            <w:tcBorders>
              <w:bottom w:val="single" w:sz="8" w:color="99B5CB"/>
            </w:tcBorders>
          </w:tcPr>
          <w:p>
            <w:pPr>
              <w:spacing w:after="0"/>
              <w:rPr>
                <w:sz w:val="4"/>
                <w:szCs w:val="4"/>
                <w:color w:val="auto"/>
              </w:rPr>
            </w:pPr>
          </w:p>
        </w:tc>
        <w:tc>
          <w:tcPr>
            <w:tcW w:w="2520" w:type="dxa"/>
            <w:vAlign w:val="bottom"/>
            <w:tcBorders>
              <w:bottom w:val="single" w:sz="8" w:color="99B5CB"/>
            </w:tcBorders>
          </w:tcPr>
          <w:p>
            <w:pPr>
              <w:spacing w:after="0"/>
              <w:rPr>
                <w:sz w:val="4"/>
                <w:szCs w:val="4"/>
                <w:color w:val="auto"/>
              </w:rPr>
            </w:pPr>
          </w:p>
        </w:tc>
      </w:tr>
      <w:tr>
        <w:trPr>
          <w:trHeight w:val="241"/>
        </w:trPr>
        <w:tc>
          <w:tcPr>
            <w:tcW w:w="4260" w:type="dxa"/>
            <w:vAlign w:val="bottom"/>
          </w:tcPr>
          <w:p>
            <w:pPr>
              <w:ind w:left="40"/>
              <w:spacing w:after="0"/>
              <w:rPr>
                <w:sz w:val="20"/>
                <w:szCs w:val="20"/>
                <w:color w:val="auto"/>
              </w:rPr>
            </w:pPr>
            <w:r>
              <w:rPr>
                <w:rFonts w:ascii="Arial" w:cs="Arial" w:eastAsia="Arial" w:hAnsi="Arial"/>
                <w:sz w:val="17"/>
                <w:szCs w:val="17"/>
                <w:color w:val="auto"/>
              </w:rPr>
              <w:t>Maximum $610.3</w:t>
            </w:r>
          </w:p>
        </w:tc>
        <w:tc>
          <w:tcPr>
            <w:tcW w:w="3760" w:type="dxa"/>
            <w:vAlign w:val="bottom"/>
          </w:tcPr>
          <w:p>
            <w:pPr>
              <w:jc w:val="center"/>
              <w:ind w:left="1578"/>
              <w:spacing w:after="0"/>
              <w:rPr>
                <w:sz w:val="20"/>
                <w:szCs w:val="20"/>
                <w:color w:val="auto"/>
              </w:rPr>
            </w:pPr>
            <w:r>
              <w:rPr>
                <w:rFonts w:ascii="Arial" w:cs="Arial" w:eastAsia="Arial" w:hAnsi="Arial"/>
                <w:sz w:val="17"/>
                <w:szCs w:val="17"/>
                <w:color w:val="auto"/>
                <w:w w:val="96"/>
              </w:rPr>
              <w:t>112%</w:t>
            </w:r>
          </w:p>
        </w:tc>
        <w:tc>
          <w:tcPr>
            <w:tcW w:w="2520" w:type="dxa"/>
            <w:vAlign w:val="bottom"/>
          </w:tcPr>
          <w:p>
            <w:pPr>
              <w:jc w:val="center"/>
              <w:ind w:left="138"/>
              <w:spacing w:after="0"/>
              <w:rPr>
                <w:sz w:val="20"/>
                <w:szCs w:val="20"/>
                <w:color w:val="auto"/>
              </w:rPr>
            </w:pPr>
            <w:r>
              <w:rPr>
                <w:rFonts w:ascii="Arial" w:cs="Arial" w:eastAsia="Arial" w:hAnsi="Arial"/>
                <w:sz w:val="17"/>
                <w:szCs w:val="17"/>
                <w:color w:val="auto"/>
              </w:rPr>
              <w:t>Up to a maximum of 200%</w:t>
            </w:r>
          </w:p>
        </w:tc>
      </w:tr>
      <w:tr>
        <w:trPr>
          <w:trHeight w:val="49"/>
        </w:trPr>
        <w:tc>
          <w:tcPr>
            <w:tcW w:w="4260" w:type="dxa"/>
            <w:vAlign w:val="bottom"/>
            <w:tcBorders>
              <w:bottom w:val="single" w:sz="8" w:color="99B5CB"/>
            </w:tcBorders>
          </w:tcPr>
          <w:p>
            <w:pPr>
              <w:spacing w:after="0"/>
              <w:rPr>
                <w:sz w:val="4"/>
                <w:szCs w:val="4"/>
                <w:color w:val="auto"/>
              </w:rPr>
            </w:pPr>
          </w:p>
        </w:tc>
        <w:tc>
          <w:tcPr>
            <w:tcW w:w="3760" w:type="dxa"/>
            <w:vAlign w:val="bottom"/>
            <w:tcBorders>
              <w:bottom w:val="single" w:sz="8" w:color="99B5CB"/>
            </w:tcBorders>
          </w:tcPr>
          <w:p>
            <w:pPr>
              <w:spacing w:after="0"/>
              <w:rPr>
                <w:sz w:val="4"/>
                <w:szCs w:val="4"/>
                <w:color w:val="auto"/>
              </w:rPr>
            </w:pPr>
          </w:p>
        </w:tc>
        <w:tc>
          <w:tcPr>
            <w:tcW w:w="2520" w:type="dxa"/>
            <w:vAlign w:val="bottom"/>
            <w:tcBorders>
              <w:bottom w:val="single" w:sz="8" w:color="99B5CB"/>
            </w:tcBorders>
          </w:tcPr>
          <w:p>
            <w:pPr>
              <w:spacing w:after="0"/>
              <w:rPr>
                <w:sz w:val="4"/>
                <w:szCs w:val="4"/>
                <w:color w:val="auto"/>
              </w:rPr>
            </w:pPr>
          </w:p>
        </w:tc>
      </w:tr>
      <w:tr>
        <w:trPr>
          <w:trHeight w:val="251"/>
        </w:trPr>
        <w:tc>
          <w:tcPr>
            <w:tcW w:w="4260" w:type="dxa"/>
            <w:vAlign w:val="bottom"/>
          </w:tcPr>
          <w:p>
            <w:pPr>
              <w:ind w:left="40"/>
              <w:spacing w:after="0"/>
              <w:rPr>
                <w:sz w:val="20"/>
                <w:szCs w:val="20"/>
                <w:color w:val="auto"/>
              </w:rPr>
            </w:pPr>
            <w:r>
              <w:rPr>
                <w:rFonts w:ascii="Arial" w:cs="Arial" w:eastAsia="Arial" w:hAnsi="Arial"/>
                <w:sz w:val="17"/>
                <w:szCs w:val="17"/>
                <w:b w:val="1"/>
                <w:bCs w:val="1"/>
                <w:i w:val="1"/>
                <w:iCs w:val="1"/>
                <w:color w:val="auto"/>
              </w:rPr>
              <w:t>Sterigenics AIP Metric</w:t>
            </w:r>
          </w:p>
        </w:tc>
        <w:tc>
          <w:tcPr>
            <w:tcW w:w="3760" w:type="dxa"/>
            <w:vAlign w:val="bottom"/>
          </w:tcPr>
          <w:p>
            <w:pPr>
              <w:spacing w:after="0"/>
              <w:rPr>
                <w:sz w:val="21"/>
                <w:szCs w:val="21"/>
                <w:color w:val="auto"/>
              </w:rPr>
            </w:pPr>
          </w:p>
        </w:tc>
        <w:tc>
          <w:tcPr>
            <w:tcW w:w="2520" w:type="dxa"/>
            <w:vAlign w:val="bottom"/>
          </w:tcPr>
          <w:p>
            <w:pPr>
              <w:spacing w:after="0"/>
              <w:rPr>
                <w:sz w:val="21"/>
                <w:szCs w:val="21"/>
                <w:color w:val="auto"/>
              </w:rPr>
            </w:pPr>
          </w:p>
        </w:tc>
      </w:tr>
      <w:tr>
        <w:trPr>
          <w:trHeight w:val="39"/>
        </w:trPr>
        <w:tc>
          <w:tcPr>
            <w:tcW w:w="4260" w:type="dxa"/>
            <w:vAlign w:val="bottom"/>
            <w:tcBorders>
              <w:bottom w:val="single" w:sz="8" w:color="99B5CB"/>
            </w:tcBorders>
          </w:tcPr>
          <w:p>
            <w:pPr>
              <w:spacing w:after="0"/>
              <w:rPr>
                <w:sz w:val="3"/>
                <w:szCs w:val="3"/>
                <w:color w:val="auto"/>
              </w:rPr>
            </w:pPr>
          </w:p>
        </w:tc>
        <w:tc>
          <w:tcPr>
            <w:tcW w:w="3760" w:type="dxa"/>
            <w:vAlign w:val="bottom"/>
            <w:tcBorders>
              <w:bottom w:val="single" w:sz="8" w:color="99B5CB"/>
            </w:tcBorders>
          </w:tcPr>
          <w:p>
            <w:pPr>
              <w:spacing w:after="0"/>
              <w:rPr>
                <w:sz w:val="3"/>
                <w:szCs w:val="3"/>
                <w:color w:val="auto"/>
              </w:rPr>
            </w:pPr>
          </w:p>
        </w:tc>
        <w:tc>
          <w:tcPr>
            <w:tcW w:w="2520" w:type="dxa"/>
            <w:vAlign w:val="bottom"/>
            <w:tcBorders>
              <w:bottom w:val="single" w:sz="8" w:color="99B5CB"/>
            </w:tcBorders>
          </w:tcPr>
          <w:p>
            <w:pPr>
              <w:spacing w:after="0"/>
              <w:rPr>
                <w:sz w:val="3"/>
                <w:szCs w:val="3"/>
                <w:color w:val="auto"/>
              </w:rPr>
            </w:pPr>
          </w:p>
        </w:tc>
      </w:tr>
      <w:tr>
        <w:trPr>
          <w:trHeight w:val="241"/>
        </w:trPr>
        <w:tc>
          <w:tcPr>
            <w:tcW w:w="4260" w:type="dxa"/>
            <w:vAlign w:val="bottom"/>
          </w:tcPr>
          <w:p>
            <w:pPr>
              <w:ind w:left="40"/>
              <w:spacing w:after="0"/>
              <w:rPr>
                <w:sz w:val="20"/>
                <w:szCs w:val="20"/>
                <w:color w:val="auto"/>
              </w:rPr>
            </w:pPr>
            <w:r>
              <w:rPr>
                <w:rFonts w:ascii="Arial" w:cs="Arial" w:eastAsia="Arial" w:hAnsi="Arial"/>
                <w:sz w:val="17"/>
                <w:szCs w:val="17"/>
                <w:color w:val="auto"/>
              </w:rPr>
              <w:t>Threshold $340.9</w:t>
            </w:r>
          </w:p>
        </w:tc>
        <w:tc>
          <w:tcPr>
            <w:tcW w:w="3760" w:type="dxa"/>
            <w:vAlign w:val="bottom"/>
          </w:tcPr>
          <w:p>
            <w:pPr>
              <w:jc w:val="center"/>
              <w:ind w:left="1578"/>
              <w:spacing w:after="0"/>
              <w:rPr>
                <w:sz w:val="20"/>
                <w:szCs w:val="20"/>
                <w:color w:val="auto"/>
              </w:rPr>
            </w:pPr>
            <w:r>
              <w:rPr>
                <w:rFonts w:ascii="Arial" w:cs="Arial" w:eastAsia="Arial" w:hAnsi="Arial"/>
                <w:sz w:val="17"/>
                <w:szCs w:val="17"/>
                <w:color w:val="auto"/>
                <w:w w:val="99"/>
              </w:rPr>
              <w:t>90%</w:t>
            </w:r>
          </w:p>
        </w:tc>
        <w:tc>
          <w:tcPr>
            <w:tcW w:w="2520" w:type="dxa"/>
            <w:vAlign w:val="bottom"/>
          </w:tcPr>
          <w:p>
            <w:pPr>
              <w:jc w:val="center"/>
              <w:ind w:left="138"/>
              <w:spacing w:after="0"/>
              <w:rPr>
                <w:sz w:val="20"/>
                <w:szCs w:val="20"/>
                <w:color w:val="auto"/>
              </w:rPr>
            </w:pPr>
            <w:r>
              <w:rPr>
                <w:rFonts w:ascii="Arial" w:cs="Arial" w:eastAsia="Arial" w:hAnsi="Arial"/>
                <w:sz w:val="17"/>
                <w:szCs w:val="17"/>
                <w:color w:val="auto"/>
                <w:w w:val="99"/>
              </w:rPr>
              <w:t>70%</w:t>
            </w:r>
          </w:p>
        </w:tc>
      </w:tr>
      <w:tr>
        <w:trPr>
          <w:trHeight w:val="49"/>
        </w:trPr>
        <w:tc>
          <w:tcPr>
            <w:tcW w:w="4260" w:type="dxa"/>
            <w:vAlign w:val="bottom"/>
            <w:tcBorders>
              <w:bottom w:val="single" w:sz="8" w:color="99B5CB"/>
            </w:tcBorders>
          </w:tcPr>
          <w:p>
            <w:pPr>
              <w:spacing w:after="0"/>
              <w:rPr>
                <w:sz w:val="4"/>
                <w:szCs w:val="4"/>
                <w:color w:val="auto"/>
              </w:rPr>
            </w:pPr>
          </w:p>
        </w:tc>
        <w:tc>
          <w:tcPr>
            <w:tcW w:w="3760" w:type="dxa"/>
            <w:vAlign w:val="bottom"/>
            <w:tcBorders>
              <w:bottom w:val="single" w:sz="8" w:color="99B5CB"/>
            </w:tcBorders>
          </w:tcPr>
          <w:p>
            <w:pPr>
              <w:spacing w:after="0"/>
              <w:rPr>
                <w:sz w:val="4"/>
                <w:szCs w:val="4"/>
                <w:color w:val="auto"/>
              </w:rPr>
            </w:pPr>
          </w:p>
        </w:tc>
        <w:tc>
          <w:tcPr>
            <w:tcW w:w="2520" w:type="dxa"/>
            <w:vAlign w:val="bottom"/>
            <w:tcBorders>
              <w:bottom w:val="single" w:sz="8" w:color="99B5CB"/>
            </w:tcBorders>
          </w:tcPr>
          <w:p>
            <w:pPr>
              <w:spacing w:after="0"/>
              <w:rPr>
                <w:sz w:val="4"/>
                <w:szCs w:val="4"/>
                <w:color w:val="auto"/>
              </w:rPr>
            </w:pPr>
          </w:p>
        </w:tc>
      </w:tr>
      <w:tr>
        <w:trPr>
          <w:trHeight w:val="241"/>
        </w:trPr>
        <w:tc>
          <w:tcPr>
            <w:tcW w:w="4260" w:type="dxa"/>
            <w:vAlign w:val="bottom"/>
          </w:tcPr>
          <w:p>
            <w:pPr>
              <w:ind w:left="40"/>
              <w:spacing w:after="0"/>
              <w:rPr>
                <w:sz w:val="20"/>
                <w:szCs w:val="20"/>
                <w:color w:val="auto"/>
              </w:rPr>
            </w:pPr>
            <w:r>
              <w:rPr>
                <w:rFonts w:ascii="Arial" w:cs="Arial" w:eastAsia="Arial" w:hAnsi="Arial"/>
                <w:sz w:val="17"/>
                <w:szCs w:val="17"/>
                <w:color w:val="auto"/>
              </w:rPr>
              <w:t>Target $378.8</w:t>
            </w:r>
          </w:p>
        </w:tc>
        <w:tc>
          <w:tcPr>
            <w:tcW w:w="3760" w:type="dxa"/>
            <w:vAlign w:val="bottom"/>
          </w:tcPr>
          <w:p>
            <w:pPr>
              <w:jc w:val="center"/>
              <w:ind w:left="1558"/>
              <w:spacing w:after="0"/>
              <w:rPr>
                <w:sz w:val="20"/>
                <w:szCs w:val="20"/>
                <w:color w:val="auto"/>
              </w:rPr>
            </w:pPr>
            <w:r>
              <w:rPr>
                <w:rFonts w:ascii="Arial" w:cs="Arial" w:eastAsia="Arial" w:hAnsi="Arial"/>
                <w:sz w:val="17"/>
                <w:szCs w:val="17"/>
                <w:color w:val="auto"/>
              </w:rPr>
              <w:t>100%</w:t>
            </w:r>
          </w:p>
        </w:tc>
        <w:tc>
          <w:tcPr>
            <w:tcW w:w="2520" w:type="dxa"/>
            <w:vAlign w:val="bottom"/>
          </w:tcPr>
          <w:p>
            <w:pPr>
              <w:jc w:val="center"/>
              <w:ind w:left="118"/>
              <w:spacing w:after="0"/>
              <w:rPr>
                <w:sz w:val="20"/>
                <w:szCs w:val="20"/>
                <w:color w:val="auto"/>
              </w:rPr>
            </w:pPr>
            <w:r>
              <w:rPr>
                <w:rFonts w:ascii="Arial" w:cs="Arial" w:eastAsia="Arial" w:hAnsi="Arial"/>
                <w:sz w:val="17"/>
                <w:szCs w:val="17"/>
                <w:color w:val="auto"/>
              </w:rPr>
              <w:t>100%</w:t>
            </w:r>
          </w:p>
        </w:tc>
      </w:tr>
      <w:tr>
        <w:trPr>
          <w:trHeight w:val="49"/>
        </w:trPr>
        <w:tc>
          <w:tcPr>
            <w:tcW w:w="4260" w:type="dxa"/>
            <w:vAlign w:val="bottom"/>
            <w:tcBorders>
              <w:bottom w:val="single" w:sz="8" w:color="99B5CB"/>
            </w:tcBorders>
          </w:tcPr>
          <w:p>
            <w:pPr>
              <w:spacing w:after="0"/>
              <w:rPr>
                <w:sz w:val="4"/>
                <w:szCs w:val="4"/>
                <w:color w:val="auto"/>
              </w:rPr>
            </w:pPr>
          </w:p>
        </w:tc>
        <w:tc>
          <w:tcPr>
            <w:tcW w:w="3760" w:type="dxa"/>
            <w:vAlign w:val="bottom"/>
            <w:tcBorders>
              <w:bottom w:val="single" w:sz="8" w:color="99B5CB"/>
            </w:tcBorders>
          </w:tcPr>
          <w:p>
            <w:pPr>
              <w:spacing w:after="0"/>
              <w:rPr>
                <w:sz w:val="4"/>
                <w:szCs w:val="4"/>
                <w:color w:val="auto"/>
              </w:rPr>
            </w:pPr>
          </w:p>
        </w:tc>
        <w:tc>
          <w:tcPr>
            <w:tcW w:w="2520" w:type="dxa"/>
            <w:vAlign w:val="bottom"/>
            <w:tcBorders>
              <w:bottom w:val="single" w:sz="8" w:color="99B5CB"/>
            </w:tcBorders>
          </w:tcPr>
          <w:p>
            <w:pPr>
              <w:spacing w:after="0"/>
              <w:rPr>
                <w:sz w:val="4"/>
                <w:szCs w:val="4"/>
                <w:color w:val="auto"/>
              </w:rPr>
            </w:pPr>
          </w:p>
        </w:tc>
      </w:tr>
      <w:tr>
        <w:trPr>
          <w:trHeight w:val="241"/>
        </w:trPr>
        <w:tc>
          <w:tcPr>
            <w:tcW w:w="4260" w:type="dxa"/>
            <w:vAlign w:val="bottom"/>
          </w:tcPr>
          <w:p>
            <w:pPr>
              <w:ind w:left="40"/>
              <w:spacing w:after="0"/>
              <w:rPr>
                <w:sz w:val="20"/>
                <w:szCs w:val="20"/>
                <w:color w:val="auto"/>
              </w:rPr>
            </w:pPr>
            <w:r>
              <w:rPr>
                <w:rFonts w:ascii="Arial" w:cs="Arial" w:eastAsia="Arial" w:hAnsi="Arial"/>
                <w:sz w:val="17"/>
                <w:szCs w:val="17"/>
                <w:color w:val="auto"/>
              </w:rPr>
              <w:t>Maximum $424.2</w:t>
            </w:r>
          </w:p>
        </w:tc>
        <w:tc>
          <w:tcPr>
            <w:tcW w:w="3760" w:type="dxa"/>
            <w:vAlign w:val="bottom"/>
          </w:tcPr>
          <w:p>
            <w:pPr>
              <w:jc w:val="center"/>
              <w:ind w:left="1578"/>
              <w:spacing w:after="0"/>
              <w:rPr>
                <w:sz w:val="20"/>
                <w:szCs w:val="20"/>
                <w:color w:val="auto"/>
              </w:rPr>
            </w:pPr>
            <w:r>
              <w:rPr>
                <w:rFonts w:ascii="Arial" w:cs="Arial" w:eastAsia="Arial" w:hAnsi="Arial"/>
                <w:sz w:val="17"/>
                <w:szCs w:val="17"/>
                <w:color w:val="auto"/>
                <w:w w:val="96"/>
              </w:rPr>
              <w:t>112%</w:t>
            </w:r>
          </w:p>
        </w:tc>
        <w:tc>
          <w:tcPr>
            <w:tcW w:w="2520" w:type="dxa"/>
            <w:vAlign w:val="bottom"/>
          </w:tcPr>
          <w:p>
            <w:pPr>
              <w:jc w:val="center"/>
              <w:ind w:left="138"/>
              <w:spacing w:after="0"/>
              <w:rPr>
                <w:sz w:val="20"/>
                <w:szCs w:val="20"/>
                <w:color w:val="auto"/>
              </w:rPr>
            </w:pPr>
            <w:r>
              <w:rPr>
                <w:rFonts w:ascii="Arial" w:cs="Arial" w:eastAsia="Arial" w:hAnsi="Arial"/>
                <w:sz w:val="17"/>
                <w:szCs w:val="17"/>
                <w:color w:val="auto"/>
              </w:rPr>
              <w:t>Up to a maximum of 200%</w:t>
            </w:r>
          </w:p>
        </w:tc>
      </w:tr>
      <w:tr>
        <w:trPr>
          <w:trHeight w:val="49"/>
        </w:trPr>
        <w:tc>
          <w:tcPr>
            <w:tcW w:w="4260" w:type="dxa"/>
            <w:vAlign w:val="bottom"/>
            <w:tcBorders>
              <w:bottom w:val="single" w:sz="8" w:color="00467D"/>
            </w:tcBorders>
          </w:tcPr>
          <w:p>
            <w:pPr>
              <w:spacing w:after="0"/>
              <w:rPr>
                <w:sz w:val="4"/>
                <w:szCs w:val="4"/>
                <w:color w:val="auto"/>
              </w:rPr>
            </w:pPr>
          </w:p>
        </w:tc>
        <w:tc>
          <w:tcPr>
            <w:tcW w:w="3760" w:type="dxa"/>
            <w:vAlign w:val="bottom"/>
            <w:tcBorders>
              <w:bottom w:val="single" w:sz="8" w:color="00467D"/>
            </w:tcBorders>
          </w:tcPr>
          <w:p>
            <w:pPr>
              <w:spacing w:after="0"/>
              <w:rPr>
                <w:sz w:val="4"/>
                <w:szCs w:val="4"/>
                <w:color w:val="auto"/>
              </w:rPr>
            </w:pPr>
          </w:p>
        </w:tc>
        <w:tc>
          <w:tcPr>
            <w:tcW w:w="2520" w:type="dxa"/>
            <w:vAlign w:val="bottom"/>
            <w:tcBorders>
              <w:bottom w:val="single" w:sz="8" w:color="00467D"/>
            </w:tcBorders>
          </w:tcPr>
          <w:p>
            <w:pPr>
              <w:spacing w:after="0"/>
              <w:rPr>
                <w:sz w:val="4"/>
                <w:szCs w:val="4"/>
                <w:color w:val="auto"/>
              </w:rPr>
            </w:pPr>
          </w:p>
        </w:tc>
      </w:tr>
    </w:tbl>
    <w:p>
      <w:pPr>
        <w:spacing w:after="0" w:line="151" w:lineRule="exact"/>
        <w:rPr>
          <w:sz w:val="20"/>
          <w:szCs w:val="20"/>
          <w:color w:val="auto"/>
        </w:rPr>
      </w:pPr>
    </w:p>
    <w:p>
      <w:pPr>
        <w:ind w:left="360" w:right="20"/>
        <w:spacing w:after="0" w:line="242" w:lineRule="auto"/>
        <w:rPr>
          <w:sz w:val="20"/>
          <w:szCs w:val="20"/>
          <w:color w:val="auto"/>
        </w:rPr>
      </w:pPr>
      <w:r>
        <w:rPr>
          <w:rFonts w:ascii="Arial" w:cs="Arial" w:eastAsia="Arial" w:hAnsi="Arial"/>
          <w:sz w:val="17"/>
          <w:szCs w:val="17"/>
          <w:color w:val="auto"/>
        </w:rPr>
        <w:t>The 2022 target bonus opportunities for Messrs. Petras, Rutz and Dimitrief were, respectively, 125%, 60%, and 50% of their base salaries. While serving as Deputy General Counsel, Mr. Klaben’s target bonus percentage was 30%, which was increased to 50% for the time he served as Interim SVP, General Counsel and Secretary. Target bonus opportunities for Messrs. Leffler and Hammons were 70% and 50%, respectively. Individual bonus payouts for Messrs. Petras, Dimitrief and Klaben were determined by taking into account both Company performance (80% of award) and individual performance (20% of award). Mr. Rutz’s bonus was determined by taking into account the performance of both the Company and Sterigenics (80% of award, with Sterigenics performance having a 75% weighting and Company performance a 25% weighting), and his individual performance (20% of award). In view of their departures, neither Messrs. Leffler nor Hammons received an AIP payout for 2022 performance.</w:t>
      </w:r>
    </w:p>
    <w:p>
      <w:pPr>
        <w:spacing w:after="0" w:line="140" w:lineRule="exact"/>
        <w:rPr>
          <w:sz w:val="20"/>
          <w:szCs w:val="20"/>
          <w:color w:val="auto"/>
        </w:rPr>
      </w:pPr>
    </w:p>
    <w:p>
      <w:pPr>
        <w:ind w:left="360" w:right="80"/>
        <w:spacing w:after="0" w:line="242" w:lineRule="auto"/>
        <w:rPr>
          <w:sz w:val="20"/>
          <w:szCs w:val="20"/>
          <w:color w:val="auto"/>
        </w:rPr>
      </w:pPr>
      <w:r>
        <w:rPr>
          <w:rFonts w:ascii="Arial" w:cs="Arial" w:eastAsia="Arial" w:hAnsi="Arial"/>
          <w:sz w:val="17"/>
          <w:szCs w:val="17"/>
          <w:color w:val="auto"/>
        </w:rPr>
        <w:t>In determining annual incentive payouts payable for the achievement of financial performance goals, following the close of the fiscal year, the LD&amp;C Committee considered actual Company and Sterigenics performance against the financial performance metrics set forth in the table above. The LD&amp;C Committee then adjusted the Company AIP Metric to account for any extraordinary, unusual, or non-recurring events during the performance period, and were immaterial to the annual incentive payouts. The LD&amp;C Committee also adjusted the Sterigenics AIP Metric to account for any extraordinary, unusual, or non-recurring events during the performance period, including the removal of corporate costs allocated to the Sterigenics segment. The results for our 2022 Company AIP Metric and Sterigenics AIP Metric were $ 513.0 million and $366.4 million, respectively. The 2022 financial performance goals set forth under our Annual Incentive Plan for overall Company performance and for Sterigenics performance were achieved at 88% of target and 97% of target, respectively.</w:t>
      </w:r>
    </w:p>
    <w:p>
      <w:pPr>
        <w:spacing w:after="0" w:line="153" w:lineRule="exact"/>
        <w:rPr>
          <w:sz w:val="20"/>
          <w:szCs w:val="20"/>
          <w:color w:val="auto"/>
        </w:rPr>
      </w:pPr>
    </w:p>
    <w:p>
      <w:pPr>
        <w:ind w:left="360" w:right="460"/>
        <w:spacing w:after="0" w:line="246" w:lineRule="auto"/>
        <w:rPr>
          <w:sz w:val="20"/>
          <w:szCs w:val="20"/>
          <w:color w:val="auto"/>
        </w:rPr>
      </w:pPr>
      <w:r>
        <w:rPr>
          <w:rFonts w:ascii="Arial" w:cs="Arial" w:eastAsia="Arial" w:hAnsi="Arial"/>
          <w:sz w:val="17"/>
          <w:szCs w:val="17"/>
          <w:color w:val="auto"/>
        </w:rPr>
        <w:t>When determining the amount payable to NEOs for the achievement of individual goals, the LD&amp;C Committee considers the recommendation of the CEO with regard to the other NEOs’ individual performance. All NEOs participate in the Company’s annual performance management process. At the beginning of the year, in consultation with the CEO, each executive sets individual and business unit or functional goals as part of performance planning. At the end of the year, performance is assessed based both on the executive’s achievement of his set goals and the extent to which that executive demonstrated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231775</wp:posOffset>
            </wp:positionH>
            <wp:positionV relativeFrom="paragraph">
              <wp:posOffset>95885</wp:posOffset>
            </wp:positionV>
            <wp:extent cx="6687820" cy="1651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687820" cy="16510"/>
                    </a:xfrm>
                    <a:prstGeom prst="rect">
                      <a:avLst/>
                    </a:prstGeom>
                    <a:noFill/>
                  </pic:spPr>
                </pic:pic>
              </a:graphicData>
            </a:graphic>
          </wp:anchor>
        </w:drawing>
      </w:r>
    </w:p>
    <w:p>
      <w:pPr>
        <w:spacing w:after="0" w:line="308" w:lineRule="exact"/>
        <w:rPr>
          <w:sz w:val="20"/>
          <w:szCs w:val="20"/>
          <w:color w:val="auto"/>
        </w:rPr>
      </w:pPr>
    </w:p>
    <w:tbl>
      <w:tblPr>
        <w:tblLayout w:type="fixed"/>
        <w:tblInd w:w="360" w:type="dxa"/>
        <w:tblCellMar>
          <w:top w:w="0" w:type="dxa"/>
          <w:left w:w="0" w:type="dxa"/>
          <w:bottom w:w="0" w:type="dxa"/>
          <w:right w:w="0" w:type="dxa"/>
        </w:tblCellMar>
      </w:tblPr>
      <w:tr>
        <w:trPr>
          <w:trHeight w:val="226"/>
        </w:trPr>
        <w:tc>
          <w:tcPr>
            <w:tcW w:w="3900" w:type="dxa"/>
            <w:vAlign w:val="bottom"/>
          </w:tcPr>
          <w:p>
            <w:pPr>
              <w:spacing w:after="0"/>
              <w:rPr>
                <w:sz w:val="20"/>
                <w:szCs w:val="20"/>
                <w:color w:val="auto"/>
              </w:rPr>
            </w:pPr>
            <w:r>
              <w:rPr>
                <w:rFonts w:ascii="Arial" w:cs="Arial" w:eastAsia="Arial" w:hAnsi="Arial"/>
                <w:sz w:val="17"/>
                <w:szCs w:val="17"/>
                <w:color w:val="auto"/>
              </w:rPr>
              <w:t>2023 Notice and Proxy Statement</w:t>
            </w:r>
          </w:p>
        </w:tc>
        <w:tc>
          <w:tcPr>
            <w:tcW w:w="1520" w:type="dxa"/>
            <w:vAlign w:val="bottom"/>
          </w:tcPr>
          <w:p>
            <w:pPr>
              <w:jc w:val="right"/>
              <w:spacing w:after="0"/>
              <w:rPr>
                <w:sz w:val="20"/>
                <w:szCs w:val="20"/>
                <w:color w:val="auto"/>
              </w:rPr>
            </w:pPr>
            <w:r>
              <w:rPr>
                <w:rFonts w:ascii="Arial" w:cs="Arial" w:eastAsia="Arial" w:hAnsi="Arial"/>
                <w:sz w:val="17"/>
                <w:szCs w:val="17"/>
                <w:color w:val="auto"/>
              </w:rPr>
              <w:t>36</w:t>
            </w:r>
          </w:p>
        </w:tc>
      </w:tr>
    </w:tbl>
    <w:p>
      <w:pPr>
        <w:sectPr>
          <w:pgSz w:w="11900" w:h="16838" w:orient="portrait"/>
          <w:cols w:equalWidth="0" w:num="1">
            <w:col w:w="10900"/>
          </w:cols>
          <w:pgMar w:left="320" w:top="468" w:right="67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5397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79945" cy="53975"/>
                    </a:xfrm>
                    <a:prstGeom prst="rect">
                      <a:avLst/>
                    </a:prstGeom>
                    <a:noFill/>
                  </pic:spPr>
                </pic:pic>
              </a:graphicData>
            </a:graphic>
          </wp:anchor>
        </w:drawing>
        <w:t>Table of Contents</w:t>
      </w:r>
    </w:p>
    <w:p>
      <w:pPr>
        <w:spacing w:after="0" w:line="296"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Compensation Discussion and Analysis</w:t>
      </w:r>
    </w:p>
    <w:p>
      <w:pPr>
        <w:spacing w:after="0" w:line="21" w:lineRule="exact"/>
        <w:rPr>
          <w:sz w:val="20"/>
          <w:szCs w:val="20"/>
          <w:color w:val="auto"/>
        </w:rPr>
      </w:pPr>
    </w:p>
    <w:p>
      <w:pPr>
        <w:ind w:left="8720"/>
        <w:spacing w:after="0"/>
        <w:rPr>
          <w:sz w:val="20"/>
          <w:szCs w:val="20"/>
          <w:color w:val="auto"/>
        </w:rPr>
      </w:pPr>
      <w:r>
        <w:rPr>
          <w:rFonts w:ascii="Arial" w:cs="Arial" w:eastAsia="Arial" w:hAnsi="Arial"/>
          <w:sz w:val="13"/>
          <w:szCs w:val="13"/>
          <w:b w:val="1"/>
          <w:bCs w:val="1"/>
          <w:color w:val="auto"/>
        </w:rPr>
        <w:t>Compensation Elements for 2022</w:t>
      </w:r>
    </w:p>
    <w:p>
      <w:pPr>
        <w:spacing w:after="0" w:line="126" w:lineRule="exact"/>
        <w:rPr>
          <w:sz w:val="20"/>
          <w:szCs w:val="20"/>
          <w:color w:val="auto"/>
        </w:rPr>
      </w:pPr>
    </w:p>
    <w:p>
      <w:pPr>
        <w:ind w:left="360" w:right="40"/>
        <w:spacing w:after="0" w:line="250" w:lineRule="auto"/>
        <w:rPr>
          <w:sz w:val="20"/>
          <w:szCs w:val="20"/>
          <w:color w:val="auto"/>
        </w:rPr>
      </w:pPr>
      <w:r>
        <w:rPr>
          <w:rFonts w:ascii="Arial" w:cs="Arial" w:eastAsia="Arial" w:hAnsi="Arial"/>
          <w:sz w:val="17"/>
          <w:szCs w:val="17"/>
          <w:color w:val="auto"/>
        </w:rPr>
        <w:t>throughout the year the Company’s core values of safety, customer focus, people, integrity and excellence. The assessment of executive performance against the Company’s values, which are fundamental to our Company’s culture, and to our ESG initiatives, is a key component of each individual’s annual performance evaluation. The Committee believes the fact that all employees that participate in our AIP are annually evaluated for the extent to which their work embodies our values is a key part of mitigating our overall compensation risk.</w:t>
      </w:r>
    </w:p>
    <w:p>
      <w:pPr>
        <w:spacing w:after="0" w:line="141" w:lineRule="exact"/>
        <w:rPr>
          <w:sz w:val="20"/>
          <w:szCs w:val="20"/>
          <w:color w:val="auto"/>
        </w:rPr>
      </w:pPr>
    </w:p>
    <w:p>
      <w:pPr>
        <w:ind w:left="360" w:right="120"/>
        <w:spacing w:after="0" w:line="245" w:lineRule="auto"/>
        <w:rPr>
          <w:sz w:val="20"/>
          <w:szCs w:val="20"/>
          <w:color w:val="auto"/>
        </w:rPr>
      </w:pPr>
      <w:r>
        <w:rPr>
          <w:rFonts w:ascii="Arial" w:cs="Arial" w:eastAsia="Arial" w:hAnsi="Arial"/>
          <w:sz w:val="17"/>
          <w:szCs w:val="17"/>
          <w:color w:val="auto"/>
        </w:rPr>
        <w:t>Mr. Petras evaluated the performances of Messrs. Rutz, Dimitrief and Klaben and made a recommendation to the LD&amp;C Committee regarding the level of individual performance each executive achieved relative to his set goals and the embodiment of our values. The Board evaluated Mr. Petras’ performance and considered the CEO’s recommendation regarding the individual achievement levels of the other NEOs. Based on performance related to their 2022 goals, Mr. Klaben received 110% of his individual performance target and Messrs. Petras, Rutz and Dimitrief received 100% of their individual performance targets. The following table provides further detail about the 2022 annual bonus opportunity and payout under our AIP for each NEO:</w:t>
      </w:r>
    </w:p>
    <w:p>
      <w:pPr>
        <w:spacing w:after="0" w:line="173" w:lineRule="exact"/>
        <w:rPr>
          <w:sz w:val="20"/>
          <w:szCs w:val="20"/>
          <w:color w:val="auto"/>
        </w:rPr>
      </w:pPr>
    </w:p>
    <w:tbl>
      <w:tblPr>
        <w:tblLayout w:type="fixed"/>
        <w:tblInd w:w="360" w:type="dxa"/>
        <w:tblCellMar>
          <w:top w:w="0" w:type="dxa"/>
          <w:left w:w="0" w:type="dxa"/>
          <w:bottom w:w="0" w:type="dxa"/>
          <w:right w:w="0" w:type="dxa"/>
        </w:tblCellMar>
      </w:tblPr>
      <w:tr>
        <w:trPr>
          <w:trHeight w:val="181"/>
        </w:trPr>
        <w:tc>
          <w:tcPr>
            <w:tcW w:w="30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840" w:type="dxa"/>
            <w:vAlign w:val="bottom"/>
            <w:gridSpan w:val="2"/>
          </w:tcPr>
          <w:p>
            <w:pPr>
              <w:jc w:val="right"/>
              <w:ind w:right="223"/>
              <w:spacing w:after="0"/>
              <w:rPr>
                <w:sz w:val="20"/>
                <w:szCs w:val="20"/>
                <w:color w:val="auto"/>
              </w:rPr>
            </w:pPr>
            <w:r>
              <w:rPr>
                <w:rFonts w:ascii="Arial" w:cs="Arial" w:eastAsia="Arial" w:hAnsi="Arial"/>
                <w:sz w:val="15"/>
                <w:szCs w:val="15"/>
                <w:b w:val="1"/>
                <w:bCs w:val="1"/>
                <w:color w:val="00467D"/>
              </w:rPr>
              <w:t>Annual Incentive</w:t>
            </w:r>
          </w:p>
        </w:tc>
        <w:tc>
          <w:tcPr>
            <w:tcW w:w="300" w:type="dxa"/>
            <w:vAlign w:val="bottom"/>
          </w:tcPr>
          <w:p>
            <w:pPr>
              <w:spacing w:after="0"/>
              <w:rPr>
                <w:sz w:val="15"/>
                <w:szCs w:val="15"/>
                <w:color w:val="auto"/>
              </w:rPr>
            </w:pPr>
          </w:p>
        </w:tc>
        <w:tc>
          <w:tcPr>
            <w:tcW w:w="1980" w:type="dxa"/>
            <w:vAlign w:val="bottom"/>
            <w:gridSpan w:val="2"/>
          </w:tcPr>
          <w:p>
            <w:pPr>
              <w:jc w:val="right"/>
              <w:ind w:right="303"/>
              <w:spacing w:after="0"/>
              <w:rPr>
                <w:sz w:val="20"/>
                <w:szCs w:val="20"/>
                <w:color w:val="auto"/>
              </w:rPr>
            </w:pPr>
            <w:r>
              <w:rPr>
                <w:rFonts w:ascii="Arial" w:cs="Arial" w:eastAsia="Arial" w:hAnsi="Arial"/>
                <w:sz w:val="15"/>
                <w:szCs w:val="15"/>
                <w:b w:val="1"/>
                <w:bCs w:val="1"/>
                <w:color w:val="00467D"/>
              </w:rPr>
              <w:t>Annual Incentive</w:t>
            </w:r>
          </w:p>
        </w:tc>
        <w:tc>
          <w:tcPr>
            <w:tcW w:w="280" w:type="dxa"/>
            <w:vAlign w:val="bottom"/>
          </w:tcPr>
          <w:p>
            <w:pPr>
              <w:spacing w:after="0"/>
              <w:rPr>
                <w:sz w:val="15"/>
                <w:szCs w:val="15"/>
                <w:color w:val="auto"/>
              </w:rPr>
            </w:pPr>
          </w:p>
        </w:tc>
        <w:tc>
          <w:tcPr>
            <w:tcW w:w="2000" w:type="dxa"/>
            <w:vAlign w:val="bottom"/>
            <w:gridSpan w:val="3"/>
          </w:tcPr>
          <w:p>
            <w:pPr>
              <w:jc w:val="right"/>
              <w:ind w:right="500"/>
              <w:spacing w:after="0"/>
              <w:rPr>
                <w:sz w:val="20"/>
                <w:szCs w:val="20"/>
                <w:color w:val="auto"/>
              </w:rPr>
            </w:pPr>
            <w:r>
              <w:rPr>
                <w:rFonts w:ascii="Arial" w:cs="Arial" w:eastAsia="Arial" w:hAnsi="Arial"/>
                <w:sz w:val="15"/>
                <w:szCs w:val="15"/>
                <w:b w:val="1"/>
                <w:bCs w:val="1"/>
                <w:color w:val="00467D"/>
              </w:rPr>
              <w:t>Actual 2022 AIP</w:t>
            </w:r>
          </w:p>
        </w:tc>
      </w:tr>
      <w:tr>
        <w:trPr>
          <w:trHeight w:val="195"/>
        </w:trPr>
        <w:tc>
          <w:tcPr>
            <w:tcW w:w="30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840" w:type="dxa"/>
            <w:vAlign w:val="bottom"/>
            <w:gridSpan w:val="2"/>
          </w:tcPr>
          <w:p>
            <w:pPr>
              <w:jc w:val="right"/>
              <w:ind w:right="383"/>
              <w:spacing w:after="0" w:line="194" w:lineRule="exact"/>
              <w:rPr>
                <w:sz w:val="20"/>
                <w:szCs w:val="20"/>
                <w:color w:val="auto"/>
              </w:rPr>
            </w:pPr>
            <w:r>
              <w:rPr>
                <w:rFonts w:ascii="Arial" w:cs="Arial" w:eastAsia="Arial" w:hAnsi="Arial"/>
                <w:sz w:val="15"/>
                <w:szCs w:val="15"/>
                <w:b w:val="1"/>
                <w:bCs w:val="1"/>
                <w:color w:val="00467D"/>
              </w:rPr>
              <w:t xml:space="preserve">Threshold </w:t>
            </w:r>
            <w:r>
              <w:rPr>
                <w:rFonts w:ascii="Arial" w:cs="Arial" w:eastAsia="Arial" w:hAnsi="Arial"/>
                <w:sz w:val="22"/>
                <w:szCs w:val="22"/>
                <w:b w:val="1"/>
                <w:bCs w:val="1"/>
                <w:color w:val="00467D"/>
                <w:vertAlign w:val="superscript"/>
              </w:rPr>
              <w:t>(1)</w:t>
            </w:r>
          </w:p>
        </w:tc>
        <w:tc>
          <w:tcPr>
            <w:tcW w:w="300" w:type="dxa"/>
            <w:vAlign w:val="bottom"/>
          </w:tcPr>
          <w:p>
            <w:pPr>
              <w:spacing w:after="0"/>
              <w:rPr>
                <w:sz w:val="16"/>
                <w:szCs w:val="16"/>
                <w:color w:val="auto"/>
              </w:rPr>
            </w:pPr>
          </w:p>
        </w:tc>
        <w:tc>
          <w:tcPr>
            <w:tcW w:w="1980" w:type="dxa"/>
            <w:vAlign w:val="bottom"/>
            <w:gridSpan w:val="2"/>
          </w:tcPr>
          <w:p>
            <w:pPr>
              <w:jc w:val="right"/>
              <w:ind w:right="703"/>
              <w:spacing w:after="0"/>
              <w:rPr>
                <w:sz w:val="20"/>
                <w:szCs w:val="20"/>
                <w:color w:val="auto"/>
              </w:rPr>
            </w:pPr>
            <w:r>
              <w:rPr>
                <w:rFonts w:ascii="Arial" w:cs="Arial" w:eastAsia="Arial" w:hAnsi="Arial"/>
                <w:sz w:val="15"/>
                <w:szCs w:val="15"/>
                <w:b w:val="1"/>
                <w:bCs w:val="1"/>
                <w:color w:val="00467D"/>
              </w:rPr>
              <w:t>Target</w:t>
            </w:r>
          </w:p>
        </w:tc>
        <w:tc>
          <w:tcPr>
            <w:tcW w:w="280" w:type="dxa"/>
            <w:vAlign w:val="bottom"/>
          </w:tcPr>
          <w:p>
            <w:pPr>
              <w:spacing w:after="0"/>
              <w:rPr>
                <w:sz w:val="16"/>
                <w:szCs w:val="16"/>
                <w:color w:val="auto"/>
              </w:rPr>
            </w:pPr>
          </w:p>
        </w:tc>
        <w:tc>
          <w:tcPr>
            <w:tcW w:w="2000" w:type="dxa"/>
            <w:vAlign w:val="bottom"/>
            <w:gridSpan w:val="3"/>
          </w:tcPr>
          <w:p>
            <w:pPr>
              <w:jc w:val="right"/>
              <w:ind w:right="560"/>
              <w:spacing w:after="0"/>
              <w:rPr>
                <w:sz w:val="20"/>
                <w:szCs w:val="20"/>
                <w:color w:val="auto"/>
              </w:rPr>
            </w:pPr>
            <w:r>
              <w:rPr>
                <w:rFonts w:ascii="Arial" w:cs="Arial" w:eastAsia="Arial" w:hAnsi="Arial"/>
                <w:sz w:val="15"/>
                <w:szCs w:val="15"/>
                <w:b w:val="1"/>
                <w:bCs w:val="1"/>
                <w:color w:val="00467D"/>
              </w:rPr>
              <w:t>Bonus Payout</w:t>
            </w:r>
          </w:p>
        </w:tc>
      </w:tr>
      <w:tr>
        <w:trPr>
          <w:trHeight w:val="159"/>
        </w:trPr>
        <w:tc>
          <w:tcPr>
            <w:tcW w:w="30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40" w:type="dxa"/>
            <w:vAlign w:val="bottom"/>
            <w:tcBorders>
              <w:top w:val="single" w:sz="8" w:color="00467D"/>
            </w:tcBorders>
          </w:tcPr>
          <w:p>
            <w:pPr>
              <w:jc w:val="right"/>
              <w:ind w:right="223"/>
              <w:spacing w:after="0" w:line="159" w:lineRule="exact"/>
              <w:rPr>
                <w:sz w:val="20"/>
                <w:szCs w:val="20"/>
                <w:color w:val="auto"/>
              </w:rPr>
            </w:pPr>
            <w:r>
              <w:rPr>
                <w:rFonts w:ascii="Arial" w:cs="Arial" w:eastAsia="Arial" w:hAnsi="Arial"/>
                <w:sz w:val="15"/>
                <w:szCs w:val="15"/>
                <w:b w:val="1"/>
                <w:bCs w:val="1"/>
                <w:color w:val="00467D"/>
              </w:rPr>
              <w:t>% of Base</w:t>
            </w:r>
          </w:p>
        </w:tc>
        <w:tc>
          <w:tcPr>
            <w:tcW w:w="800" w:type="dxa"/>
            <w:vAlign w:val="bottom"/>
            <w:tcBorders>
              <w:top w:val="single" w:sz="8" w:color="00467D"/>
            </w:tcBorders>
          </w:tcPr>
          <w:p>
            <w:pPr>
              <w:jc w:val="right"/>
              <w:spacing w:after="0" w:line="159" w:lineRule="exact"/>
              <w:rPr>
                <w:sz w:val="20"/>
                <w:szCs w:val="20"/>
                <w:color w:val="auto"/>
              </w:rPr>
            </w:pPr>
            <w:r>
              <w:rPr>
                <w:rFonts w:ascii="Arial" w:cs="Arial" w:eastAsia="Arial" w:hAnsi="Arial"/>
                <w:sz w:val="15"/>
                <w:szCs w:val="15"/>
                <w:b w:val="1"/>
                <w:bCs w:val="1"/>
                <w:color w:val="00467D"/>
              </w:rPr>
              <w:t>Amount</w:t>
            </w:r>
          </w:p>
        </w:tc>
        <w:tc>
          <w:tcPr>
            <w:tcW w:w="300" w:type="dxa"/>
            <w:vAlign w:val="bottom"/>
          </w:tcPr>
          <w:p>
            <w:pPr>
              <w:spacing w:after="0"/>
              <w:rPr>
                <w:sz w:val="13"/>
                <w:szCs w:val="13"/>
                <w:color w:val="auto"/>
              </w:rPr>
            </w:pPr>
          </w:p>
        </w:tc>
        <w:tc>
          <w:tcPr>
            <w:tcW w:w="1020" w:type="dxa"/>
            <w:vAlign w:val="bottom"/>
            <w:tcBorders>
              <w:top w:val="single" w:sz="8" w:color="00467D"/>
            </w:tcBorders>
          </w:tcPr>
          <w:p>
            <w:pPr>
              <w:jc w:val="right"/>
              <w:ind w:right="203"/>
              <w:spacing w:after="0" w:line="159" w:lineRule="exact"/>
              <w:rPr>
                <w:sz w:val="20"/>
                <w:szCs w:val="20"/>
                <w:color w:val="auto"/>
              </w:rPr>
            </w:pPr>
            <w:r>
              <w:rPr>
                <w:rFonts w:ascii="Arial" w:cs="Arial" w:eastAsia="Arial" w:hAnsi="Arial"/>
                <w:sz w:val="15"/>
                <w:szCs w:val="15"/>
                <w:b w:val="1"/>
                <w:bCs w:val="1"/>
                <w:color w:val="00467D"/>
              </w:rPr>
              <w:t>% of Base</w:t>
            </w:r>
          </w:p>
        </w:tc>
        <w:tc>
          <w:tcPr>
            <w:tcW w:w="960" w:type="dxa"/>
            <w:vAlign w:val="bottom"/>
            <w:tcBorders>
              <w:top w:val="single" w:sz="8" w:color="00467D"/>
            </w:tcBorders>
          </w:tcPr>
          <w:p>
            <w:pPr>
              <w:jc w:val="right"/>
              <w:ind w:right="43"/>
              <w:spacing w:after="0" w:line="159" w:lineRule="exact"/>
              <w:rPr>
                <w:sz w:val="20"/>
                <w:szCs w:val="20"/>
                <w:color w:val="auto"/>
              </w:rPr>
            </w:pPr>
            <w:r>
              <w:rPr>
                <w:rFonts w:ascii="Arial" w:cs="Arial" w:eastAsia="Arial" w:hAnsi="Arial"/>
                <w:sz w:val="15"/>
                <w:szCs w:val="15"/>
                <w:b w:val="1"/>
                <w:bCs w:val="1"/>
                <w:color w:val="00467D"/>
              </w:rPr>
              <w:t>Amount</w:t>
            </w:r>
          </w:p>
        </w:tc>
        <w:tc>
          <w:tcPr>
            <w:tcW w:w="280" w:type="dxa"/>
            <w:vAlign w:val="bottom"/>
          </w:tcPr>
          <w:p>
            <w:pPr>
              <w:spacing w:after="0"/>
              <w:rPr>
                <w:sz w:val="13"/>
                <w:szCs w:val="13"/>
                <w:color w:val="auto"/>
              </w:rPr>
            </w:pPr>
          </w:p>
        </w:tc>
        <w:tc>
          <w:tcPr>
            <w:tcW w:w="960" w:type="dxa"/>
            <w:vAlign w:val="bottom"/>
            <w:tcBorders>
              <w:top w:val="single" w:sz="8" w:color="00467D"/>
            </w:tcBorders>
          </w:tcPr>
          <w:p>
            <w:pPr>
              <w:jc w:val="right"/>
              <w:ind w:right="143"/>
              <w:spacing w:after="0" w:line="159" w:lineRule="exact"/>
              <w:rPr>
                <w:sz w:val="20"/>
                <w:szCs w:val="20"/>
                <w:color w:val="auto"/>
              </w:rPr>
            </w:pPr>
            <w:r>
              <w:rPr>
                <w:rFonts w:ascii="Arial" w:cs="Arial" w:eastAsia="Arial" w:hAnsi="Arial"/>
                <w:sz w:val="15"/>
                <w:szCs w:val="15"/>
                <w:b w:val="1"/>
                <w:bCs w:val="1"/>
                <w:color w:val="00467D"/>
              </w:rPr>
              <w:t>% of Base</w:t>
            </w:r>
          </w:p>
        </w:tc>
        <w:tc>
          <w:tcPr>
            <w:tcW w:w="860" w:type="dxa"/>
            <w:vAlign w:val="bottom"/>
            <w:tcBorders>
              <w:top w:val="single" w:sz="8" w:color="00467D"/>
            </w:tcBorders>
          </w:tcPr>
          <w:p>
            <w:pPr>
              <w:jc w:val="right"/>
              <w:ind w:right="23"/>
              <w:spacing w:after="0" w:line="159" w:lineRule="exact"/>
              <w:rPr>
                <w:sz w:val="20"/>
                <w:szCs w:val="20"/>
                <w:color w:val="auto"/>
              </w:rPr>
            </w:pPr>
            <w:r>
              <w:rPr>
                <w:rFonts w:ascii="Arial" w:cs="Arial" w:eastAsia="Arial" w:hAnsi="Arial"/>
                <w:sz w:val="15"/>
                <w:szCs w:val="15"/>
                <w:b w:val="1"/>
                <w:bCs w:val="1"/>
                <w:color w:val="00467D"/>
              </w:rPr>
              <w:t>Amount</w:t>
            </w:r>
          </w:p>
        </w:tc>
        <w:tc>
          <w:tcPr>
            <w:tcW w:w="180" w:type="dxa"/>
            <w:vAlign w:val="bottom"/>
          </w:tcPr>
          <w:p>
            <w:pPr>
              <w:spacing w:after="0"/>
              <w:rPr>
                <w:sz w:val="13"/>
                <w:szCs w:val="13"/>
                <w:color w:val="auto"/>
              </w:rPr>
            </w:pPr>
          </w:p>
        </w:tc>
      </w:tr>
      <w:tr>
        <w:trPr>
          <w:trHeight w:val="195"/>
        </w:trPr>
        <w:tc>
          <w:tcPr>
            <w:tcW w:w="3080" w:type="dxa"/>
            <w:vAlign w:val="bottom"/>
            <w:tcBorders>
              <w:bottom w:val="single" w:sz="8" w:color="00467D"/>
            </w:tcBorders>
          </w:tcPr>
          <w:p>
            <w:pPr>
              <w:spacing w:after="0"/>
              <w:rPr>
                <w:sz w:val="16"/>
                <w:szCs w:val="16"/>
                <w:color w:val="auto"/>
              </w:rPr>
            </w:pPr>
          </w:p>
        </w:tc>
        <w:tc>
          <w:tcPr>
            <w:tcW w:w="1060" w:type="dxa"/>
            <w:vAlign w:val="bottom"/>
            <w:tcBorders>
              <w:bottom w:val="single" w:sz="8" w:color="00467D"/>
            </w:tcBorders>
          </w:tcPr>
          <w:p>
            <w:pPr>
              <w:spacing w:after="0"/>
              <w:rPr>
                <w:sz w:val="16"/>
                <w:szCs w:val="16"/>
                <w:color w:val="auto"/>
              </w:rPr>
            </w:pPr>
          </w:p>
        </w:tc>
        <w:tc>
          <w:tcPr>
            <w:tcW w:w="1040" w:type="dxa"/>
            <w:vAlign w:val="bottom"/>
            <w:tcBorders>
              <w:bottom w:val="single" w:sz="8" w:color="00467D"/>
            </w:tcBorders>
          </w:tcPr>
          <w:p>
            <w:pPr>
              <w:jc w:val="right"/>
              <w:ind w:right="363"/>
              <w:spacing w:after="0"/>
              <w:rPr>
                <w:sz w:val="20"/>
                <w:szCs w:val="20"/>
                <w:color w:val="auto"/>
              </w:rPr>
            </w:pPr>
            <w:r>
              <w:rPr>
                <w:rFonts w:ascii="Arial" w:cs="Arial" w:eastAsia="Arial" w:hAnsi="Arial"/>
                <w:sz w:val="15"/>
                <w:szCs w:val="15"/>
                <w:b w:val="1"/>
                <w:bCs w:val="1"/>
                <w:color w:val="00467D"/>
              </w:rPr>
              <w:t>Salary</w:t>
            </w:r>
          </w:p>
        </w:tc>
        <w:tc>
          <w:tcPr>
            <w:tcW w:w="800" w:type="dxa"/>
            <w:vAlign w:val="bottom"/>
            <w:tcBorders>
              <w:bottom w:val="single" w:sz="8" w:color="00467D"/>
            </w:tcBorders>
          </w:tcPr>
          <w:p>
            <w:pPr>
              <w:jc w:val="right"/>
              <w:ind w:right="163"/>
              <w:spacing w:after="0"/>
              <w:rPr>
                <w:sz w:val="20"/>
                <w:szCs w:val="20"/>
                <w:color w:val="auto"/>
              </w:rPr>
            </w:pPr>
            <w:r>
              <w:rPr>
                <w:rFonts w:ascii="Arial" w:cs="Arial" w:eastAsia="Arial" w:hAnsi="Arial"/>
                <w:sz w:val="15"/>
                <w:szCs w:val="15"/>
                <w:b w:val="1"/>
                <w:bCs w:val="1"/>
                <w:color w:val="00467D"/>
              </w:rPr>
              <w:t>($)</w:t>
            </w:r>
          </w:p>
        </w:tc>
        <w:tc>
          <w:tcPr>
            <w:tcW w:w="300" w:type="dxa"/>
            <w:vAlign w:val="bottom"/>
            <w:tcBorders>
              <w:bottom w:val="single" w:sz="8" w:color="00467D"/>
            </w:tcBorders>
          </w:tcPr>
          <w:p>
            <w:pPr>
              <w:spacing w:after="0"/>
              <w:rPr>
                <w:sz w:val="16"/>
                <w:szCs w:val="16"/>
                <w:color w:val="auto"/>
              </w:rPr>
            </w:pPr>
          </w:p>
        </w:tc>
        <w:tc>
          <w:tcPr>
            <w:tcW w:w="1020" w:type="dxa"/>
            <w:vAlign w:val="bottom"/>
            <w:tcBorders>
              <w:bottom w:val="single" w:sz="8" w:color="00467D"/>
            </w:tcBorders>
          </w:tcPr>
          <w:p>
            <w:pPr>
              <w:jc w:val="right"/>
              <w:ind w:right="343"/>
              <w:spacing w:after="0"/>
              <w:rPr>
                <w:sz w:val="20"/>
                <w:szCs w:val="20"/>
                <w:color w:val="auto"/>
              </w:rPr>
            </w:pPr>
            <w:r>
              <w:rPr>
                <w:rFonts w:ascii="Arial" w:cs="Arial" w:eastAsia="Arial" w:hAnsi="Arial"/>
                <w:sz w:val="15"/>
                <w:szCs w:val="15"/>
                <w:b w:val="1"/>
                <w:bCs w:val="1"/>
                <w:color w:val="00467D"/>
              </w:rPr>
              <w:t>Salary</w:t>
            </w:r>
          </w:p>
        </w:tc>
        <w:tc>
          <w:tcPr>
            <w:tcW w:w="960" w:type="dxa"/>
            <w:vAlign w:val="bottom"/>
            <w:tcBorders>
              <w:bottom w:val="single" w:sz="8" w:color="00467D"/>
            </w:tcBorders>
          </w:tcPr>
          <w:p>
            <w:pPr>
              <w:jc w:val="right"/>
              <w:ind w:right="243"/>
              <w:spacing w:after="0"/>
              <w:rPr>
                <w:sz w:val="20"/>
                <w:szCs w:val="20"/>
                <w:color w:val="auto"/>
              </w:rPr>
            </w:pPr>
            <w:r>
              <w:rPr>
                <w:rFonts w:ascii="Arial" w:cs="Arial" w:eastAsia="Arial" w:hAnsi="Arial"/>
                <w:sz w:val="15"/>
                <w:szCs w:val="15"/>
                <w:b w:val="1"/>
                <w:bCs w:val="1"/>
                <w:color w:val="00467D"/>
              </w:rPr>
              <w:t>($)</w:t>
            </w:r>
          </w:p>
        </w:tc>
        <w:tc>
          <w:tcPr>
            <w:tcW w:w="280" w:type="dxa"/>
            <w:vAlign w:val="bottom"/>
            <w:tcBorders>
              <w:bottom w:val="single" w:sz="8" w:color="00467D"/>
            </w:tcBorders>
          </w:tcPr>
          <w:p>
            <w:pPr>
              <w:spacing w:after="0"/>
              <w:rPr>
                <w:sz w:val="16"/>
                <w:szCs w:val="16"/>
                <w:color w:val="auto"/>
              </w:rPr>
            </w:pPr>
          </w:p>
        </w:tc>
        <w:tc>
          <w:tcPr>
            <w:tcW w:w="960" w:type="dxa"/>
            <w:vAlign w:val="bottom"/>
            <w:tcBorders>
              <w:bottom w:val="single" w:sz="8" w:color="00467D"/>
            </w:tcBorders>
          </w:tcPr>
          <w:p>
            <w:pPr>
              <w:jc w:val="right"/>
              <w:ind w:right="283"/>
              <w:spacing w:after="0"/>
              <w:rPr>
                <w:sz w:val="20"/>
                <w:szCs w:val="20"/>
                <w:color w:val="auto"/>
              </w:rPr>
            </w:pPr>
            <w:r>
              <w:rPr>
                <w:rFonts w:ascii="Arial" w:cs="Arial" w:eastAsia="Arial" w:hAnsi="Arial"/>
                <w:sz w:val="15"/>
                <w:szCs w:val="15"/>
                <w:b w:val="1"/>
                <w:bCs w:val="1"/>
                <w:color w:val="00467D"/>
              </w:rPr>
              <w:t>Salary</w:t>
            </w:r>
          </w:p>
        </w:tc>
        <w:tc>
          <w:tcPr>
            <w:tcW w:w="860" w:type="dxa"/>
            <w:vAlign w:val="bottom"/>
            <w:tcBorders>
              <w:bottom w:val="single" w:sz="8" w:color="00467D"/>
            </w:tcBorders>
          </w:tcPr>
          <w:p>
            <w:pPr>
              <w:jc w:val="right"/>
              <w:ind w:right="223"/>
              <w:spacing w:after="0"/>
              <w:rPr>
                <w:sz w:val="20"/>
                <w:szCs w:val="20"/>
                <w:color w:val="auto"/>
              </w:rPr>
            </w:pPr>
            <w:r>
              <w:rPr>
                <w:rFonts w:ascii="Arial" w:cs="Arial" w:eastAsia="Arial" w:hAnsi="Arial"/>
                <w:sz w:val="15"/>
                <w:szCs w:val="15"/>
                <w:b w:val="1"/>
                <w:bCs w:val="1"/>
                <w:color w:val="00467D"/>
              </w:rPr>
              <w:t>($)</w:t>
            </w:r>
          </w:p>
        </w:tc>
        <w:tc>
          <w:tcPr>
            <w:tcW w:w="180" w:type="dxa"/>
            <w:vAlign w:val="bottom"/>
            <w:tcBorders>
              <w:bottom w:val="single" w:sz="8" w:color="00467D"/>
            </w:tcBorders>
          </w:tcPr>
          <w:p>
            <w:pPr>
              <w:spacing w:after="0"/>
              <w:rPr>
                <w:sz w:val="16"/>
                <w:szCs w:val="16"/>
                <w:color w:val="auto"/>
              </w:rPr>
            </w:pPr>
          </w:p>
        </w:tc>
      </w:tr>
      <w:tr>
        <w:trPr>
          <w:trHeight w:val="224"/>
        </w:trPr>
        <w:tc>
          <w:tcPr>
            <w:tcW w:w="3080" w:type="dxa"/>
            <w:vAlign w:val="bottom"/>
          </w:tcPr>
          <w:p>
            <w:pPr>
              <w:ind w:left="80"/>
              <w:spacing w:after="0"/>
              <w:rPr>
                <w:sz w:val="20"/>
                <w:szCs w:val="20"/>
                <w:color w:val="auto"/>
              </w:rPr>
            </w:pPr>
            <w:r>
              <w:rPr>
                <w:rFonts w:ascii="Arial" w:cs="Arial" w:eastAsia="Arial" w:hAnsi="Arial"/>
                <w:sz w:val="15"/>
                <w:szCs w:val="15"/>
                <w:color w:val="auto"/>
              </w:rPr>
              <w:t>Michael B. Petras, Jr.</w:t>
            </w:r>
          </w:p>
        </w:tc>
        <w:tc>
          <w:tcPr>
            <w:tcW w:w="2100" w:type="dxa"/>
            <w:vAlign w:val="bottom"/>
            <w:gridSpan w:val="2"/>
          </w:tcPr>
          <w:p>
            <w:pPr>
              <w:jc w:val="right"/>
              <w:ind w:right="83"/>
              <w:spacing w:after="0"/>
              <w:rPr>
                <w:sz w:val="20"/>
                <w:szCs w:val="20"/>
                <w:color w:val="auto"/>
              </w:rPr>
            </w:pPr>
            <w:r>
              <w:rPr>
                <w:rFonts w:ascii="Arial" w:cs="Arial" w:eastAsia="Arial" w:hAnsi="Arial"/>
                <w:sz w:val="15"/>
                <w:szCs w:val="15"/>
                <w:color w:val="auto"/>
              </w:rPr>
              <w:t>87.5%</w:t>
            </w:r>
          </w:p>
        </w:tc>
        <w:tc>
          <w:tcPr>
            <w:tcW w:w="800" w:type="dxa"/>
            <w:vAlign w:val="bottom"/>
          </w:tcPr>
          <w:p>
            <w:pPr>
              <w:jc w:val="right"/>
              <w:spacing w:after="0"/>
              <w:rPr>
                <w:sz w:val="20"/>
                <w:szCs w:val="20"/>
                <w:color w:val="auto"/>
              </w:rPr>
            </w:pPr>
            <w:r>
              <w:rPr>
                <w:rFonts w:ascii="Arial" w:cs="Arial" w:eastAsia="Arial" w:hAnsi="Arial"/>
                <w:sz w:val="15"/>
                <w:szCs w:val="15"/>
                <w:color w:val="auto"/>
              </w:rPr>
              <w:t>$918,750</w:t>
            </w:r>
          </w:p>
        </w:tc>
        <w:tc>
          <w:tcPr>
            <w:tcW w:w="1320" w:type="dxa"/>
            <w:vAlign w:val="bottom"/>
            <w:gridSpan w:val="2"/>
          </w:tcPr>
          <w:p>
            <w:pPr>
              <w:jc w:val="right"/>
              <w:ind w:right="63"/>
              <w:spacing w:after="0"/>
              <w:rPr>
                <w:sz w:val="20"/>
                <w:szCs w:val="20"/>
                <w:color w:val="auto"/>
              </w:rPr>
            </w:pPr>
            <w:r>
              <w:rPr>
                <w:rFonts w:ascii="Arial" w:cs="Arial" w:eastAsia="Arial" w:hAnsi="Arial"/>
                <w:sz w:val="15"/>
                <w:szCs w:val="15"/>
                <w:color w:val="auto"/>
              </w:rPr>
              <w:t>125%</w:t>
            </w:r>
          </w:p>
        </w:tc>
        <w:tc>
          <w:tcPr>
            <w:tcW w:w="960" w:type="dxa"/>
            <w:vAlign w:val="bottom"/>
          </w:tcPr>
          <w:p>
            <w:pPr>
              <w:jc w:val="right"/>
              <w:spacing w:after="0"/>
              <w:rPr>
                <w:sz w:val="20"/>
                <w:szCs w:val="20"/>
                <w:color w:val="auto"/>
              </w:rPr>
            </w:pPr>
            <w:r>
              <w:rPr>
                <w:rFonts w:ascii="Arial" w:cs="Arial" w:eastAsia="Arial" w:hAnsi="Arial"/>
                <w:sz w:val="15"/>
                <w:szCs w:val="15"/>
                <w:color w:val="auto"/>
              </w:rPr>
              <w:t>$1,312,500</w:t>
            </w:r>
          </w:p>
        </w:tc>
        <w:tc>
          <w:tcPr>
            <w:tcW w:w="1240" w:type="dxa"/>
            <w:vAlign w:val="bottom"/>
            <w:gridSpan w:val="2"/>
          </w:tcPr>
          <w:p>
            <w:pPr>
              <w:jc w:val="right"/>
              <w:ind w:right="3"/>
              <w:spacing w:after="0"/>
              <w:rPr>
                <w:sz w:val="20"/>
                <w:szCs w:val="20"/>
                <w:color w:val="auto"/>
              </w:rPr>
            </w:pPr>
            <w:r>
              <w:rPr>
                <w:rFonts w:ascii="Arial" w:cs="Arial" w:eastAsia="Arial" w:hAnsi="Arial"/>
                <w:sz w:val="15"/>
                <w:szCs w:val="15"/>
                <w:color w:val="auto"/>
              </w:rPr>
              <w:t>109%</w:t>
            </w:r>
          </w:p>
        </w:tc>
        <w:tc>
          <w:tcPr>
            <w:tcW w:w="860" w:type="dxa"/>
            <w:vAlign w:val="bottom"/>
          </w:tcPr>
          <w:p>
            <w:pPr>
              <w:jc w:val="right"/>
              <w:spacing w:after="0"/>
              <w:rPr>
                <w:sz w:val="20"/>
                <w:szCs w:val="20"/>
                <w:color w:val="auto"/>
              </w:rPr>
            </w:pPr>
            <w:r>
              <w:rPr>
                <w:rFonts w:ascii="Arial" w:cs="Arial" w:eastAsia="Arial" w:hAnsi="Arial"/>
                <w:sz w:val="15"/>
                <w:szCs w:val="15"/>
                <w:color w:val="auto"/>
              </w:rPr>
              <w:t>$1,142,308</w:t>
            </w:r>
          </w:p>
        </w:tc>
        <w:tc>
          <w:tcPr>
            <w:tcW w:w="180" w:type="dxa"/>
            <w:vAlign w:val="bottom"/>
          </w:tcPr>
          <w:p>
            <w:pPr>
              <w:spacing w:after="0"/>
              <w:rPr>
                <w:sz w:val="19"/>
                <w:szCs w:val="19"/>
                <w:color w:val="auto"/>
              </w:rPr>
            </w:pPr>
          </w:p>
        </w:tc>
      </w:tr>
      <w:tr>
        <w:trPr>
          <w:trHeight w:val="53"/>
        </w:trPr>
        <w:tc>
          <w:tcPr>
            <w:tcW w:w="3080" w:type="dxa"/>
            <w:vAlign w:val="bottom"/>
            <w:tcBorders>
              <w:bottom w:val="single" w:sz="8" w:color="99B5CB"/>
            </w:tcBorders>
          </w:tcPr>
          <w:p>
            <w:pPr>
              <w:spacing w:after="0"/>
              <w:rPr>
                <w:sz w:val="4"/>
                <w:szCs w:val="4"/>
                <w:color w:val="auto"/>
              </w:rPr>
            </w:pPr>
          </w:p>
        </w:tc>
        <w:tc>
          <w:tcPr>
            <w:tcW w:w="1060" w:type="dxa"/>
            <w:vAlign w:val="bottom"/>
            <w:tcBorders>
              <w:bottom w:val="single" w:sz="8" w:color="99B5CB"/>
            </w:tcBorders>
          </w:tcPr>
          <w:p>
            <w:pPr>
              <w:spacing w:after="0"/>
              <w:rPr>
                <w:sz w:val="4"/>
                <w:szCs w:val="4"/>
                <w:color w:val="auto"/>
              </w:rPr>
            </w:pPr>
          </w:p>
        </w:tc>
        <w:tc>
          <w:tcPr>
            <w:tcW w:w="1040" w:type="dxa"/>
            <w:vAlign w:val="bottom"/>
            <w:tcBorders>
              <w:bottom w:val="single" w:sz="8" w:color="99B5CB"/>
            </w:tcBorders>
          </w:tcPr>
          <w:p>
            <w:pPr>
              <w:spacing w:after="0"/>
              <w:rPr>
                <w:sz w:val="4"/>
                <w:szCs w:val="4"/>
                <w:color w:val="auto"/>
              </w:rPr>
            </w:pPr>
          </w:p>
        </w:tc>
        <w:tc>
          <w:tcPr>
            <w:tcW w:w="800" w:type="dxa"/>
            <w:vAlign w:val="bottom"/>
            <w:tcBorders>
              <w:bottom w:val="single" w:sz="8" w:color="99B5CB"/>
            </w:tcBorders>
          </w:tcPr>
          <w:p>
            <w:pPr>
              <w:spacing w:after="0"/>
              <w:rPr>
                <w:sz w:val="4"/>
                <w:szCs w:val="4"/>
                <w:color w:val="auto"/>
              </w:rPr>
            </w:pPr>
          </w:p>
        </w:tc>
        <w:tc>
          <w:tcPr>
            <w:tcW w:w="300" w:type="dxa"/>
            <w:vAlign w:val="bottom"/>
            <w:tcBorders>
              <w:bottom w:val="single" w:sz="8" w:color="99B5CB"/>
            </w:tcBorders>
          </w:tcPr>
          <w:p>
            <w:pPr>
              <w:spacing w:after="0"/>
              <w:rPr>
                <w:sz w:val="4"/>
                <w:szCs w:val="4"/>
                <w:color w:val="auto"/>
              </w:rPr>
            </w:pPr>
          </w:p>
        </w:tc>
        <w:tc>
          <w:tcPr>
            <w:tcW w:w="1020" w:type="dxa"/>
            <w:vAlign w:val="bottom"/>
            <w:tcBorders>
              <w:bottom w:val="single" w:sz="8" w:color="99B5CB"/>
            </w:tcBorders>
          </w:tcPr>
          <w:p>
            <w:pPr>
              <w:spacing w:after="0"/>
              <w:rPr>
                <w:sz w:val="4"/>
                <w:szCs w:val="4"/>
                <w:color w:val="auto"/>
              </w:rPr>
            </w:pPr>
          </w:p>
        </w:tc>
        <w:tc>
          <w:tcPr>
            <w:tcW w:w="960" w:type="dxa"/>
            <w:vAlign w:val="bottom"/>
            <w:tcBorders>
              <w:bottom w:val="single" w:sz="8" w:color="99B5CB"/>
            </w:tcBorders>
          </w:tcPr>
          <w:p>
            <w:pPr>
              <w:spacing w:after="0"/>
              <w:rPr>
                <w:sz w:val="4"/>
                <w:szCs w:val="4"/>
                <w:color w:val="auto"/>
              </w:rPr>
            </w:pPr>
          </w:p>
        </w:tc>
        <w:tc>
          <w:tcPr>
            <w:tcW w:w="280" w:type="dxa"/>
            <w:vAlign w:val="bottom"/>
            <w:tcBorders>
              <w:bottom w:val="single" w:sz="8" w:color="99B5CB"/>
            </w:tcBorders>
          </w:tcPr>
          <w:p>
            <w:pPr>
              <w:spacing w:after="0"/>
              <w:rPr>
                <w:sz w:val="4"/>
                <w:szCs w:val="4"/>
                <w:color w:val="auto"/>
              </w:rPr>
            </w:pPr>
          </w:p>
        </w:tc>
        <w:tc>
          <w:tcPr>
            <w:tcW w:w="960" w:type="dxa"/>
            <w:vAlign w:val="bottom"/>
            <w:tcBorders>
              <w:bottom w:val="single" w:sz="8" w:color="99B5CB"/>
            </w:tcBorders>
          </w:tcPr>
          <w:p>
            <w:pPr>
              <w:spacing w:after="0"/>
              <w:rPr>
                <w:sz w:val="4"/>
                <w:szCs w:val="4"/>
                <w:color w:val="auto"/>
              </w:rPr>
            </w:pPr>
          </w:p>
        </w:tc>
        <w:tc>
          <w:tcPr>
            <w:tcW w:w="860" w:type="dxa"/>
            <w:vAlign w:val="bottom"/>
            <w:tcBorders>
              <w:bottom w:val="single" w:sz="8" w:color="99B5CB"/>
            </w:tcBorders>
          </w:tcPr>
          <w:p>
            <w:pPr>
              <w:spacing w:after="0"/>
              <w:rPr>
                <w:sz w:val="4"/>
                <w:szCs w:val="4"/>
                <w:color w:val="auto"/>
              </w:rPr>
            </w:pPr>
          </w:p>
        </w:tc>
        <w:tc>
          <w:tcPr>
            <w:tcW w:w="180" w:type="dxa"/>
            <w:vAlign w:val="bottom"/>
            <w:tcBorders>
              <w:bottom w:val="single" w:sz="8" w:color="99B5CB"/>
            </w:tcBorders>
          </w:tcPr>
          <w:p>
            <w:pPr>
              <w:spacing w:after="0"/>
              <w:rPr>
                <w:sz w:val="4"/>
                <w:szCs w:val="4"/>
                <w:color w:val="auto"/>
              </w:rPr>
            </w:pPr>
          </w:p>
        </w:tc>
      </w:tr>
      <w:tr>
        <w:trPr>
          <w:trHeight w:val="224"/>
        </w:trPr>
        <w:tc>
          <w:tcPr>
            <w:tcW w:w="3080" w:type="dxa"/>
            <w:vAlign w:val="bottom"/>
          </w:tcPr>
          <w:p>
            <w:pPr>
              <w:ind w:left="80"/>
              <w:spacing w:after="0"/>
              <w:rPr>
                <w:sz w:val="20"/>
                <w:szCs w:val="20"/>
                <w:color w:val="auto"/>
              </w:rPr>
            </w:pPr>
            <w:r>
              <w:rPr>
                <w:rFonts w:ascii="Arial" w:cs="Arial" w:eastAsia="Arial" w:hAnsi="Arial"/>
                <w:sz w:val="15"/>
                <w:szCs w:val="15"/>
                <w:color w:val="auto"/>
              </w:rPr>
              <w:t>Michael P. Rutz</w:t>
            </w:r>
          </w:p>
        </w:tc>
        <w:tc>
          <w:tcPr>
            <w:tcW w:w="2100" w:type="dxa"/>
            <w:vAlign w:val="bottom"/>
            <w:gridSpan w:val="2"/>
          </w:tcPr>
          <w:p>
            <w:pPr>
              <w:jc w:val="right"/>
              <w:ind w:right="83"/>
              <w:spacing w:after="0"/>
              <w:rPr>
                <w:sz w:val="20"/>
                <w:szCs w:val="20"/>
                <w:color w:val="auto"/>
              </w:rPr>
            </w:pPr>
            <w:r>
              <w:rPr>
                <w:rFonts w:ascii="Arial" w:cs="Arial" w:eastAsia="Arial" w:hAnsi="Arial"/>
                <w:sz w:val="15"/>
                <w:szCs w:val="15"/>
                <w:color w:val="auto"/>
              </w:rPr>
              <w:t>42%</w:t>
            </w:r>
          </w:p>
        </w:tc>
        <w:tc>
          <w:tcPr>
            <w:tcW w:w="800" w:type="dxa"/>
            <w:vAlign w:val="bottom"/>
          </w:tcPr>
          <w:p>
            <w:pPr>
              <w:jc w:val="right"/>
              <w:spacing w:after="0"/>
              <w:rPr>
                <w:sz w:val="20"/>
                <w:szCs w:val="20"/>
                <w:color w:val="auto"/>
              </w:rPr>
            </w:pPr>
            <w:r>
              <w:rPr>
                <w:rFonts w:ascii="Arial" w:cs="Arial" w:eastAsia="Arial" w:hAnsi="Arial"/>
                <w:sz w:val="15"/>
                <w:szCs w:val="15"/>
                <w:color w:val="auto"/>
              </w:rPr>
              <w:t>189,000</w:t>
            </w:r>
          </w:p>
        </w:tc>
        <w:tc>
          <w:tcPr>
            <w:tcW w:w="1320" w:type="dxa"/>
            <w:vAlign w:val="bottom"/>
            <w:gridSpan w:val="2"/>
          </w:tcPr>
          <w:p>
            <w:pPr>
              <w:jc w:val="right"/>
              <w:ind w:right="63"/>
              <w:spacing w:after="0"/>
              <w:rPr>
                <w:sz w:val="20"/>
                <w:szCs w:val="20"/>
                <w:color w:val="auto"/>
              </w:rPr>
            </w:pPr>
            <w:r>
              <w:rPr>
                <w:rFonts w:ascii="Arial" w:cs="Arial" w:eastAsia="Arial" w:hAnsi="Arial"/>
                <w:sz w:val="15"/>
                <w:szCs w:val="15"/>
                <w:color w:val="auto"/>
              </w:rPr>
              <w:t>60%</w:t>
            </w:r>
          </w:p>
        </w:tc>
        <w:tc>
          <w:tcPr>
            <w:tcW w:w="960" w:type="dxa"/>
            <w:vAlign w:val="bottom"/>
          </w:tcPr>
          <w:p>
            <w:pPr>
              <w:jc w:val="right"/>
              <w:spacing w:after="0"/>
              <w:rPr>
                <w:sz w:val="20"/>
                <w:szCs w:val="20"/>
                <w:color w:val="auto"/>
              </w:rPr>
            </w:pPr>
            <w:r>
              <w:rPr>
                <w:rFonts w:ascii="Arial" w:cs="Arial" w:eastAsia="Arial" w:hAnsi="Arial"/>
                <w:sz w:val="15"/>
                <w:szCs w:val="15"/>
                <w:color w:val="auto"/>
              </w:rPr>
              <w:t>270,000</w:t>
            </w:r>
          </w:p>
        </w:tc>
        <w:tc>
          <w:tcPr>
            <w:tcW w:w="1240" w:type="dxa"/>
            <w:vAlign w:val="bottom"/>
            <w:gridSpan w:val="2"/>
          </w:tcPr>
          <w:p>
            <w:pPr>
              <w:jc w:val="right"/>
              <w:ind w:right="3"/>
              <w:spacing w:after="0"/>
              <w:rPr>
                <w:sz w:val="20"/>
                <w:szCs w:val="20"/>
                <w:color w:val="auto"/>
              </w:rPr>
            </w:pPr>
            <w:r>
              <w:rPr>
                <w:rFonts w:ascii="Arial" w:cs="Arial" w:eastAsia="Arial" w:hAnsi="Arial"/>
                <w:sz w:val="15"/>
                <w:szCs w:val="15"/>
                <w:color w:val="auto"/>
              </w:rPr>
              <w:t>56%</w:t>
            </w:r>
          </w:p>
        </w:tc>
        <w:tc>
          <w:tcPr>
            <w:tcW w:w="860" w:type="dxa"/>
            <w:vAlign w:val="bottom"/>
          </w:tcPr>
          <w:p>
            <w:pPr>
              <w:jc w:val="right"/>
              <w:spacing w:after="0"/>
              <w:rPr>
                <w:sz w:val="20"/>
                <w:szCs w:val="20"/>
                <w:color w:val="auto"/>
              </w:rPr>
            </w:pPr>
            <w:r>
              <w:rPr>
                <w:rFonts w:ascii="Arial" w:cs="Arial" w:eastAsia="Arial" w:hAnsi="Arial"/>
                <w:sz w:val="15"/>
                <w:szCs w:val="15"/>
                <w:color w:val="auto"/>
              </w:rPr>
              <w:t>253,201</w:t>
            </w:r>
          </w:p>
        </w:tc>
        <w:tc>
          <w:tcPr>
            <w:tcW w:w="180" w:type="dxa"/>
            <w:vAlign w:val="bottom"/>
          </w:tcPr>
          <w:p>
            <w:pPr>
              <w:spacing w:after="0"/>
              <w:rPr>
                <w:sz w:val="19"/>
                <w:szCs w:val="19"/>
                <w:color w:val="auto"/>
              </w:rPr>
            </w:pPr>
          </w:p>
        </w:tc>
      </w:tr>
      <w:tr>
        <w:trPr>
          <w:trHeight w:val="53"/>
        </w:trPr>
        <w:tc>
          <w:tcPr>
            <w:tcW w:w="3080" w:type="dxa"/>
            <w:vAlign w:val="bottom"/>
            <w:tcBorders>
              <w:bottom w:val="single" w:sz="8" w:color="99B5CB"/>
            </w:tcBorders>
          </w:tcPr>
          <w:p>
            <w:pPr>
              <w:spacing w:after="0"/>
              <w:rPr>
                <w:sz w:val="4"/>
                <w:szCs w:val="4"/>
                <w:color w:val="auto"/>
              </w:rPr>
            </w:pPr>
          </w:p>
        </w:tc>
        <w:tc>
          <w:tcPr>
            <w:tcW w:w="1060" w:type="dxa"/>
            <w:vAlign w:val="bottom"/>
            <w:tcBorders>
              <w:bottom w:val="single" w:sz="8" w:color="99B5CB"/>
            </w:tcBorders>
          </w:tcPr>
          <w:p>
            <w:pPr>
              <w:spacing w:after="0"/>
              <w:rPr>
                <w:sz w:val="4"/>
                <w:szCs w:val="4"/>
                <w:color w:val="auto"/>
              </w:rPr>
            </w:pPr>
          </w:p>
        </w:tc>
        <w:tc>
          <w:tcPr>
            <w:tcW w:w="1040" w:type="dxa"/>
            <w:vAlign w:val="bottom"/>
            <w:tcBorders>
              <w:bottom w:val="single" w:sz="8" w:color="99B5CB"/>
            </w:tcBorders>
          </w:tcPr>
          <w:p>
            <w:pPr>
              <w:spacing w:after="0"/>
              <w:rPr>
                <w:sz w:val="4"/>
                <w:szCs w:val="4"/>
                <w:color w:val="auto"/>
              </w:rPr>
            </w:pPr>
          </w:p>
        </w:tc>
        <w:tc>
          <w:tcPr>
            <w:tcW w:w="800" w:type="dxa"/>
            <w:vAlign w:val="bottom"/>
            <w:tcBorders>
              <w:bottom w:val="single" w:sz="8" w:color="99B5CB"/>
            </w:tcBorders>
          </w:tcPr>
          <w:p>
            <w:pPr>
              <w:spacing w:after="0"/>
              <w:rPr>
                <w:sz w:val="4"/>
                <w:szCs w:val="4"/>
                <w:color w:val="auto"/>
              </w:rPr>
            </w:pPr>
          </w:p>
        </w:tc>
        <w:tc>
          <w:tcPr>
            <w:tcW w:w="300" w:type="dxa"/>
            <w:vAlign w:val="bottom"/>
            <w:tcBorders>
              <w:bottom w:val="single" w:sz="8" w:color="99B5CB"/>
            </w:tcBorders>
          </w:tcPr>
          <w:p>
            <w:pPr>
              <w:spacing w:after="0"/>
              <w:rPr>
                <w:sz w:val="4"/>
                <w:szCs w:val="4"/>
                <w:color w:val="auto"/>
              </w:rPr>
            </w:pPr>
          </w:p>
        </w:tc>
        <w:tc>
          <w:tcPr>
            <w:tcW w:w="1020" w:type="dxa"/>
            <w:vAlign w:val="bottom"/>
            <w:tcBorders>
              <w:bottom w:val="single" w:sz="8" w:color="99B5CB"/>
            </w:tcBorders>
          </w:tcPr>
          <w:p>
            <w:pPr>
              <w:spacing w:after="0"/>
              <w:rPr>
                <w:sz w:val="4"/>
                <w:szCs w:val="4"/>
                <w:color w:val="auto"/>
              </w:rPr>
            </w:pPr>
          </w:p>
        </w:tc>
        <w:tc>
          <w:tcPr>
            <w:tcW w:w="960" w:type="dxa"/>
            <w:vAlign w:val="bottom"/>
            <w:tcBorders>
              <w:bottom w:val="single" w:sz="8" w:color="99B5CB"/>
            </w:tcBorders>
          </w:tcPr>
          <w:p>
            <w:pPr>
              <w:spacing w:after="0"/>
              <w:rPr>
                <w:sz w:val="4"/>
                <w:szCs w:val="4"/>
                <w:color w:val="auto"/>
              </w:rPr>
            </w:pPr>
          </w:p>
        </w:tc>
        <w:tc>
          <w:tcPr>
            <w:tcW w:w="280" w:type="dxa"/>
            <w:vAlign w:val="bottom"/>
            <w:tcBorders>
              <w:bottom w:val="single" w:sz="8" w:color="99B5CB"/>
            </w:tcBorders>
          </w:tcPr>
          <w:p>
            <w:pPr>
              <w:spacing w:after="0"/>
              <w:rPr>
                <w:sz w:val="4"/>
                <w:szCs w:val="4"/>
                <w:color w:val="auto"/>
              </w:rPr>
            </w:pPr>
          </w:p>
        </w:tc>
        <w:tc>
          <w:tcPr>
            <w:tcW w:w="960" w:type="dxa"/>
            <w:vAlign w:val="bottom"/>
            <w:tcBorders>
              <w:bottom w:val="single" w:sz="8" w:color="99B5CB"/>
            </w:tcBorders>
          </w:tcPr>
          <w:p>
            <w:pPr>
              <w:spacing w:after="0"/>
              <w:rPr>
                <w:sz w:val="4"/>
                <w:szCs w:val="4"/>
                <w:color w:val="auto"/>
              </w:rPr>
            </w:pPr>
          </w:p>
        </w:tc>
        <w:tc>
          <w:tcPr>
            <w:tcW w:w="860" w:type="dxa"/>
            <w:vAlign w:val="bottom"/>
            <w:tcBorders>
              <w:bottom w:val="single" w:sz="8" w:color="99B5CB"/>
            </w:tcBorders>
          </w:tcPr>
          <w:p>
            <w:pPr>
              <w:spacing w:after="0"/>
              <w:rPr>
                <w:sz w:val="4"/>
                <w:szCs w:val="4"/>
                <w:color w:val="auto"/>
              </w:rPr>
            </w:pPr>
          </w:p>
        </w:tc>
        <w:tc>
          <w:tcPr>
            <w:tcW w:w="180" w:type="dxa"/>
            <w:vAlign w:val="bottom"/>
            <w:tcBorders>
              <w:bottom w:val="single" w:sz="8" w:color="99B5CB"/>
            </w:tcBorders>
          </w:tcPr>
          <w:p>
            <w:pPr>
              <w:spacing w:after="0"/>
              <w:rPr>
                <w:sz w:val="4"/>
                <w:szCs w:val="4"/>
                <w:color w:val="auto"/>
              </w:rPr>
            </w:pPr>
          </w:p>
        </w:tc>
      </w:tr>
      <w:tr>
        <w:trPr>
          <w:trHeight w:val="277"/>
        </w:trPr>
        <w:tc>
          <w:tcPr>
            <w:tcW w:w="3080" w:type="dxa"/>
            <w:vAlign w:val="bottom"/>
            <w:tcBorders>
              <w:bottom w:val="single" w:sz="8" w:color="99B5CB"/>
            </w:tcBorders>
          </w:tcPr>
          <w:p>
            <w:pPr>
              <w:ind w:left="80"/>
              <w:spacing w:after="0"/>
              <w:rPr>
                <w:sz w:val="20"/>
                <w:szCs w:val="20"/>
                <w:color w:val="auto"/>
              </w:rPr>
            </w:pPr>
            <w:r>
              <w:rPr>
                <w:rFonts w:ascii="Arial" w:cs="Arial" w:eastAsia="Arial" w:hAnsi="Arial"/>
                <w:sz w:val="15"/>
                <w:szCs w:val="15"/>
                <w:color w:val="auto"/>
              </w:rPr>
              <w:t>Alexander Dimitrief</w:t>
            </w:r>
            <w:r>
              <w:rPr>
                <w:rFonts w:ascii="Arial" w:cs="Arial" w:eastAsia="Arial" w:hAnsi="Arial"/>
                <w:sz w:val="23"/>
                <w:szCs w:val="23"/>
                <w:color w:val="auto"/>
                <w:vertAlign w:val="superscript"/>
              </w:rPr>
              <w:t>(2)</w:t>
            </w:r>
          </w:p>
        </w:tc>
        <w:tc>
          <w:tcPr>
            <w:tcW w:w="2100" w:type="dxa"/>
            <w:vAlign w:val="bottom"/>
            <w:tcBorders>
              <w:bottom w:val="single" w:sz="8" w:color="99B5CB"/>
            </w:tcBorders>
            <w:gridSpan w:val="2"/>
          </w:tcPr>
          <w:p>
            <w:pPr>
              <w:jc w:val="right"/>
              <w:ind w:right="83"/>
              <w:spacing w:after="0"/>
              <w:rPr>
                <w:sz w:val="20"/>
                <w:szCs w:val="20"/>
                <w:color w:val="auto"/>
              </w:rPr>
            </w:pPr>
            <w:r>
              <w:rPr>
                <w:rFonts w:ascii="Arial" w:cs="Arial" w:eastAsia="Arial" w:hAnsi="Arial"/>
                <w:sz w:val="15"/>
                <w:szCs w:val="15"/>
                <w:color w:val="auto"/>
              </w:rPr>
              <w:t>35%</w:t>
            </w:r>
          </w:p>
        </w:tc>
        <w:tc>
          <w:tcPr>
            <w:tcW w:w="800" w:type="dxa"/>
            <w:vAlign w:val="bottom"/>
            <w:tcBorders>
              <w:bottom w:val="single" w:sz="8" w:color="99B5CB"/>
            </w:tcBorders>
          </w:tcPr>
          <w:p>
            <w:pPr>
              <w:jc w:val="right"/>
              <w:spacing w:after="0"/>
              <w:rPr>
                <w:sz w:val="20"/>
                <w:szCs w:val="20"/>
                <w:color w:val="auto"/>
              </w:rPr>
            </w:pPr>
            <w:r>
              <w:rPr>
                <w:rFonts w:ascii="Arial" w:cs="Arial" w:eastAsia="Arial" w:hAnsi="Arial"/>
                <w:sz w:val="15"/>
                <w:szCs w:val="15"/>
                <w:color w:val="auto"/>
              </w:rPr>
              <w:t>31,500</w:t>
            </w:r>
          </w:p>
        </w:tc>
        <w:tc>
          <w:tcPr>
            <w:tcW w:w="1320" w:type="dxa"/>
            <w:vAlign w:val="bottom"/>
            <w:tcBorders>
              <w:bottom w:val="single" w:sz="8" w:color="99B5CB"/>
            </w:tcBorders>
            <w:gridSpan w:val="2"/>
          </w:tcPr>
          <w:p>
            <w:pPr>
              <w:jc w:val="right"/>
              <w:ind w:right="63"/>
              <w:spacing w:after="0"/>
              <w:rPr>
                <w:sz w:val="20"/>
                <w:szCs w:val="20"/>
                <w:color w:val="auto"/>
              </w:rPr>
            </w:pPr>
            <w:r>
              <w:rPr>
                <w:rFonts w:ascii="Arial" w:cs="Arial" w:eastAsia="Arial" w:hAnsi="Arial"/>
                <w:sz w:val="15"/>
                <w:szCs w:val="15"/>
                <w:color w:val="auto"/>
              </w:rPr>
              <w:t>50%</w:t>
            </w:r>
          </w:p>
        </w:tc>
        <w:tc>
          <w:tcPr>
            <w:tcW w:w="960" w:type="dxa"/>
            <w:vAlign w:val="bottom"/>
            <w:tcBorders>
              <w:bottom w:val="single" w:sz="8" w:color="99B5CB"/>
            </w:tcBorders>
          </w:tcPr>
          <w:p>
            <w:pPr>
              <w:jc w:val="right"/>
              <w:spacing w:after="0"/>
              <w:rPr>
                <w:sz w:val="20"/>
                <w:szCs w:val="20"/>
                <w:color w:val="auto"/>
              </w:rPr>
            </w:pPr>
            <w:r>
              <w:rPr>
                <w:rFonts w:ascii="Arial" w:cs="Arial" w:eastAsia="Arial" w:hAnsi="Arial"/>
                <w:sz w:val="15"/>
                <w:szCs w:val="15"/>
                <w:color w:val="auto"/>
              </w:rPr>
              <w:t>45,000</w:t>
            </w:r>
          </w:p>
        </w:tc>
        <w:tc>
          <w:tcPr>
            <w:tcW w:w="1240" w:type="dxa"/>
            <w:vAlign w:val="bottom"/>
            <w:tcBorders>
              <w:bottom w:val="single" w:sz="8" w:color="99B5CB"/>
            </w:tcBorders>
            <w:gridSpan w:val="2"/>
          </w:tcPr>
          <w:p>
            <w:pPr>
              <w:jc w:val="right"/>
              <w:ind w:right="3"/>
              <w:spacing w:after="0"/>
              <w:rPr>
                <w:sz w:val="20"/>
                <w:szCs w:val="20"/>
                <w:color w:val="auto"/>
              </w:rPr>
            </w:pPr>
            <w:r>
              <w:rPr>
                <w:rFonts w:ascii="Arial" w:cs="Arial" w:eastAsia="Arial" w:hAnsi="Arial"/>
                <w:sz w:val="15"/>
                <w:szCs w:val="15"/>
                <w:color w:val="auto"/>
              </w:rPr>
              <w:t>44%</w:t>
            </w:r>
          </w:p>
        </w:tc>
        <w:tc>
          <w:tcPr>
            <w:tcW w:w="860" w:type="dxa"/>
            <w:vAlign w:val="bottom"/>
            <w:tcBorders>
              <w:bottom w:val="single" w:sz="8" w:color="99B5CB"/>
            </w:tcBorders>
          </w:tcPr>
          <w:p>
            <w:pPr>
              <w:jc w:val="right"/>
              <w:spacing w:after="0"/>
              <w:rPr>
                <w:sz w:val="20"/>
                <w:szCs w:val="20"/>
                <w:color w:val="auto"/>
              </w:rPr>
            </w:pPr>
            <w:r>
              <w:rPr>
                <w:rFonts w:ascii="Arial" w:cs="Arial" w:eastAsia="Arial" w:hAnsi="Arial"/>
                <w:sz w:val="15"/>
                <w:szCs w:val="15"/>
                <w:color w:val="auto"/>
              </w:rPr>
              <w:t>39,600</w:t>
            </w:r>
          </w:p>
        </w:tc>
        <w:tc>
          <w:tcPr>
            <w:tcW w:w="180" w:type="dxa"/>
            <w:vAlign w:val="bottom"/>
            <w:tcBorders>
              <w:bottom w:val="single" w:sz="8" w:color="99B5CB"/>
            </w:tcBorders>
          </w:tcPr>
          <w:p>
            <w:pPr>
              <w:spacing w:after="0"/>
              <w:rPr>
                <w:sz w:val="24"/>
                <w:szCs w:val="24"/>
                <w:color w:val="auto"/>
              </w:rPr>
            </w:pPr>
          </w:p>
        </w:tc>
      </w:tr>
      <w:tr>
        <w:trPr>
          <w:trHeight w:val="277"/>
        </w:trPr>
        <w:tc>
          <w:tcPr>
            <w:tcW w:w="3080" w:type="dxa"/>
            <w:vAlign w:val="bottom"/>
            <w:tcBorders>
              <w:bottom w:val="single" w:sz="8" w:color="99B5CB"/>
            </w:tcBorders>
          </w:tcPr>
          <w:p>
            <w:pPr>
              <w:ind w:left="80"/>
              <w:spacing w:after="0"/>
              <w:rPr>
                <w:sz w:val="20"/>
                <w:szCs w:val="20"/>
                <w:color w:val="auto"/>
              </w:rPr>
            </w:pPr>
            <w:r>
              <w:rPr>
                <w:rFonts w:ascii="Arial" w:cs="Arial" w:eastAsia="Arial" w:hAnsi="Arial"/>
                <w:sz w:val="15"/>
                <w:szCs w:val="15"/>
                <w:color w:val="auto"/>
              </w:rPr>
              <w:t>Matthew J. Klaben</w:t>
            </w:r>
            <w:r>
              <w:rPr>
                <w:rFonts w:ascii="Arial" w:cs="Arial" w:eastAsia="Arial" w:hAnsi="Arial"/>
                <w:sz w:val="23"/>
                <w:szCs w:val="23"/>
                <w:color w:val="auto"/>
                <w:vertAlign w:val="superscript"/>
              </w:rPr>
              <w:t>(3)</w:t>
            </w:r>
          </w:p>
        </w:tc>
        <w:tc>
          <w:tcPr>
            <w:tcW w:w="2100" w:type="dxa"/>
            <w:vAlign w:val="bottom"/>
            <w:tcBorders>
              <w:bottom w:val="single" w:sz="8" w:color="99B5CB"/>
            </w:tcBorders>
            <w:gridSpan w:val="2"/>
          </w:tcPr>
          <w:p>
            <w:pPr>
              <w:jc w:val="right"/>
              <w:ind w:right="83"/>
              <w:spacing w:after="0"/>
              <w:rPr>
                <w:sz w:val="20"/>
                <w:szCs w:val="20"/>
                <w:color w:val="auto"/>
              </w:rPr>
            </w:pPr>
            <w:r>
              <w:rPr>
                <w:rFonts w:ascii="Arial" w:cs="Arial" w:eastAsia="Arial" w:hAnsi="Arial"/>
                <w:sz w:val="15"/>
                <w:szCs w:val="15"/>
                <w:color w:val="auto"/>
              </w:rPr>
              <w:t>23%</w:t>
            </w:r>
          </w:p>
        </w:tc>
        <w:tc>
          <w:tcPr>
            <w:tcW w:w="800" w:type="dxa"/>
            <w:vAlign w:val="bottom"/>
            <w:tcBorders>
              <w:bottom w:val="single" w:sz="8" w:color="99B5CB"/>
            </w:tcBorders>
          </w:tcPr>
          <w:p>
            <w:pPr>
              <w:jc w:val="right"/>
              <w:spacing w:after="0"/>
              <w:rPr>
                <w:sz w:val="20"/>
                <w:szCs w:val="20"/>
                <w:color w:val="auto"/>
              </w:rPr>
            </w:pPr>
            <w:r>
              <w:rPr>
                <w:rFonts w:ascii="Arial" w:cs="Arial" w:eastAsia="Arial" w:hAnsi="Arial"/>
                <w:sz w:val="15"/>
                <w:szCs w:val="15"/>
                <w:color w:val="auto"/>
              </w:rPr>
              <w:t>73,912</w:t>
            </w:r>
          </w:p>
        </w:tc>
        <w:tc>
          <w:tcPr>
            <w:tcW w:w="1320" w:type="dxa"/>
            <w:vAlign w:val="bottom"/>
            <w:tcBorders>
              <w:bottom w:val="single" w:sz="8" w:color="99B5CB"/>
            </w:tcBorders>
            <w:gridSpan w:val="2"/>
          </w:tcPr>
          <w:p>
            <w:pPr>
              <w:jc w:val="right"/>
              <w:ind w:right="63"/>
              <w:spacing w:after="0"/>
              <w:rPr>
                <w:sz w:val="20"/>
                <w:szCs w:val="20"/>
                <w:color w:val="auto"/>
              </w:rPr>
            </w:pPr>
            <w:r>
              <w:rPr>
                <w:rFonts w:ascii="Arial" w:cs="Arial" w:eastAsia="Arial" w:hAnsi="Arial"/>
                <w:sz w:val="15"/>
                <w:szCs w:val="15"/>
                <w:color w:val="auto"/>
              </w:rPr>
              <w:t>33%</w:t>
            </w:r>
          </w:p>
        </w:tc>
        <w:tc>
          <w:tcPr>
            <w:tcW w:w="960" w:type="dxa"/>
            <w:vAlign w:val="bottom"/>
            <w:tcBorders>
              <w:bottom w:val="single" w:sz="8" w:color="99B5CB"/>
            </w:tcBorders>
          </w:tcPr>
          <w:p>
            <w:pPr>
              <w:jc w:val="right"/>
              <w:spacing w:after="0"/>
              <w:rPr>
                <w:sz w:val="20"/>
                <w:szCs w:val="20"/>
                <w:color w:val="auto"/>
              </w:rPr>
            </w:pPr>
            <w:r>
              <w:rPr>
                <w:rFonts w:ascii="Arial" w:cs="Arial" w:eastAsia="Arial" w:hAnsi="Arial"/>
                <w:sz w:val="15"/>
                <w:szCs w:val="15"/>
                <w:color w:val="auto"/>
              </w:rPr>
              <w:t>105,588</w:t>
            </w:r>
          </w:p>
        </w:tc>
        <w:tc>
          <w:tcPr>
            <w:tcW w:w="1240" w:type="dxa"/>
            <w:vAlign w:val="bottom"/>
            <w:tcBorders>
              <w:bottom w:val="single" w:sz="8" w:color="99B5CB"/>
            </w:tcBorders>
            <w:gridSpan w:val="2"/>
          </w:tcPr>
          <w:p>
            <w:pPr>
              <w:jc w:val="right"/>
              <w:ind w:right="3"/>
              <w:spacing w:after="0"/>
              <w:rPr>
                <w:sz w:val="20"/>
                <w:szCs w:val="20"/>
                <w:color w:val="auto"/>
              </w:rPr>
            </w:pPr>
            <w:r>
              <w:rPr>
                <w:rFonts w:ascii="Arial" w:cs="Arial" w:eastAsia="Arial" w:hAnsi="Arial"/>
                <w:sz w:val="15"/>
                <w:szCs w:val="15"/>
                <w:color w:val="auto"/>
              </w:rPr>
              <w:t>30%</w:t>
            </w:r>
          </w:p>
        </w:tc>
        <w:tc>
          <w:tcPr>
            <w:tcW w:w="860" w:type="dxa"/>
            <w:vAlign w:val="bottom"/>
            <w:tcBorders>
              <w:bottom w:val="single" w:sz="8" w:color="99B5CB"/>
            </w:tcBorders>
          </w:tcPr>
          <w:p>
            <w:pPr>
              <w:jc w:val="right"/>
              <w:spacing w:after="0"/>
              <w:rPr>
                <w:sz w:val="20"/>
                <w:szCs w:val="20"/>
                <w:color w:val="auto"/>
              </w:rPr>
            </w:pPr>
            <w:r>
              <w:rPr>
                <w:rFonts w:ascii="Arial" w:cs="Arial" w:eastAsia="Arial" w:hAnsi="Arial"/>
                <w:sz w:val="15"/>
                <w:szCs w:val="15"/>
                <w:color w:val="auto"/>
              </w:rPr>
              <w:t>95,129</w:t>
            </w:r>
          </w:p>
        </w:tc>
        <w:tc>
          <w:tcPr>
            <w:tcW w:w="180" w:type="dxa"/>
            <w:vAlign w:val="bottom"/>
            <w:tcBorders>
              <w:bottom w:val="single" w:sz="8" w:color="99B5CB"/>
            </w:tcBorders>
          </w:tcPr>
          <w:p>
            <w:pPr>
              <w:spacing w:after="0"/>
              <w:rPr>
                <w:sz w:val="24"/>
                <w:szCs w:val="24"/>
                <w:color w:val="auto"/>
              </w:rPr>
            </w:pPr>
          </w:p>
        </w:tc>
      </w:tr>
      <w:tr>
        <w:trPr>
          <w:trHeight w:val="277"/>
        </w:trPr>
        <w:tc>
          <w:tcPr>
            <w:tcW w:w="3080" w:type="dxa"/>
            <w:vAlign w:val="bottom"/>
            <w:tcBorders>
              <w:bottom w:val="single" w:sz="8" w:color="99B5CB"/>
            </w:tcBorders>
          </w:tcPr>
          <w:p>
            <w:pPr>
              <w:ind w:left="80"/>
              <w:spacing w:after="0"/>
              <w:rPr>
                <w:sz w:val="20"/>
                <w:szCs w:val="20"/>
                <w:color w:val="auto"/>
              </w:rPr>
            </w:pPr>
            <w:r>
              <w:rPr>
                <w:rFonts w:ascii="Arial" w:cs="Arial" w:eastAsia="Arial" w:hAnsi="Arial"/>
                <w:sz w:val="15"/>
                <w:szCs w:val="15"/>
                <w:color w:val="auto"/>
              </w:rPr>
              <w:t>Scott J. Leffler</w:t>
            </w:r>
            <w:r>
              <w:rPr>
                <w:rFonts w:ascii="Arial" w:cs="Arial" w:eastAsia="Arial" w:hAnsi="Arial"/>
                <w:sz w:val="23"/>
                <w:szCs w:val="23"/>
                <w:color w:val="auto"/>
                <w:vertAlign w:val="superscript"/>
              </w:rPr>
              <w:t>(4)</w:t>
            </w:r>
          </w:p>
        </w:tc>
        <w:tc>
          <w:tcPr>
            <w:tcW w:w="2100" w:type="dxa"/>
            <w:vAlign w:val="bottom"/>
            <w:tcBorders>
              <w:bottom w:val="single" w:sz="8" w:color="99B5CB"/>
            </w:tcBorders>
            <w:gridSpan w:val="2"/>
          </w:tcPr>
          <w:p>
            <w:pPr>
              <w:jc w:val="right"/>
              <w:ind w:right="83"/>
              <w:spacing w:after="0"/>
              <w:rPr>
                <w:sz w:val="20"/>
                <w:szCs w:val="20"/>
                <w:color w:val="auto"/>
              </w:rPr>
            </w:pPr>
            <w:r>
              <w:rPr>
                <w:rFonts w:ascii="Arial" w:cs="Arial" w:eastAsia="Arial" w:hAnsi="Arial"/>
                <w:sz w:val="15"/>
                <w:szCs w:val="15"/>
                <w:color w:val="auto"/>
              </w:rPr>
              <w:t>49%</w:t>
            </w:r>
          </w:p>
        </w:tc>
        <w:tc>
          <w:tcPr>
            <w:tcW w:w="800" w:type="dxa"/>
            <w:vAlign w:val="bottom"/>
            <w:tcBorders>
              <w:bottom w:val="single" w:sz="8" w:color="99B5CB"/>
            </w:tcBorders>
          </w:tcPr>
          <w:p>
            <w:pPr>
              <w:jc w:val="right"/>
              <w:spacing w:after="0"/>
              <w:rPr>
                <w:sz w:val="20"/>
                <w:szCs w:val="20"/>
                <w:color w:val="auto"/>
              </w:rPr>
            </w:pPr>
            <w:r>
              <w:rPr>
                <w:rFonts w:ascii="Arial" w:cs="Arial" w:eastAsia="Arial" w:hAnsi="Arial"/>
                <w:sz w:val="15"/>
                <w:szCs w:val="15"/>
                <w:color w:val="auto"/>
              </w:rPr>
              <w:t>245,000</w:t>
            </w:r>
          </w:p>
        </w:tc>
        <w:tc>
          <w:tcPr>
            <w:tcW w:w="1320" w:type="dxa"/>
            <w:vAlign w:val="bottom"/>
            <w:tcBorders>
              <w:bottom w:val="single" w:sz="8" w:color="99B5CB"/>
            </w:tcBorders>
            <w:gridSpan w:val="2"/>
          </w:tcPr>
          <w:p>
            <w:pPr>
              <w:jc w:val="right"/>
              <w:ind w:right="63"/>
              <w:spacing w:after="0"/>
              <w:rPr>
                <w:sz w:val="20"/>
                <w:szCs w:val="20"/>
                <w:color w:val="auto"/>
              </w:rPr>
            </w:pPr>
            <w:r>
              <w:rPr>
                <w:rFonts w:ascii="Arial" w:cs="Arial" w:eastAsia="Arial" w:hAnsi="Arial"/>
                <w:sz w:val="15"/>
                <w:szCs w:val="15"/>
                <w:color w:val="auto"/>
              </w:rPr>
              <w:t>70%</w:t>
            </w:r>
          </w:p>
        </w:tc>
        <w:tc>
          <w:tcPr>
            <w:tcW w:w="960" w:type="dxa"/>
            <w:vAlign w:val="bottom"/>
            <w:tcBorders>
              <w:bottom w:val="single" w:sz="8" w:color="99B5CB"/>
            </w:tcBorders>
          </w:tcPr>
          <w:p>
            <w:pPr>
              <w:jc w:val="right"/>
              <w:spacing w:after="0"/>
              <w:rPr>
                <w:sz w:val="20"/>
                <w:szCs w:val="20"/>
                <w:color w:val="auto"/>
              </w:rPr>
            </w:pPr>
            <w:r>
              <w:rPr>
                <w:rFonts w:ascii="Arial" w:cs="Arial" w:eastAsia="Arial" w:hAnsi="Arial"/>
                <w:sz w:val="15"/>
                <w:szCs w:val="15"/>
                <w:color w:val="auto"/>
              </w:rPr>
              <w:t>350,000</w:t>
            </w:r>
          </w:p>
        </w:tc>
        <w:tc>
          <w:tcPr>
            <w:tcW w:w="280" w:type="dxa"/>
            <w:vAlign w:val="bottom"/>
            <w:tcBorders>
              <w:bottom w:val="single" w:sz="8" w:color="99B5CB"/>
            </w:tcBorders>
          </w:tcPr>
          <w:p>
            <w:pPr>
              <w:spacing w:after="0"/>
              <w:rPr>
                <w:sz w:val="24"/>
                <w:szCs w:val="24"/>
                <w:color w:val="auto"/>
              </w:rPr>
            </w:pPr>
          </w:p>
        </w:tc>
        <w:tc>
          <w:tcPr>
            <w:tcW w:w="960" w:type="dxa"/>
            <w:vAlign w:val="bottom"/>
            <w:tcBorders>
              <w:bottom w:val="single" w:sz="8" w:color="99B5CB"/>
            </w:tcBorders>
          </w:tcPr>
          <w:p>
            <w:pPr>
              <w:jc w:val="right"/>
              <w:ind w:right="123"/>
              <w:spacing w:after="0"/>
              <w:rPr>
                <w:sz w:val="20"/>
                <w:szCs w:val="20"/>
                <w:color w:val="auto"/>
              </w:rPr>
            </w:pPr>
            <w:r>
              <w:rPr>
                <w:rFonts w:ascii="Arial" w:cs="Arial" w:eastAsia="Arial" w:hAnsi="Arial"/>
                <w:sz w:val="15"/>
                <w:szCs w:val="15"/>
                <w:color w:val="auto"/>
              </w:rPr>
              <w:t>—</w:t>
            </w:r>
          </w:p>
        </w:tc>
        <w:tc>
          <w:tcPr>
            <w:tcW w:w="1040" w:type="dxa"/>
            <w:vAlign w:val="bottom"/>
            <w:tcBorders>
              <w:bottom w:val="single" w:sz="8" w:color="99B5CB"/>
            </w:tcBorders>
            <w:gridSpan w:val="2"/>
          </w:tcPr>
          <w:p>
            <w:pPr>
              <w:jc w:val="right"/>
              <w:ind w:right="180"/>
              <w:spacing w:after="0"/>
              <w:rPr>
                <w:sz w:val="20"/>
                <w:szCs w:val="20"/>
                <w:color w:val="auto"/>
              </w:rPr>
            </w:pPr>
            <w:r>
              <w:rPr>
                <w:rFonts w:ascii="Arial" w:cs="Arial" w:eastAsia="Arial" w:hAnsi="Arial"/>
                <w:sz w:val="15"/>
                <w:szCs w:val="15"/>
                <w:color w:val="auto"/>
              </w:rPr>
              <w:t>—</w:t>
            </w:r>
          </w:p>
        </w:tc>
      </w:tr>
      <w:tr>
        <w:trPr>
          <w:trHeight w:val="329"/>
        </w:trPr>
        <w:tc>
          <w:tcPr>
            <w:tcW w:w="3080" w:type="dxa"/>
            <w:vAlign w:val="bottom"/>
          </w:tcPr>
          <w:p>
            <w:pPr>
              <w:ind w:left="80"/>
              <w:spacing w:after="0"/>
              <w:rPr>
                <w:sz w:val="20"/>
                <w:szCs w:val="20"/>
                <w:color w:val="auto"/>
              </w:rPr>
            </w:pPr>
            <w:r>
              <w:rPr>
                <w:rFonts w:ascii="Arial" w:cs="Arial" w:eastAsia="Arial" w:hAnsi="Arial"/>
                <w:sz w:val="15"/>
                <w:szCs w:val="15"/>
                <w:color w:val="auto"/>
              </w:rPr>
              <w:t>Terrence G. Hammons, Jr.</w:t>
            </w:r>
            <w:r>
              <w:rPr>
                <w:rFonts w:ascii="Arial" w:cs="Arial" w:eastAsia="Arial" w:hAnsi="Arial"/>
                <w:sz w:val="23"/>
                <w:szCs w:val="23"/>
                <w:color w:val="auto"/>
                <w:vertAlign w:val="superscript"/>
              </w:rPr>
              <w:t>(4)</w:t>
            </w:r>
          </w:p>
        </w:tc>
        <w:tc>
          <w:tcPr>
            <w:tcW w:w="2100" w:type="dxa"/>
            <w:vAlign w:val="bottom"/>
            <w:gridSpan w:val="2"/>
          </w:tcPr>
          <w:p>
            <w:pPr>
              <w:jc w:val="right"/>
              <w:ind w:right="83"/>
              <w:spacing w:after="0"/>
              <w:rPr>
                <w:sz w:val="20"/>
                <w:szCs w:val="20"/>
                <w:color w:val="auto"/>
              </w:rPr>
            </w:pPr>
            <w:r>
              <w:rPr>
                <w:rFonts w:ascii="Arial" w:cs="Arial" w:eastAsia="Arial" w:hAnsi="Arial"/>
                <w:sz w:val="15"/>
                <w:szCs w:val="15"/>
                <w:color w:val="auto"/>
              </w:rPr>
              <w:t>35%</w:t>
            </w:r>
          </w:p>
        </w:tc>
        <w:tc>
          <w:tcPr>
            <w:tcW w:w="800" w:type="dxa"/>
            <w:vAlign w:val="bottom"/>
          </w:tcPr>
          <w:p>
            <w:pPr>
              <w:jc w:val="right"/>
              <w:spacing w:after="0"/>
              <w:rPr>
                <w:sz w:val="20"/>
                <w:szCs w:val="20"/>
                <w:color w:val="auto"/>
              </w:rPr>
            </w:pPr>
            <w:r>
              <w:rPr>
                <w:rFonts w:ascii="Arial" w:cs="Arial" w:eastAsia="Arial" w:hAnsi="Arial"/>
                <w:sz w:val="15"/>
                <w:szCs w:val="15"/>
                <w:color w:val="auto"/>
              </w:rPr>
              <w:t>154,000</w:t>
            </w:r>
          </w:p>
        </w:tc>
        <w:tc>
          <w:tcPr>
            <w:tcW w:w="1320" w:type="dxa"/>
            <w:vAlign w:val="bottom"/>
            <w:gridSpan w:val="2"/>
          </w:tcPr>
          <w:p>
            <w:pPr>
              <w:jc w:val="right"/>
              <w:ind w:right="63"/>
              <w:spacing w:after="0"/>
              <w:rPr>
                <w:sz w:val="20"/>
                <w:szCs w:val="20"/>
                <w:color w:val="auto"/>
              </w:rPr>
            </w:pPr>
            <w:r>
              <w:rPr>
                <w:rFonts w:ascii="Arial" w:cs="Arial" w:eastAsia="Arial" w:hAnsi="Arial"/>
                <w:sz w:val="15"/>
                <w:szCs w:val="15"/>
                <w:color w:val="auto"/>
              </w:rPr>
              <w:t>50%</w:t>
            </w:r>
          </w:p>
        </w:tc>
        <w:tc>
          <w:tcPr>
            <w:tcW w:w="960" w:type="dxa"/>
            <w:vAlign w:val="bottom"/>
          </w:tcPr>
          <w:p>
            <w:pPr>
              <w:jc w:val="right"/>
              <w:spacing w:after="0"/>
              <w:rPr>
                <w:sz w:val="20"/>
                <w:szCs w:val="20"/>
                <w:color w:val="auto"/>
              </w:rPr>
            </w:pPr>
            <w:r>
              <w:rPr>
                <w:rFonts w:ascii="Arial" w:cs="Arial" w:eastAsia="Arial" w:hAnsi="Arial"/>
                <w:sz w:val="15"/>
                <w:szCs w:val="15"/>
                <w:color w:val="auto"/>
              </w:rPr>
              <w:t>220,000</w:t>
            </w:r>
          </w:p>
        </w:tc>
        <w:tc>
          <w:tcPr>
            <w:tcW w:w="280" w:type="dxa"/>
            <w:vAlign w:val="bottom"/>
          </w:tcPr>
          <w:p>
            <w:pPr>
              <w:spacing w:after="0"/>
              <w:rPr>
                <w:sz w:val="24"/>
                <w:szCs w:val="24"/>
                <w:color w:val="auto"/>
              </w:rPr>
            </w:pPr>
          </w:p>
        </w:tc>
        <w:tc>
          <w:tcPr>
            <w:tcW w:w="960" w:type="dxa"/>
            <w:vAlign w:val="bottom"/>
          </w:tcPr>
          <w:p>
            <w:pPr>
              <w:jc w:val="right"/>
              <w:ind w:right="123"/>
              <w:spacing w:after="0"/>
              <w:rPr>
                <w:sz w:val="20"/>
                <w:szCs w:val="20"/>
                <w:color w:val="auto"/>
              </w:rPr>
            </w:pPr>
            <w:r>
              <w:rPr>
                <w:rFonts w:ascii="Arial" w:cs="Arial" w:eastAsia="Arial" w:hAnsi="Arial"/>
                <w:sz w:val="15"/>
                <w:szCs w:val="15"/>
                <w:color w:val="auto"/>
              </w:rPr>
              <w:t>—</w:t>
            </w:r>
          </w:p>
        </w:tc>
        <w:tc>
          <w:tcPr>
            <w:tcW w:w="104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231775</wp:posOffset>
            </wp:positionH>
            <wp:positionV relativeFrom="paragraph">
              <wp:posOffset>-32385</wp:posOffset>
            </wp:positionV>
            <wp:extent cx="668782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687820" cy="8255"/>
                    </a:xfrm>
                    <a:prstGeom prst="rect">
                      <a:avLst/>
                    </a:prstGeom>
                    <a:noFill/>
                  </pic:spPr>
                </pic:pic>
              </a:graphicData>
            </a:graphic>
          </wp:anchor>
        </w:drawing>
      </w:r>
    </w:p>
    <w:p>
      <w:pPr>
        <w:spacing w:after="0" w:line="11" w:lineRule="exact"/>
        <w:rPr>
          <w:sz w:val="20"/>
          <w:szCs w:val="20"/>
          <w:color w:val="auto"/>
        </w:rPr>
      </w:pPr>
    </w:p>
    <w:p>
      <w:pPr>
        <w:ind w:left="780" w:hanging="422"/>
        <w:spacing w:after="0"/>
        <w:tabs>
          <w:tab w:leader="none" w:pos="780" w:val="left"/>
        </w:tabs>
        <w:numPr>
          <w:ilvl w:val="0"/>
          <w:numId w:val="25"/>
        </w:numPr>
        <w:rPr>
          <w:rFonts w:ascii="Arial" w:cs="Arial" w:eastAsia="Arial" w:hAnsi="Arial"/>
          <w:sz w:val="14"/>
          <w:szCs w:val="14"/>
          <w:color w:val="auto"/>
        </w:rPr>
      </w:pPr>
      <w:r>
        <w:rPr>
          <w:rFonts w:ascii="Arial" w:cs="Arial" w:eastAsia="Arial" w:hAnsi="Arial"/>
          <w:sz w:val="14"/>
          <w:szCs w:val="14"/>
          <w:color w:val="auto"/>
        </w:rPr>
        <w:t>No payout is made for performance below threshold levels.</w:t>
      </w:r>
    </w:p>
    <w:p>
      <w:pPr>
        <w:spacing w:after="0" w:line="71" w:lineRule="exact"/>
        <w:rPr>
          <w:rFonts w:ascii="Arial" w:cs="Arial" w:eastAsia="Arial" w:hAnsi="Arial"/>
          <w:sz w:val="14"/>
          <w:szCs w:val="14"/>
          <w:color w:val="auto"/>
        </w:rPr>
      </w:pPr>
    </w:p>
    <w:p>
      <w:pPr>
        <w:ind w:left="780" w:hanging="422"/>
        <w:spacing w:after="0"/>
        <w:tabs>
          <w:tab w:leader="none" w:pos="780" w:val="left"/>
        </w:tabs>
        <w:numPr>
          <w:ilvl w:val="0"/>
          <w:numId w:val="25"/>
        </w:numPr>
        <w:rPr>
          <w:rFonts w:ascii="Arial" w:cs="Arial" w:eastAsia="Arial" w:hAnsi="Arial"/>
          <w:sz w:val="14"/>
          <w:szCs w:val="14"/>
          <w:color w:val="auto"/>
        </w:rPr>
      </w:pPr>
      <w:r>
        <w:rPr>
          <w:rFonts w:ascii="Arial" w:cs="Arial" w:eastAsia="Arial" w:hAnsi="Arial"/>
          <w:sz w:val="14"/>
          <w:szCs w:val="14"/>
          <w:color w:val="auto"/>
        </w:rPr>
        <w:t>Amounts shown for Mr. Dimitrief are prorated from the start of his service on November 1, 2022.</w:t>
      </w:r>
    </w:p>
    <w:p>
      <w:pPr>
        <w:spacing w:after="0" w:line="71" w:lineRule="exact"/>
        <w:rPr>
          <w:rFonts w:ascii="Arial" w:cs="Arial" w:eastAsia="Arial" w:hAnsi="Arial"/>
          <w:sz w:val="14"/>
          <w:szCs w:val="14"/>
          <w:color w:val="auto"/>
        </w:rPr>
      </w:pPr>
    </w:p>
    <w:p>
      <w:pPr>
        <w:ind w:left="780" w:right="20" w:hanging="422"/>
        <w:spacing w:after="0" w:line="237" w:lineRule="auto"/>
        <w:tabs>
          <w:tab w:leader="none" w:pos="780" w:val="left"/>
        </w:tabs>
        <w:numPr>
          <w:ilvl w:val="0"/>
          <w:numId w:val="25"/>
        </w:numPr>
        <w:rPr>
          <w:rFonts w:ascii="Arial" w:cs="Arial" w:eastAsia="Arial" w:hAnsi="Arial"/>
          <w:sz w:val="14"/>
          <w:szCs w:val="14"/>
          <w:color w:val="auto"/>
        </w:rPr>
      </w:pPr>
      <w:r>
        <w:rPr>
          <w:rFonts w:ascii="Arial" w:cs="Arial" w:eastAsia="Arial" w:hAnsi="Arial"/>
          <w:sz w:val="14"/>
          <w:szCs w:val="14"/>
          <w:color w:val="auto"/>
        </w:rPr>
        <w:t>Amounts shown represent Mr. Klaben’s threshold and target performance at his blended salary rate, including (i) the annual salary rate of $303,000 and target bonus percentage of 30%, his base salary and target bonus percentage through September 30, 2022, (ii) the annual salary rate of $440,000 and target bonus percentage of 50%, his base salary and target bonus percentage from October to November 2022, when he served as Interim SVP, General Counsel and Secretary, before returning to his role as Deputy General Counsel effective November 1, 2022 and (iii) his annual salary rate of $303,000 and his target bonus percentage of 30%, which were in effect from November through December 31, 2022. Mr. Klaben’s actual bonus payout amount was as shown and reflects the proportional difference between his base salary rates and target bonus percentages applicable during 2022.</w:t>
      </w:r>
    </w:p>
    <w:p>
      <w:pPr>
        <w:spacing w:after="0" w:line="52" w:lineRule="exact"/>
        <w:rPr>
          <w:rFonts w:ascii="Arial" w:cs="Arial" w:eastAsia="Arial" w:hAnsi="Arial"/>
          <w:sz w:val="14"/>
          <w:szCs w:val="14"/>
          <w:color w:val="auto"/>
        </w:rPr>
      </w:pPr>
    </w:p>
    <w:p>
      <w:pPr>
        <w:ind w:left="780" w:hanging="422"/>
        <w:spacing w:after="0"/>
        <w:tabs>
          <w:tab w:leader="none" w:pos="780" w:val="left"/>
        </w:tabs>
        <w:numPr>
          <w:ilvl w:val="0"/>
          <w:numId w:val="25"/>
        </w:numPr>
        <w:rPr>
          <w:rFonts w:ascii="Arial" w:cs="Arial" w:eastAsia="Arial" w:hAnsi="Arial"/>
          <w:sz w:val="14"/>
          <w:szCs w:val="14"/>
          <w:color w:val="auto"/>
        </w:rPr>
      </w:pPr>
      <w:r>
        <w:rPr>
          <w:rFonts w:ascii="Arial" w:cs="Arial" w:eastAsia="Arial" w:hAnsi="Arial"/>
          <w:sz w:val="14"/>
          <w:szCs w:val="14"/>
          <w:color w:val="auto"/>
        </w:rPr>
        <w:t>Received no 2022 AIP bonus payout due to termination of employment in 2022.</w:t>
      </w:r>
    </w:p>
    <w:p>
      <w:pPr>
        <w:spacing w:after="0" w:line="281" w:lineRule="exact"/>
        <w:rPr>
          <w:sz w:val="20"/>
          <w:szCs w:val="20"/>
          <w:color w:val="auto"/>
        </w:rPr>
      </w:pPr>
    </w:p>
    <w:p>
      <w:pPr>
        <w:ind w:left="360"/>
        <w:spacing w:after="0"/>
        <w:rPr>
          <w:sz w:val="20"/>
          <w:szCs w:val="20"/>
          <w:color w:val="auto"/>
        </w:rPr>
      </w:pPr>
      <w:r>
        <w:rPr>
          <w:rFonts w:ascii="Arial" w:cs="Arial" w:eastAsia="Arial" w:hAnsi="Arial"/>
          <w:sz w:val="28"/>
          <w:szCs w:val="28"/>
          <w:color w:val="auto"/>
        </w:rPr>
        <w:t>Long-Term Equity Incentive Compensation</w:t>
      </w:r>
    </w:p>
    <w:p>
      <w:pPr>
        <w:spacing w:after="0" w:line="220" w:lineRule="exact"/>
        <w:rPr>
          <w:sz w:val="20"/>
          <w:szCs w:val="20"/>
          <w:color w:val="auto"/>
        </w:rPr>
      </w:pPr>
    </w:p>
    <w:p>
      <w:pPr>
        <w:jc w:val="both"/>
        <w:ind w:left="360" w:right="140"/>
        <w:spacing w:after="0" w:line="256" w:lineRule="auto"/>
        <w:rPr>
          <w:sz w:val="20"/>
          <w:szCs w:val="20"/>
          <w:color w:val="auto"/>
        </w:rPr>
      </w:pPr>
      <w:r>
        <w:rPr>
          <w:rFonts w:ascii="Arial" w:cs="Arial" w:eastAsia="Arial" w:hAnsi="Arial"/>
          <w:sz w:val="17"/>
          <w:szCs w:val="17"/>
          <w:color w:val="auto"/>
        </w:rPr>
        <w:t>Consistent with our compensation philosophy, we use equity incentive compensation to incentivize long-term value creation and align our executives’ interests with those of our shareholders. The LD&amp;C Committee also uses equity incentive compensation to attract and retain talent. In 2022, we granted the following types of equity awards to our named executive officers:</w:t>
      </w:r>
    </w:p>
    <w:p>
      <w:pPr>
        <w:spacing w:after="0" w:line="71" w:lineRule="exact"/>
        <w:rPr>
          <w:sz w:val="20"/>
          <w:szCs w:val="20"/>
          <w:color w:val="auto"/>
        </w:rPr>
      </w:pPr>
    </w:p>
    <w:p>
      <w:pPr>
        <w:ind w:left="780" w:right="200" w:hanging="422"/>
        <w:spacing w:after="0" w:line="274" w:lineRule="auto"/>
        <w:tabs>
          <w:tab w:leader="none" w:pos="780" w:val="left"/>
        </w:tabs>
        <w:numPr>
          <w:ilvl w:val="0"/>
          <w:numId w:val="26"/>
        </w:numPr>
        <w:rPr>
          <w:rFonts w:ascii="Arial" w:cs="Arial" w:eastAsia="Arial" w:hAnsi="Arial"/>
          <w:sz w:val="17"/>
          <w:szCs w:val="17"/>
          <w:color w:val="00467D"/>
        </w:rPr>
      </w:pPr>
      <w:r>
        <w:rPr>
          <w:rFonts w:ascii="Arial" w:cs="Arial" w:eastAsia="Arial" w:hAnsi="Arial"/>
          <w:sz w:val="17"/>
          <w:szCs w:val="17"/>
          <w:color w:val="auto"/>
        </w:rPr>
        <w:t>Annual long-term equity incentive awards. The March 2022 Equity Awards are a component of our annual executive compensation package, designed to incentivize long-term value creation and align executives’ interests with those of our shareholders.</w:t>
      </w:r>
    </w:p>
    <w:p>
      <w:pPr>
        <w:spacing w:after="0" w:line="57" w:lineRule="exact"/>
        <w:rPr>
          <w:rFonts w:ascii="Arial" w:cs="Arial" w:eastAsia="Arial" w:hAnsi="Arial"/>
          <w:sz w:val="17"/>
          <w:szCs w:val="17"/>
          <w:color w:val="00467D"/>
        </w:rPr>
      </w:pPr>
    </w:p>
    <w:p>
      <w:pPr>
        <w:ind w:left="780" w:right="300" w:hanging="422"/>
        <w:spacing w:after="0" w:line="274" w:lineRule="auto"/>
        <w:tabs>
          <w:tab w:leader="none" w:pos="780" w:val="left"/>
        </w:tabs>
        <w:numPr>
          <w:ilvl w:val="0"/>
          <w:numId w:val="26"/>
        </w:numPr>
        <w:rPr>
          <w:rFonts w:ascii="Arial" w:cs="Arial" w:eastAsia="Arial" w:hAnsi="Arial"/>
          <w:sz w:val="17"/>
          <w:szCs w:val="17"/>
          <w:color w:val="00467D"/>
        </w:rPr>
      </w:pPr>
      <w:r>
        <w:rPr>
          <w:rFonts w:ascii="Arial" w:cs="Arial" w:eastAsia="Arial" w:hAnsi="Arial"/>
          <w:sz w:val="17"/>
          <w:szCs w:val="17"/>
          <w:color w:val="auto"/>
        </w:rPr>
        <w:t>One-time November incentive awards. The November 2022 Incentive Awards were granted to motivate and retain executives in a challenging operating environment.</w:t>
      </w:r>
    </w:p>
    <w:p>
      <w:pPr>
        <w:spacing w:after="0" w:line="57" w:lineRule="exact"/>
        <w:rPr>
          <w:rFonts w:ascii="Arial" w:cs="Arial" w:eastAsia="Arial" w:hAnsi="Arial"/>
          <w:sz w:val="17"/>
          <w:szCs w:val="17"/>
          <w:color w:val="00467D"/>
        </w:rPr>
      </w:pPr>
    </w:p>
    <w:p>
      <w:pPr>
        <w:ind w:left="780" w:right="420" w:hanging="422"/>
        <w:spacing w:after="0" w:line="274" w:lineRule="auto"/>
        <w:tabs>
          <w:tab w:leader="none" w:pos="780" w:val="left"/>
        </w:tabs>
        <w:numPr>
          <w:ilvl w:val="0"/>
          <w:numId w:val="26"/>
        </w:numPr>
        <w:rPr>
          <w:rFonts w:ascii="Arial" w:cs="Arial" w:eastAsia="Arial" w:hAnsi="Arial"/>
          <w:sz w:val="17"/>
          <w:szCs w:val="17"/>
          <w:color w:val="00467D"/>
        </w:rPr>
      </w:pPr>
      <w:r>
        <w:rPr>
          <w:rFonts w:ascii="Arial" w:cs="Arial" w:eastAsia="Arial" w:hAnsi="Arial"/>
          <w:sz w:val="17"/>
          <w:szCs w:val="17"/>
          <w:color w:val="auto"/>
        </w:rPr>
        <w:t>New hire equity award. Mr. Dimitrief was granted an equity award in connection with the commencement of his employment and appointment as SVP, General Counsel and Secretary.</w:t>
      </w:r>
    </w:p>
    <w:p>
      <w:pPr>
        <w:spacing w:after="0" w:line="107" w:lineRule="exact"/>
        <w:rPr>
          <w:sz w:val="20"/>
          <w:szCs w:val="20"/>
          <w:color w:val="auto"/>
        </w:rPr>
      </w:pPr>
    </w:p>
    <w:p>
      <w:pPr>
        <w:ind w:left="360" w:right="80"/>
        <w:spacing w:after="0" w:line="277" w:lineRule="auto"/>
        <w:rPr>
          <w:sz w:val="20"/>
          <w:szCs w:val="20"/>
          <w:color w:val="auto"/>
        </w:rPr>
      </w:pPr>
      <w:r>
        <w:rPr>
          <w:rFonts w:ascii="Arial" w:cs="Arial" w:eastAsia="Arial" w:hAnsi="Arial"/>
          <w:sz w:val="17"/>
          <w:szCs w:val="17"/>
          <w:b w:val="1"/>
          <w:bCs w:val="1"/>
          <w:color w:val="auto"/>
        </w:rPr>
        <w:t xml:space="preserve">March 2022 Equity Awards. </w:t>
      </w:r>
      <w:r>
        <w:rPr>
          <w:rFonts w:ascii="Arial" w:cs="Arial" w:eastAsia="Arial" w:hAnsi="Arial"/>
          <w:sz w:val="17"/>
          <w:szCs w:val="17"/>
          <w:color w:val="auto"/>
        </w:rPr>
        <w:t>As described above, in “2022 Compensation Decisions,” in March 2022, the LD&amp;C recommended long-term</w:t>
      </w:r>
      <w:r>
        <w:rPr>
          <w:rFonts w:ascii="Arial" w:cs="Arial" w:eastAsia="Arial" w:hAnsi="Arial"/>
          <w:sz w:val="17"/>
          <w:szCs w:val="17"/>
          <w:b w:val="1"/>
          <w:bCs w:val="1"/>
          <w:color w:val="auto"/>
        </w:rPr>
        <w:t xml:space="preserve"> </w:t>
      </w:r>
      <w:r>
        <w:rPr>
          <w:rFonts w:ascii="Arial" w:cs="Arial" w:eastAsia="Arial" w:hAnsi="Arial"/>
          <w:sz w:val="17"/>
          <w:szCs w:val="17"/>
          <w:color w:val="auto"/>
        </w:rPr>
        <w:t>equity incentive awards to each NEO considering, among other things, the executive’s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231775</wp:posOffset>
            </wp:positionH>
            <wp:positionV relativeFrom="paragraph">
              <wp:posOffset>78105</wp:posOffset>
            </wp:positionV>
            <wp:extent cx="6687820" cy="1651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687820" cy="16510"/>
                    </a:xfrm>
                    <a:prstGeom prst="rect">
                      <a:avLst/>
                    </a:prstGeom>
                    <a:noFill/>
                  </pic:spPr>
                </pic:pic>
              </a:graphicData>
            </a:graphic>
          </wp:anchor>
        </w:drawing>
      </w:r>
    </w:p>
    <w:p>
      <w:pPr>
        <w:spacing w:after="0" w:line="292"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6443980</wp:posOffset>
            </wp:positionH>
            <wp:positionV relativeFrom="paragraph">
              <wp:posOffset>-113030</wp:posOffset>
            </wp:positionV>
            <wp:extent cx="475615" cy="15557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475615" cy="155575"/>
                    </a:xfrm>
                    <a:prstGeom prst="rect">
                      <a:avLst/>
                    </a:prstGeom>
                    <a:noFill/>
                  </pic:spPr>
                </pic:pic>
              </a:graphicData>
            </a:graphic>
          </wp:anchor>
        </w:drawing>
      </w:r>
    </w:p>
    <w:p>
      <w:pPr>
        <w:sectPr>
          <w:pgSz w:w="11900" w:h="16838" w:orient="portrait"/>
          <w:cols w:equalWidth="0" w:num="1">
            <w:col w:w="10900"/>
          </w:cols>
          <w:pgMar w:left="320" w:top="468" w:right="67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5397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79945" cy="53975"/>
                    </a:xfrm>
                    <a:prstGeom prst="rect">
                      <a:avLst/>
                    </a:prstGeom>
                    <a:noFill/>
                  </pic:spPr>
                </pic:pic>
              </a:graphicData>
            </a:graphic>
          </wp:anchor>
        </w:drawing>
        <w:t>Table of Contents</w:t>
      </w:r>
    </w:p>
    <w:p>
      <w:pPr>
        <w:spacing w:after="0" w:line="296"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auto"/>
        </w:rPr>
        <w:t>Compensation Discussion and Analysis</w:t>
      </w:r>
    </w:p>
    <w:p>
      <w:pPr>
        <w:spacing w:after="0" w:line="21" w:lineRule="exact"/>
        <w:rPr>
          <w:sz w:val="20"/>
          <w:szCs w:val="20"/>
          <w:color w:val="auto"/>
        </w:rPr>
      </w:pPr>
    </w:p>
    <w:p>
      <w:pPr>
        <w:ind w:left="360"/>
        <w:spacing w:after="0"/>
        <w:rPr>
          <w:sz w:val="20"/>
          <w:szCs w:val="20"/>
          <w:color w:val="auto"/>
        </w:rPr>
      </w:pPr>
      <w:r>
        <w:rPr>
          <w:rFonts w:ascii="Arial" w:cs="Arial" w:eastAsia="Arial" w:hAnsi="Arial"/>
          <w:sz w:val="14"/>
          <w:szCs w:val="14"/>
          <w:b w:val="1"/>
          <w:bCs w:val="1"/>
          <w:color w:val="auto"/>
        </w:rPr>
        <w:t>Compensation Elements for 2022</w:t>
      </w:r>
    </w:p>
    <w:p>
      <w:pPr>
        <w:spacing w:after="0" w:line="114" w:lineRule="exact"/>
        <w:rPr>
          <w:sz w:val="20"/>
          <w:szCs w:val="20"/>
          <w:color w:val="auto"/>
        </w:rPr>
      </w:pPr>
    </w:p>
    <w:p>
      <w:pPr>
        <w:jc w:val="both"/>
        <w:ind w:left="360" w:right="40"/>
        <w:spacing w:after="0" w:line="250" w:lineRule="auto"/>
        <w:rPr>
          <w:sz w:val="20"/>
          <w:szCs w:val="20"/>
          <w:color w:val="auto"/>
        </w:rPr>
      </w:pPr>
      <w:r>
        <w:rPr>
          <w:rFonts w:ascii="Arial" w:cs="Arial" w:eastAsia="Arial" w:hAnsi="Arial"/>
          <w:sz w:val="17"/>
          <w:szCs w:val="17"/>
          <w:color w:val="auto"/>
        </w:rPr>
        <w:t>performance and contributions to the Company’s key short- and long-term strategic goals, the executive’s experience, skills and expected future contributions, and peer group data. The Board, upon the recommendation of the LD&amp;C Committee approved the March 2022 Equity Awards for the non-CEO NEOs and, without the involvement of the CEO, approved the CEO’s March 2022 Equity Award. The target long-term incentive mix for the March 2022 Equity Awards was 50% stock options and 50% RSUs.</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table below indicates, for each NEO employed by us in March 2022, the target value of the executive’s March 2022 Equity Award.</w:t>
      </w:r>
    </w:p>
    <w:p>
      <w:pPr>
        <w:spacing w:after="0" w:line="206" w:lineRule="exact"/>
        <w:rPr>
          <w:sz w:val="20"/>
          <w:szCs w:val="20"/>
          <w:color w:val="auto"/>
        </w:rPr>
      </w:pPr>
    </w:p>
    <w:tbl>
      <w:tblPr>
        <w:tblLayout w:type="fixed"/>
        <w:tblInd w:w="360" w:type="dxa"/>
        <w:tblCellMar>
          <w:top w:w="0" w:type="dxa"/>
          <w:left w:w="0" w:type="dxa"/>
          <w:bottom w:w="0" w:type="dxa"/>
          <w:right w:w="0" w:type="dxa"/>
        </w:tblCellMar>
      </w:tblPr>
      <w:tr>
        <w:trPr>
          <w:trHeight w:val="161"/>
        </w:trPr>
        <w:tc>
          <w:tcPr>
            <w:tcW w:w="4960" w:type="dxa"/>
            <w:vAlign w:val="bottom"/>
          </w:tcPr>
          <w:p>
            <w:pPr>
              <w:spacing w:after="0"/>
              <w:rPr>
                <w:sz w:val="14"/>
                <w:szCs w:val="14"/>
                <w:color w:val="auto"/>
              </w:rPr>
            </w:pPr>
          </w:p>
        </w:tc>
        <w:tc>
          <w:tcPr>
            <w:tcW w:w="5580" w:type="dxa"/>
            <w:vAlign w:val="bottom"/>
            <w:gridSpan w:val="2"/>
          </w:tcPr>
          <w:p>
            <w:pPr>
              <w:ind w:left="2880"/>
              <w:spacing w:after="0"/>
              <w:rPr>
                <w:sz w:val="20"/>
                <w:szCs w:val="20"/>
                <w:color w:val="auto"/>
              </w:rPr>
            </w:pPr>
            <w:r>
              <w:rPr>
                <w:rFonts w:ascii="Arial" w:cs="Arial" w:eastAsia="Arial" w:hAnsi="Arial"/>
                <w:sz w:val="14"/>
                <w:szCs w:val="14"/>
                <w:b w:val="1"/>
                <w:bCs w:val="1"/>
                <w:color w:val="00467D"/>
              </w:rPr>
              <w:t>March 2022 Equity Award</w:t>
            </w:r>
          </w:p>
        </w:tc>
      </w:tr>
      <w:tr>
        <w:trPr>
          <w:trHeight w:val="189"/>
        </w:trPr>
        <w:tc>
          <w:tcPr>
            <w:tcW w:w="4960" w:type="dxa"/>
            <w:vAlign w:val="bottom"/>
            <w:tcBorders>
              <w:bottom w:val="single" w:sz="8" w:color="00467D"/>
            </w:tcBorders>
          </w:tcPr>
          <w:p>
            <w:pPr>
              <w:ind w:left="60"/>
              <w:spacing w:after="0"/>
              <w:rPr>
                <w:sz w:val="20"/>
                <w:szCs w:val="20"/>
                <w:color w:val="auto"/>
              </w:rPr>
            </w:pPr>
            <w:r>
              <w:rPr>
                <w:rFonts w:ascii="Arial" w:cs="Arial" w:eastAsia="Arial" w:hAnsi="Arial"/>
                <w:sz w:val="14"/>
                <w:szCs w:val="14"/>
                <w:b w:val="1"/>
                <w:bCs w:val="1"/>
                <w:color w:val="00467D"/>
              </w:rPr>
              <w:t>Named Executive Officer</w:t>
            </w:r>
          </w:p>
        </w:tc>
        <w:tc>
          <w:tcPr>
            <w:tcW w:w="3140" w:type="dxa"/>
            <w:vAlign w:val="bottom"/>
            <w:tcBorders>
              <w:bottom w:val="single" w:sz="8" w:color="00467D"/>
            </w:tcBorders>
          </w:tcPr>
          <w:p>
            <w:pPr>
              <w:spacing w:after="0"/>
              <w:rPr>
                <w:sz w:val="16"/>
                <w:szCs w:val="16"/>
                <w:color w:val="auto"/>
              </w:rPr>
            </w:pPr>
          </w:p>
        </w:tc>
        <w:tc>
          <w:tcPr>
            <w:tcW w:w="2440" w:type="dxa"/>
            <w:vAlign w:val="bottom"/>
            <w:tcBorders>
              <w:bottom w:val="single" w:sz="8" w:color="00467D"/>
            </w:tcBorders>
          </w:tcPr>
          <w:p>
            <w:pPr>
              <w:jc w:val="right"/>
              <w:ind w:right="1397"/>
              <w:spacing w:after="0"/>
              <w:rPr>
                <w:sz w:val="20"/>
                <w:szCs w:val="20"/>
                <w:color w:val="auto"/>
              </w:rPr>
            </w:pPr>
            <w:r>
              <w:rPr>
                <w:rFonts w:ascii="Arial" w:cs="Arial" w:eastAsia="Arial" w:hAnsi="Arial"/>
                <w:sz w:val="14"/>
                <w:szCs w:val="14"/>
                <w:b w:val="1"/>
                <w:bCs w:val="1"/>
                <w:color w:val="00467D"/>
              </w:rPr>
              <w:t>Target Value</w:t>
            </w:r>
          </w:p>
        </w:tc>
      </w:tr>
      <w:tr>
        <w:trPr>
          <w:trHeight w:val="247"/>
        </w:trPr>
        <w:tc>
          <w:tcPr>
            <w:tcW w:w="4960" w:type="dxa"/>
            <w:vAlign w:val="bottom"/>
            <w:tcBorders>
              <w:bottom w:val="single" w:sz="8" w:color="99B5CB"/>
            </w:tcBorders>
          </w:tcPr>
          <w:p>
            <w:pPr>
              <w:ind w:left="60"/>
              <w:spacing w:after="0"/>
              <w:rPr>
                <w:sz w:val="20"/>
                <w:szCs w:val="20"/>
                <w:color w:val="auto"/>
              </w:rPr>
            </w:pPr>
            <w:r>
              <w:rPr>
                <w:rFonts w:ascii="Arial" w:cs="Arial" w:eastAsia="Arial" w:hAnsi="Arial"/>
                <w:sz w:val="17"/>
                <w:szCs w:val="17"/>
                <w:color w:val="auto"/>
              </w:rPr>
              <w:t>Michael B. Petras, Jr.</w:t>
            </w:r>
          </w:p>
        </w:tc>
        <w:tc>
          <w:tcPr>
            <w:tcW w:w="3140" w:type="dxa"/>
            <w:vAlign w:val="bottom"/>
            <w:tcBorders>
              <w:bottom w:val="single" w:sz="8" w:color="99B5CB"/>
            </w:tcBorders>
          </w:tcPr>
          <w:p>
            <w:pPr>
              <w:ind w:left="2880"/>
              <w:spacing w:after="0"/>
              <w:rPr>
                <w:sz w:val="20"/>
                <w:szCs w:val="20"/>
                <w:color w:val="auto"/>
              </w:rPr>
            </w:pPr>
            <w:r>
              <w:rPr>
                <w:rFonts w:ascii="Arial" w:cs="Arial" w:eastAsia="Arial" w:hAnsi="Arial"/>
                <w:sz w:val="17"/>
                <w:szCs w:val="17"/>
                <w:color w:val="auto"/>
              </w:rPr>
              <w:t>$</w:t>
            </w:r>
          </w:p>
        </w:tc>
        <w:tc>
          <w:tcPr>
            <w:tcW w:w="2440" w:type="dxa"/>
            <w:vAlign w:val="bottom"/>
            <w:tcBorders>
              <w:bottom w:val="single" w:sz="8" w:color="99B5CB"/>
            </w:tcBorders>
          </w:tcPr>
          <w:p>
            <w:pPr>
              <w:jc w:val="right"/>
              <w:ind w:right="957"/>
              <w:spacing w:after="0"/>
              <w:rPr>
                <w:sz w:val="20"/>
                <w:szCs w:val="20"/>
                <w:color w:val="auto"/>
              </w:rPr>
            </w:pPr>
            <w:r>
              <w:rPr>
                <w:rFonts w:ascii="Arial" w:cs="Arial" w:eastAsia="Arial" w:hAnsi="Arial"/>
                <w:sz w:val="17"/>
                <w:szCs w:val="17"/>
                <w:color w:val="auto"/>
              </w:rPr>
              <w:t>7,500,000</w:t>
            </w:r>
          </w:p>
        </w:tc>
      </w:tr>
      <w:tr>
        <w:trPr>
          <w:trHeight w:val="251"/>
        </w:trPr>
        <w:tc>
          <w:tcPr>
            <w:tcW w:w="4960" w:type="dxa"/>
            <w:vAlign w:val="bottom"/>
            <w:tcBorders>
              <w:bottom w:val="single" w:sz="8" w:color="99B5CB"/>
            </w:tcBorders>
          </w:tcPr>
          <w:p>
            <w:pPr>
              <w:ind w:left="60"/>
              <w:spacing w:after="0"/>
              <w:rPr>
                <w:sz w:val="20"/>
                <w:szCs w:val="20"/>
                <w:color w:val="auto"/>
              </w:rPr>
            </w:pPr>
            <w:r>
              <w:rPr>
                <w:rFonts w:ascii="Arial" w:cs="Arial" w:eastAsia="Arial" w:hAnsi="Arial"/>
                <w:sz w:val="17"/>
                <w:szCs w:val="17"/>
                <w:color w:val="auto"/>
              </w:rPr>
              <w:t>Michael P. Rutz</w:t>
            </w:r>
          </w:p>
        </w:tc>
        <w:tc>
          <w:tcPr>
            <w:tcW w:w="3140" w:type="dxa"/>
            <w:vAlign w:val="bottom"/>
            <w:tcBorders>
              <w:bottom w:val="single" w:sz="8" w:color="99B5CB"/>
            </w:tcBorders>
          </w:tcPr>
          <w:p>
            <w:pPr>
              <w:spacing w:after="0"/>
              <w:rPr>
                <w:sz w:val="21"/>
                <w:szCs w:val="21"/>
                <w:color w:val="auto"/>
              </w:rPr>
            </w:pPr>
          </w:p>
        </w:tc>
        <w:tc>
          <w:tcPr>
            <w:tcW w:w="2440" w:type="dxa"/>
            <w:vAlign w:val="bottom"/>
            <w:tcBorders>
              <w:bottom w:val="single" w:sz="8" w:color="99B5CB"/>
            </w:tcBorders>
          </w:tcPr>
          <w:p>
            <w:pPr>
              <w:jc w:val="right"/>
              <w:ind w:right="957"/>
              <w:spacing w:after="0"/>
              <w:rPr>
                <w:sz w:val="20"/>
                <w:szCs w:val="20"/>
                <w:color w:val="auto"/>
              </w:rPr>
            </w:pPr>
            <w:r>
              <w:rPr>
                <w:rFonts w:ascii="Arial" w:cs="Arial" w:eastAsia="Arial" w:hAnsi="Arial"/>
                <w:sz w:val="17"/>
                <w:szCs w:val="17"/>
                <w:color w:val="auto"/>
              </w:rPr>
              <w:t>1,000,000</w:t>
            </w:r>
          </w:p>
        </w:tc>
      </w:tr>
      <w:tr>
        <w:trPr>
          <w:trHeight w:val="256"/>
        </w:trPr>
        <w:tc>
          <w:tcPr>
            <w:tcW w:w="4960" w:type="dxa"/>
            <w:vAlign w:val="bottom"/>
            <w:tcBorders>
              <w:bottom w:val="single" w:sz="8" w:color="99B5CB"/>
            </w:tcBorders>
          </w:tcPr>
          <w:p>
            <w:pPr>
              <w:ind w:left="60"/>
              <w:spacing w:after="0" w:line="256" w:lineRule="exact"/>
              <w:rPr>
                <w:sz w:val="20"/>
                <w:szCs w:val="20"/>
                <w:color w:val="auto"/>
              </w:rPr>
            </w:pPr>
            <w:r>
              <w:rPr>
                <w:rFonts w:ascii="Arial" w:cs="Arial" w:eastAsia="Arial" w:hAnsi="Arial"/>
                <w:sz w:val="17"/>
                <w:szCs w:val="17"/>
                <w:color w:val="auto"/>
              </w:rPr>
              <w:t>Matthew J. Klaben</w:t>
            </w:r>
            <w:r>
              <w:rPr>
                <w:rFonts w:ascii="Arial" w:cs="Arial" w:eastAsia="Arial" w:hAnsi="Arial"/>
                <w:sz w:val="25"/>
                <w:szCs w:val="25"/>
                <w:color w:val="auto"/>
                <w:vertAlign w:val="superscript"/>
              </w:rPr>
              <w:t>(1)</w:t>
            </w:r>
          </w:p>
        </w:tc>
        <w:tc>
          <w:tcPr>
            <w:tcW w:w="3140" w:type="dxa"/>
            <w:vAlign w:val="bottom"/>
            <w:tcBorders>
              <w:bottom w:val="single" w:sz="8" w:color="99B5CB"/>
            </w:tcBorders>
          </w:tcPr>
          <w:p>
            <w:pPr>
              <w:spacing w:after="0"/>
              <w:rPr>
                <w:sz w:val="22"/>
                <w:szCs w:val="22"/>
                <w:color w:val="auto"/>
              </w:rPr>
            </w:pPr>
          </w:p>
        </w:tc>
        <w:tc>
          <w:tcPr>
            <w:tcW w:w="2440" w:type="dxa"/>
            <w:vAlign w:val="bottom"/>
            <w:tcBorders>
              <w:bottom w:val="single" w:sz="8" w:color="99B5CB"/>
            </w:tcBorders>
          </w:tcPr>
          <w:p>
            <w:pPr>
              <w:jc w:val="right"/>
              <w:ind w:right="957"/>
              <w:spacing w:after="0"/>
              <w:rPr>
                <w:sz w:val="20"/>
                <w:szCs w:val="20"/>
                <w:color w:val="auto"/>
              </w:rPr>
            </w:pPr>
            <w:r>
              <w:rPr>
                <w:rFonts w:ascii="Arial" w:cs="Arial" w:eastAsia="Arial" w:hAnsi="Arial"/>
                <w:sz w:val="17"/>
                <w:szCs w:val="17"/>
                <w:color w:val="auto"/>
              </w:rPr>
              <w:t>350,000</w:t>
            </w:r>
          </w:p>
        </w:tc>
      </w:tr>
      <w:tr>
        <w:trPr>
          <w:trHeight w:val="246"/>
        </w:trPr>
        <w:tc>
          <w:tcPr>
            <w:tcW w:w="4960" w:type="dxa"/>
            <w:vAlign w:val="bottom"/>
            <w:tcBorders>
              <w:bottom w:val="single" w:sz="8" w:color="99B5CB"/>
            </w:tcBorders>
          </w:tcPr>
          <w:p>
            <w:pPr>
              <w:ind w:left="60"/>
              <w:spacing w:after="0"/>
              <w:rPr>
                <w:sz w:val="20"/>
                <w:szCs w:val="20"/>
                <w:color w:val="auto"/>
              </w:rPr>
            </w:pPr>
            <w:r>
              <w:rPr>
                <w:rFonts w:ascii="Arial" w:cs="Arial" w:eastAsia="Arial" w:hAnsi="Arial"/>
                <w:sz w:val="17"/>
                <w:szCs w:val="17"/>
                <w:color w:val="auto"/>
              </w:rPr>
              <w:t>Scott J. Leffler</w:t>
            </w:r>
          </w:p>
        </w:tc>
        <w:tc>
          <w:tcPr>
            <w:tcW w:w="3140" w:type="dxa"/>
            <w:vAlign w:val="bottom"/>
            <w:tcBorders>
              <w:bottom w:val="single" w:sz="8" w:color="99B5CB"/>
            </w:tcBorders>
          </w:tcPr>
          <w:p>
            <w:pPr>
              <w:spacing w:after="0"/>
              <w:rPr>
                <w:sz w:val="21"/>
                <w:szCs w:val="21"/>
                <w:color w:val="auto"/>
              </w:rPr>
            </w:pPr>
          </w:p>
        </w:tc>
        <w:tc>
          <w:tcPr>
            <w:tcW w:w="2440" w:type="dxa"/>
            <w:vAlign w:val="bottom"/>
            <w:tcBorders>
              <w:bottom w:val="single" w:sz="8" w:color="99B5CB"/>
            </w:tcBorders>
          </w:tcPr>
          <w:p>
            <w:pPr>
              <w:jc w:val="right"/>
              <w:ind w:right="957"/>
              <w:spacing w:after="0"/>
              <w:rPr>
                <w:sz w:val="20"/>
                <w:szCs w:val="20"/>
                <w:color w:val="auto"/>
              </w:rPr>
            </w:pPr>
            <w:r>
              <w:rPr>
                <w:rFonts w:ascii="Arial" w:cs="Arial" w:eastAsia="Arial" w:hAnsi="Arial"/>
                <w:sz w:val="17"/>
                <w:szCs w:val="17"/>
                <w:color w:val="auto"/>
              </w:rPr>
              <w:t>1,500,000</w:t>
            </w:r>
          </w:p>
        </w:tc>
      </w:tr>
      <w:tr>
        <w:trPr>
          <w:trHeight w:val="251"/>
        </w:trPr>
        <w:tc>
          <w:tcPr>
            <w:tcW w:w="4960" w:type="dxa"/>
            <w:vAlign w:val="bottom"/>
            <w:tcBorders>
              <w:bottom w:val="single" w:sz="8" w:color="00467D"/>
            </w:tcBorders>
          </w:tcPr>
          <w:p>
            <w:pPr>
              <w:ind w:left="60"/>
              <w:spacing w:after="0"/>
              <w:rPr>
                <w:sz w:val="20"/>
                <w:szCs w:val="20"/>
                <w:color w:val="auto"/>
              </w:rPr>
            </w:pPr>
            <w:r>
              <w:rPr>
                <w:rFonts w:ascii="Arial" w:cs="Arial" w:eastAsia="Arial" w:hAnsi="Arial"/>
                <w:sz w:val="17"/>
                <w:szCs w:val="17"/>
                <w:color w:val="auto"/>
              </w:rPr>
              <w:t>Terrence G. Hammons, Jr.</w:t>
            </w:r>
          </w:p>
        </w:tc>
        <w:tc>
          <w:tcPr>
            <w:tcW w:w="3140" w:type="dxa"/>
            <w:vAlign w:val="bottom"/>
            <w:tcBorders>
              <w:bottom w:val="single" w:sz="8" w:color="00467D"/>
            </w:tcBorders>
          </w:tcPr>
          <w:p>
            <w:pPr>
              <w:spacing w:after="0"/>
              <w:rPr>
                <w:sz w:val="21"/>
                <w:szCs w:val="21"/>
                <w:color w:val="auto"/>
              </w:rPr>
            </w:pPr>
          </w:p>
        </w:tc>
        <w:tc>
          <w:tcPr>
            <w:tcW w:w="2440" w:type="dxa"/>
            <w:vAlign w:val="bottom"/>
            <w:tcBorders>
              <w:bottom w:val="single" w:sz="8" w:color="00467D"/>
            </w:tcBorders>
          </w:tcPr>
          <w:p>
            <w:pPr>
              <w:jc w:val="right"/>
              <w:ind w:right="957"/>
              <w:spacing w:after="0"/>
              <w:rPr>
                <w:sz w:val="20"/>
                <w:szCs w:val="20"/>
                <w:color w:val="auto"/>
              </w:rPr>
            </w:pPr>
            <w:r>
              <w:rPr>
                <w:rFonts w:ascii="Arial" w:cs="Arial" w:eastAsia="Arial" w:hAnsi="Arial"/>
                <w:sz w:val="17"/>
                <w:szCs w:val="17"/>
                <w:color w:val="auto"/>
              </w:rPr>
              <w:t>900,000</w:t>
            </w:r>
          </w:p>
        </w:tc>
      </w:tr>
    </w:tbl>
    <w:p>
      <w:pPr>
        <w:spacing w:after="0" w:line="109" w:lineRule="exact"/>
        <w:rPr>
          <w:sz w:val="20"/>
          <w:szCs w:val="20"/>
          <w:color w:val="auto"/>
        </w:rPr>
      </w:pPr>
    </w:p>
    <w:p>
      <w:pPr>
        <w:ind w:left="780" w:hanging="422"/>
        <w:spacing w:after="0"/>
        <w:tabs>
          <w:tab w:leader="none" w:pos="780" w:val="left"/>
        </w:tabs>
        <w:numPr>
          <w:ilvl w:val="0"/>
          <w:numId w:val="27"/>
        </w:numPr>
        <w:rPr>
          <w:rFonts w:ascii="Arial" w:cs="Arial" w:eastAsia="Arial" w:hAnsi="Arial"/>
          <w:sz w:val="14"/>
          <w:szCs w:val="14"/>
          <w:color w:val="auto"/>
        </w:rPr>
      </w:pPr>
      <w:r>
        <w:rPr>
          <w:rFonts w:ascii="Arial" w:cs="Arial" w:eastAsia="Arial" w:hAnsi="Arial"/>
          <w:sz w:val="14"/>
          <w:szCs w:val="14"/>
          <w:color w:val="auto"/>
        </w:rPr>
        <w:t>Mr. Klaben was serving as Deputy General Counsel at the time of the award.</w:t>
      </w:r>
    </w:p>
    <w:p>
      <w:pPr>
        <w:spacing w:after="0" w:line="150" w:lineRule="exact"/>
        <w:rPr>
          <w:sz w:val="20"/>
          <w:szCs w:val="20"/>
          <w:color w:val="auto"/>
        </w:rPr>
      </w:pPr>
    </w:p>
    <w:p>
      <w:pPr>
        <w:ind w:left="360" w:right="20"/>
        <w:spacing w:after="0" w:line="243" w:lineRule="auto"/>
        <w:rPr>
          <w:sz w:val="20"/>
          <w:szCs w:val="20"/>
          <w:color w:val="auto"/>
        </w:rPr>
      </w:pPr>
      <w:r>
        <w:rPr>
          <w:rFonts w:ascii="Arial" w:cs="Arial" w:eastAsia="Arial" w:hAnsi="Arial"/>
          <w:sz w:val="17"/>
          <w:szCs w:val="17"/>
          <w:b w:val="1"/>
          <w:bCs w:val="1"/>
          <w:color w:val="auto"/>
        </w:rPr>
        <w:t xml:space="preserve">November 2022 Incentive Awards. </w:t>
      </w:r>
      <w:r>
        <w:rPr>
          <w:rFonts w:ascii="Arial" w:cs="Arial" w:eastAsia="Arial" w:hAnsi="Arial"/>
          <w:sz w:val="17"/>
          <w:szCs w:val="17"/>
          <w:color w:val="auto"/>
        </w:rPr>
        <w:t>The November 2022 Incentive Awards were one-time awards granted outside of our March annual</w:t>
      </w:r>
      <w:r>
        <w:rPr>
          <w:rFonts w:ascii="Arial" w:cs="Arial" w:eastAsia="Arial" w:hAnsi="Arial"/>
          <w:sz w:val="17"/>
          <w:szCs w:val="17"/>
          <w:b w:val="1"/>
          <w:bCs w:val="1"/>
          <w:color w:val="auto"/>
        </w:rPr>
        <w:t xml:space="preserve"> </w:t>
      </w:r>
      <w:r>
        <w:rPr>
          <w:rFonts w:ascii="Arial" w:cs="Arial" w:eastAsia="Arial" w:hAnsi="Arial"/>
          <w:sz w:val="17"/>
          <w:szCs w:val="17"/>
          <w:color w:val="auto"/>
        </w:rPr>
        <w:t>long-term equity incentive award cycle. The November 2022 Incentive Awards were granted to employees, including NEOs, whom the LD&amp;C Committee determined critical to achieving the Company’s short- and long-term strategic goals, in an environment where employees’ existing equity incentive awards had significantly less retentive value. As described above in “2022 Compensation Decisions”, the LD&amp;C Committee designed a tailored incentive award program intended to address the Company’s specific challenges and retention needs. Each of Messrs. Petras, Klaben and Rutz received a November 2022 Incentive Award. The table below indicates the form of award and target value of the November 2022 Incentive Awards granted to Messrs. Petras and Klaben. See “November 2022 Cash Incentive Bonus” on page 41 for additional information on the November 2022 Incentive Award granted to Mr. Rutz.</w:t>
      </w:r>
    </w:p>
    <w:p>
      <w:pPr>
        <w:spacing w:after="0" w:line="175" w:lineRule="exact"/>
        <w:rPr>
          <w:sz w:val="20"/>
          <w:szCs w:val="20"/>
          <w:color w:val="auto"/>
        </w:rPr>
      </w:pPr>
    </w:p>
    <w:tbl>
      <w:tblPr>
        <w:tblLayout w:type="fixed"/>
        <w:tblInd w:w="360" w:type="dxa"/>
        <w:tblCellMar>
          <w:top w:w="0" w:type="dxa"/>
          <w:left w:w="0" w:type="dxa"/>
          <w:bottom w:w="0" w:type="dxa"/>
          <w:right w:w="0" w:type="dxa"/>
        </w:tblCellMar>
      </w:tblPr>
      <w:tr>
        <w:trPr>
          <w:trHeight w:val="161"/>
        </w:trPr>
        <w:tc>
          <w:tcPr>
            <w:tcW w:w="410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120" w:type="dxa"/>
            <w:vAlign w:val="bottom"/>
          </w:tcPr>
          <w:p>
            <w:pPr>
              <w:jc w:val="right"/>
              <w:ind w:right="383"/>
              <w:spacing w:after="0"/>
              <w:rPr>
                <w:sz w:val="20"/>
                <w:szCs w:val="20"/>
                <w:color w:val="auto"/>
              </w:rPr>
            </w:pPr>
            <w:r>
              <w:rPr>
                <w:rFonts w:ascii="Arial" w:cs="Arial" w:eastAsia="Arial" w:hAnsi="Arial"/>
                <w:sz w:val="14"/>
                <w:szCs w:val="14"/>
                <w:b w:val="1"/>
                <w:bCs w:val="1"/>
                <w:color w:val="00467D"/>
                <w:w w:val="97"/>
              </w:rPr>
              <w:t>November 2022 Incentive</w:t>
            </w:r>
          </w:p>
        </w:tc>
      </w:tr>
      <w:tr>
        <w:trPr>
          <w:trHeight w:val="177"/>
        </w:trPr>
        <w:tc>
          <w:tcPr>
            <w:tcW w:w="4100" w:type="dxa"/>
            <w:vAlign w:val="bottom"/>
            <w:tcBorders>
              <w:bottom w:val="single" w:sz="8" w:color="00467D"/>
            </w:tcBorders>
          </w:tcPr>
          <w:p>
            <w:pPr>
              <w:ind w:left="60"/>
              <w:spacing w:after="0"/>
              <w:rPr>
                <w:sz w:val="20"/>
                <w:szCs w:val="20"/>
                <w:color w:val="auto"/>
              </w:rPr>
            </w:pPr>
            <w:r>
              <w:rPr>
                <w:rFonts w:ascii="Arial" w:cs="Arial" w:eastAsia="Arial" w:hAnsi="Arial"/>
                <w:sz w:val="14"/>
                <w:szCs w:val="14"/>
                <w:b w:val="1"/>
                <w:bCs w:val="1"/>
                <w:color w:val="00467D"/>
              </w:rPr>
              <w:t>Named Executive Officer</w:t>
            </w:r>
          </w:p>
        </w:tc>
        <w:tc>
          <w:tcPr>
            <w:tcW w:w="3860" w:type="dxa"/>
            <w:vAlign w:val="bottom"/>
            <w:tcBorders>
              <w:bottom w:val="single" w:sz="8" w:color="00467D"/>
            </w:tcBorders>
          </w:tcPr>
          <w:p>
            <w:pPr>
              <w:jc w:val="right"/>
              <w:ind w:right="340"/>
              <w:spacing w:after="0"/>
              <w:rPr>
                <w:sz w:val="20"/>
                <w:szCs w:val="20"/>
                <w:color w:val="auto"/>
              </w:rPr>
            </w:pPr>
            <w:r>
              <w:rPr>
                <w:rFonts w:ascii="Arial" w:cs="Arial" w:eastAsia="Arial" w:hAnsi="Arial"/>
                <w:sz w:val="14"/>
                <w:szCs w:val="14"/>
                <w:b w:val="1"/>
                <w:bCs w:val="1"/>
                <w:color w:val="00467D"/>
              </w:rPr>
              <w:t>Form of Award</w:t>
            </w:r>
          </w:p>
        </w:tc>
        <w:tc>
          <w:tcPr>
            <w:tcW w:w="460" w:type="dxa"/>
            <w:vAlign w:val="bottom"/>
            <w:tcBorders>
              <w:bottom w:val="single" w:sz="8" w:color="00467D"/>
            </w:tcBorders>
          </w:tcPr>
          <w:p>
            <w:pPr>
              <w:spacing w:after="0"/>
              <w:rPr>
                <w:sz w:val="15"/>
                <w:szCs w:val="15"/>
                <w:color w:val="auto"/>
              </w:rPr>
            </w:pPr>
          </w:p>
        </w:tc>
        <w:tc>
          <w:tcPr>
            <w:tcW w:w="2120" w:type="dxa"/>
            <w:vAlign w:val="bottom"/>
            <w:tcBorders>
              <w:bottom w:val="single" w:sz="8" w:color="00467D"/>
            </w:tcBorders>
          </w:tcPr>
          <w:p>
            <w:pPr>
              <w:jc w:val="right"/>
              <w:ind w:right="583"/>
              <w:spacing w:after="0"/>
              <w:rPr>
                <w:sz w:val="20"/>
                <w:szCs w:val="20"/>
                <w:color w:val="auto"/>
              </w:rPr>
            </w:pPr>
            <w:r>
              <w:rPr>
                <w:rFonts w:ascii="Arial" w:cs="Arial" w:eastAsia="Arial" w:hAnsi="Arial"/>
                <w:sz w:val="14"/>
                <w:szCs w:val="14"/>
                <w:b w:val="1"/>
                <w:bCs w:val="1"/>
                <w:color w:val="00467D"/>
              </w:rPr>
              <w:t>Award Target Value</w:t>
            </w:r>
          </w:p>
        </w:tc>
      </w:tr>
      <w:tr>
        <w:trPr>
          <w:trHeight w:val="187"/>
        </w:trPr>
        <w:tc>
          <w:tcPr>
            <w:tcW w:w="4100" w:type="dxa"/>
            <w:vAlign w:val="bottom"/>
            <w:tcBorders>
              <w:bottom w:val="single" w:sz="8" w:color="99B5CB"/>
            </w:tcBorders>
          </w:tcPr>
          <w:p>
            <w:pPr>
              <w:ind w:left="60"/>
              <w:spacing w:after="0" w:line="186" w:lineRule="exact"/>
              <w:rPr>
                <w:sz w:val="20"/>
                <w:szCs w:val="20"/>
                <w:color w:val="auto"/>
              </w:rPr>
            </w:pPr>
            <w:r>
              <w:rPr>
                <w:rFonts w:ascii="Arial" w:cs="Arial" w:eastAsia="Arial" w:hAnsi="Arial"/>
                <w:sz w:val="17"/>
                <w:szCs w:val="17"/>
                <w:color w:val="auto"/>
              </w:rPr>
              <w:t>Michael B. Petras, Jr.</w:t>
            </w:r>
          </w:p>
        </w:tc>
        <w:tc>
          <w:tcPr>
            <w:tcW w:w="3860" w:type="dxa"/>
            <w:vAlign w:val="bottom"/>
            <w:tcBorders>
              <w:bottom w:val="single" w:sz="8" w:color="99B5CB"/>
            </w:tcBorders>
          </w:tcPr>
          <w:p>
            <w:pPr>
              <w:jc w:val="right"/>
              <w:ind w:right="300"/>
              <w:spacing w:after="0" w:line="186" w:lineRule="exact"/>
              <w:rPr>
                <w:sz w:val="20"/>
                <w:szCs w:val="20"/>
                <w:color w:val="auto"/>
              </w:rPr>
            </w:pPr>
            <w:r>
              <w:rPr>
                <w:rFonts w:ascii="Arial" w:cs="Arial" w:eastAsia="Arial" w:hAnsi="Arial"/>
                <w:sz w:val="17"/>
                <w:szCs w:val="17"/>
                <w:color w:val="auto"/>
              </w:rPr>
              <w:t>Stock Options</w:t>
            </w:r>
          </w:p>
        </w:tc>
        <w:tc>
          <w:tcPr>
            <w:tcW w:w="460" w:type="dxa"/>
            <w:vAlign w:val="bottom"/>
            <w:tcBorders>
              <w:bottom w:val="single" w:sz="8" w:color="99B5CB"/>
            </w:tcBorders>
          </w:tcPr>
          <w:p>
            <w:pPr>
              <w:jc w:val="right"/>
              <w:spacing w:after="0" w:line="186" w:lineRule="exact"/>
              <w:rPr>
                <w:sz w:val="20"/>
                <w:szCs w:val="20"/>
                <w:color w:val="auto"/>
              </w:rPr>
            </w:pPr>
            <w:r>
              <w:rPr>
                <w:rFonts w:ascii="Arial" w:cs="Arial" w:eastAsia="Arial" w:hAnsi="Arial"/>
                <w:sz w:val="17"/>
                <w:szCs w:val="17"/>
                <w:color w:val="auto"/>
              </w:rPr>
              <w:t>$</w:t>
            </w:r>
          </w:p>
        </w:tc>
        <w:tc>
          <w:tcPr>
            <w:tcW w:w="2120" w:type="dxa"/>
            <w:vAlign w:val="bottom"/>
            <w:tcBorders>
              <w:bottom w:val="single" w:sz="8" w:color="99B5CB"/>
            </w:tcBorders>
          </w:tcPr>
          <w:p>
            <w:pPr>
              <w:jc w:val="right"/>
              <w:ind w:right="383"/>
              <w:spacing w:after="0" w:line="186" w:lineRule="exact"/>
              <w:rPr>
                <w:sz w:val="20"/>
                <w:szCs w:val="20"/>
                <w:color w:val="auto"/>
              </w:rPr>
            </w:pPr>
            <w:r>
              <w:rPr>
                <w:rFonts w:ascii="Arial" w:cs="Arial" w:eastAsia="Arial" w:hAnsi="Arial"/>
                <w:sz w:val="17"/>
                <w:szCs w:val="17"/>
                <w:color w:val="auto"/>
              </w:rPr>
              <w:t>5,250,000</w:t>
            </w:r>
          </w:p>
        </w:tc>
      </w:tr>
      <w:tr>
        <w:trPr>
          <w:trHeight w:val="187"/>
        </w:trPr>
        <w:tc>
          <w:tcPr>
            <w:tcW w:w="4100" w:type="dxa"/>
            <w:vAlign w:val="bottom"/>
            <w:tcBorders>
              <w:bottom w:val="single" w:sz="8" w:color="00467D"/>
            </w:tcBorders>
          </w:tcPr>
          <w:p>
            <w:pPr>
              <w:ind w:left="60"/>
              <w:spacing w:after="0" w:line="187" w:lineRule="exact"/>
              <w:rPr>
                <w:sz w:val="20"/>
                <w:szCs w:val="20"/>
                <w:color w:val="auto"/>
              </w:rPr>
            </w:pPr>
            <w:r>
              <w:rPr>
                <w:rFonts w:ascii="Arial" w:cs="Arial" w:eastAsia="Arial" w:hAnsi="Arial"/>
                <w:sz w:val="15"/>
                <w:szCs w:val="15"/>
                <w:color w:val="auto"/>
              </w:rPr>
              <w:t>Matthew J. Klaben</w:t>
            </w:r>
            <w:r>
              <w:rPr>
                <w:rFonts w:ascii="Arial" w:cs="Arial" w:eastAsia="Arial" w:hAnsi="Arial"/>
                <w:sz w:val="21"/>
                <w:szCs w:val="21"/>
                <w:color w:val="auto"/>
                <w:vertAlign w:val="superscript"/>
              </w:rPr>
              <w:t>(1)</w:t>
            </w:r>
          </w:p>
        </w:tc>
        <w:tc>
          <w:tcPr>
            <w:tcW w:w="3860" w:type="dxa"/>
            <w:vAlign w:val="bottom"/>
            <w:tcBorders>
              <w:bottom w:val="single" w:sz="8" w:color="00467D"/>
            </w:tcBorders>
          </w:tcPr>
          <w:p>
            <w:pPr>
              <w:jc w:val="right"/>
              <w:ind w:right="300"/>
              <w:spacing w:after="0" w:line="186" w:lineRule="exact"/>
              <w:rPr>
                <w:sz w:val="20"/>
                <w:szCs w:val="20"/>
                <w:color w:val="auto"/>
              </w:rPr>
            </w:pPr>
            <w:r>
              <w:rPr>
                <w:rFonts w:ascii="Arial" w:cs="Arial" w:eastAsia="Arial" w:hAnsi="Arial"/>
                <w:sz w:val="17"/>
                <w:szCs w:val="17"/>
                <w:color w:val="auto"/>
              </w:rPr>
              <w:t>RSUs</w:t>
            </w:r>
          </w:p>
        </w:tc>
        <w:tc>
          <w:tcPr>
            <w:tcW w:w="460" w:type="dxa"/>
            <w:vAlign w:val="bottom"/>
            <w:tcBorders>
              <w:bottom w:val="single" w:sz="8" w:color="00467D"/>
            </w:tcBorders>
          </w:tcPr>
          <w:p>
            <w:pPr>
              <w:spacing w:after="0"/>
              <w:rPr>
                <w:sz w:val="16"/>
                <w:szCs w:val="16"/>
                <w:color w:val="auto"/>
              </w:rPr>
            </w:pPr>
          </w:p>
        </w:tc>
        <w:tc>
          <w:tcPr>
            <w:tcW w:w="2120" w:type="dxa"/>
            <w:vAlign w:val="bottom"/>
            <w:tcBorders>
              <w:bottom w:val="single" w:sz="8" w:color="00467D"/>
            </w:tcBorders>
          </w:tcPr>
          <w:p>
            <w:pPr>
              <w:jc w:val="right"/>
              <w:ind w:right="383"/>
              <w:spacing w:after="0" w:line="186" w:lineRule="exact"/>
              <w:rPr>
                <w:sz w:val="20"/>
                <w:szCs w:val="20"/>
                <w:color w:val="auto"/>
              </w:rPr>
            </w:pPr>
            <w:r>
              <w:rPr>
                <w:rFonts w:ascii="Arial" w:cs="Arial" w:eastAsia="Arial" w:hAnsi="Arial"/>
                <w:sz w:val="17"/>
                <w:szCs w:val="17"/>
                <w:color w:val="auto"/>
              </w:rPr>
              <w:t>262,500</w:t>
            </w:r>
          </w:p>
        </w:tc>
      </w:tr>
    </w:tbl>
    <w:p>
      <w:pPr>
        <w:spacing w:after="0" w:line="70" w:lineRule="exact"/>
        <w:rPr>
          <w:sz w:val="20"/>
          <w:szCs w:val="20"/>
          <w:color w:val="auto"/>
        </w:rPr>
      </w:pPr>
    </w:p>
    <w:p>
      <w:pPr>
        <w:ind w:left="780" w:hanging="422"/>
        <w:spacing w:after="0"/>
        <w:tabs>
          <w:tab w:leader="none" w:pos="780" w:val="left"/>
        </w:tabs>
        <w:numPr>
          <w:ilvl w:val="0"/>
          <w:numId w:val="28"/>
        </w:numPr>
        <w:rPr>
          <w:rFonts w:ascii="Arial" w:cs="Arial" w:eastAsia="Arial" w:hAnsi="Arial"/>
          <w:sz w:val="14"/>
          <w:szCs w:val="14"/>
          <w:color w:val="auto"/>
        </w:rPr>
      </w:pPr>
      <w:r>
        <w:rPr>
          <w:rFonts w:ascii="Arial" w:cs="Arial" w:eastAsia="Arial" w:hAnsi="Arial"/>
          <w:sz w:val="14"/>
          <w:szCs w:val="14"/>
          <w:color w:val="auto"/>
        </w:rPr>
        <w:t>Mr. Klaben was serving as Deputy General Counsel at the time of the award.</w:t>
      </w:r>
    </w:p>
    <w:p>
      <w:pPr>
        <w:spacing w:after="0" w:line="150" w:lineRule="exact"/>
        <w:rPr>
          <w:sz w:val="20"/>
          <w:szCs w:val="20"/>
          <w:color w:val="auto"/>
        </w:rPr>
      </w:pPr>
    </w:p>
    <w:p>
      <w:pPr>
        <w:ind w:left="360" w:right="60"/>
        <w:spacing w:after="0" w:line="247" w:lineRule="auto"/>
        <w:rPr>
          <w:sz w:val="20"/>
          <w:szCs w:val="20"/>
          <w:color w:val="auto"/>
        </w:rPr>
      </w:pPr>
      <w:r>
        <w:rPr>
          <w:rFonts w:ascii="Arial" w:cs="Arial" w:eastAsia="Arial" w:hAnsi="Arial"/>
          <w:sz w:val="17"/>
          <w:szCs w:val="17"/>
          <w:b w:val="1"/>
          <w:bCs w:val="1"/>
          <w:color w:val="auto"/>
        </w:rPr>
        <w:t xml:space="preserve">New Hire 2022 Equity Award. </w:t>
      </w:r>
      <w:r>
        <w:rPr>
          <w:rFonts w:ascii="Arial" w:cs="Arial" w:eastAsia="Arial" w:hAnsi="Arial"/>
          <w:sz w:val="17"/>
          <w:szCs w:val="17"/>
          <w:color w:val="auto"/>
        </w:rPr>
        <w:t>On November 7, 2022, in connection with his joining the Company and appointment as SVP, General</w:t>
      </w:r>
      <w:r>
        <w:rPr>
          <w:rFonts w:ascii="Arial" w:cs="Arial" w:eastAsia="Arial" w:hAnsi="Arial"/>
          <w:sz w:val="17"/>
          <w:szCs w:val="17"/>
          <w:b w:val="1"/>
          <w:bCs w:val="1"/>
          <w:color w:val="auto"/>
        </w:rPr>
        <w:t xml:space="preserve"> </w:t>
      </w:r>
      <w:r>
        <w:rPr>
          <w:rFonts w:ascii="Arial" w:cs="Arial" w:eastAsia="Arial" w:hAnsi="Arial"/>
          <w:sz w:val="17"/>
          <w:szCs w:val="17"/>
          <w:color w:val="auto"/>
        </w:rPr>
        <w:t>Counsel and Secretary, Mr. Dimitrief was granted an equity award comprised of 50% stock options and 50% restricted stock, with an aggregate target value of $3,000,000. Each of Mr. Dimitrief’s restricted stock and stock option awards will vest annually in two equal installments on October 31, 2023 and October 31, 2024, subject to his continued employment in good standing with the Company through each applicable vesting date.</w:t>
      </w:r>
    </w:p>
    <w:p>
      <w:pPr>
        <w:spacing w:after="0" w:line="145" w:lineRule="exact"/>
        <w:rPr>
          <w:sz w:val="20"/>
          <w:szCs w:val="20"/>
          <w:color w:val="auto"/>
        </w:rPr>
      </w:pPr>
    </w:p>
    <w:p>
      <w:pPr>
        <w:ind w:left="360" w:right="180"/>
        <w:spacing w:after="0" w:line="274" w:lineRule="auto"/>
        <w:rPr>
          <w:sz w:val="20"/>
          <w:szCs w:val="20"/>
          <w:color w:val="auto"/>
        </w:rPr>
      </w:pPr>
      <w:r>
        <w:rPr>
          <w:rFonts w:ascii="Arial" w:cs="Arial" w:eastAsia="Arial" w:hAnsi="Arial"/>
          <w:sz w:val="17"/>
          <w:szCs w:val="17"/>
          <w:color w:val="auto"/>
        </w:rPr>
        <w:t>The following sections further describe the equity incentive compensation awarded to our NEOs under the Sotera Health Company 2020 Omnibus Incentive Plan (“2020 Incentive Plan”) in 2022.</w:t>
      </w:r>
    </w:p>
    <w:p>
      <w:pPr>
        <w:spacing w:after="0" w:line="238" w:lineRule="exact"/>
        <w:rPr>
          <w:sz w:val="20"/>
          <w:szCs w:val="20"/>
          <w:color w:val="auto"/>
        </w:rPr>
      </w:pPr>
    </w:p>
    <w:p>
      <w:pPr>
        <w:ind w:left="360"/>
        <w:spacing w:after="0"/>
        <w:rPr>
          <w:sz w:val="20"/>
          <w:szCs w:val="20"/>
          <w:color w:val="auto"/>
        </w:rPr>
      </w:pPr>
      <w:r>
        <w:rPr>
          <w:rFonts w:ascii="Arial" w:cs="Arial" w:eastAsia="Arial" w:hAnsi="Arial"/>
          <w:sz w:val="28"/>
          <w:szCs w:val="28"/>
          <w:color w:val="auto"/>
        </w:rPr>
        <w:t>Calculation of Equity Awards</w:t>
      </w:r>
    </w:p>
    <w:p>
      <w:pPr>
        <w:spacing w:after="0" w:line="220" w:lineRule="exact"/>
        <w:rPr>
          <w:sz w:val="20"/>
          <w:szCs w:val="20"/>
          <w:color w:val="auto"/>
        </w:rPr>
      </w:pPr>
    </w:p>
    <w:p>
      <w:pPr>
        <w:ind w:left="360" w:right="120"/>
        <w:spacing w:after="0" w:line="245" w:lineRule="auto"/>
        <w:rPr>
          <w:sz w:val="20"/>
          <w:szCs w:val="20"/>
          <w:color w:val="auto"/>
        </w:rPr>
      </w:pPr>
      <w:r>
        <w:rPr>
          <w:rFonts w:ascii="Arial" w:cs="Arial" w:eastAsia="Arial" w:hAnsi="Arial"/>
          <w:sz w:val="17"/>
          <w:szCs w:val="17"/>
          <w:color w:val="auto"/>
        </w:rPr>
        <w:t>When granting equity awards, we use formulas to calculate the number of RSUs, shares of restricted stock and stock options to be granted to our employees based on the target value of the award. When granting RSUs and restricted stock, we determine the number of shares of stock to be granted by dividing the target award value by the closing sales price on the date of grant as quoted on the Nasdaq stock exchange (the “Fair Market Value”). When granting stock options, we divide the target value by the product of a specified multiplier and the Fair Market Value of our common stock. The specified multiplier is calculated as the product of the fair value of the option award as computed using the Black-Scholes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231775</wp:posOffset>
            </wp:positionH>
            <wp:positionV relativeFrom="paragraph">
              <wp:posOffset>94615</wp:posOffset>
            </wp:positionV>
            <wp:extent cx="6687820" cy="1651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687820" cy="16510"/>
                    </a:xfrm>
                    <a:prstGeom prst="rect">
                      <a:avLst/>
                    </a:prstGeom>
                    <a:noFill/>
                  </pic:spPr>
                </pic:pic>
              </a:graphicData>
            </a:graphic>
          </wp:anchor>
        </w:drawing>
      </w:r>
    </w:p>
    <w:p>
      <w:pPr>
        <w:spacing w:after="0" w:line="306" w:lineRule="exact"/>
        <w:rPr>
          <w:sz w:val="20"/>
          <w:szCs w:val="20"/>
          <w:color w:val="auto"/>
        </w:rPr>
      </w:pPr>
    </w:p>
    <w:tbl>
      <w:tblPr>
        <w:tblLayout w:type="fixed"/>
        <w:tblInd w:w="360" w:type="dxa"/>
        <w:tblCellMar>
          <w:top w:w="0" w:type="dxa"/>
          <w:left w:w="0" w:type="dxa"/>
          <w:bottom w:w="0" w:type="dxa"/>
          <w:right w:w="0" w:type="dxa"/>
        </w:tblCellMar>
      </w:tblPr>
      <w:tr>
        <w:trPr>
          <w:trHeight w:val="226"/>
        </w:trPr>
        <w:tc>
          <w:tcPr>
            <w:tcW w:w="3900" w:type="dxa"/>
            <w:vAlign w:val="bottom"/>
          </w:tcPr>
          <w:p>
            <w:pPr>
              <w:spacing w:after="0"/>
              <w:rPr>
                <w:sz w:val="20"/>
                <w:szCs w:val="20"/>
                <w:color w:val="auto"/>
              </w:rPr>
            </w:pPr>
            <w:r>
              <w:rPr>
                <w:rFonts w:ascii="Arial" w:cs="Arial" w:eastAsia="Arial" w:hAnsi="Arial"/>
                <w:sz w:val="17"/>
                <w:szCs w:val="17"/>
                <w:color w:val="auto"/>
              </w:rPr>
              <w:t>2023 Notice and Proxy Statement</w:t>
            </w:r>
          </w:p>
        </w:tc>
        <w:tc>
          <w:tcPr>
            <w:tcW w:w="1520" w:type="dxa"/>
            <w:vAlign w:val="bottom"/>
          </w:tcPr>
          <w:p>
            <w:pPr>
              <w:jc w:val="right"/>
              <w:spacing w:after="0"/>
              <w:rPr>
                <w:sz w:val="20"/>
                <w:szCs w:val="20"/>
                <w:color w:val="auto"/>
              </w:rPr>
            </w:pPr>
            <w:r>
              <w:rPr>
                <w:rFonts w:ascii="Arial" w:cs="Arial" w:eastAsia="Arial" w:hAnsi="Arial"/>
                <w:sz w:val="17"/>
                <w:szCs w:val="17"/>
                <w:color w:val="auto"/>
              </w:rPr>
              <w:t>38</w:t>
            </w:r>
          </w:p>
        </w:tc>
      </w:tr>
    </w:tbl>
    <w:p>
      <w:pPr>
        <w:sectPr>
          <w:pgSz w:w="11900" w:h="16838" w:orient="portrait"/>
          <w:cols w:equalWidth="0" w:num="1">
            <w:col w:w="10900"/>
          </w:cols>
          <w:pgMar w:left="320" w:top="468" w:right="67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5397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79945" cy="53975"/>
                    </a:xfrm>
                    <a:prstGeom prst="rect">
                      <a:avLst/>
                    </a:prstGeom>
                    <a:noFill/>
                  </pic:spPr>
                </pic:pic>
              </a:graphicData>
            </a:graphic>
          </wp:anchor>
        </w:drawing>
        <w:t>Table of Contents</w:t>
      </w:r>
    </w:p>
    <w:p>
      <w:pPr>
        <w:spacing w:after="0" w:line="296"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Compensation Discussion and Analysis</w:t>
      </w:r>
    </w:p>
    <w:p>
      <w:pPr>
        <w:spacing w:after="0" w:line="21" w:lineRule="exact"/>
        <w:rPr>
          <w:sz w:val="20"/>
          <w:szCs w:val="20"/>
          <w:color w:val="auto"/>
        </w:rPr>
      </w:pPr>
    </w:p>
    <w:p>
      <w:pPr>
        <w:ind w:left="8720"/>
        <w:spacing w:after="0"/>
        <w:rPr>
          <w:sz w:val="20"/>
          <w:szCs w:val="20"/>
          <w:color w:val="auto"/>
        </w:rPr>
      </w:pPr>
      <w:r>
        <w:rPr>
          <w:rFonts w:ascii="Arial" w:cs="Arial" w:eastAsia="Arial" w:hAnsi="Arial"/>
          <w:sz w:val="13"/>
          <w:szCs w:val="13"/>
          <w:b w:val="1"/>
          <w:bCs w:val="1"/>
          <w:color w:val="auto"/>
        </w:rPr>
        <w:t>Compensation Elements for 2022</w:t>
      </w:r>
    </w:p>
    <w:p>
      <w:pPr>
        <w:spacing w:after="0" w:line="126" w:lineRule="exact"/>
        <w:rPr>
          <w:sz w:val="20"/>
          <w:szCs w:val="20"/>
          <w:color w:val="auto"/>
        </w:rPr>
      </w:pPr>
    </w:p>
    <w:p>
      <w:pPr>
        <w:ind w:left="360" w:right="40"/>
        <w:spacing w:after="0" w:line="246" w:lineRule="auto"/>
        <w:rPr>
          <w:sz w:val="20"/>
          <w:szCs w:val="20"/>
          <w:color w:val="auto"/>
        </w:rPr>
      </w:pPr>
      <w:r>
        <w:rPr>
          <w:rFonts w:ascii="Arial" w:cs="Arial" w:eastAsia="Arial" w:hAnsi="Arial"/>
          <w:sz w:val="17"/>
          <w:szCs w:val="17"/>
          <w:color w:val="auto"/>
        </w:rPr>
        <w:t>Option Pricing Model prior to the grant date and the Fair Market Value of our common stock. In respect of stock options, the target award value of certain of the stock option grants made in 2022 does not equal the grant date fair value reported in the Summary Compensation Table due primarily to a difference in the expected volatility assumption applied when calculating the specified multiplier and the grant date fair value for purposes of determining share-based compensation expense within our consolidated financial statements. See note 4 to the Summary Compensation Table.</w:t>
      </w:r>
    </w:p>
    <w:p>
      <w:pPr>
        <w:spacing w:after="0" w:line="263" w:lineRule="exact"/>
        <w:rPr>
          <w:sz w:val="20"/>
          <w:szCs w:val="20"/>
          <w:color w:val="auto"/>
        </w:rPr>
      </w:pPr>
    </w:p>
    <w:p>
      <w:pPr>
        <w:ind w:left="360"/>
        <w:spacing w:after="0"/>
        <w:rPr>
          <w:sz w:val="20"/>
          <w:szCs w:val="20"/>
          <w:color w:val="auto"/>
        </w:rPr>
      </w:pPr>
      <w:r>
        <w:rPr>
          <w:rFonts w:ascii="Arial" w:cs="Arial" w:eastAsia="Arial" w:hAnsi="Arial"/>
          <w:sz w:val="28"/>
          <w:szCs w:val="28"/>
          <w:color w:val="auto"/>
        </w:rPr>
        <w:t>Stock Options</w:t>
      </w:r>
    </w:p>
    <w:p>
      <w:pPr>
        <w:spacing w:after="0" w:line="220" w:lineRule="exact"/>
        <w:rPr>
          <w:sz w:val="20"/>
          <w:szCs w:val="20"/>
          <w:color w:val="auto"/>
        </w:rPr>
      </w:pPr>
    </w:p>
    <w:p>
      <w:pPr>
        <w:ind w:left="360" w:right="20"/>
        <w:spacing w:after="0" w:line="250" w:lineRule="auto"/>
        <w:rPr>
          <w:sz w:val="20"/>
          <w:szCs w:val="20"/>
          <w:color w:val="auto"/>
        </w:rPr>
      </w:pPr>
      <w:r>
        <w:rPr>
          <w:rFonts w:ascii="Arial" w:cs="Arial" w:eastAsia="Arial" w:hAnsi="Arial"/>
          <w:sz w:val="17"/>
          <w:szCs w:val="17"/>
          <w:color w:val="auto"/>
        </w:rPr>
        <w:t>The Committee believes stock option awards are an appropriate long-term incentive vehicle both because they offer an immediate link between shareholder value creation and executive rewards, and because option awards align with typical practices among companies that have recently engaged in an IPO. The Equity Awards granted in March 2022 were comprised of approximately 50% stock options to purchase shares of our common stock. The table below shows the number of stock options granted to our NEOs on March 2, 2022.</w:t>
      </w:r>
    </w:p>
    <w:p>
      <w:pPr>
        <w:spacing w:after="0" w:line="225" w:lineRule="exact"/>
        <w:rPr>
          <w:sz w:val="20"/>
          <w:szCs w:val="20"/>
          <w:color w:val="auto"/>
        </w:rPr>
      </w:pPr>
    </w:p>
    <w:tbl>
      <w:tblPr>
        <w:tblLayout w:type="fixed"/>
        <w:tblInd w:w="360" w:type="dxa"/>
        <w:tblCellMar>
          <w:top w:w="0" w:type="dxa"/>
          <w:left w:w="0" w:type="dxa"/>
          <w:bottom w:w="0" w:type="dxa"/>
          <w:right w:w="0" w:type="dxa"/>
        </w:tblCellMar>
      </w:tblPr>
      <w:tr>
        <w:trPr>
          <w:trHeight w:val="189"/>
        </w:trPr>
        <w:tc>
          <w:tcPr>
            <w:tcW w:w="4740" w:type="dxa"/>
            <w:vAlign w:val="bottom"/>
            <w:tcBorders>
              <w:bottom w:val="single" w:sz="8" w:color="00467D"/>
            </w:tcBorders>
          </w:tcPr>
          <w:p>
            <w:pPr>
              <w:ind w:left="60"/>
              <w:spacing w:after="0"/>
              <w:rPr>
                <w:sz w:val="20"/>
                <w:szCs w:val="20"/>
                <w:color w:val="auto"/>
              </w:rPr>
            </w:pPr>
            <w:r>
              <w:rPr>
                <w:rFonts w:ascii="Arial" w:cs="Arial" w:eastAsia="Arial" w:hAnsi="Arial"/>
                <w:sz w:val="14"/>
                <w:szCs w:val="14"/>
                <w:b w:val="1"/>
                <w:bCs w:val="1"/>
                <w:color w:val="00467D"/>
              </w:rPr>
              <w:t>Named Executive Officer</w:t>
            </w:r>
          </w:p>
        </w:tc>
        <w:tc>
          <w:tcPr>
            <w:tcW w:w="4260" w:type="dxa"/>
            <w:vAlign w:val="bottom"/>
            <w:tcBorders>
              <w:bottom w:val="single" w:sz="8" w:color="00467D"/>
            </w:tcBorders>
          </w:tcPr>
          <w:p>
            <w:pPr>
              <w:jc w:val="right"/>
              <w:ind w:right="527"/>
              <w:spacing w:after="0"/>
              <w:rPr>
                <w:sz w:val="20"/>
                <w:szCs w:val="20"/>
                <w:color w:val="auto"/>
              </w:rPr>
            </w:pPr>
            <w:r>
              <w:rPr>
                <w:rFonts w:ascii="Arial" w:cs="Arial" w:eastAsia="Arial" w:hAnsi="Arial"/>
                <w:sz w:val="14"/>
                <w:szCs w:val="14"/>
                <w:b w:val="1"/>
                <w:bCs w:val="1"/>
                <w:color w:val="00467D"/>
              </w:rPr>
              <w:t>Exercise Price</w:t>
            </w:r>
          </w:p>
        </w:tc>
        <w:tc>
          <w:tcPr>
            <w:tcW w:w="1540" w:type="dxa"/>
            <w:vAlign w:val="bottom"/>
            <w:tcBorders>
              <w:bottom w:val="single" w:sz="8" w:color="00467D"/>
            </w:tcBorders>
          </w:tcPr>
          <w:p>
            <w:pPr>
              <w:jc w:val="right"/>
              <w:ind w:right="144"/>
              <w:spacing w:after="0"/>
              <w:rPr>
                <w:sz w:val="20"/>
                <w:szCs w:val="20"/>
                <w:color w:val="auto"/>
              </w:rPr>
            </w:pPr>
            <w:r>
              <w:rPr>
                <w:rFonts w:ascii="Arial" w:cs="Arial" w:eastAsia="Arial" w:hAnsi="Arial"/>
                <w:sz w:val="14"/>
                <w:szCs w:val="14"/>
                <w:b w:val="1"/>
                <w:bCs w:val="1"/>
                <w:color w:val="00467D"/>
              </w:rPr>
              <w:t>Options (#)</w:t>
            </w:r>
          </w:p>
        </w:tc>
      </w:tr>
      <w:tr>
        <w:trPr>
          <w:trHeight w:val="236"/>
        </w:trPr>
        <w:tc>
          <w:tcPr>
            <w:tcW w:w="4740" w:type="dxa"/>
            <w:vAlign w:val="bottom"/>
            <w:tcBorders>
              <w:bottom w:val="single" w:sz="8" w:color="99B5CB"/>
            </w:tcBorders>
          </w:tcPr>
          <w:p>
            <w:pPr>
              <w:ind w:left="60"/>
              <w:spacing w:after="0"/>
              <w:rPr>
                <w:sz w:val="20"/>
                <w:szCs w:val="20"/>
                <w:color w:val="auto"/>
              </w:rPr>
            </w:pPr>
            <w:r>
              <w:rPr>
                <w:rFonts w:ascii="Arial" w:cs="Arial" w:eastAsia="Arial" w:hAnsi="Arial"/>
                <w:sz w:val="15"/>
                <w:szCs w:val="15"/>
                <w:b w:val="1"/>
                <w:bCs w:val="1"/>
                <w:i w:val="1"/>
                <w:iCs w:val="1"/>
                <w:color w:val="auto"/>
              </w:rPr>
              <w:t>March 2022 Equity Awards</w:t>
            </w:r>
          </w:p>
        </w:tc>
        <w:tc>
          <w:tcPr>
            <w:tcW w:w="4260" w:type="dxa"/>
            <w:vAlign w:val="bottom"/>
            <w:tcBorders>
              <w:bottom w:val="single" w:sz="8" w:color="99B5CB"/>
            </w:tcBorders>
          </w:tcPr>
          <w:p>
            <w:pPr>
              <w:jc w:val="right"/>
              <w:ind w:right="527"/>
              <w:spacing w:after="0"/>
              <w:rPr>
                <w:sz w:val="20"/>
                <w:szCs w:val="20"/>
                <w:color w:val="auto"/>
              </w:rPr>
            </w:pPr>
            <w:r>
              <w:rPr>
                <w:rFonts w:ascii="Arial" w:cs="Arial" w:eastAsia="Arial" w:hAnsi="Arial"/>
                <w:sz w:val="15"/>
                <w:szCs w:val="15"/>
                <w:color w:val="auto"/>
              </w:rPr>
              <w:t>$20.03</w:t>
            </w:r>
          </w:p>
        </w:tc>
        <w:tc>
          <w:tcPr>
            <w:tcW w:w="1540" w:type="dxa"/>
            <w:vAlign w:val="bottom"/>
            <w:tcBorders>
              <w:bottom w:val="single" w:sz="8" w:color="99B5CB"/>
            </w:tcBorders>
          </w:tcPr>
          <w:p>
            <w:pPr>
              <w:spacing w:after="0"/>
              <w:rPr>
                <w:sz w:val="20"/>
                <w:szCs w:val="20"/>
                <w:color w:val="auto"/>
              </w:rPr>
            </w:pPr>
          </w:p>
        </w:tc>
      </w:tr>
      <w:tr>
        <w:trPr>
          <w:trHeight w:val="234"/>
        </w:trPr>
        <w:tc>
          <w:tcPr>
            <w:tcW w:w="4740" w:type="dxa"/>
            <w:vAlign w:val="bottom"/>
            <w:tcBorders>
              <w:bottom w:val="single" w:sz="8" w:color="99B5CB"/>
            </w:tcBorders>
          </w:tcPr>
          <w:p>
            <w:pPr>
              <w:ind w:left="60"/>
              <w:spacing w:after="0"/>
              <w:rPr>
                <w:sz w:val="20"/>
                <w:szCs w:val="20"/>
                <w:color w:val="auto"/>
              </w:rPr>
            </w:pPr>
            <w:r>
              <w:rPr>
                <w:rFonts w:ascii="Arial" w:cs="Arial" w:eastAsia="Arial" w:hAnsi="Arial"/>
                <w:sz w:val="15"/>
                <w:szCs w:val="15"/>
                <w:color w:val="auto"/>
              </w:rPr>
              <w:t>Michael B. Petras, Jr.</w:t>
            </w:r>
          </w:p>
        </w:tc>
        <w:tc>
          <w:tcPr>
            <w:tcW w:w="4260" w:type="dxa"/>
            <w:vAlign w:val="bottom"/>
            <w:tcBorders>
              <w:bottom w:val="single" w:sz="8" w:color="99B5CB"/>
            </w:tcBorders>
          </w:tcPr>
          <w:p>
            <w:pPr>
              <w:spacing w:after="0"/>
              <w:rPr>
                <w:sz w:val="20"/>
                <w:szCs w:val="20"/>
                <w:color w:val="auto"/>
              </w:rPr>
            </w:pPr>
          </w:p>
        </w:tc>
        <w:tc>
          <w:tcPr>
            <w:tcW w:w="1540" w:type="dxa"/>
            <w:vAlign w:val="bottom"/>
            <w:tcBorders>
              <w:bottom w:val="single" w:sz="8" w:color="99B5CB"/>
            </w:tcBorders>
          </w:tcPr>
          <w:p>
            <w:pPr>
              <w:jc w:val="right"/>
              <w:ind w:right="144"/>
              <w:spacing w:after="0"/>
              <w:rPr>
                <w:sz w:val="20"/>
                <w:szCs w:val="20"/>
                <w:color w:val="auto"/>
              </w:rPr>
            </w:pPr>
            <w:r>
              <w:rPr>
                <w:rFonts w:ascii="Arial" w:cs="Arial" w:eastAsia="Arial" w:hAnsi="Arial"/>
                <w:sz w:val="15"/>
                <w:szCs w:val="15"/>
                <w:color w:val="auto"/>
              </w:rPr>
              <w:t>478,932</w:t>
            </w:r>
          </w:p>
        </w:tc>
      </w:tr>
      <w:tr>
        <w:trPr>
          <w:trHeight w:val="238"/>
        </w:trPr>
        <w:tc>
          <w:tcPr>
            <w:tcW w:w="4740" w:type="dxa"/>
            <w:vAlign w:val="bottom"/>
            <w:tcBorders>
              <w:bottom w:val="single" w:sz="8" w:color="99B5CB"/>
            </w:tcBorders>
          </w:tcPr>
          <w:p>
            <w:pPr>
              <w:ind w:left="60"/>
              <w:spacing w:after="0"/>
              <w:rPr>
                <w:sz w:val="20"/>
                <w:szCs w:val="20"/>
                <w:color w:val="auto"/>
              </w:rPr>
            </w:pPr>
            <w:r>
              <w:rPr>
                <w:rFonts w:ascii="Arial" w:cs="Arial" w:eastAsia="Arial" w:hAnsi="Arial"/>
                <w:sz w:val="15"/>
                <w:szCs w:val="15"/>
                <w:color w:val="auto"/>
              </w:rPr>
              <w:t>Michael P. Rutz</w:t>
            </w:r>
          </w:p>
        </w:tc>
        <w:tc>
          <w:tcPr>
            <w:tcW w:w="4260" w:type="dxa"/>
            <w:vAlign w:val="bottom"/>
            <w:tcBorders>
              <w:bottom w:val="single" w:sz="8" w:color="99B5CB"/>
            </w:tcBorders>
          </w:tcPr>
          <w:p>
            <w:pPr>
              <w:spacing w:after="0"/>
              <w:rPr>
                <w:sz w:val="20"/>
                <w:szCs w:val="20"/>
                <w:color w:val="auto"/>
              </w:rPr>
            </w:pPr>
          </w:p>
        </w:tc>
        <w:tc>
          <w:tcPr>
            <w:tcW w:w="1540" w:type="dxa"/>
            <w:vAlign w:val="bottom"/>
            <w:tcBorders>
              <w:bottom w:val="single" w:sz="8" w:color="99B5CB"/>
            </w:tcBorders>
          </w:tcPr>
          <w:p>
            <w:pPr>
              <w:jc w:val="right"/>
              <w:ind w:right="144"/>
              <w:spacing w:after="0"/>
              <w:rPr>
                <w:sz w:val="20"/>
                <w:szCs w:val="20"/>
                <w:color w:val="auto"/>
              </w:rPr>
            </w:pPr>
            <w:r>
              <w:rPr>
                <w:rFonts w:ascii="Arial" w:cs="Arial" w:eastAsia="Arial" w:hAnsi="Arial"/>
                <w:sz w:val="15"/>
                <w:szCs w:val="15"/>
                <w:color w:val="auto"/>
              </w:rPr>
              <w:t>63,857</w:t>
            </w:r>
          </w:p>
        </w:tc>
      </w:tr>
      <w:tr>
        <w:trPr>
          <w:trHeight w:val="245"/>
        </w:trPr>
        <w:tc>
          <w:tcPr>
            <w:tcW w:w="4740" w:type="dxa"/>
            <w:vAlign w:val="bottom"/>
            <w:tcBorders>
              <w:bottom w:val="single" w:sz="8" w:color="99B5CB"/>
            </w:tcBorders>
          </w:tcPr>
          <w:p>
            <w:pPr>
              <w:ind w:left="60"/>
              <w:spacing w:after="0" w:line="245" w:lineRule="exact"/>
              <w:rPr>
                <w:sz w:val="20"/>
                <w:szCs w:val="20"/>
                <w:color w:val="auto"/>
              </w:rPr>
            </w:pPr>
            <w:r>
              <w:rPr>
                <w:rFonts w:ascii="Arial" w:cs="Arial" w:eastAsia="Arial" w:hAnsi="Arial"/>
                <w:sz w:val="15"/>
                <w:szCs w:val="15"/>
                <w:color w:val="auto"/>
              </w:rPr>
              <w:t>Matthew J. Klaben</w:t>
            </w:r>
            <w:r>
              <w:rPr>
                <w:rFonts w:ascii="Arial" w:cs="Arial" w:eastAsia="Arial" w:hAnsi="Arial"/>
                <w:sz w:val="23"/>
                <w:szCs w:val="23"/>
                <w:color w:val="auto"/>
                <w:vertAlign w:val="superscript"/>
              </w:rPr>
              <w:t>(1)</w:t>
            </w:r>
          </w:p>
        </w:tc>
        <w:tc>
          <w:tcPr>
            <w:tcW w:w="4260" w:type="dxa"/>
            <w:vAlign w:val="bottom"/>
            <w:tcBorders>
              <w:bottom w:val="single" w:sz="8" w:color="99B5CB"/>
            </w:tcBorders>
          </w:tcPr>
          <w:p>
            <w:pPr>
              <w:spacing w:after="0"/>
              <w:rPr>
                <w:sz w:val="21"/>
                <w:szCs w:val="21"/>
                <w:color w:val="auto"/>
              </w:rPr>
            </w:pPr>
          </w:p>
        </w:tc>
        <w:tc>
          <w:tcPr>
            <w:tcW w:w="1540" w:type="dxa"/>
            <w:vAlign w:val="bottom"/>
            <w:tcBorders>
              <w:bottom w:val="single" w:sz="8" w:color="99B5CB"/>
            </w:tcBorders>
          </w:tcPr>
          <w:p>
            <w:pPr>
              <w:jc w:val="right"/>
              <w:ind w:right="144"/>
              <w:spacing w:after="0"/>
              <w:rPr>
                <w:sz w:val="20"/>
                <w:szCs w:val="20"/>
                <w:color w:val="auto"/>
              </w:rPr>
            </w:pPr>
            <w:r>
              <w:rPr>
                <w:rFonts w:ascii="Arial" w:cs="Arial" w:eastAsia="Arial" w:hAnsi="Arial"/>
                <w:sz w:val="15"/>
                <w:szCs w:val="15"/>
                <w:color w:val="auto"/>
              </w:rPr>
              <w:t>22,350</w:t>
            </w:r>
          </w:p>
        </w:tc>
      </w:tr>
      <w:tr>
        <w:trPr>
          <w:trHeight w:val="231"/>
        </w:trPr>
        <w:tc>
          <w:tcPr>
            <w:tcW w:w="4740" w:type="dxa"/>
            <w:vAlign w:val="bottom"/>
            <w:tcBorders>
              <w:bottom w:val="single" w:sz="8" w:color="99B5CB"/>
            </w:tcBorders>
          </w:tcPr>
          <w:p>
            <w:pPr>
              <w:ind w:left="60"/>
              <w:spacing w:after="0"/>
              <w:rPr>
                <w:sz w:val="20"/>
                <w:szCs w:val="20"/>
                <w:color w:val="auto"/>
              </w:rPr>
            </w:pPr>
            <w:r>
              <w:rPr>
                <w:rFonts w:ascii="Arial" w:cs="Arial" w:eastAsia="Arial" w:hAnsi="Arial"/>
                <w:sz w:val="15"/>
                <w:szCs w:val="15"/>
                <w:color w:val="auto"/>
              </w:rPr>
              <w:t>Scott J. Leffler</w:t>
            </w:r>
          </w:p>
        </w:tc>
        <w:tc>
          <w:tcPr>
            <w:tcW w:w="4260" w:type="dxa"/>
            <w:vAlign w:val="bottom"/>
            <w:tcBorders>
              <w:bottom w:val="single" w:sz="8" w:color="99B5CB"/>
            </w:tcBorders>
          </w:tcPr>
          <w:p>
            <w:pPr>
              <w:spacing w:after="0"/>
              <w:rPr>
                <w:sz w:val="20"/>
                <w:szCs w:val="20"/>
                <w:color w:val="auto"/>
              </w:rPr>
            </w:pPr>
          </w:p>
        </w:tc>
        <w:tc>
          <w:tcPr>
            <w:tcW w:w="1540" w:type="dxa"/>
            <w:vAlign w:val="bottom"/>
            <w:tcBorders>
              <w:bottom w:val="single" w:sz="8" w:color="99B5CB"/>
            </w:tcBorders>
          </w:tcPr>
          <w:p>
            <w:pPr>
              <w:jc w:val="right"/>
              <w:ind w:right="144"/>
              <w:spacing w:after="0"/>
              <w:rPr>
                <w:sz w:val="20"/>
                <w:szCs w:val="20"/>
                <w:color w:val="auto"/>
              </w:rPr>
            </w:pPr>
            <w:r>
              <w:rPr>
                <w:rFonts w:ascii="Arial" w:cs="Arial" w:eastAsia="Arial" w:hAnsi="Arial"/>
                <w:sz w:val="15"/>
                <w:szCs w:val="15"/>
                <w:color w:val="auto"/>
              </w:rPr>
              <w:t>95,786</w:t>
            </w:r>
          </w:p>
        </w:tc>
      </w:tr>
      <w:tr>
        <w:trPr>
          <w:trHeight w:val="238"/>
        </w:trPr>
        <w:tc>
          <w:tcPr>
            <w:tcW w:w="4740" w:type="dxa"/>
            <w:vAlign w:val="bottom"/>
            <w:tcBorders>
              <w:bottom w:val="single" w:sz="8" w:color="00467D"/>
            </w:tcBorders>
          </w:tcPr>
          <w:p>
            <w:pPr>
              <w:ind w:left="60"/>
              <w:spacing w:after="0"/>
              <w:rPr>
                <w:sz w:val="20"/>
                <w:szCs w:val="20"/>
                <w:color w:val="auto"/>
              </w:rPr>
            </w:pPr>
            <w:r>
              <w:rPr>
                <w:rFonts w:ascii="Arial" w:cs="Arial" w:eastAsia="Arial" w:hAnsi="Arial"/>
                <w:sz w:val="15"/>
                <w:szCs w:val="15"/>
                <w:color w:val="auto"/>
              </w:rPr>
              <w:t>Terrence G. Hammons, Jr.</w:t>
            </w:r>
          </w:p>
        </w:tc>
        <w:tc>
          <w:tcPr>
            <w:tcW w:w="4260" w:type="dxa"/>
            <w:vAlign w:val="bottom"/>
            <w:tcBorders>
              <w:bottom w:val="single" w:sz="8" w:color="00467D"/>
            </w:tcBorders>
          </w:tcPr>
          <w:p>
            <w:pPr>
              <w:spacing w:after="0"/>
              <w:rPr>
                <w:sz w:val="20"/>
                <w:szCs w:val="20"/>
                <w:color w:val="auto"/>
              </w:rPr>
            </w:pPr>
          </w:p>
        </w:tc>
        <w:tc>
          <w:tcPr>
            <w:tcW w:w="1540" w:type="dxa"/>
            <w:vAlign w:val="bottom"/>
            <w:tcBorders>
              <w:bottom w:val="single" w:sz="8" w:color="00467D"/>
            </w:tcBorders>
          </w:tcPr>
          <w:p>
            <w:pPr>
              <w:jc w:val="right"/>
              <w:ind w:right="144"/>
              <w:spacing w:after="0"/>
              <w:rPr>
                <w:sz w:val="20"/>
                <w:szCs w:val="20"/>
                <w:color w:val="auto"/>
              </w:rPr>
            </w:pPr>
            <w:r>
              <w:rPr>
                <w:rFonts w:ascii="Arial" w:cs="Arial" w:eastAsia="Arial" w:hAnsi="Arial"/>
                <w:sz w:val="15"/>
                <w:szCs w:val="15"/>
                <w:color w:val="auto"/>
              </w:rPr>
              <w:t>57,471</w:t>
            </w:r>
          </w:p>
        </w:tc>
      </w:tr>
    </w:tbl>
    <w:p>
      <w:pPr>
        <w:spacing w:after="0" w:line="70" w:lineRule="exact"/>
        <w:rPr>
          <w:sz w:val="20"/>
          <w:szCs w:val="20"/>
          <w:color w:val="auto"/>
        </w:rPr>
      </w:pPr>
    </w:p>
    <w:p>
      <w:pPr>
        <w:ind w:left="780" w:hanging="422"/>
        <w:spacing w:after="0"/>
        <w:tabs>
          <w:tab w:leader="none" w:pos="780" w:val="left"/>
        </w:tabs>
        <w:numPr>
          <w:ilvl w:val="0"/>
          <w:numId w:val="29"/>
        </w:numPr>
        <w:rPr>
          <w:rFonts w:ascii="Arial" w:cs="Arial" w:eastAsia="Arial" w:hAnsi="Arial"/>
          <w:sz w:val="14"/>
          <w:szCs w:val="14"/>
          <w:color w:val="auto"/>
        </w:rPr>
      </w:pPr>
      <w:r>
        <w:rPr>
          <w:rFonts w:ascii="Arial" w:cs="Arial" w:eastAsia="Arial" w:hAnsi="Arial"/>
          <w:sz w:val="14"/>
          <w:szCs w:val="14"/>
          <w:color w:val="auto"/>
        </w:rPr>
        <w:t>Mr. Klaben was serving as Deputy General Counsel at the time of the award.</w:t>
      </w:r>
    </w:p>
    <w:p>
      <w:pPr>
        <w:spacing w:after="0" w:line="88" w:lineRule="exact"/>
        <w:rPr>
          <w:sz w:val="20"/>
          <w:szCs w:val="20"/>
          <w:color w:val="auto"/>
        </w:rPr>
      </w:pPr>
    </w:p>
    <w:p>
      <w:pPr>
        <w:ind w:left="360" w:right="440"/>
        <w:spacing w:after="0" w:line="274" w:lineRule="auto"/>
        <w:rPr>
          <w:sz w:val="20"/>
          <w:szCs w:val="20"/>
          <w:color w:val="auto"/>
        </w:rPr>
      </w:pPr>
      <w:r>
        <w:rPr>
          <w:rFonts w:ascii="Arial" w:cs="Arial" w:eastAsia="Arial" w:hAnsi="Arial"/>
          <w:sz w:val="17"/>
          <w:szCs w:val="17"/>
          <w:color w:val="auto"/>
        </w:rPr>
        <w:t>The March 2022 option awards vest in equal annual installments over a three-year vesting period. Continued service of the executive during the vesting period is generally required. The option awards have a contractual term of 10 years.</w:t>
      </w:r>
    </w:p>
    <w:p>
      <w:pPr>
        <w:spacing w:after="0" w:line="147" w:lineRule="exact"/>
        <w:rPr>
          <w:sz w:val="20"/>
          <w:szCs w:val="20"/>
          <w:color w:val="auto"/>
        </w:rPr>
      </w:pPr>
    </w:p>
    <w:p>
      <w:pPr>
        <w:ind w:left="360" w:right="240"/>
        <w:spacing w:after="0" w:line="256" w:lineRule="auto"/>
        <w:rPr>
          <w:sz w:val="20"/>
          <w:szCs w:val="20"/>
          <w:color w:val="auto"/>
        </w:rPr>
      </w:pPr>
      <w:r>
        <w:rPr>
          <w:rFonts w:ascii="Arial" w:cs="Arial" w:eastAsia="Arial" w:hAnsi="Arial"/>
          <w:sz w:val="17"/>
          <w:szCs w:val="17"/>
          <w:color w:val="auto"/>
        </w:rPr>
        <w:t>As discussed, Mr. Petras’ November 2022 Incentive Award and Mr. Dimitrief’s new hire equity award included stock options to purchase shares of our common stock. The table below shows the number of stock options granted to each of Messrs. Petras and Dimitrief on November 7, 2022.</w:t>
      </w:r>
    </w:p>
    <w:p>
      <w:pPr>
        <w:spacing w:after="0" w:line="221" w:lineRule="exact"/>
        <w:rPr>
          <w:sz w:val="20"/>
          <w:szCs w:val="20"/>
          <w:color w:val="auto"/>
        </w:rPr>
      </w:pPr>
    </w:p>
    <w:tbl>
      <w:tblPr>
        <w:tblLayout w:type="fixed"/>
        <w:tblInd w:w="360" w:type="dxa"/>
        <w:tblCellMar>
          <w:top w:w="0" w:type="dxa"/>
          <w:left w:w="0" w:type="dxa"/>
          <w:bottom w:w="0" w:type="dxa"/>
          <w:right w:w="0" w:type="dxa"/>
        </w:tblCellMar>
      </w:tblPr>
      <w:tr>
        <w:trPr>
          <w:trHeight w:val="189"/>
        </w:trPr>
        <w:tc>
          <w:tcPr>
            <w:tcW w:w="4940" w:type="dxa"/>
            <w:vAlign w:val="bottom"/>
            <w:tcBorders>
              <w:bottom w:val="single" w:sz="8" w:color="00467D"/>
            </w:tcBorders>
          </w:tcPr>
          <w:p>
            <w:pPr>
              <w:ind w:left="60"/>
              <w:spacing w:after="0"/>
              <w:rPr>
                <w:sz w:val="20"/>
                <w:szCs w:val="20"/>
                <w:color w:val="auto"/>
              </w:rPr>
            </w:pPr>
            <w:r>
              <w:rPr>
                <w:rFonts w:ascii="Arial" w:cs="Arial" w:eastAsia="Arial" w:hAnsi="Arial"/>
                <w:sz w:val="14"/>
                <w:szCs w:val="14"/>
                <w:b w:val="1"/>
                <w:bCs w:val="1"/>
                <w:color w:val="00467D"/>
              </w:rPr>
              <w:t>Named Executive Officer</w:t>
            </w:r>
          </w:p>
        </w:tc>
        <w:tc>
          <w:tcPr>
            <w:tcW w:w="4040" w:type="dxa"/>
            <w:vAlign w:val="bottom"/>
            <w:tcBorders>
              <w:bottom w:val="single" w:sz="8" w:color="00467D"/>
            </w:tcBorders>
          </w:tcPr>
          <w:p>
            <w:pPr>
              <w:jc w:val="right"/>
              <w:ind w:right="527"/>
              <w:spacing w:after="0"/>
              <w:rPr>
                <w:sz w:val="20"/>
                <w:szCs w:val="20"/>
                <w:color w:val="auto"/>
              </w:rPr>
            </w:pPr>
            <w:r>
              <w:rPr>
                <w:rFonts w:ascii="Arial" w:cs="Arial" w:eastAsia="Arial" w:hAnsi="Arial"/>
                <w:sz w:val="14"/>
                <w:szCs w:val="14"/>
                <w:b w:val="1"/>
                <w:bCs w:val="1"/>
                <w:color w:val="00467D"/>
              </w:rPr>
              <w:t>Exercise Price</w:t>
            </w:r>
          </w:p>
        </w:tc>
        <w:tc>
          <w:tcPr>
            <w:tcW w:w="1560" w:type="dxa"/>
            <w:vAlign w:val="bottom"/>
            <w:tcBorders>
              <w:bottom w:val="single" w:sz="8" w:color="00467D"/>
            </w:tcBorders>
          </w:tcPr>
          <w:p>
            <w:pPr>
              <w:jc w:val="right"/>
              <w:ind w:right="145"/>
              <w:spacing w:after="0"/>
              <w:rPr>
                <w:sz w:val="20"/>
                <w:szCs w:val="20"/>
                <w:color w:val="auto"/>
              </w:rPr>
            </w:pPr>
            <w:r>
              <w:rPr>
                <w:rFonts w:ascii="Arial" w:cs="Arial" w:eastAsia="Arial" w:hAnsi="Arial"/>
                <w:sz w:val="14"/>
                <w:szCs w:val="14"/>
                <w:b w:val="1"/>
                <w:bCs w:val="1"/>
                <w:color w:val="00467D"/>
              </w:rPr>
              <w:t>Options (#)</w:t>
            </w:r>
          </w:p>
        </w:tc>
      </w:tr>
      <w:tr>
        <w:trPr>
          <w:trHeight w:val="236"/>
        </w:trPr>
        <w:tc>
          <w:tcPr>
            <w:tcW w:w="4940" w:type="dxa"/>
            <w:vAlign w:val="bottom"/>
            <w:tcBorders>
              <w:bottom w:val="single" w:sz="8" w:color="99B5CB"/>
            </w:tcBorders>
          </w:tcPr>
          <w:p>
            <w:pPr>
              <w:ind w:left="60"/>
              <w:spacing w:after="0"/>
              <w:rPr>
                <w:sz w:val="20"/>
                <w:szCs w:val="20"/>
                <w:color w:val="auto"/>
              </w:rPr>
            </w:pPr>
            <w:r>
              <w:rPr>
                <w:rFonts w:ascii="Arial" w:cs="Arial" w:eastAsia="Arial" w:hAnsi="Arial"/>
                <w:sz w:val="15"/>
                <w:szCs w:val="15"/>
                <w:b w:val="1"/>
                <w:bCs w:val="1"/>
                <w:i w:val="1"/>
                <w:iCs w:val="1"/>
                <w:color w:val="auto"/>
              </w:rPr>
              <w:t>November 2022 Incentive Award</w:t>
            </w:r>
          </w:p>
        </w:tc>
        <w:tc>
          <w:tcPr>
            <w:tcW w:w="4040" w:type="dxa"/>
            <w:vAlign w:val="bottom"/>
            <w:tcBorders>
              <w:bottom w:val="single" w:sz="8" w:color="99B5CB"/>
            </w:tcBorders>
          </w:tcPr>
          <w:p>
            <w:pPr>
              <w:jc w:val="right"/>
              <w:ind w:right="527"/>
              <w:spacing w:after="0"/>
              <w:rPr>
                <w:sz w:val="20"/>
                <w:szCs w:val="20"/>
                <w:color w:val="auto"/>
              </w:rPr>
            </w:pPr>
            <w:r>
              <w:rPr>
                <w:rFonts w:ascii="Arial" w:cs="Arial" w:eastAsia="Arial" w:hAnsi="Arial"/>
                <w:sz w:val="15"/>
                <w:szCs w:val="15"/>
                <w:color w:val="auto"/>
              </w:rPr>
              <w:t>$6.37</w:t>
            </w:r>
          </w:p>
        </w:tc>
        <w:tc>
          <w:tcPr>
            <w:tcW w:w="1560" w:type="dxa"/>
            <w:vAlign w:val="bottom"/>
            <w:tcBorders>
              <w:bottom w:val="single" w:sz="8" w:color="99B5CB"/>
            </w:tcBorders>
          </w:tcPr>
          <w:p>
            <w:pPr>
              <w:spacing w:after="0"/>
              <w:rPr>
                <w:sz w:val="20"/>
                <w:szCs w:val="20"/>
                <w:color w:val="auto"/>
              </w:rPr>
            </w:pPr>
          </w:p>
        </w:tc>
      </w:tr>
      <w:tr>
        <w:trPr>
          <w:trHeight w:val="234"/>
        </w:trPr>
        <w:tc>
          <w:tcPr>
            <w:tcW w:w="4940" w:type="dxa"/>
            <w:vAlign w:val="bottom"/>
            <w:tcBorders>
              <w:bottom w:val="single" w:sz="8" w:color="99B5CB"/>
            </w:tcBorders>
          </w:tcPr>
          <w:p>
            <w:pPr>
              <w:ind w:left="60"/>
              <w:spacing w:after="0"/>
              <w:rPr>
                <w:sz w:val="20"/>
                <w:szCs w:val="20"/>
                <w:color w:val="auto"/>
              </w:rPr>
            </w:pPr>
            <w:r>
              <w:rPr>
                <w:rFonts w:ascii="Arial" w:cs="Arial" w:eastAsia="Arial" w:hAnsi="Arial"/>
                <w:sz w:val="15"/>
                <w:szCs w:val="15"/>
                <w:color w:val="auto"/>
              </w:rPr>
              <w:t>Michael B. Petras, Jr.</w:t>
            </w:r>
          </w:p>
        </w:tc>
        <w:tc>
          <w:tcPr>
            <w:tcW w:w="4040" w:type="dxa"/>
            <w:vAlign w:val="bottom"/>
            <w:tcBorders>
              <w:bottom w:val="single" w:sz="8" w:color="99B5CB"/>
            </w:tcBorders>
          </w:tcPr>
          <w:p>
            <w:pPr>
              <w:spacing w:after="0"/>
              <w:rPr>
                <w:sz w:val="20"/>
                <w:szCs w:val="20"/>
                <w:color w:val="auto"/>
              </w:rPr>
            </w:pPr>
          </w:p>
        </w:tc>
        <w:tc>
          <w:tcPr>
            <w:tcW w:w="1560" w:type="dxa"/>
            <w:vAlign w:val="bottom"/>
            <w:tcBorders>
              <w:bottom w:val="single" w:sz="8" w:color="99B5CB"/>
            </w:tcBorders>
          </w:tcPr>
          <w:p>
            <w:pPr>
              <w:jc w:val="right"/>
              <w:ind w:right="145"/>
              <w:spacing w:after="0"/>
              <w:rPr>
                <w:sz w:val="20"/>
                <w:szCs w:val="20"/>
                <w:color w:val="auto"/>
              </w:rPr>
            </w:pPr>
            <w:r>
              <w:rPr>
                <w:rFonts w:ascii="Arial" w:cs="Arial" w:eastAsia="Arial" w:hAnsi="Arial"/>
                <w:sz w:val="15"/>
                <w:szCs w:val="15"/>
                <w:color w:val="auto"/>
              </w:rPr>
              <w:t>2,108,356</w:t>
            </w:r>
          </w:p>
        </w:tc>
      </w:tr>
      <w:tr>
        <w:trPr>
          <w:trHeight w:val="242"/>
        </w:trPr>
        <w:tc>
          <w:tcPr>
            <w:tcW w:w="4940" w:type="dxa"/>
            <w:vAlign w:val="bottom"/>
            <w:tcBorders>
              <w:bottom w:val="single" w:sz="8" w:color="99B5CB"/>
            </w:tcBorders>
          </w:tcPr>
          <w:p>
            <w:pPr>
              <w:ind w:left="60"/>
              <w:spacing w:after="0"/>
              <w:rPr>
                <w:sz w:val="20"/>
                <w:szCs w:val="20"/>
                <w:color w:val="auto"/>
              </w:rPr>
            </w:pPr>
            <w:r>
              <w:rPr>
                <w:rFonts w:ascii="Arial" w:cs="Arial" w:eastAsia="Arial" w:hAnsi="Arial"/>
                <w:sz w:val="15"/>
                <w:szCs w:val="15"/>
                <w:b w:val="1"/>
                <w:bCs w:val="1"/>
                <w:i w:val="1"/>
                <w:iCs w:val="1"/>
                <w:color w:val="auto"/>
              </w:rPr>
              <w:t>New Hire 2022 Equity Award</w:t>
            </w:r>
          </w:p>
        </w:tc>
        <w:tc>
          <w:tcPr>
            <w:tcW w:w="4040" w:type="dxa"/>
            <w:vAlign w:val="bottom"/>
            <w:tcBorders>
              <w:bottom w:val="single" w:sz="8" w:color="99B5CB"/>
            </w:tcBorders>
          </w:tcPr>
          <w:p>
            <w:pPr>
              <w:spacing w:after="0"/>
              <w:rPr>
                <w:sz w:val="21"/>
                <w:szCs w:val="21"/>
                <w:color w:val="auto"/>
              </w:rPr>
            </w:pPr>
          </w:p>
        </w:tc>
        <w:tc>
          <w:tcPr>
            <w:tcW w:w="1560" w:type="dxa"/>
            <w:vAlign w:val="bottom"/>
            <w:tcBorders>
              <w:bottom w:val="single" w:sz="8" w:color="99B5CB"/>
            </w:tcBorders>
          </w:tcPr>
          <w:p>
            <w:pPr>
              <w:spacing w:after="0"/>
              <w:rPr>
                <w:sz w:val="21"/>
                <w:szCs w:val="21"/>
                <w:color w:val="auto"/>
              </w:rPr>
            </w:pPr>
          </w:p>
        </w:tc>
      </w:tr>
      <w:tr>
        <w:trPr>
          <w:trHeight w:val="234"/>
        </w:trPr>
        <w:tc>
          <w:tcPr>
            <w:tcW w:w="4940" w:type="dxa"/>
            <w:vAlign w:val="bottom"/>
            <w:tcBorders>
              <w:bottom w:val="single" w:sz="8" w:color="00467D"/>
            </w:tcBorders>
          </w:tcPr>
          <w:p>
            <w:pPr>
              <w:ind w:left="60"/>
              <w:spacing w:after="0"/>
              <w:rPr>
                <w:sz w:val="20"/>
                <w:szCs w:val="20"/>
                <w:color w:val="auto"/>
              </w:rPr>
            </w:pPr>
            <w:r>
              <w:rPr>
                <w:rFonts w:ascii="Arial" w:cs="Arial" w:eastAsia="Arial" w:hAnsi="Arial"/>
                <w:sz w:val="15"/>
                <w:szCs w:val="15"/>
                <w:color w:val="auto"/>
              </w:rPr>
              <w:t>Alexander Dimitrief</w:t>
            </w:r>
          </w:p>
        </w:tc>
        <w:tc>
          <w:tcPr>
            <w:tcW w:w="4040" w:type="dxa"/>
            <w:vAlign w:val="bottom"/>
            <w:tcBorders>
              <w:bottom w:val="single" w:sz="8" w:color="00467D"/>
            </w:tcBorders>
          </w:tcPr>
          <w:p>
            <w:pPr>
              <w:spacing w:after="0"/>
              <w:rPr>
                <w:sz w:val="20"/>
                <w:szCs w:val="20"/>
                <w:color w:val="auto"/>
              </w:rPr>
            </w:pPr>
          </w:p>
        </w:tc>
        <w:tc>
          <w:tcPr>
            <w:tcW w:w="1560" w:type="dxa"/>
            <w:vAlign w:val="bottom"/>
            <w:tcBorders>
              <w:bottom w:val="single" w:sz="8" w:color="00467D"/>
            </w:tcBorders>
          </w:tcPr>
          <w:p>
            <w:pPr>
              <w:jc w:val="right"/>
              <w:ind w:right="145"/>
              <w:spacing w:after="0"/>
              <w:rPr>
                <w:sz w:val="20"/>
                <w:szCs w:val="20"/>
                <w:color w:val="auto"/>
              </w:rPr>
            </w:pPr>
            <w:r>
              <w:rPr>
                <w:rFonts w:ascii="Arial" w:cs="Arial" w:eastAsia="Arial" w:hAnsi="Arial"/>
                <w:sz w:val="15"/>
                <w:szCs w:val="15"/>
                <w:color w:val="auto"/>
              </w:rPr>
              <w:t>602,387</w:t>
            </w:r>
          </w:p>
        </w:tc>
      </w:tr>
    </w:tbl>
    <w:p>
      <w:pPr>
        <w:spacing w:after="0" w:line="190" w:lineRule="exact"/>
        <w:rPr>
          <w:sz w:val="20"/>
          <w:szCs w:val="20"/>
          <w:color w:val="auto"/>
        </w:rPr>
      </w:pPr>
    </w:p>
    <w:p>
      <w:pPr>
        <w:ind w:left="360"/>
        <w:spacing w:after="0"/>
        <w:rPr>
          <w:sz w:val="20"/>
          <w:szCs w:val="20"/>
          <w:color w:val="auto"/>
        </w:rPr>
      </w:pPr>
      <w:r>
        <w:rPr>
          <w:rFonts w:ascii="Arial" w:cs="Arial" w:eastAsia="Arial" w:hAnsi="Arial"/>
          <w:sz w:val="17"/>
          <w:szCs w:val="17"/>
          <w:color w:val="auto"/>
        </w:rPr>
        <w:t>Mr. Petras’ November 2022 Incentive Award has a three-year vesting period: (i) 30% of the award will vest 12 months from the grant date;</w:t>
      </w:r>
    </w:p>
    <w:p>
      <w:pPr>
        <w:spacing w:after="0" w:line="14" w:lineRule="exact"/>
        <w:rPr>
          <w:sz w:val="20"/>
          <w:szCs w:val="20"/>
          <w:color w:val="auto"/>
        </w:rPr>
      </w:pPr>
    </w:p>
    <w:p>
      <w:pPr>
        <w:ind w:left="360" w:right="100" w:hanging="2"/>
        <w:spacing w:after="0" w:line="246" w:lineRule="auto"/>
        <w:tabs>
          <w:tab w:leader="none" w:pos="599" w:val="left"/>
        </w:tabs>
        <w:numPr>
          <w:ilvl w:val="0"/>
          <w:numId w:val="30"/>
        </w:numPr>
        <w:rPr>
          <w:rFonts w:ascii="Arial" w:cs="Arial" w:eastAsia="Arial" w:hAnsi="Arial"/>
          <w:sz w:val="17"/>
          <w:szCs w:val="17"/>
          <w:color w:val="auto"/>
        </w:rPr>
      </w:pPr>
      <w:r>
        <w:rPr>
          <w:rFonts w:ascii="Arial" w:cs="Arial" w:eastAsia="Arial" w:hAnsi="Arial"/>
          <w:sz w:val="17"/>
          <w:szCs w:val="17"/>
          <w:color w:val="auto"/>
        </w:rPr>
        <w:t>30% will vest 18 months from the grant date; and (iii) 40% will vest 24 months from the grant date. Mr. Dimitrief’s option award vests in two equal installments on October 31, 2023 and October 31, 2024. Continued service of the executive during the vesting period is generally required and both awards have a contractual term of 10 years.</w:t>
      </w:r>
    </w:p>
    <w:p>
      <w:pPr>
        <w:spacing w:after="0" w:line="170" w:lineRule="exact"/>
        <w:rPr>
          <w:sz w:val="20"/>
          <w:szCs w:val="20"/>
          <w:color w:val="auto"/>
        </w:rPr>
      </w:pPr>
    </w:p>
    <w:p>
      <w:pPr>
        <w:ind w:left="360" w:right="100"/>
        <w:spacing w:after="0" w:line="250" w:lineRule="auto"/>
        <w:rPr>
          <w:sz w:val="20"/>
          <w:szCs w:val="20"/>
          <w:color w:val="auto"/>
        </w:rPr>
      </w:pPr>
      <w:r>
        <w:rPr>
          <w:rFonts w:ascii="Arial" w:cs="Arial" w:eastAsia="Arial" w:hAnsi="Arial"/>
          <w:sz w:val="17"/>
          <w:szCs w:val="17"/>
          <w:color w:val="auto"/>
        </w:rPr>
        <w:t>The exercise price of each option award granted in 2022 is the closing share price of our common stock on the date the stock options were granted. Please refer to “Potential Payments Upon Termination or Change in Control” on page 54 for more information regarding the post-employment treatment of each NEO’s unvested option awards. For a description of grant date fair values related to stock options granted to our NEOs in 2022, and related valuation assumptions, see note 4 to the Summary Compensation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231775</wp:posOffset>
            </wp:positionH>
            <wp:positionV relativeFrom="paragraph">
              <wp:posOffset>92075</wp:posOffset>
            </wp:positionV>
            <wp:extent cx="6687820" cy="1651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687820" cy="16510"/>
                    </a:xfrm>
                    <a:prstGeom prst="rect">
                      <a:avLst/>
                    </a:prstGeom>
                    <a:noFill/>
                  </pic:spPr>
                </pic:pic>
              </a:graphicData>
            </a:graphic>
          </wp:anchor>
        </w:drawing>
      </w:r>
    </w:p>
    <w:p>
      <w:pPr>
        <w:spacing w:after="0" w:line="314"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6443980</wp:posOffset>
            </wp:positionH>
            <wp:positionV relativeFrom="paragraph">
              <wp:posOffset>-113030</wp:posOffset>
            </wp:positionV>
            <wp:extent cx="475615" cy="15557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475615" cy="155575"/>
                    </a:xfrm>
                    <a:prstGeom prst="rect">
                      <a:avLst/>
                    </a:prstGeom>
                    <a:noFill/>
                  </pic:spPr>
                </pic:pic>
              </a:graphicData>
            </a:graphic>
          </wp:anchor>
        </w:drawing>
      </w:r>
    </w:p>
    <w:p>
      <w:pPr>
        <w:sectPr>
          <w:pgSz w:w="11900" w:h="16838" w:orient="portrait"/>
          <w:cols w:equalWidth="0" w:num="1">
            <w:col w:w="10900"/>
          </w:cols>
          <w:pgMar w:left="320" w:top="468" w:right="67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5397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79945" cy="53975"/>
                    </a:xfrm>
                    <a:prstGeom prst="rect">
                      <a:avLst/>
                    </a:prstGeom>
                    <a:noFill/>
                  </pic:spPr>
                </pic:pic>
              </a:graphicData>
            </a:graphic>
          </wp:anchor>
        </w:drawing>
        <w:t>Table of Contents</w:t>
      </w:r>
    </w:p>
    <w:p>
      <w:pPr>
        <w:spacing w:after="0" w:line="296"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auto"/>
        </w:rPr>
        <w:t>Compensation Discussion and Analysis</w:t>
      </w:r>
    </w:p>
    <w:p>
      <w:pPr>
        <w:spacing w:after="0" w:line="21" w:lineRule="exact"/>
        <w:rPr>
          <w:sz w:val="20"/>
          <w:szCs w:val="20"/>
          <w:color w:val="auto"/>
        </w:rPr>
      </w:pPr>
    </w:p>
    <w:p>
      <w:pPr>
        <w:ind w:left="360"/>
        <w:spacing w:after="0"/>
        <w:rPr>
          <w:sz w:val="20"/>
          <w:szCs w:val="20"/>
          <w:color w:val="auto"/>
        </w:rPr>
      </w:pPr>
      <w:r>
        <w:rPr>
          <w:rFonts w:ascii="Arial" w:cs="Arial" w:eastAsia="Arial" w:hAnsi="Arial"/>
          <w:sz w:val="14"/>
          <w:szCs w:val="14"/>
          <w:b w:val="1"/>
          <w:bCs w:val="1"/>
          <w:color w:val="auto"/>
        </w:rPr>
        <w:t>Compensation Elements for 2022</w:t>
      </w:r>
    </w:p>
    <w:p>
      <w:pPr>
        <w:spacing w:after="0" w:line="101" w:lineRule="exact"/>
        <w:rPr>
          <w:sz w:val="20"/>
          <w:szCs w:val="20"/>
          <w:color w:val="auto"/>
        </w:rPr>
      </w:pPr>
    </w:p>
    <w:p>
      <w:pPr>
        <w:ind w:left="360"/>
        <w:spacing w:after="0"/>
        <w:rPr>
          <w:sz w:val="20"/>
          <w:szCs w:val="20"/>
          <w:color w:val="auto"/>
        </w:rPr>
      </w:pPr>
      <w:r>
        <w:rPr>
          <w:rFonts w:ascii="Arial" w:cs="Arial" w:eastAsia="Arial" w:hAnsi="Arial"/>
          <w:sz w:val="28"/>
          <w:szCs w:val="28"/>
          <w:color w:val="auto"/>
        </w:rPr>
        <w:t>Restricted Stock Units</w:t>
      </w:r>
    </w:p>
    <w:p>
      <w:pPr>
        <w:spacing w:after="0" w:line="220" w:lineRule="exact"/>
        <w:rPr>
          <w:sz w:val="20"/>
          <w:szCs w:val="20"/>
          <w:color w:val="auto"/>
        </w:rPr>
      </w:pPr>
    </w:p>
    <w:p>
      <w:pPr>
        <w:ind w:left="360" w:right="20"/>
        <w:spacing w:after="0" w:line="246" w:lineRule="auto"/>
        <w:rPr>
          <w:sz w:val="20"/>
          <w:szCs w:val="20"/>
          <w:color w:val="auto"/>
        </w:rPr>
      </w:pPr>
      <w:r>
        <w:rPr>
          <w:rFonts w:ascii="Arial" w:cs="Arial" w:eastAsia="Arial" w:hAnsi="Arial"/>
          <w:sz w:val="17"/>
          <w:szCs w:val="17"/>
          <w:color w:val="auto"/>
        </w:rPr>
        <w:t>RSUs enhance the linkage between shareholder value creation and executive rewards and the value of an RSU is directly tied to our stock price. In addition, RSUs are a powerful retention incentive vehicle and are typically granted in conjunction with stock options by companies recently undergoing an IPO. Each RSU represents the right to receive one share of our common stock. In addition to stock options, the March 2022 Equity Awards were comprised of approximately 50% RSUs. The table below shows the number of RSUs granted to our NEOs on March 2, 2022.</w:t>
      </w:r>
    </w:p>
    <w:p>
      <w:pPr>
        <w:spacing w:after="0" w:line="206" w:lineRule="exact"/>
        <w:rPr>
          <w:sz w:val="20"/>
          <w:szCs w:val="20"/>
          <w:color w:val="auto"/>
        </w:rPr>
      </w:pPr>
    </w:p>
    <w:tbl>
      <w:tblPr>
        <w:tblLayout w:type="fixed"/>
        <w:tblInd w:w="360" w:type="dxa"/>
        <w:tblCellMar>
          <w:top w:w="0" w:type="dxa"/>
          <w:left w:w="0" w:type="dxa"/>
          <w:bottom w:w="0" w:type="dxa"/>
          <w:right w:w="0" w:type="dxa"/>
        </w:tblCellMar>
      </w:tblPr>
      <w:tr>
        <w:trPr>
          <w:trHeight w:val="189"/>
        </w:trPr>
        <w:tc>
          <w:tcPr>
            <w:tcW w:w="6000" w:type="dxa"/>
            <w:vAlign w:val="bottom"/>
            <w:tcBorders>
              <w:bottom w:val="single" w:sz="8" w:color="00467D"/>
            </w:tcBorders>
          </w:tcPr>
          <w:p>
            <w:pPr>
              <w:ind w:left="60"/>
              <w:spacing w:after="0"/>
              <w:rPr>
                <w:sz w:val="20"/>
                <w:szCs w:val="20"/>
                <w:color w:val="auto"/>
              </w:rPr>
            </w:pPr>
            <w:r>
              <w:rPr>
                <w:rFonts w:ascii="Arial" w:cs="Arial" w:eastAsia="Arial" w:hAnsi="Arial"/>
                <w:sz w:val="14"/>
                <w:szCs w:val="14"/>
                <w:b w:val="1"/>
                <w:bCs w:val="1"/>
                <w:color w:val="00467D"/>
              </w:rPr>
              <w:t>Named Executive Officer</w:t>
            </w:r>
          </w:p>
        </w:tc>
        <w:tc>
          <w:tcPr>
            <w:tcW w:w="4540" w:type="dxa"/>
            <w:vAlign w:val="bottom"/>
            <w:tcBorders>
              <w:bottom w:val="single" w:sz="8" w:color="00467D"/>
            </w:tcBorders>
          </w:tcPr>
          <w:p>
            <w:pPr>
              <w:jc w:val="right"/>
              <w:ind w:right="197"/>
              <w:spacing w:after="0"/>
              <w:rPr>
                <w:sz w:val="20"/>
                <w:szCs w:val="20"/>
                <w:color w:val="auto"/>
              </w:rPr>
            </w:pPr>
            <w:r>
              <w:rPr>
                <w:rFonts w:ascii="Arial" w:cs="Arial" w:eastAsia="Arial" w:hAnsi="Arial"/>
                <w:sz w:val="14"/>
                <w:szCs w:val="14"/>
                <w:b w:val="1"/>
                <w:bCs w:val="1"/>
                <w:color w:val="00467D"/>
              </w:rPr>
              <w:t>RSU (#)</w:t>
            </w:r>
          </w:p>
        </w:tc>
      </w:tr>
      <w:tr>
        <w:trPr>
          <w:trHeight w:val="252"/>
        </w:trPr>
        <w:tc>
          <w:tcPr>
            <w:tcW w:w="6000" w:type="dxa"/>
            <w:vAlign w:val="bottom"/>
            <w:tcBorders>
              <w:bottom w:val="single" w:sz="8" w:color="99B5CB"/>
            </w:tcBorders>
          </w:tcPr>
          <w:p>
            <w:pPr>
              <w:ind w:left="60"/>
              <w:spacing w:after="0"/>
              <w:rPr>
                <w:sz w:val="20"/>
                <w:szCs w:val="20"/>
                <w:color w:val="auto"/>
              </w:rPr>
            </w:pPr>
            <w:r>
              <w:rPr>
                <w:rFonts w:ascii="Arial" w:cs="Arial" w:eastAsia="Arial" w:hAnsi="Arial"/>
                <w:sz w:val="17"/>
                <w:szCs w:val="17"/>
                <w:b w:val="1"/>
                <w:bCs w:val="1"/>
                <w:i w:val="1"/>
                <w:iCs w:val="1"/>
                <w:color w:val="auto"/>
              </w:rPr>
              <w:t>March 2022 Equity Awards</w:t>
            </w:r>
          </w:p>
        </w:tc>
        <w:tc>
          <w:tcPr>
            <w:tcW w:w="4540" w:type="dxa"/>
            <w:vAlign w:val="bottom"/>
            <w:tcBorders>
              <w:bottom w:val="single" w:sz="8" w:color="99B5CB"/>
            </w:tcBorders>
          </w:tcPr>
          <w:p>
            <w:pPr>
              <w:spacing w:after="0"/>
              <w:rPr>
                <w:sz w:val="21"/>
                <w:szCs w:val="21"/>
                <w:color w:val="auto"/>
              </w:rPr>
            </w:pPr>
          </w:p>
        </w:tc>
      </w:tr>
      <w:tr>
        <w:trPr>
          <w:trHeight w:val="246"/>
        </w:trPr>
        <w:tc>
          <w:tcPr>
            <w:tcW w:w="6000" w:type="dxa"/>
            <w:vAlign w:val="bottom"/>
            <w:tcBorders>
              <w:bottom w:val="single" w:sz="8" w:color="99B5CB"/>
            </w:tcBorders>
          </w:tcPr>
          <w:p>
            <w:pPr>
              <w:ind w:left="60"/>
              <w:spacing w:after="0"/>
              <w:rPr>
                <w:sz w:val="20"/>
                <w:szCs w:val="20"/>
                <w:color w:val="auto"/>
              </w:rPr>
            </w:pPr>
            <w:r>
              <w:rPr>
                <w:rFonts w:ascii="Arial" w:cs="Arial" w:eastAsia="Arial" w:hAnsi="Arial"/>
                <w:sz w:val="17"/>
                <w:szCs w:val="17"/>
                <w:color w:val="auto"/>
              </w:rPr>
              <w:t>Michael B. Petras, Jr.</w:t>
            </w:r>
          </w:p>
        </w:tc>
        <w:tc>
          <w:tcPr>
            <w:tcW w:w="4540" w:type="dxa"/>
            <w:vAlign w:val="bottom"/>
            <w:tcBorders>
              <w:bottom w:val="single" w:sz="8" w:color="99B5CB"/>
            </w:tcBorders>
          </w:tcPr>
          <w:p>
            <w:pPr>
              <w:jc w:val="right"/>
              <w:ind w:right="97"/>
              <w:spacing w:after="0"/>
              <w:rPr>
                <w:sz w:val="20"/>
                <w:szCs w:val="20"/>
                <w:color w:val="auto"/>
              </w:rPr>
            </w:pPr>
            <w:r>
              <w:rPr>
                <w:rFonts w:ascii="Arial" w:cs="Arial" w:eastAsia="Arial" w:hAnsi="Arial"/>
                <w:sz w:val="17"/>
                <w:szCs w:val="17"/>
                <w:color w:val="auto"/>
              </w:rPr>
              <w:t>187,219</w:t>
            </w:r>
          </w:p>
        </w:tc>
      </w:tr>
      <w:tr>
        <w:trPr>
          <w:trHeight w:val="251"/>
        </w:trPr>
        <w:tc>
          <w:tcPr>
            <w:tcW w:w="6000" w:type="dxa"/>
            <w:vAlign w:val="bottom"/>
            <w:tcBorders>
              <w:bottom w:val="single" w:sz="8" w:color="99B5CB"/>
            </w:tcBorders>
          </w:tcPr>
          <w:p>
            <w:pPr>
              <w:ind w:left="60"/>
              <w:spacing w:after="0"/>
              <w:rPr>
                <w:sz w:val="20"/>
                <w:szCs w:val="20"/>
                <w:color w:val="auto"/>
              </w:rPr>
            </w:pPr>
            <w:r>
              <w:rPr>
                <w:rFonts w:ascii="Arial" w:cs="Arial" w:eastAsia="Arial" w:hAnsi="Arial"/>
                <w:sz w:val="17"/>
                <w:szCs w:val="17"/>
                <w:color w:val="auto"/>
              </w:rPr>
              <w:t>Michael P. Rutz</w:t>
            </w:r>
          </w:p>
        </w:tc>
        <w:tc>
          <w:tcPr>
            <w:tcW w:w="4540" w:type="dxa"/>
            <w:vAlign w:val="bottom"/>
            <w:tcBorders>
              <w:bottom w:val="single" w:sz="8" w:color="99B5CB"/>
            </w:tcBorders>
          </w:tcPr>
          <w:p>
            <w:pPr>
              <w:jc w:val="right"/>
              <w:ind w:right="97"/>
              <w:spacing w:after="0"/>
              <w:rPr>
                <w:sz w:val="20"/>
                <w:szCs w:val="20"/>
                <w:color w:val="auto"/>
              </w:rPr>
            </w:pPr>
            <w:r>
              <w:rPr>
                <w:rFonts w:ascii="Arial" w:cs="Arial" w:eastAsia="Arial" w:hAnsi="Arial"/>
                <w:sz w:val="17"/>
                <w:szCs w:val="17"/>
                <w:color w:val="auto"/>
              </w:rPr>
              <w:t>24,962</w:t>
            </w:r>
          </w:p>
        </w:tc>
      </w:tr>
      <w:tr>
        <w:trPr>
          <w:trHeight w:val="251"/>
        </w:trPr>
        <w:tc>
          <w:tcPr>
            <w:tcW w:w="6000" w:type="dxa"/>
            <w:vAlign w:val="bottom"/>
            <w:tcBorders>
              <w:bottom w:val="single" w:sz="8" w:color="99B5CB"/>
            </w:tcBorders>
          </w:tcPr>
          <w:p>
            <w:pPr>
              <w:ind w:left="60"/>
              <w:spacing w:after="0"/>
              <w:rPr>
                <w:sz w:val="20"/>
                <w:szCs w:val="20"/>
                <w:color w:val="auto"/>
              </w:rPr>
            </w:pPr>
            <w:r>
              <w:rPr>
                <w:rFonts w:ascii="Arial" w:cs="Arial" w:eastAsia="Arial" w:hAnsi="Arial"/>
                <w:sz w:val="17"/>
                <w:szCs w:val="17"/>
                <w:color w:val="auto"/>
              </w:rPr>
              <w:t>Matthew J. Klaben</w:t>
            </w:r>
          </w:p>
        </w:tc>
        <w:tc>
          <w:tcPr>
            <w:tcW w:w="4540" w:type="dxa"/>
            <w:vAlign w:val="bottom"/>
            <w:tcBorders>
              <w:bottom w:val="single" w:sz="8" w:color="99B5CB"/>
            </w:tcBorders>
          </w:tcPr>
          <w:p>
            <w:pPr>
              <w:jc w:val="right"/>
              <w:ind w:right="97"/>
              <w:spacing w:after="0"/>
              <w:rPr>
                <w:sz w:val="20"/>
                <w:szCs w:val="20"/>
                <w:color w:val="auto"/>
              </w:rPr>
            </w:pPr>
            <w:r>
              <w:rPr>
                <w:rFonts w:ascii="Arial" w:cs="Arial" w:eastAsia="Arial" w:hAnsi="Arial"/>
                <w:sz w:val="17"/>
                <w:szCs w:val="17"/>
                <w:color w:val="auto"/>
              </w:rPr>
              <w:t>8,736</w:t>
            </w:r>
          </w:p>
        </w:tc>
      </w:tr>
      <w:tr>
        <w:trPr>
          <w:trHeight w:val="251"/>
        </w:trPr>
        <w:tc>
          <w:tcPr>
            <w:tcW w:w="6000" w:type="dxa"/>
            <w:vAlign w:val="bottom"/>
            <w:tcBorders>
              <w:bottom w:val="single" w:sz="8" w:color="99B5CB"/>
            </w:tcBorders>
          </w:tcPr>
          <w:p>
            <w:pPr>
              <w:ind w:left="60"/>
              <w:spacing w:after="0"/>
              <w:rPr>
                <w:sz w:val="20"/>
                <w:szCs w:val="20"/>
                <w:color w:val="auto"/>
              </w:rPr>
            </w:pPr>
            <w:r>
              <w:rPr>
                <w:rFonts w:ascii="Arial" w:cs="Arial" w:eastAsia="Arial" w:hAnsi="Arial"/>
                <w:sz w:val="17"/>
                <w:szCs w:val="17"/>
                <w:color w:val="auto"/>
              </w:rPr>
              <w:t>Scott J. Leffler</w:t>
            </w:r>
          </w:p>
        </w:tc>
        <w:tc>
          <w:tcPr>
            <w:tcW w:w="4540" w:type="dxa"/>
            <w:vAlign w:val="bottom"/>
            <w:tcBorders>
              <w:bottom w:val="single" w:sz="8" w:color="99B5CB"/>
            </w:tcBorders>
          </w:tcPr>
          <w:p>
            <w:pPr>
              <w:jc w:val="right"/>
              <w:ind w:right="97"/>
              <w:spacing w:after="0"/>
              <w:rPr>
                <w:sz w:val="20"/>
                <w:szCs w:val="20"/>
                <w:color w:val="auto"/>
              </w:rPr>
            </w:pPr>
            <w:r>
              <w:rPr>
                <w:rFonts w:ascii="Arial" w:cs="Arial" w:eastAsia="Arial" w:hAnsi="Arial"/>
                <w:sz w:val="17"/>
                <w:szCs w:val="17"/>
                <w:color w:val="auto"/>
              </w:rPr>
              <w:t>37,443</w:t>
            </w:r>
          </w:p>
        </w:tc>
      </w:tr>
      <w:tr>
        <w:trPr>
          <w:trHeight w:val="251"/>
        </w:trPr>
        <w:tc>
          <w:tcPr>
            <w:tcW w:w="6000" w:type="dxa"/>
            <w:vAlign w:val="bottom"/>
            <w:tcBorders>
              <w:bottom w:val="single" w:sz="8" w:color="00467D"/>
            </w:tcBorders>
          </w:tcPr>
          <w:p>
            <w:pPr>
              <w:ind w:left="60"/>
              <w:spacing w:after="0"/>
              <w:rPr>
                <w:sz w:val="20"/>
                <w:szCs w:val="20"/>
                <w:color w:val="auto"/>
              </w:rPr>
            </w:pPr>
            <w:r>
              <w:rPr>
                <w:rFonts w:ascii="Arial" w:cs="Arial" w:eastAsia="Arial" w:hAnsi="Arial"/>
                <w:sz w:val="17"/>
                <w:szCs w:val="17"/>
                <w:color w:val="auto"/>
              </w:rPr>
              <w:t>Terrence G. Hammons, Jr.</w:t>
            </w:r>
          </w:p>
        </w:tc>
        <w:tc>
          <w:tcPr>
            <w:tcW w:w="4540" w:type="dxa"/>
            <w:vAlign w:val="bottom"/>
            <w:tcBorders>
              <w:bottom w:val="single" w:sz="8" w:color="00467D"/>
            </w:tcBorders>
          </w:tcPr>
          <w:p>
            <w:pPr>
              <w:jc w:val="right"/>
              <w:ind w:right="97"/>
              <w:spacing w:after="0"/>
              <w:rPr>
                <w:sz w:val="20"/>
                <w:szCs w:val="20"/>
                <w:color w:val="auto"/>
              </w:rPr>
            </w:pPr>
            <w:r>
              <w:rPr>
                <w:rFonts w:ascii="Arial" w:cs="Arial" w:eastAsia="Arial" w:hAnsi="Arial"/>
                <w:sz w:val="17"/>
                <w:szCs w:val="17"/>
                <w:color w:val="auto"/>
              </w:rPr>
              <w:t>22,466</w:t>
            </w:r>
          </w:p>
        </w:tc>
      </w:tr>
    </w:tbl>
    <w:p>
      <w:pPr>
        <w:spacing w:after="0" w:line="164" w:lineRule="exact"/>
        <w:rPr>
          <w:sz w:val="20"/>
          <w:szCs w:val="20"/>
          <w:color w:val="auto"/>
        </w:rPr>
      </w:pPr>
    </w:p>
    <w:p>
      <w:pPr>
        <w:ind w:left="360" w:right="100"/>
        <w:spacing w:after="0" w:line="274" w:lineRule="auto"/>
        <w:rPr>
          <w:sz w:val="20"/>
          <w:szCs w:val="20"/>
          <w:color w:val="auto"/>
        </w:rPr>
      </w:pPr>
      <w:r>
        <w:rPr>
          <w:rFonts w:ascii="Arial" w:cs="Arial" w:eastAsia="Arial" w:hAnsi="Arial"/>
          <w:sz w:val="17"/>
          <w:szCs w:val="17"/>
          <w:color w:val="auto"/>
        </w:rPr>
        <w:t>The March 2022 Equity Awards vest in equal annual installments over a three-year period beginning on the first anniversary of the date of grant. Continued service of the executive during the vesting period is generally required.</w:t>
      </w:r>
    </w:p>
    <w:p>
      <w:pPr>
        <w:spacing w:after="0" w:line="109" w:lineRule="exact"/>
        <w:rPr>
          <w:sz w:val="20"/>
          <w:szCs w:val="20"/>
          <w:color w:val="auto"/>
        </w:rPr>
      </w:pPr>
    </w:p>
    <w:p>
      <w:pPr>
        <w:ind w:left="360" w:right="620"/>
        <w:spacing w:after="0" w:line="274" w:lineRule="auto"/>
        <w:rPr>
          <w:sz w:val="20"/>
          <w:szCs w:val="20"/>
          <w:color w:val="auto"/>
        </w:rPr>
      </w:pPr>
      <w:r>
        <w:rPr>
          <w:rFonts w:ascii="Arial" w:cs="Arial" w:eastAsia="Arial" w:hAnsi="Arial"/>
          <w:sz w:val="17"/>
          <w:szCs w:val="17"/>
          <w:color w:val="auto"/>
        </w:rPr>
        <w:t>As discussed, Mr. Klaben’s November 2022 Incentive Award was comprised of RSUs. The table below shows the number of RSUs granted to Mr. Klaben on November 7, 2022.</w:t>
      </w:r>
    </w:p>
    <w:p>
      <w:pPr>
        <w:spacing w:after="0" w:line="181" w:lineRule="exact"/>
        <w:rPr>
          <w:sz w:val="20"/>
          <w:szCs w:val="20"/>
          <w:color w:val="auto"/>
        </w:rPr>
      </w:pPr>
    </w:p>
    <w:tbl>
      <w:tblPr>
        <w:tblLayout w:type="fixed"/>
        <w:tblInd w:w="360" w:type="dxa"/>
        <w:tblCellMar>
          <w:top w:w="0" w:type="dxa"/>
          <w:left w:w="0" w:type="dxa"/>
          <w:bottom w:w="0" w:type="dxa"/>
          <w:right w:w="0" w:type="dxa"/>
        </w:tblCellMar>
      </w:tblPr>
      <w:tr>
        <w:trPr>
          <w:trHeight w:val="189"/>
        </w:trPr>
        <w:tc>
          <w:tcPr>
            <w:tcW w:w="6260" w:type="dxa"/>
            <w:vAlign w:val="bottom"/>
            <w:tcBorders>
              <w:bottom w:val="single" w:sz="8" w:color="00467D"/>
            </w:tcBorders>
          </w:tcPr>
          <w:p>
            <w:pPr>
              <w:ind w:left="60"/>
              <w:spacing w:after="0"/>
              <w:rPr>
                <w:sz w:val="20"/>
                <w:szCs w:val="20"/>
                <w:color w:val="auto"/>
              </w:rPr>
            </w:pPr>
            <w:r>
              <w:rPr>
                <w:rFonts w:ascii="Arial" w:cs="Arial" w:eastAsia="Arial" w:hAnsi="Arial"/>
                <w:sz w:val="14"/>
                <w:szCs w:val="14"/>
                <w:b w:val="1"/>
                <w:bCs w:val="1"/>
                <w:color w:val="00467D"/>
              </w:rPr>
              <w:t>Named Executive Officer</w:t>
            </w:r>
          </w:p>
        </w:tc>
        <w:tc>
          <w:tcPr>
            <w:tcW w:w="4280" w:type="dxa"/>
            <w:vAlign w:val="bottom"/>
            <w:tcBorders>
              <w:bottom w:val="single" w:sz="8" w:color="00467D"/>
            </w:tcBorders>
          </w:tcPr>
          <w:p>
            <w:pPr>
              <w:jc w:val="right"/>
              <w:ind w:right="143"/>
              <w:spacing w:after="0"/>
              <w:rPr>
                <w:sz w:val="20"/>
                <w:szCs w:val="20"/>
                <w:color w:val="auto"/>
              </w:rPr>
            </w:pPr>
            <w:r>
              <w:rPr>
                <w:rFonts w:ascii="Arial" w:cs="Arial" w:eastAsia="Arial" w:hAnsi="Arial"/>
                <w:sz w:val="14"/>
                <w:szCs w:val="14"/>
                <w:b w:val="1"/>
                <w:bCs w:val="1"/>
                <w:color w:val="00467D"/>
              </w:rPr>
              <w:t>RSU (#)</w:t>
            </w:r>
          </w:p>
        </w:tc>
      </w:tr>
      <w:tr>
        <w:trPr>
          <w:trHeight w:val="252"/>
        </w:trPr>
        <w:tc>
          <w:tcPr>
            <w:tcW w:w="6260" w:type="dxa"/>
            <w:vAlign w:val="bottom"/>
            <w:tcBorders>
              <w:bottom w:val="single" w:sz="8" w:color="99B5CB"/>
            </w:tcBorders>
          </w:tcPr>
          <w:p>
            <w:pPr>
              <w:ind w:left="60"/>
              <w:spacing w:after="0"/>
              <w:rPr>
                <w:sz w:val="20"/>
                <w:szCs w:val="20"/>
                <w:color w:val="auto"/>
              </w:rPr>
            </w:pPr>
            <w:r>
              <w:rPr>
                <w:rFonts w:ascii="Arial" w:cs="Arial" w:eastAsia="Arial" w:hAnsi="Arial"/>
                <w:sz w:val="17"/>
                <w:szCs w:val="17"/>
                <w:b w:val="1"/>
                <w:bCs w:val="1"/>
                <w:i w:val="1"/>
                <w:iCs w:val="1"/>
                <w:color w:val="auto"/>
              </w:rPr>
              <w:t>November 2022 Incentive Award</w:t>
            </w:r>
          </w:p>
        </w:tc>
        <w:tc>
          <w:tcPr>
            <w:tcW w:w="4280" w:type="dxa"/>
            <w:vAlign w:val="bottom"/>
            <w:tcBorders>
              <w:bottom w:val="single" w:sz="8" w:color="99B5CB"/>
            </w:tcBorders>
          </w:tcPr>
          <w:p>
            <w:pPr>
              <w:spacing w:after="0"/>
              <w:rPr>
                <w:sz w:val="21"/>
                <w:szCs w:val="21"/>
                <w:color w:val="auto"/>
              </w:rPr>
            </w:pPr>
          </w:p>
        </w:tc>
      </w:tr>
      <w:tr>
        <w:trPr>
          <w:trHeight w:val="246"/>
        </w:trPr>
        <w:tc>
          <w:tcPr>
            <w:tcW w:w="6260" w:type="dxa"/>
            <w:vAlign w:val="bottom"/>
            <w:tcBorders>
              <w:bottom w:val="single" w:sz="8" w:color="00467D"/>
            </w:tcBorders>
          </w:tcPr>
          <w:p>
            <w:pPr>
              <w:ind w:left="60"/>
              <w:spacing w:after="0"/>
              <w:rPr>
                <w:sz w:val="20"/>
                <w:szCs w:val="20"/>
                <w:color w:val="auto"/>
              </w:rPr>
            </w:pPr>
            <w:r>
              <w:rPr>
                <w:rFonts w:ascii="Arial" w:cs="Arial" w:eastAsia="Arial" w:hAnsi="Arial"/>
                <w:sz w:val="17"/>
                <w:szCs w:val="17"/>
                <w:color w:val="auto"/>
              </w:rPr>
              <w:t>Matthew J. Klaben</w:t>
            </w:r>
          </w:p>
        </w:tc>
        <w:tc>
          <w:tcPr>
            <w:tcW w:w="4280" w:type="dxa"/>
            <w:vAlign w:val="bottom"/>
            <w:tcBorders>
              <w:bottom w:val="single" w:sz="8" w:color="00467D"/>
            </w:tcBorders>
          </w:tcPr>
          <w:p>
            <w:pPr>
              <w:jc w:val="right"/>
              <w:spacing w:after="0"/>
              <w:rPr>
                <w:sz w:val="20"/>
                <w:szCs w:val="20"/>
                <w:color w:val="auto"/>
              </w:rPr>
            </w:pPr>
            <w:r>
              <w:rPr>
                <w:rFonts w:ascii="Arial" w:cs="Arial" w:eastAsia="Arial" w:hAnsi="Arial"/>
                <w:sz w:val="17"/>
                <w:szCs w:val="17"/>
                <w:color w:val="auto"/>
              </w:rPr>
              <w:t>41,208</w:t>
            </w:r>
          </w:p>
        </w:tc>
      </w:tr>
    </w:tbl>
    <w:p>
      <w:pPr>
        <w:spacing w:after="0" w:line="190" w:lineRule="exact"/>
        <w:rPr>
          <w:sz w:val="20"/>
          <w:szCs w:val="20"/>
          <w:color w:val="auto"/>
        </w:rPr>
      </w:pPr>
    </w:p>
    <w:p>
      <w:pPr>
        <w:ind w:left="360" w:right="40"/>
        <w:spacing w:after="0" w:line="256" w:lineRule="auto"/>
        <w:rPr>
          <w:sz w:val="20"/>
          <w:szCs w:val="20"/>
          <w:color w:val="auto"/>
        </w:rPr>
      </w:pPr>
      <w:r>
        <w:rPr>
          <w:rFonts w:ascii="Arial" w:cs="Arial" w:eastAsia="Arial" w:hAnsi="Arial"/>
          <w:sz w:val="17"/>
          <w:szCs w:val="17"/>
          <w:color w:val="auto"/>
        </w:rPr>
        <w:t>Mr. Klaben’s November 2022 Incentive Award has a three-year vesting period: (i) 25% will vest 12 months from the grant date; (ii) 25% will vest 24 months from the grant date; and (iii) 50% will vest 36 months from the grant date, subject in each case to Mr. Klaben’s continued employment in good standing with the Company through each applicable vesting date.</w:t>
      </w:r>
    </w:p>
    <w:p>
      <w:pPr>
        <w:spacing w:after="0" w:line="252" w:lineRule="exact"/>
        <w:rPr>
          <w:sz w:val="20"/>
          <w:szCs w:val="20"/>
          <w:color w:val="auto"/>
        </w:rPr>
      </w:pPr>
    </w:p>
    <w:p>
      <w:pPr>
        <w:ind w:left="360"/>
        <w:spacing w:after="0"/>
        <w:rPr>
          <w:sz w:val="20"/>
          <w:szCs w:val="20"/>
          <w:color w:val="auto"/>
        </w:rPr>
      </w:pPr>
      <w:r>
        <w:rPr>
          <w:rFonts w:ascii="Arial" w:cs="Arial" w:eastAsia="Arial" w:hAnsi="Arial"/>
          <w:sz w:val="28"/>
          <w:szCs w:val="28"/>
          <w:color w:val="auto"/>
        </w:rPr>
        <w:t>Restricted Stock</w:t>
      </w:r>
    </w:p>
    <w:p>
      <w:pPr>
        <w:spacing w:after="0" w:line="220" w:lineRule="exact"/>
        <w:rPr>
          <w:sz w:val="20"/>
          <w:szCs w:val="20"/>
          <w:color w:val="auto"/>
        </w:rPr>
      </w:pPr>
    </w:p>
    <w:p>
      <w:pPr>
        <w:ind w:left="360" w:right="400"/>
        <w:spacing w:after="0" w:line="274" w:lineRule="auto"/>
        <w:rPr>
          <w:sz w:val="20"/>
          <w:szCs w:val="20"/>
          <w:color w:val="auto"/>
        </w:rPr>
      </w:pPr>
      <w:r>
        <w:rPr>
          <w:rFonts w:ascii="Arial" w:cs="Arial" w:eastAsia="Arial" w:hAnsi="Arial"/>
          <w:sz w:val="17"/>
          <w:szCs w:val="17"/>
          <w:color w:val="auto"/>
        </w:rPr>
        <w:t>Pursuant to his offer letter, Mr. Dimitrief’s new hire equity award included restricted stock, in addition to stock options. The table below shows the number of shares of restricted stock granted to Mr. Dimitrief on November 7, 2022.</w:t>
      </w:r>
    </w:p>
    <w:p>
      <w:pPr>
        <w:spacing w:after="0" w:line="181" w:lineRule="exact"/>
        <w:rPr>
          <w:sz w:val="20"/>
          <w:szCs w:val="20"/>
          <w:color w:val="auto"/>
        </w:rPr>
      </w:pPr>
    </w:p>
    <w:tbl>
      <w:tblPr>
        <w:tblLayout w:type="fixed"/>
        <w:tblInd w:w="360" w:type="dxa"/>
        <w:tblCellMar>
          <w:top w:w="0" w:type="dxa"/>
          <w:left w:w="0" w:type="dxa"/>
          <w:bottom w:w="0" w:type="dxa"/>
          <w:right w:w="0" w:type="dxa"/>
        </w:tblCellMar>
      </w:tblPr>
      <w:tr>
        <w:trPr>
          <w:trHeight w:val="189"/>
        </w:trPr>
        <w:tc>
          <w:tcPr>
            <w:tcW w:w="5780" w:type="dxa"/>
            <w:vAlign w:val="bottom"/>
            <w:tcBorders>
              <w:bottom w:val="single" w:sz="8" w:color="00467D"/>
            </w:tcBorders>
          </w:tcPr>
          <w:p>
            <w:pPr>
              <w:ind w:left="60"/>
              <w:spacing w:after="0"/>
              <w:rPr>
                <w:sz w:val="20"/>
                <w:szCs w:val="20"/>
                <w:color w:val="auto"/>
              </w:rPr>
            </w:pPr>
            <w:r>
              <w:rPr>
                <w:rFonts w:ascii="Arial" w:cs="Arial" w:eastAsia="Arial" w:hAnsi="Arial"/>
                <w:sz w:val="14"/>
                <w:szCs w:val="14"/>
                <w:b w:val="1"/>
                <w:bCs w:val="1"/>
                <w:color w:val="00467D"/>
              </w:rPr>
              <w:t>Named Executive Officer</w:t>
            </w:r>
          </w:p>
        </w:tc>
        <w:tc>
          <w:tcPr>
            <w:tcW w:w="4760" w:type="dxa"/>
            <w:vAlign w:val="bottom"/>
            <w:tcBorders>
              <w:bottom w:val="single" w:sz="8" w:color="00467D"/>
            </w:tcBorders>
          </w:tcPr>
          <w:p>
            <w:pPr>
              <w:jc w:val="right"/>
              <w:spacing w:after="0"/>
              <w:rPr>
                <w:sz w:val="20"/>
                <w:szCs w:val="20"/>
                <w:color w:val="auto"/>
              </w:rPr>
            </w:pPr>
            <w:r>
              <w:rPr>
                <w:rFonts w:ascii="Arial" w:cs="Arial" w:eastAsia="Arial" w:hAnsi="Arial"/>
                <w:sz w:val="14"/>
                <w:szCs w:val="14"/>
                <w:b w:val="1"/>
                <w:bCs w:val="1"/>
                <w:color w:val="00467D"/>
              </w:rPr>
              <w:t>Restricted Stock (#)</w:t>
            </w:r>
          </w:p>
        </w:tc>
      </w:tr>
      <w:tr>
        <w:trPr>
          <w:trHeight w:val="252"/>
        </w:trPr>
        <w:tc>
          <w:tcPr>
            <w:tcW w:w="5780" w:type="dxa"/>
            <w:vAlign w:val="bottom"/>
            <w:tcBorders>
              <w:bottom w:val="single" w:sz="8" w:color="99B5CB"/>
            </w:tcBorders>
          </w:tcPr>
          <w:p>
            <w:pPr>
              <w:ind w:left="60"/>
              <w:spacing w:after="0"/>
              <w:rPr>
                <w:sz w:val="20"/>
                <w:szCs w:val="20"/>
                <w:color w:val="auto"/>
              </w:rPr>
            </w:pPr>
            <w:r>
              <w:rPr>
                <w:rFonts w:ascii="Arial" w:cs="Arial" w:eastAsia="Arial" w:hAnsi="Arial"/>
                <w:sz w:val="17"/>
                <w:szCs w:val="17"/>
                <w:b w:val="1"/>
                <w:bCs w:val="1"/>
                <w:i w:val="1"/>
                <w:iCs w:val="1"/>
                <w:color w:val="auto"/>
              </w:rPr>
              <w:t>New Hire 2022 Equity Award</w:t>
            </w:r>
          </w:p>
        </w:tc>
        <w:tc>
          <w:tcPr>
            <w:tcW w:w="4760" w:type="dxa"/>
            <w:vAlign w:val="bottom"/>
            <w:tcBorders>
              <w:bottom w:val="single" w:sz="8" w:color="99B5CB"/>
            </w:tcBorders>
          </w:tcPr>
          <w:p>
            <w:pPr>
              <w:spacing w:after="0"/>
              <w:rPr>
                <w:sz w:val="21"/>
                <w:szCs w:val="21"/>
                <w:color w:val="auto"/>
              </w:rPr>
            </w:pPr>
          </w:p>
        </w:tc>
      </w:tr>
      <w:tr>
        <w:trPr>
          <w:trHeight w:val="246"/>
        </w:trPr>
        <w:tc>
          <w:tcPr>
            <w:tcW w:w="5780" w:type="dxa"/>
            <w:vAlign w:val="bottom"/>
            <w:tcBorders>
              <w:bottom w:val="single" w:sz="8" w:color="00467D"/>
            </w:tcBorders>
          </w:tcPr>
          <w:p>
            <w:pPr>
              <w:ind w:left="60"/>
              <w:spacing w:after="0"/>
              <w:rPr>
                <w:sz w:val="20"/>
                <w:szCs w:val="20"/>
                <w:color w:val="auto"/>
              </w:rPr>
            </w:pPr>
            <w:r>
              <w:rPr>
                <w:rFonts w:ascii="Arial" w:cs="Arial" w:eastAsia="Arial" w:hAnsi="Arial"/>
                <w:sz w:val="17"/>
                <w:szCs w:val="17"/>
                <w:color w:val="auto"/>
              </w:rPr>
              <w:t>Alexander Dimitrief</w:t>
            </w:r>
          </w:p>
        </w:tc>
        <w:tc>
          <w:tcPr>
            <w:tcW w:w="4760" w:type="dxa"/>
            <w:vAlign w:val="bottom"/>
            <w:tcBorders>
              <w:bottom w:val="single" w:sz="8" w:color="00467D"/>
            </w:tcBorders>
          </w:tcPr>
          <w:p>
            <w:pPr>
              <w:jc w:val="right"/>
              <w:spacing w:after="0"/>
              <w:rPr>
                <w:sz w:val="20"/>
                <w:szCs w:val="20"/>
                <w:color w:val="auto"/>
              </w:rPr>
            </w:pPr>
            <w:r>
              <w:rPr>
                <w:rFonts w:ascii="Arial" w:cs="Arial" w:eastAsia="Arial" w:hAnsi="Arial"/>
                <w:sz w:val="17"/>
                <w:szCs w:val="17"/>
                <w:color w:val="auto"/>
              </w:rPr>
              <w:t>235,478</w:t>
            </w:r>
          </w:p>
        </w:tc>
      </w:tr>
    </w:tbl>
    <w:p>
      <w:pPr>
        <w:spacing w:after="0" w:line="190" w:lineRule="exact"/>
        <w:rPr>
          <w:sz w:val="20"/>
          <w:szCs w:val="20"/>
          <w:color w:val="auto"/>
        </w:rPr>
      </w:pPr>
    </w:p>
    <w:p>
      <w:pPr>
        <w:ind w:left="360" w:right="160"/>
        <w:spacing w:after="0" w:line="274" w:lineRule="auto"/>
        <w:rPr>
          <w:sz w:val="20"/>
          <w:szCs w:val="20"/>
          <w:color w:val="auto"/>
        </w:rPr>
      </w:pPr>
      <w:r>
        <w:rPr>
          <w:rFonts w:ascii="Arial" w:cs="Arial" w:eastAsia="Arial" w:hAnsi="Arial"/>
          <w:sz w:val="17"/>
          <w:szCs w:val="17"/>
          <w:color w:val="auto"/>
        </w:rPr>
        <w:t>Mr. Dimitrief’s restricted stock award vests in two equal installments on October 31, 2023 and October 31, 2024, subject to Mr. Dimitrief’s continued employment in good standing with the Company through each applicable vesting date.</w:t>
      </w:r>
    </w:p>
    <w:p>
      <w:pPr>
        <w:spacing w:after="0" w:line="109" w:lineRule="exact"/>
        <w:rPr>
          <w:sz w:val="20"/>
          <w:szCs w:val="20"/>
          <w:color w:val="auto"/>
        </w:rPr>
      </w:pPr>
    </w:p>
    <w:p>
      <w:pPr>
        <w:ind w:left="360" w:right="760"/>
        <w:spacing w:after="0" w:line="274" w:lineRule="auto"/>
        <w:rPr>
          <w:sz w:val="20"/>
          <w:szCs w:val="20"/>
          <w:color w:val="auto"/>
        </w:rPr>
      </w:pPr>
      <w:r>
        <w:rPr>
          <w:rFonts w:ascii="Arial" w:cs="Arial" w:eastAsia="Arial" w:hAnsi="Arial"/>
          <w:sz w:val="17"/>
          <w:szCs w:val="17"/>
          <w:color w:val="auto"/>
        </w:rPr>
        <w:t>Please refer to “Potential Payments Upon Termination or Change in Control” on page 54 for more information regarding the post-employment treatment of each NEO’s unvested equity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231775</wp:posOffset>
            </wp:positionH>
            <wp:positionV relativeFrom="paragraph">
              <wp:posOffset>79375</wp:posOffset>
            </wp:positionV>
            <wp:extent cx="6687820" cy="1651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687820" cy="16510"/>
                    </a:xfrm>
                    <a:prstGeom prst="rect">
                      <a:avLst/>
                    </a:prstGeom>
                    <a:noFill/>
                  </pic:spPr>
                </pic:pic>
              </a:graphicData>
            </a:graphic>
          </wp:anchor>
        </w:drawing>
      </w:r>
    </w:p>
    <w:p>
      <w:pPr>
        <w:spacing w:after="0" w:line="295" w:lineRule="exact"/>
        <w:rPr>
          <w:sz w:val="20"/>
          <w:szCs w:val="20"/>
          <w:color w:val="auto"/>
        </w:rPr>
      </w:pPr>
    </w:p>
    <w:tbl>
      <w:tblPr>
        <w:tblLayout w:type="fixed"/>
        <w:tblInd w:w="360" w:type="dxa"/>
        <w:tblCellMar>
          <w:top w:w="0" w:type="dxa"/>
          <w:left w:w="0" w:type="dxa"/>
          <w:bottom w:w="0" w:type="dxa"/>
          <w:right w:w="0" w:type="dxa"/>
        </w:tblCellMar>
      </w:tblPr>
      <w:tr>
        <w:trPr>
          <w:trHeight w:val="226"/>
        </w:trPr>
        <w:tc>
          <w:tcPr>
            <w:tcW w:w="3900" w:type="dxa"/>
            <w:vAlign w:val="bottom"/>
          </w:tcPr>
          <w:p>
            <w:pPr>
              <w:spacing w:after="0"/>
              <w:rPr>
                <w:sz w:val="20"/>
                <w:szCs w:val="20"/>
                <w:color w:val="auto"/>
              </w:rPr>
            </w:pPr>
            <w:r>
              <w:rPr>
                <w:rFonts w:ascii="Arial" w:cs="Arial" w:eastAsia="Arial" w:hAnsi="Arial"/>
                <w:sz w:val="17"/>
                <w:szCs w:val="17"/>
                <w:color w:val="auto"/>
              </w:rPr>
              <w:t>2023 Notice and Proxy Statement</w:t>
            </w:r>
          </w:p>
        </w:tc>
        <w:tc>
          <w:tcPr>
            <w:tcW w:w="1520" w:type="dxa"/>
            <w:vAlign w:val="bottom"/>
          </w:tcPr>
          <w:p>
            <w:pPr>
              <w:jc w:val="right"/>
              <w:spacing w:after="0"/>
              <w:rPr>
                <w:sz w:val="20"/>
                <w:szCs w:val="20"/>
                <w:color w:val="auto"/>
              </w:rPr>
            </w:pPr>
            <w:r>
              <w:rPr>
                <w:rFonts w:ascii="Arial" w:cs="Arial" w:eastAsia="Arial" w:hAnsi="Arial"/>
                <w:sz w:val="17"/>
                <w:szCs w:val="17"/>
                <w:color w:val="auto"/>
              </w:rPr>
              <w:t>40</w:t>
            </w:r>
          </w:p>
        </w:tc>
      </w:tr>
    </w:tbl>
    <w:p>
      <w:pPr>
        <w:sectPr>
          <w:pgSz w:w="11900" w:h="16838" w:orient="portrait"/>
          <w:cols w:equalWidth="0" w:num="1">
            <w:col w:w="10900"/>
          </w:cols>
          <w:pgMar w:left="320" w:top="468" w:right="67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5334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79945" cy="53340"/>
                    </a:xfrm>
                    <a:prstGeom prst="rect">
                      <a:avLst/>
                    </a:prstGeom>
                    <a:noFill/>
                  </pic:spPr>
                </pic:pic>
              </a:graphicData>
            </a:graphic>
          </wp:anchor>
        </w:drawing>
        <w:t>Table of Contents</w:t>
      </w:r>
    </w:p>
    <w:p>
      <w:pPr>
        <w:spacing w:after="0" w:line="296"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Compensation Discussion and Analysis</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Compensation Elements for 2022</w:t>
      </w:r>
    </w:p>
    <w:p>
      <w:pPr>
        <w:spacing w:after="0" w:line="101" w:lineRule="exact"/>
        <w:rPr>
          <w:sz w:val="20"/>
          <w:szCs w:val="20"/>
          <w:color w:val="auto"/>
        </w:rPr>
      </w:pPr>
    </w:p>
    <w:p>
      <w:pPr>
        <w:ind w:left="360"/>
        <w:spacing w:after="0"/>
        <w:rPr>
          <w:sz w:val="20"/>
          <w:szCs w:val="20"/>
          <w:color w:val="auto"/>
        </w:rPr>
      </w:pPr>
      <w:r>
        <w:rPr>
          <w:rFonts w:ascii="Arial" w:cs="Arial" w:eastAsia="Arial" w:hAnsi="Arial"/>
          <w:sz w:val="28"/>
          <w:szCs w:val="28"/>
          <w:color w:val="auto"/>
        </w:rPr>
        <w:t>November 2022 Cash Incentive Bonus</w:t>
      </w:r>
    </w:p>
    <w:p>
      <w:pPr>
        <w:spacing w:after="0" w:line="220" w:lineRule="exact"/>
        <w:rPr>
          <w:sz w:val="20"/>
          <w:szCs w:val="20"/>
          <w:color w:val="auto"/>
        </w:rPr>
      </w:pPr>
    </w:p>
    <w:p>
      <w:pPr>
        <w:ind w:left="360"/>
        <w:spacing w:after="0"/>
        <w:rPr>
          <w:sz w:val="20"/>
          <w:szCs w:val="20"/>
          <w:color w:val="auto"/>
        </w:rPr>
      </w:pPr>
      <w:r>
        <w:rPr>
          <w:rFonts w:ascii="Arial" w:cs="Arial" w:eastAsia="Arial" w:hAnsi="Arial"/>
          <w:sz w:val="17"/>
          <w:szCs w:val="17"/>
          <w:color w:val="auto"/>
        </w:rPr>
        <w:t>The LD&amp;C Committee approved a November 2022 Incentive Award for Mr. Rutz in the form a one-time cash incentive bonus of</w:t>
      </w:r>
    </w:p>
    <w:p>
      <w:pPr>
        <w:spacing w:after="0" w:line="14" w:lineRule="exact"/>
        <w:rPr>
          <w:sz w:val="20"/>
          <w:szCs w:val="20"/>
          <w:color w:val="auto"/>
        </w:rPr>
      </w:pPr>
    </w:p>
    <w:p>
      <w:pPr>
        <w:ind w:left="360" w:right="140"/>
        <w:spacing w:after="0" w:line="243" w:lineRule="auto"/>
        <w:rPr>
          <w:sz w:val="20"/>
          <w:szCs w:val="20"/>
          <w:color w:val="auto"/>
        </w:rPr>
      </w:pPr>
      <w:r>
        <w:rPr>
          <w:rFonts w:ascii="Arial" w:cs="Arial" w:eastAsia="Arial" w:hAnsi="Arial"/>
          <w:sz w:val="17"/>
          <w:szCs w:val="17"/>
          <w:color w:val="auto"/>
        </w:rPr>
        <w:t>$1,000,000 (“Incentive Bonus”), which was granted November 7, 2022, pursuant to the terms of a Cash Incentive Bonus Agreement. The Committee approved the cash Incentive Bonus for Mr. Rutz, in lieu of a November 2022 Incentive Award comprised of stock options or RSUs, in consultation with Exequity and in consideration of Mr. Rutz’s role, scope of responsibility and the overall retentive value of his existing outstanding unvested equity awards, among other factors, as described in “2022 Compensation Decisions”.</w:t>
      </w:r>
    </w:p>
    <w:p>
      <w:pPr>
        <w:spacing w:after="0" w:line="200" w:lineRule="exact"/>
        <w:rPr>
          <w:sz w:val="20"/>
          <w:szCs w:val="20"/>
          <w:color w:val="auto"/>
        </w:rPr>
      </w:pPr>
    </w:p>
    <w:tbl>
      <w:tblPr>
        <w:tblLayout w:type="fixed"/>
        <w:tblInd w:w="360" w:type="dxa"/>
        <w:tblCellMar>
          <w:top w:w="0" w:type="dxa"/>
          <w:left w:w="0" w:type="dxa"/>
          <w:bottom w:w="0" w:type="dxa"/>
          <w:right w:w="0" w:type="dxa"/>
        </w:tblCellMar>
      </w:tblPr>
      <w:tr>
        <w:trPr>
          <w:trHeight w:val="161"/>
        </w:trPr>
        <w:tc>
          <w:tcPr>
            <w:tcW w:w="452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2040" w:type="dxa"/>
            <w:vAlign w:val="bottom"/>
          </w:tcPr>
          <w:p>
            <w:pPr>
              <w:jc w:val="center"/>
              <w:spacing w:after="0"/>
              <w:rPr>
                <w:sz w:val="20"/>
                <w:szCs w:val="20"/>
                <w:color w:val="auto"/>
              </w:rPr>
            </w:pPr>
            <w:r>
              <w:rPr>
                <w:rFonts w:ascii="Arial" w:cs="Arial" w:eastAsia="Arial" w:hAnsi="Arial"/>
                <w:sz w:val="14"/>
                <w:szCs w:val="14"/>
                <w:b w:val="1"/>
                <w:bCs w:val="1"/>
                <w:color w:val="00467D"/>
                <w:w w:val="98"/>
              </w:rPr>
              <w:t>November 2022 Incentive</w:t>
            </w:r>
          </w:p>
        </w:tc>
      </w:tr>
      <w:tr>
        <w:trPr>
          <w:trHeight w:val="164"/>
        </w:trPr>
        <w:tc>
          <w:tcPr>
            <w:tcW w:w="4520" w:type="dxa"/>
            <w:vAlign w:val="bottom"/>
            <w:tcBorders>
              <w:bottom w:val="single" w:sz="8" w:color="00467D"/>
            </w:tcBorders>
          </w:tcPr>
          <w:p>
            <w:pPr>
              <w:ind w:left="60"/>
              <w:spacing w:after="0"/>
              <w:rPr>
                <w:sz w:val="20"/>
                <w:szCs w:val="20"/>
                <w:color w:val="auto"/>
              </w:rPr>
            </w:pPr>
            <w:r>
              <w:rPr>
                <w:rFonts w:ascii="Arial" w:cs="Arial" w:eastAsia="Arial" w:hAnsi="Arial"/>
                <w:sz w:val="14"/>
                <w:szCs w:val="14"/>
                <w:b w:val="1"/>
                <w:bCs w:val="1"/>
                <w:color w:val="00467D"/>
              </w:rPr>
              <w:t>Named Executive Officer</w:t>
            </w:r>
          </w:p>
        </w:tc>
        <w:tc>
          <w:tcPr>
            <w:tcW w:w="3980" w:type="dxa"/>
            <w:vAlign w:val="bottom"/>
            <w:tcBorders>
              <w:bottom w:val="single" w:sz="8" w:color="00467D"/>
            </w:tcBorders>
          </w:tcPr>
          <w:p>
            <w:pPr>
              <w:jc w:val="center"/>
              <w:ind w:left="2623"/>
              <w:spacing w:after="0"/>
              <w:rPr>
                <w:sz w:val="20"/>
                <w:szCs w:val="20"/>
                <w:color w:val="auto"/>
              </w:rPr>
            </w:pPr>
            <w:r>
              <w:rPr>
                <w:rFonts w:ascii="Arial" w:cs="Arial" w:eastAsia="Arial" w:hAnsi="Arial"/>
                <w:sz w:val="14"/>
                <w:szCs w:val="14"/>
                <w:b w:val="1"/>
                <w:bCs w:val="1"/>
                <w:color w:val="00467D"/>
                <w:w w:val="97"/>
              </w:rPr>
              <w:t>Form of Award</w:t>
            </w:r>
          </w:p>
        </w:tc>
        <w:tc>
          <w:tcPr>
            <w:tcW w:w="2040" w:type="dxa"/>
            <w:vAlign w:val="bottom"/>
            <w:tcBorders>
              <w:bottom w:val="single" w:sz="8" w:color="00467D"/>
            </w:tcBorders>
          </w:tcPr>
          <w:p>
            <w:pPr>
              <w:jc w:val="center"/>
              <w:spacing w:after="0"/>
              <w:rPr>
                <w:sz w:val="20"/>
                <w:szCs w:val="20"/>
                <w:color w:val="auto"/>
              </w:rPr>
            </w:pPr>
            <w:r>
              <w:rPr>
                <w:rFonts w:ascii="Arial" w:cs="Arial" w:eastAsia="Arial" w:hAnsi="Arial"/>
                <w:sz w:val="14"/>
                <w:szCs w:val="14"/>
                <w:b w:val="1"/>
                <w:bCs w:val="1"/>
                <w:color w:val="00467D"/>
                <w:w w:val="96"/>
              </w:rPr>
              <w:t>Award Target Value</w:t>
            </w:r>
          </w:p>
        </w:tc>
      </w:tr>
      <w:tr>
        <w:trPr>
          <w:trHeight w:val="187"/>
        </w:trPr>
        <w:tc>
          <w:tcPr>
            <w:tcW w:w="4520" w:type="dxa"/>
            <w:vAlign w:val="bottom"/>
            <w:tcBorders>
              <w:bottom w:val="single" w:sz="8" w:color="00467D"/>
            </w:tcBorders>
          </w:tcPr>
          <w:p>
            <w:pPr>
              <w:ind w:left="60"/>
              <w:spacing w:after="0" w:line="186" w:lineRule="exact"/>
              <w:rPr>
                <w:sz w:val="20"/>
                <w:szCs w:val="20"/>
                <w:color w:val="auto"/>
              </w:rPr>
            </w:pPr>
            <w:r>
              <w:rPr>
                <w:rFonts w:ascii="Arial" w:cs="Arial" w:eastAsia="Arial" w:hAnsi="Arial"/>
                <w:sz w:val="17"/>
                <w:szCs w:val="17"/>
                <w:color w:val="auto"/>
              </w:rPr>
              <w:t>Michael P. Rutz</w:t>
            </w:r>
          </w:p>
        </w:tc>
        <w:tc>
          <w:tcPr>
            <w:tcW w:w="3980" w:type="dxa"/>
            <w:vAlign w:val="bottom"/>
            <w:tcBorders>
              <w:bottom w:val="single" w:sz="8" w:color="00467D"/>
            </w:tcBorders>
          </w:tcPr>
          <w:p>
            <w:pPr>
              <w:jc w:val="center"/>
              <w:ind w:left="2623"/>
              <w:spacing w:after="0" w:line="186" w:lineRule="exact"/>
              <w:rPr>
                <w:sz w:val="20"/>
                <w:szCs w:val="20"/>
                <w:color w:val="auto"/>
              </w:rPr>
            </w:pPr>
            <w:r>
              <w:rPr>
                <w:rFonts w:ascii="Arial" w:cs="Arial" w:eastAsia="Arial" w:hAnsi="Arial"/>
                <w:sz w:val="17"/>
                <w:szCs w:val="17"/>
                <w:color w:val="auto"/>
              </w:rPr>
              <w:t>Cash</w:t>
            </w:r>
          </w:p>
        </w:tc>
        <w:tc>
          <w:tcPr>
            <w:tcW w:w="2040" w:type="dxa"/>
            <w:vAlign w:val="bottom"/>
            <w:tcBorders>
              <w:bottom w:val="single" w:sz="8" w:color="00467D"/>
            </w:tcBorders>
          </w:tcPr>
          <w:p>
            <w:pPr>
              <w:jc w:val="center"/>
              <w:spacing w:after="0" w:line="186" w:lineRule="exact"/>
              <w:rPr>
                <w:sz w:val="20"/>
                <w:szCs w:val="20"/>
                <w:color w:val="auto"/>
              </w:rPr>
            </w:pPr>
            <w:r>
              <w:rPr>
                <w:rFonts w:ascii="Arial" w:cs="Arial" w:eastAsia="Arial" w:hAnsi="Arial"/>
                <w:sz w:val="17"/>
                <w:szCs w:val="17"/>
                <w:color w:val="auto"/>
              </w:rPr>
              <w:t>$1,000,000</w:t>
            </w:r>
          </w:p>
        </w:tc>
      </w:tr>
    </w:tbl>
    <w:p>
      <w:pPr>
        <w:spacing w:after="0" w:line="280" w:lineRule="exact"/>
        <w:rPr>
          <w:sz w:val="20"/>
          <w:szCs w:val="20"/>
          <w:color w:val="auto"/>
        </w:rPr>
      </w:pPr>
    </w:p>
    <w:p>
      <w:pPr>
        <w:ind w:left="360"/>
        <w:spacing w:after="0"/>
        <w:rPr>
          <w:sz w:val="20"/>
          <w:szCs w:val="20"/>
          <w:color w:val="auto"/>
        </w:rPr>
      </w:pPr>
      <w:r>
        <w:rPr>
          <w:rFonts w:ascii="Arial" w:cs="Arial" w:eastAsia="Arial" w:hAnsi="Arial"/>
          <w:sz w:val="28"/>
          <w:szCs w:val="28"/>
          <w:color w:val="auto"/>
        </w:rPr>
        <w:t>Retirement Plans</w:t>
      </w:r>
    </w:p>
    <w:p>
      <w:pPr>
        <w:spacing w:after="0" w:line="220" w:lineRule="exact"/>
        <w:rPr>
          <w:sz w:val="20"/>
          <w:szCs w:val="20"/>
          <w:color w:val="auto"/>
        </w:rPr>
      </w:pPr>
    </w:p>
    <w:p>
      <w:pPr>
        <w:ind w:left="360" w:right="20"/>
        <w:spacing w:after="0" w:line="243" w:lineRule="auto"/>
        <w:rPr>
          <w:sz w:val="20"/>
          <w:szCs w:val="20"/>
          <w:color w:val="auto"/>
        </w:rPr>
      </w:pPr>
      <w:r>
        <w:rPr>
          <w:rFonts w:ascii="Arial" w:cs="Arial" w:eastAsia="Arial" w:hAnsi="Arial"/>
          <w:sz w:val="17"/>
          <w:szCs w:val="17"/>
          <w:color w:val="auto"/>
        </w:rPr>
        <w:t>In order to offer competitive total rewards that align with practices among our talent competitors, we maintain a tax-qualified 401(k) savings plan (the “401(k) Plan”), in which all U.S. employees, including our NEOs, are eligible to participate. The 401(k) Plan allows participants to contribute up to 100% of their pay on a pre-tax basis (or on a post-tax basis, with respect to elective Roth deferrals) into individual retirement accounts, subject to the maximum annual limits set by the Internal Revenue Service. We have historically made annual contributions to employee 401(k) accounts of up to 4.5% of an employee’s contributions to the 401(k) Plan. In 2022, we contributed up to $13,050 per employee. Participants are immediately fully vested in both their own contributions and our contributions to the 401(k) Plan.</w:t>
      </w:r>
    </w:p>
    <w:p>
      <w:pPr>
        <w:spacing w:after="0" w:line="348" w:lineRule="exact"/>
        <w:rPr>
          <w:sz w:val="20"/>
          <w:szCs w:val="20"/>
          <w:color w:val="auto"/>
        </w:rPr>
      </w:pPr>
    </w:p>
    <w:p>
      <w:pPr>
        <w:ind w:left="360" w:right="160"/>
        <w:spacing w:after="0" w:line="243" w:lineRule="auto"/>
        <w:rPr>
          <w:sz w:val="20"/>
          <w:szCs w:val="20"/>
          <w:color w:val="auto"/>
        </w:rPr>
      </w:pPr>
      <w:r>
        <w:rPr>
          <w:rFonts w:ascii="Arial" w:cs="Arial" w:eastAsia="Arial" w:hAnsi="Arial"/>
          <w:sz w:val="17"/>
          <w:szCs w:val="17"/>
          <w:color w:val="auto"/>
        </w:rPr>
        <w:t>Additionally, we maintain a non-qualified deferred compensation plan (the “Supplemental Retirement Benefit Plan”) under which a select group of management and highly compensated employees, including all of our NEOs, are permitted to supplement contributions made under the 401(k) Plan by deferring up to 50% of their bonus or salary. Although permitted by the Supplemental Retirement Plan, we have not previously provided matching employer contributions under this plan. Participants in the Supplemental Retirement Benefit Plan are permitted to elect to invest their accounts in the same investment options as are available under the 401(k) Plan. Distributions from the Supplemental Retirement Benefit Plan will be made on the earlier of (i) the Participant’s termination of employment with us, or (ii) a specified date at least two years from the time of deferral selected by the Participant at the time of deferral.</w:t>
      </w:r>
    </w:p>
    <w:p>
      <w:pPr>
        <w:spacing w:after="0" w:line="138" w:lineRule="exact"/>
        <w:rPr>
          <w:sz w:val="20"/>
          <w:szCs w:val="20"/>
          <w:color w:val="auto"/>
        </w:rPr>
      </w:pPr>
    </w:p>
    <w:p>
      <w:pPr>
        <w:ind w:left="360" w:right="1000"/>
        <w:spacing w:after="0" w:line="274" w:lineRule="auto"/>
        <w:rPr>
          <w:sz w:val="20"/>
          <w:szCs w:val="20"/>
          <w:color w:val="auto"/>
        </w:rPr>
      </w:pPr>
      <w:r>
        <w:rPr>
          <w:rFonts w:ascii="Arial" w:cs="Arial" w:eastAsia="Arial" w:hAnsi="Arial"/>
          <w:sz w:val="17"/>
          <w:szCs w:val="17"/>
          <w:color w:val="auto"/>
        </w:rPr>
        <w:t>Contributions to our Supplemental Retirement Benefit Plan are described beginning on page 49 in the Non-Qualified Deferred Compensation Table. Of our NEOs, only Mr. Rutz participates in the Supplemental Retirement Benefit Plan.</w:t>
      </w:r>
    </w:p>
    <w:p>
      <w:pPr>
        <w:spacing w:after="0" w:line="238" w:lineRule="exact"/>
        <w:rPr>
          <w:sz w:val="20"/>
          <w:szCs w:val="20"/>
          <w:color w:val="auto"/>
        </w:rPr>
      </w:pPr>
    </w:p>
    <w:p>
      <w:pPr>
        <w:ind w:left="360"/>
        <w:spacing w:after="0"/>
        <w:rPr>
          <w:sz w:val="20"/>
          <w:szCs w:val="20"/>
          <w:color w:val="auto"/>
        </w:rPr>
      </w:pPr>
      <w:r>
        <w:rPr>
          <w:rFonts w:ascii="Arial" w:cs="Arial" w:eastAsia="Arial" w:hAnsi="Arial"/>
          <w:sz w:val="28"/>
          <w:szCs w:val="28"/>
          <w:color w:val="auto"/>
        </w:rPr>
        <w:t>Other Benefits and Perquisites</w:t>
      </w:r>
    </w:p>
    <w:p>
      <w:pPr>
        <w:spacing w:after="0" w:line="220" w:lineRule="exact"/>
        <w:rPr>
          <w:sz w:val="20"/>
          <w:szCs w:val="20"/>
          <w:color w:val="auto"/>
        </w:rPr>
      </w:pPr>
    </w:p>
    <w:p>
      <w:pPr>
        <w:ind w:left="360" w:right="100"/>
        <w:spacing w:after="0" w:line="243" w:lineRule="auto"/>
        <w:rPr>
          <w:sz w:val="20"/>
          <w:szCs w:val="20"/>
          <w:color w:val="auto"/>
        </w:rPr>
      </w:pPr>
      <w:r>
        <w:rPr>
          <w:rFonts w:ascii="Arial" w:cs="Arial" w:eastAsia="Arial" w:hAnsi="Arial"/>
          <w:sz w:val="17"/>
          <w:szCs w:val="17"/>
          <w:color w:val="auto"/>
        </w:rPr>
        <w:t>Our NEOs are eligible to participate in the same employee benefits generally available to all full-time employees on the same basis as these benefits are generally made available to all other Company employees. The LD&amp;C Committee believes these limited benefits and perquisites are competitive with similar arrangements among our talent competitors, and thereby help support the recruitment and retention of critical executive talent. These benefits include medical and dental insurance, life insurance, and short- and long-term disability insurance. In 2022, the Company provided paid executive physical examinations for Messrs. Petras, Rutz, and Leffler, and paid $9,942 for Mr. Hammons’ commuting and moving expenses. Please see page 44 and note 6 to “All Other Compensation” in the Summary Compensation Table for details regarding the value of these perquisites.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231775</wp:posOffset>
            </wp:positionH>
            <wp:positionV relativeFrom="paragraph">
              <wp:posOffset>97790</wp:posOffset>
            </wp:positionV>
            <wp:extent cx="6687820" cy="1651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687820" cy="16510"/>
                    </a:xfrm>
                    <a:prstGeom prst="rect">
                      <a:avLst/>
                    </a:prstGeom>
                    <a:noFill/>
                  </pic:spPr>
                </pic:pic>
              </a:graphicData>
            </a:graphic>
          </wp:anchor>
        </w:drawing>
      </w:r>
    </w:p>
    <w:p>
      <w:pPr>
        <w:spacing w:after="0" w:line="324"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6443980</wp:posOffset>
            </wp:positionH>
            <wp:positionV relativeFrom="paragraph">
              <wp:posOffset>-113030</wp:posOffset>
            </wp:positionV>
            <wp:extent cx="475615" cy="15557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475615" cy="155575"/>
                    </a:xfrm>
                    <a:prstGeom prst="rect">
                      <a:avLst/>
                    </a:prstGeom>
                    <a:noFill/>
                  </pic:spPr>
                </pic:pic>
              </a:graphicData>
            </a:graphic>
          </wp:anchor>
        </w:drawing>
      </w:r>
    </w:p>
    <w:p>
      <w:pPr>
        <w:sectPr>
          <w:pgSz w:w="11900" w:h="16838" w:orient="portrait"/>
          <w:cols w:equalWidth="0" w:num="1">
            <w:col w:w="10900"/>
          </w:cols>
          <w:pgMar w:left="320" w:top="468" w:right="67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5334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79945" cy="53340"/>
                    </a:xfrm>
                    <a:prstGeom prst="rect">
                      <a:avLst/>
                    </a:prstGeom>
                    <a:noFill/>
                  </pic:spPr>
                </pic:pic>
              </a:graphicData>
            </a:graphic>
          </wp:anchor>
        </w:drawing>
        <w:t>Table of Contents</w:t>
      </w:r>
    </w:p>
    <w:p>
      <w:pPr>
        <w:spacing w:after="0" w:line="296"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auto"/>
        </w:rPr>
        <w:t>Compensation Discussion and Analysis</w:t>
      </w:r>
    </w:p>
    <w:p>
      <w:pPr>
        <w:spacing w:after="0" w:line="21" w:lineRule="exact"/>
        <w:rPr>
          <w:sz w:val="20"/>
          <w:szCs w:val="20"/>
          <w:color w:val="auto"/>
        </w:rPr>
      </w:pPr>
    </w:p>
    <w:p>
      <w:pPr>
        <w:ind w:left="360"/>
        <w:spacing w:after="0"/>
        <w:rPr>
          <w:sz w:val="20"/>
          <w:szCs w:val="20"/>
          <w:color w:val="auto"/>
        </w:rPr>
      </w:pPr>
      <w:r>
        <w:rPr>
          <w:rFonts w:ascii="Arial" w:cs="Arial" w:eastAsia="Arial" w:hAnsi="Arial"/>
          <w:sz w:val="14"/>
          <w:szCs w:val="14"/>
          <w:b w:val="1"/>
          <w:bCs w:val="1"/>
          <w:color w:val="auto"/>
        </w:rPr>
        <w:t>Other Compensation Policies and Practices</w:t>
      </w:r>
    </w:p>
    <w:p>
      <w:pPr>
        <w:spacing w:after="0" w:line="105" w:lineRule="exact"/>
        <w:rPr>
          <w:sz w:val="20"/>
          <w:szCs w:val="20"/>
          <w:color w:val="auto"/>
        </w:rPr>
      </w:pPr>
    </w:p>
    <w:p>
      <w:pPr>
        <w:ind w:left="360"/>
        <w:spacing w:after="0"/>
        <w:rPr>
          <w:sz w:val="20"/>
          <w:szCs w:val="20"/>
          <w:color w:val="auto"/>
        </w:rPr>
      </w:pPr>
      <w:r>
        <w:rPr>
          <w:rFonts w:ascii="Arial" w:cs="Arial" w:eastAsia="Arial" w:hAnsi="Arial"/>
          <w:sz w:val="31"/>
          <w:szCs w:val="31"/>
          <w:color w:val="00B0DB"/>
        </w:rPr>
        <w:t>Other Compensation Policies and Practices</w:t>
      </w:r>
    </w:p>
    <w:p>
      <w:pPr>
        <w:spacing w:after="0" w:line="208" w:lineRule="exact"/>
        <w:rPr>
          <w:sz w:val="20"/>
          <w:szCs w:val="20"/>
          <w:color w:val="auto"/>
        </w:rPr>
      </w:pPr>
    </w:p>
    <w:p>
      <w:pPr>
        <w:ind w:left="360"/>
        <w:spacing w:after="0"/>
        <w:rPr>
          <w:sz w:val="20"/>
          <w:szCs w:val="20"/>
          <w:color w:val="auto"/>
        </w:rPr>
      </w:pPr>
      <w:r>
        <w:rPr>
          <w:rFonts w:ascii="Arial" w:cs="Arial" w:eastAsia="Arial" w:hAnsi="Arial"/>
          <w:sz w:val="28"/>
          <w:szCs w:val="28"/>
          <w:color w:val="auto"/>
        </w:rPr>
        <w:t>Employment Arrangements</w:t>
      </w:r>
    </w:p>
    <w:p>
      <w:pPr>
        <w:spacing w:after="0" w:line="220" w:lineRule="exact"/>
        <w:rPr>
          <w:sz w:val="20"/>
          <w:szCs w:val="20"/>
          <w:color w:val="auto"/>
        </w:rPr>
      </w:pPr>
    </w:p>
    <w:p>
      <w:pPr>
        <w:jc w:val="both"/>
        <w:ind w:left="360" w:right="200"/>
        <w:spacing w:after="0" w:line="244" w:lineRule="auto"/>
        <w:rPr>
          <w:sz w:val="20"/>
          <w:szCs w:val="20"/>
          <w:color w:val="auto"/>
        </w:rPr>
      </w:pPr>
      <w:r>
        <w:rPr>
          <w:rFonts w:ascii="Arial" w:cs="Arial" w:eastAsia="Arial" w:hAnsi="Arial"/>
          <w:sz w:val="17"/>
          <w:szCs w:val="17"/>
          <w:color w:val="auto"/>
        </w:rPr>
        <w:t>Although our NEOs are employed “at-will” and their employment can be terminated at any time for any reason with or without cause, the Company is party to employment agreements with Messrs. Petras and Rutz, and offer letters and restrictive covenants agreements with Messrs. Biehl, Dimitrief and Klaben. Each of the employment agreements and offer letters in effect with our NEOs (other than Messrs.</w:t>
      </w:r>
    </w:p>
    <w:p>
      <w:pPr>
        <w:spacing w:after="0" w:line="1" w:lineRule="exact"/>
        <w:rPr>
          <w:sz w:val="20"/>
          <w:szCs w:val="20"/>
          <w:color w:val="auto"/>
        </w:rPr>
      </w:pPr>
    </w:p>
    <w:p>
      <w:pPr>
        <w:ind w:left="360" w:right="40"/>
        <w:spacing w:after="0" w:line="242" w:lineRule="auto"/>
        <w:rPr>
          <w:sz w:val="20"/>
          <w:szCs w:val="20"/>
          <w:color w:val="auto"/>
        </w:rPr>
      </w:pPr>
      <w:r>
        <w:rPr>
          <w:rFonts w:ascii="Arial" w:cs="Arial" w:eastAsia="Arial" w:hAnsi="Arial"/>
          <w:sz w:val="17"/>
          <w:szCs w:val="17"/>
          <w:color w:val="auto"/>
        </w:rPr>
        <w:t>Biehl and Dimitrief) contain severance provisions, and the employment agreements with Mr. Petras contains “double-trigger” change in control provisions for the vesting of any portion of Mr. Petras’ unvested IPO Equity Award and any future equity awards in the event Mr. Petras is terminated without cause or resigns for good reason within 1 year following a change in control. The LD&amp;C Committee believes severance provisions assist us in attracting and retaining executive talent and that change in control provisions are appropriate to help ensure continuity of management during a potential change in control.</w:t>
      </w:r>
    </w:p>
    <w:p>
      <w:pPr>
        <w:spacing w:after="0" w:line="147" w:lineRule="exact"/>
        <w:rPr>
          <w:sz w:val="20"/>
          <w:szCs w:val="20"/>
          <w:color w:val="auto"/>
        </w:rPr>
      </w:pPr>
    </w:p>
    <w:p>
      <w:pPr>
        <w:ind w:left="360" w:right="160"/>
        <w:spacing w:after="0" w:line="274" w:lineRule="auto"/>
        <w:rPr>
          <w:sz w:val="20"/>
          <w:szCs w:val="20"/>
          <w:color w:val="auto"/>
        </w:rPr>
      </w:pPr>
      <w:r>
        <w:rPr>
          <w:rFonts w:ascii="Arial" w:cs="Arial" w:eastAsia="Arial" w:hAnsi="Arial"/>
          <w:sz w:val="17"/>
          <w:szCs w:val="17"/>
          <w:color w:val="auto"/>
        </w:rPr>
        <w:t>Additional detail regarding each NEO’s employment arrangement is provided in the sections “Employment Agreements” on page 50, and “Potential Payments Upon Termination or Change in Control” on page 54.</w:t>
      </w:r>
    </w:p>
    <w:p>
      <w:pPr>
        <w:spacing w:after="0" w:line="134" w:lineRule="exact"/>
        <w:rPr>
          <w:sz w:val="20"/>
          <w:szCs w:val="20"/>
          <w:color w:val="auto"/>
        </w:rPr>
      </w:pPr>
    </w:p>
    <w:p>
      <w:pPr>
        <w:ind w:left="360"/>
        <w:spacing w:after="0"/>
        <w:rPr>
          <w:sz w:val="20"/>
          <w:szCs w:val="20"/>
          <w:color w:val="auto"/>
        </w:rPr>
      </w:pPr>
      <w:r>
        <w:rPr>
          <w:rFonts w:ascii="Arial" w:cs="Arial" w:eastAsia="Arial" w:hAnsi="Arial"/>
          <w:sz w:val="28"/>
          <w:szCs w:val="28"/>
          <w:color w:val="auto"/>
        </w:rPr>
        <w:t>Policy Regarding Prohibition on Hedging and Pledging</w:t>
      </w:r>
    </w:p>
    <w:p>
      <w:pPr>
        <w:spacing w:after="0" w:line="220" w:lineRule="exact"/>
        <w:rPr>
          <w:sz w:val="20"/>
          <w:szCs w:val="20"/>
          <w:color w:val="auto"/>
        </w:rPr>
      </w:pPr>
    </w:p>
    <w:p>
      <w:pPr>
        <w:ind w:left="360" w:right="40"/>
        <w:spacing w:after="0" w:line="245" w:lineRule="auto"/>
        <w:rPr>
          <w:sz w:val="20"/>
          <w:szCs w:val="20"/>
          <w:color w:val="auto"/>
        </w:rPr>
      </w:pPr>
      <w:r>
        <w:rPr>
          <w:rFonts w:ascii="Arial" w:cs="Arial" w:eastAsia="Arial" w:hAnsi="Arial"/>
          <w:sz w:val="17"/>
          <w:szCs w:val="17"/>
          <w:color w:val="auto"/>
        </w:rPr>
        <w:t>We have adopted an Insider Trading Policy, which provides that insiders, including executive officers and members of our Board, all employees at the Company’s global headquarters at 9100 South Hills Blvd, Suite 300, Broadview Heights, Ohio and others reasonably expected to have access to material non-public information, are prohibited from the following: entering into hedging or monetization transactions with respect to our securities, including zero-cost collars, equity swaps, exchange funds and forward sale contracts; holding our securities in a margin account; pledging our securities as collateral for a loan, unless approved in advance; short selling our securities; and engaging in any transaction in publicly traded options in our securities, including puts or calls or other derivative securities.</w:t>
      </w:r>
    </w:p>
    <w:p>
      <w:pPr>
        <w:spacing w:after="0" w:line="158" w:lineRule="exact"/>
        <w:rPr>
          <w:sz w:val="20"/>
          <w:szCs w:val="20"/>
          <w:color w:val="auto"/>
        </w:rPr>
      </w:pPr>
    </w:p>
    <w:p>
      <w:pPr>
        <w:ind w:left="360"/>
        <w:spacing w:after="0"/>
        <w:rPr>
          <w:sz w:val="20"/>
          <w:szCs w:val="20"/>
          <w:color w:val="auto"/>
        </w:rPr>
      </w:pPr>
      <w:r>
        <w:rPr>
          <w:rFonts w:ascii="Arial" w:cs="Arial" w:eastAsia="Arial" w:hAnsi="Arial"/>
          <w:sz w:val="28"/>
          <w:szCs w:val="28"/>
          <w:color w:val="auto"/>
        </w:rPr>
        <w:t>Stock Ownership Guidelines</w:t>
      </w:r>
    </w:p>
    <w:p>
      <w:pPr>
        <w:spacing w:after="0" w:line="220" w:lineRule="exact"/>
        <w:rPr>
          <w:sz w:val="20"/>
          <w:szCs w:val="20"/>
          <w:color w:val="auto"/>
        </w:rPr>
      </w:pPr>
    </w:p>
    <w:p>
      <w:pPr>
        <w:ind w:left="360" w:right="20"/>
        <w:spacing w:after="0" w:line="242" w:lineRule="auto"/>
        <w:rPr>
          <w:sz w:val="20"/>
          <w:szCs w:val="20"/>
          <w:color w:val="auto"/>
        </w:rPr>
      </w:pPr>
      <w:r>
        <w:rPr>
          <w:rFonts w:ascii="Arial" w:cs="Arial" w:eastAsia="Arial" w:hAnsi="Arial"/>
          <w:sz w:val="17"/>
          <w:szCs w:val="17"/>
          <w:color w:val="auto"/>
        </w:rPr>
        <w:t>In order to further align the interests of our senior executive team, executive officers and directors with those of our shareholders, in March 2021, the LD&amp;C Committee adopted stock ownership guidelines. Within five years of becoming subject to the guidelines, our senior executive team is expected to hold Company stock valued at the following multiple of their annual base salary: five -times annual base salary for our CEO and two-times annual base salary for each of our other NEOs and other members of the senior executive team. Our non-employee directors are expected to hold Company stock valued at five-times their annual cash retainer within five years of becoming subject to the guidelines. Consistent with typical practices, we count shares underlying RSUs and shares of unvested restricted stock which are subject to time-based vesting requirements as owned shares for purposes of these guidelines but do not count shares underlying stock options or shares of unvested restricted stock which are subject to performance-based vesting requirements as owned shares. The Committee monitors compliance with these guidelines on an annual basis.</w:t>
      </w:r>
    </w:p>
    <w:p>
      <w:pPr>
        <w:spacing w:after="0" w:line="136" w:lineRule="exact"/>
        <w:rPr>
          <w:sz w:val="20"/>
          <w:szCs w:val="20"/>
          <w:color w:val="auto"/>
        </w:rPr>
      </w:pPr>
    </w:p>
    <w:p>
      <w:pPr>
        <w:ind w:left="360"/>
        <w:spacing w:after="0" w:line="256" w:lineRule="auto"/>
        <w:rPr>
          <w:sz w:val="20"/>
          <w:szCs w:val="20"/>
          <w:color w:val="auto"/>
        </w:rPr>
      </w:pPr>
      <w:r>
        <w:rPr>
          <w:rFonts w:ascii="Arial" w:cs="Arial" w:eastAsia="Arial" w:hAnsi="Arial"/>
          <w:sz w:val="17"/>
          <w:szCs w:val="17"/>
          <w:color w:val="auto"/>
        </w:rPr>
        <w:t>Each of Messrs. Petras, Rutz and Klaben and Ms. Klee were in compliance with our stock ownership guidelines as of March 31, 2023, and Mr. Dimitrief and our other non-employee directors are on track to meet the ownership guidelines within the time required. Mr. Biehl is not expected to comply with the guidelines due to the interim nature of his appointment.</w:t>
      </w:r>
    </w:p>
    <w:p>
      <w:pPr>
        <w:spacing w:after="0" w:line="149" w:lineRule="exact"/>
        <w:rPr>
          <w:sz w:val="20"/>
          <w:szCs w:val="20"/>
          <w:color w:val="auto"/>
        </w:rPr>
      </w:pPr>
    </w:p>
    <w:p>
      <w:pPr>
        <w:ind w:left="360"/>
        <w:spacing w:after="0"/>
        <w:rPr>
          <w:sz w:val="20"/>
          <w:szCs w:val="20"/>
          <w:color w:val="auto"/>
        </w:rPr>
      </w:pPr>
      <w:r>
        <w:rPr>
          <w:rFonts w:ascii="Arial" w:cs="Arial" w:eastAsia="Arial" w:hAnsi="Arial"/>
          <w:sz w:val="28"/>
          <w:szCs w:val="28"/>
          <w:color w:val="auto"/>
        </w:rPr>
        <w:t>Compensation Risk Considerations</w:t>
      </w:r>
    </w:p>
    <w:p>
      <w:pPr>
        <w:spacing w:after="0" w:line="220" w:lineRule="exact"/>
        <w:rPr>
          <w:sz w:val="20"/>
          <w:szCs w:val="20"/>
          <w:color w:val="auto"/>
        </w:rPr>
      </w:pPr>
    </w:p>
    <w:p>
      <w:pPr>
        <w:ind w:left="360" w:right="100"/>
        <w:spacing w:after="0" w:line="245" w:lineRule="auto"/>
        <w:rPr>
          <w:sz w:val="20"/>
          <w:szCs w:val="20"/>
          <w:color w:val="auto"/>
        </w:rPr>
      </w:pPr>
      <w:r>
        <w:rPr>
          <w:rFonts w:ascii="Arial" w:cs="Arial" w:eastAsia="Arial" w:hAnsi="Arial"/>
          <w:sz w:val="17"/>
          <w:szCs w:val="17"/>
          <w:color w:val="auto"/>
        </w:rPr>
        <w:t>In consultation with Exequity, the LD&amp;C Committee has reviewed our compensation program to assess whether it risks encouraging excessive risk taking. In particular, the Committee has reviewed and considered our compensation policies and practices, including our mix of short- versus long-term incentives; cash- versus stock-based awards; stock ownership guidelines; assessment of individual performance against Company values; and the independent Board oversight of our compensation program. Based on this review, the Committee agreed with Exequity’s assessment that the compensation program does not present risks that are reasonably likely to have a material adverse effect on the Company. Our LD&amp;C Committee conducts this assessment annually.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231775</wp:posOffset>
            </wp:positionH>
            <wp:positionV relativeFrom="paragraph">
              <wp:posOffset>94615</wp:posOffset>
            </wp:positionV>
            <wp:extent cx="6687820" cy="1651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687820" cy="16510"/>
                    </a:xfrm>
                    <a:prstGeom prst="rect">
                      <a:avLst/>
                    </a:prstGeom>
                    <a:noFill/>
                  </pic:spPr>
                </pic:pic>
              </a:graphicData>
            </a:graphic>
          </wp:anchor>
        </w:drawing>
      </w:r>
    </w:p>
    <w:p>
      <w:pPr>
        <w:spacing w:after="0" w:line="319" w:lineRule="exact"/>
        <w:rPr>
          <w:sz w:val="20"/>
          <w:szCs w:val="20"/>
          <w:color w:val="auto"/>
        </w:rPr>
      </w:pPr>
    </w:p>
    <w:tbl>
      <w:tblPr>
        <w:tblLayout w:type="fixed"/>
        <w:tblInd w:w="360" w:type="dxa"/>
        <w:tblCellMar>
          <w:top w:w="0" w:type="dxa"/>
          <w:left w:w="0" w:type="dxa"/>
          <w:bottom w:w="0" w:type="dxa"/>
          <w:right w:w="0" w:type="dxa"/>
        </w:tblCellMar>
      </w:tblPr>
      <w:tr>
        <w:trPr>
          <w:trHeight w:val="226"/>
        </w:trPr>
        <w:tc>
          <w:tcPr>
            <w:tcW w:w="3900" w:type="dxa"/>
            <w:vAlign w:val="bottom"/>
          </w:tcPr>
          <w:p>
            <w:pPr>
              <w:spacing w:after="0"/>
              <w:rPr>
                <w:sz w:val="20"/>
                <w:szCs w:val="20"/>
                <w:color w:val="auto"/>
              </w:rPr>
            </w:pPr>
            <w:r>
              <w:rPr>
                <w:rFonts w:ascii="Arial" w:cs="Arial" w:eastAsia="Arial" w:hAnsi="Arial"/>
                <w:sz w:val="17"/>
                <w:szCs w:val="17"/>
                <w:color w:val="auto"/>
              </w:rPr>
              <w:t>2023 Notice and Proxy Statement</w:t>
            </w:r>
          </w:p>
        </w:tc>
        <w:tc>
          <w:tcPr>
            <w:tcW w:w="1520" w:type="dxa"/>
            <w:vAlign w:val="bottom"/>
          </w:tcPr>
          <w:p>
            <w:pPr>
              <w:jc w:val="right"/>
              <w:spacing w:after="0"/>
              <w:rPr>
                <w:sz w:val="20"/>
                <w:szCs w:val="20"/>
                <w:color w:val="auto"/>
              </w:rPr>
            </w:pPr>
            <w:r>
              <w:rPr>
                <w:rFonts w:ascii="Arial" w:cs="Arial" w:eastAsia="Arial" w:hAnsi="Arial"/>
                <w:sz w:val="17"/>
                <w:szCs w:val="17"/>
                <w:color w:val="auto"/>
              </w:rPr>
              <w:t>42</w:t>
            </w:r>
          </w:p>
        </w:tc>
      </w:tr>
    </w:tbl>
    <w:p>
      <w:pPr>
        <w:sectPr>
          <w:pgSz w:w="11900" w:h="16838" w:orient="portrait"/>
          <w:cols w:equalWidth="0" w:num="1">
            <w:col w:w="10880"/>
          </w:cols>
          <w:pgMar w:left="320" w:top="468" w:right="69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5397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79945" cy="53975"/>
                    </a:xfrm>
                    <a:prstGeom prst="rect">
                      <a:avLst/>
                    </a:prstGeom>
                    <a:noFill/>
                  </pic:spPr>
                </pic:pic>
              </a:graphicData>
            </a:graphic>
          </wp:anchor>
        </w:drawing>
        <w:t>Table of Contents</w:t>
      </w:r>
    </w:p>
    <w:p>
      <w:pPr>
        <w:spacing w:after="0" w:line="296"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Compensation Discussion and Analysis</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Other Compensation Policies and Practices</w:t>
      </w:r>
    </w:p>
    <w:p>
      <w:pPr>
        <w:spacing w:after="0" w:line="101" w:lineRule="exact"/>
        <w:rPr>
          <w:sz w:val="20"/>
          <w:szCs w:val="20"/>
          <w:color w:val="auto"/>
        </w:rPr>
      </w:pPr>
    </w:p>
    <w:p>
      <w:pPr>
        <w:ind w:left="360"/>
        <w:spacing w:after="0"/>
        <w:rPr>
          <w:sz w:val="20"/>
          <w:szCs w:val="20"/>
          <w:color w:val="auto"/>
        </w:rPr>
      </w:pPr>
      <w:r>
        <w:rPr>
          <w:rFonts w:ascii="Arial" w:cs="Arial" w:eastAsia="Arial" w:hAnsi="Arial"/>
          <w:sz w:val="28"/>
          <w:szCs w:val="28"/>
          <w:color w:val="auto"/>
        </w:rPr>
        <w:t>Policies and Practices Regarding Equity Awards</w:t>
      </w:r>
    </w:p>
    <w:p>
      <w:pPr>
        <w:spacing w:after="0" w:line="220" w:lineRule="exact"/>
        <w:rPr>
          <w:sz w:val="20"/>
          <w:szCs w:val="20"/>
          <w:color w:val="auto"/>
        </w:rPr>
      </w:pPr>
    </w:p>
    <w:p>
      <w:pPr>
        <w:ind w:left="360" w:right="180"/>
        <w:spacing w:after="0" w:line="246" w:lineRule="auto"/>
        <w:rPr>
          <w:sz w:val="20"/>
          <w:szCs w:val="20"/>
          <w:color w:val="auto"/>
        </w:rPr>
      </w:pPr>
      <w:r>
        <w:rPr>
          <w:rFonts w:ascii="Arial" w:cs="Arial" w:eastAsia="Arial" w:hAnsi="Arial"/>
          <w:sz w:val="17"/>
          <w:szCs w:val="17"/>
          <w:color w:val="auto"/>
        </w:rPr>
        <w:t>The Company does not grant equity awards when in possession of material non-public information. Generally, our broad-based equity awards will be granted at approximately the same time each year following our release of full-year financial results. When equity grants are approved outside of our regular annual cycle, for example in connection with a new hire, or a promotion or retention incentive, grants are made following the release of our next quarterly financial results. Stock options are granted only with an exercise price equal to the closing price of the Company’s stock on the date of grant.</w:t>
      </w:r>
    </w:p>
    <w:p>
      <w:pPr>
        <w:spacing w:after="0" w:line="160" w:lineRule="exact"/>
        <w:rPr>
          <w:sz w:val="20"/>
          <w:szCs w:val="20"/>
          <w:color w:val="auto"/>
        </w:rPr>
      </w:pPr>
    </w:p>
    <w:p>
      <w:pPr>
        <w:ind w:left="360"/>
        <w:spacing w:after="0"/>
        <w:rPr>
          <w:sz w:val="20"/>
          <w:szCs w:val="20"/>
          <w:color w:val="auto"/>
        </w:rPr>
      </w:pPr>
      <w:r>
        <w:rPr>
          <w:rFonts w:ascii="Arial" w:cs="Arial" w:eastAsia="Arial" w:hAnsi="Arial"/>
          <w:sz w:val="28"/>
          <w:szCs w:val="28"/>
          <w:color w:val="auto"/>
        </w:rPr>
        <w:t>Deductibility of Compensation</w:t>
      </w:r>
    </w:p>
    <w:p>
      <w:pPr>
        <w:spacing w:after="0" w:line="220" w:lineRule="exact"/>
        <w:rPr>
          <w:sz w:val="20"/>
          <w:szCs w:val="20"/>
          <w:color w:val="auto"/>
        </w:rPr>
      </w:pPr>
    </w:p>
    <w:p>
      <w:pPr>
        <w:ind w:left="360"/>
        <w:spacing w:after="0"/>
        <w:rPr>
          <w:sz w:val="20"/>
          <w:szCs w:val="20"/>
          <w:color w:val="auto"/>
        </w:rPr>
      </w:pPr>
      <w:r>
        <w:rPr>
          <w:rFonts w:ascii="Arial" w:cs="Arial" w:eastAsia="Arial" w:hAnsi="Arial"/>
          <w:sz w:val="17"/>
          <w:szCs w:val="17"/>
          <w:color w:val="auto"/>
        </w:rPr>
        <w:t>Prior to the effectiveness of the Tax Cuts and Jobs Act of 2017 (the “Tax Act”), Section 162(m) of the Internal Revenue Code</w:t>
      </w:r>
    </w:p>
    <w:p>
      <w:pPr>
        <w:spacing w:after="0" w:line="14" w:lineRule="exact"/>
        <w:rPr>
          <w:sz w:val="20"/>
          <w:szCs w:val="20"/>
          <w:color w:val="auto"/>
        </w:rPr>
      </w:pPr>
    </w:p>
    <w:p>
      <w:pPr>
        <w:ind w:left="360" w:right="80"/>
        <w:spacing w:after="0"/>
        <w:rPr>
          <w:sz w:val="20"/>
          <w:szCs w:val="20"/>
          <w:color w:val="auto"/>
        </w:rPr>
      </w:pPr>
      <w:r>
        <w:rPr>
          <w:rFonts w:ascii="Arial" w:cs="Arial" w:eastAsia="Arial" w:hAnsi="Arial"/>
          <w:sz w:val="17"/>
          <w:szCs w:val="17"/>
          <w:color w:val="auto"/>
        </w:rPr>
        <w:t>(“Section 162(m)”) imposed an annual deduction limit of $1 million on the amount of compensation paid to both the chief executive officer and certain other named executive officers. The deduction limit did not apply to performance-based compensation satisfying the requirements of Section 162(m). Effective in fiscal year 2018, the Tax Act eliminated the Section 162(m) provisions exempting performance-based compensation from the $1 million deduction limit for compensation granted or materially modified after November 2, 2017. While the LD&amp;C Committee will take into account the tax and accounting implications (including with respect to the expected lack of deductibility under the revised Section 162(m)) when making compensation decisions, it reserves the right to make compensation decisions based on other factors if the LD&amp;C Committee determines it is in its best interests to do so.</w:t>
      </w:r>
    </w:p>
    <w:p>
      <w:pPr>
        <w:spacing w:after="0" w:line="164" w:lineRule="exact"/>
        <w:rPr>
          <w:sz w:val="20"/>
          <w:szCs w:val="20"/>
          <w:color w:val="auto"/>
        </w:rPr>
      </w:pPr>
    </w:p>
    <w:p>
      <w:pPr>
        <w:ind w:left="360"/>
        <w:spacing w:after="0"/>
        <w:rPr>
          <w:sz w:val="20"/>
          <w:szCs w:val="20"/>
          <w:color w:val="auto"/>
        </w:rPr>
      </w:pPr>
      <w:r>
        <w:rPr>
          <w:rFonts w:ascii="Arial" w:cs="Arial" w:eastAsia="Arial" w:hAnsi="Arial"/>
          <w:sz w:val="28"/>
          <w:szCs w:val="28"/>
          <w:color w:val="auto"/>
        </w:rPr>
        <w:t>Accounting for Stock-Based Compensation</w:t>
      </w:r>
    </w:p>
    <w:p>
      <w:pPr>
        <w:spacing w:after="0" w:line="220" w:lineRule="exact"/>
        <w:rPr>
          <w:sz w:val="20"/>
          <w:szCs w:val="20"/>
          <w:color w:val="auto"/>
        </w:rPr>
      </w:pPr>
    </w:p>
    <w:p>
      <w:pPr>
        <w:ind w:left="360" w:right="460"/>
        <w:spacing w:after="0" w:line="274" w:lineRule="auto"/>
        <w:rPr>
          <w:sz w:val="20"/>
          <w:szCs w:val="20"/>
          <w:color w:val="auto"/>
        </w:rPr>
      </w:pPr>
      <w:r>
        <w:rPr>
          <w:rFonts w:ascii="Arial" w:cs="Arial" w:eastAsia="Arial" w:hAnsi="Arial"/>
          <w:sz w:val="17"/>
          <w:szCs w:val="17"/>
          <w:color w:val="auto"/>
        </w:rPr>
        <w:t>We account for stock-based payments, including payments under our 2020 Incentive Plan, in accordance with FASB ASC Topic 718, “Stock Compensation.”</w:t>
      </w:r>
    </w:p>
    <w:p>
      <w:pPr>
        <w:spacing w:after="0" w:line="134" w:lineRule="exact"/>
        <w:rPr>
          <w:sz w:val="20"/>
          <w:szCs w:val="20"/>
          <w:color w:val="auto"/>
        </w:rPr>
      </w:pPr>
    </w:p>
    <w:p>
      <w:pPr>
        <w:ind w:left="360"/>
        <w:spacing w:after="0"/>
        <w:rPr>
          <w:sz w:val="20"/>
          <w:szCs w:val="20"/>
          <w:color w:val="auto"/>
        </w:rPr>
      </w:pPr>
      <w:r>
        <w:rPr>
          <w:rFonts w:ascii="Arial" w:cs="Arial" w:eastAsia="Arial" w:hAnsi="Arial"/>
          <w:sz w:val="28"/>
          <w:szCs w:val="28"/>
          <w:color w:val="auto"/>
        </w:rPr>
        <w:t>Compensation Committee Interlocks and Insider Participation</w:t>
      </w:r>
    </w:p>
    <w:p>
      <w:pPr>
        <w:spacing w:after="0" w:line="220" w:lineRule="exact"/>
        <w:rPr>
          <w:sz w:val="20"/>
          <w:szCs w:val="20"/>
          <w:color w:val="auto"/>
        </w:rPr>
      </w:pPr>
    </w:p>
    <w:p>
      <w:pPr>
        <w:ind w:left="360" w:right="520"/>
        <w:spacing w:after="0" w:line="250" w:lineRule="auto"/>
        <w:rPr>
          <w:sz w:val="20"/>
          <w:szCs w:val="20"/>
          <w:color w:val="auto"/>
        </w:rPr>
      </w:pPr>
      <w:r>
        <w:rPr>
          <w:rFonts w:ascii="Arial" w:cs="Arial" w:eastAsia="Arial" w:hAnsi="Arial"/>
          <w:sz w:val="17"/>
          <w:szCs w:val="17"/>
          <w:color w:val="auto"/>
        </w:rPr>
        <w:t>None of the members of our LD&amp;C Committee is or has been an officer or employee of our Company. None of our executive officers currently serves, or in the past year has served, as a member of the board of directors or compensation committee (or other board committee performing equivalent functions) of any entity that has one or more executive officers serving on our Board or LD&amp;C Committee.</w:t>
      </w:r>
    </w:p>
    <w:p>
      <w:pPr>
        <w:spacing w:after="0" w:line="157" w:lineRule="exact"/>
        <w:rPr>
          <w:sz w:val="20"/>
          <w:szCs w:val="20"/>
          <w:color w:val="auto"/>
        </w:rPr>
      </w:pPr>
    </w:p>
    <w:p>
      <w:pPr>
        <w:ind w:left="360"/>
        <w:spacing w:after="0"/>
        <w:rPr>
          <w:sz w:val="20"/>
          <w:szCs w:val="20"/>
          <w:color w:val="auto"/>
        </w:rPr>
      </w:pPr>
      <w:r>
        <w:rPr>
          <w:rFonts w:ascii="Arial" w:cs="Arial" w:eastAsia="Arial" w:hAnsi="Arial"/>
          <w:sz w:val="31"/>
          <w:szCs w:val="31"/>
          <w:color w:val="00B0DB"/>
        </w:rPr>
        <w:t>Compensation Committee Report</w:t>
      </w:r>
    </w:p>
    <w:p>
      <w:pPr>
        <w:spacing w:after="0" w:line="221" w:lineRule="exact"/>
        <w:rPr>
          <w:sz w:val="20"/>
          <w:szCs w:val="20"/>
          <w:color w:val="auto"/>
        </w:rPr>
      </w:pPr>
    </w:p>
    <w:p>
      <w:pPr>
        <w:ind w:left="360" w:right="120"/>
        <w:spacing w:after="0" w:line="250" w:lineRule="auto"/>
        <w:rPr>
          <w:sz w:val="20"/>
          <w:szCs w:val="20"/>
          <w:color w:val="auto"/>
        </w:rPr>
      </w:pPr>
      <w:r>
        <w:rPr>
          <w:rFonts w:ascii="Arial" w:cs="Arial" w:eastAsia="Arial" w:hAnsi="Arial"/>
          <w:sz w:val="17"/>
          <w:szCs w:val="17"/>
          <w:color w:val="auto"/>
        </w:rPr>
        <w:t>The Leadership Development and Compensation Committee of the Board has reviewed and discussed with management the Company’s Compensation Discussion and Analysis. Based on this review and discussion, the Leadership Development and Compensation Committee has recommended to the Board that the Compensation Discussion and Analysis be included in this Proxy Statement and incorporated into the Company’s Annual Report on Form 10-K for the year ended December 31, 2022.</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17"/>
          <w:szCs w:val="17"/>
          <w:color w:val="auto"/>
        </w:rPr>
        <w:t>Respectfully submitted,</w:t>
      </w:r>
    </w:p>
    <w:p>
      <w:pPr>
        <w:spacing w:after="0" w:line="205" w:lineRule="exact"/>
        <w:rPr>
          <w:sz w:val="20"/>
          <w:szCs w:val="20"/>
          <w:color w:val="auto"/>
        </w:rPr>
      </w:pPr>
    </w:p>
    <w:p>
      <w:pPr>
        <w:ind w:left="360"/>
        <w:spacing w:after="0"/>
        <w:rPr>
          <w:sz w:val="20"/>
          <w:szCs w:val="20"/>
          <w:color w:val="auto"/>
        </w:rPr>
      </w:pPr>
      <w:r>
        <w:rPr>
          <w:rFonts w:ascii="Arial" w:cs="Arial" w:eastAsia="Arial" w:hAnsi="Arial"/>
          <w:sz w:val="17"/>
          <w:szCs w:val="17"/>
          <w:b w:val="1"/>
          <w:bCs w:val="1"/>
          <w:i w:val="1"/>
          <w:iCs w:val="1"/>
          <w:color w:val="auto"/>
        </w:rPr>
        <w:t>The Leadership Development and Compensation Committee</w:t>
      </w:r>
    </w:p>
    <w:p>
      <w:pPr>
        <w:spacing w:after="0" w:line="205" w:lineRule="exact"/>
        <w:rPr>
          <w:sz w:val="20"/>
          <w:szCs w:val="20"/>
          <w:color w:val="auto"/>
        </w:rPr>
      </w:pPr>
    </w:p>
    <w:p>
      <w:pPr>
        <w:ind w:left="360"/>
        <w:spacing w:after="0"/>
        <w:rPr>
          <w:sz w:val="20"/>
          <w:szCs w:val="20"/>
          <w:color w:val="auto"/>
        </w:rPr>
      </w:pPr>
      <w:r>
        <w:rPr>
          <w:rFonts w:ascii="Arial" w:cs="Arial" w:eastAsia="Arial" w:hAnsi="Arial"/>
          <w:sz w:val="17"/>
          <w:szCs w:val="17"/>
          <w:color w:val="auto"/>
        </w:rPr>
        <w:t>James C. Neary, Chair</w:t>
      </w:r>
    </w:p>
    <w:p>
      <w:pPr>
        <w:spacing w:after="0" w:line="14" w:lineRule="exact"/>
        <w:rPr>
          <w:sz w:val="20"/>
          <w:szCs w:val="20"/>
          <w:color w:val="auto"/>
        </w:rPr>
      </w:pPr>
    </w:p>
    <w:p>
      <w:pPr>
        <w:ind w:left="360"/>
        <w:spacing w:after="0"/>
        <w:rPr>
          <w:sz w:val="20"/>
          <w:szCs w:val="20"/>
          <w:color w:val="auto"/>
        </w:rPr>
      </w:pPr>
      <w:r>
        <w:rPr>
          <w:rFonts w:ascii="Arial" w:cs="Arial" w:eastAsia="Arial" w:hAnsi="Arial"/>
          <w:sz w:val="17"/>
          <w:szCs w:val="17"/>
          <w:color w:val="auto"/>
        </w:rPr>
        <w:t>Constantine S. Mihas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231775</wp:posOffset>
            </wp:positionH>
            <wp:positionV relativeFrom="paragraph">
              <wp:posOffset>106045</wp:posOffset>
            </wp:positionV>
            <wp:extent cx="6687820" cy="1651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687820" cy="16510"/>
                    </a:xfrm>
                    <a:prstGeom prst="rect">
                      <a:avLst/>
                    </a:prstGeom>
                    <a:noFill/>
                  </pic:spPr>
                </pic:pic>
              </a:graphicData>
            </a:graphic>
          </wp:anchor>
        </w:drawing>
      </w:r>
    </w:p>
    <w:p>
      <w:pPr>
        <w:spacing w:after="0" w:line="336"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6443980</wp:posOffset>
            </wp:positionH>
            <wp:positionV relativeFrom="paragraph">
              <wp:posOffset>-113030</wp:posOffset>
            </wp:positionV>
            <wp:extent cx="475615" cy="15557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475615" cy="155575"/>
                    </a:xfrm>
                    <a:prstGeom prst="rect">
                      <a:avLst/>
                    </a:prstGeom>
                    <a:noFill/>
                  </pic:spPr>
                </pic:pic>
              </a:graphicData>
            </a:graphic>
          </wp:anchor>
        </w:drawing>
      </w:r>
    </w:p>
    <w:p>
      <w:pPr>
        <w:sectPr>
          <w:pgSz w:w="11900" w:h="16838" w:orient="portrait"/>
          <w:cols w:equalWidth="0" w:num="1">
            <w:col w:w="10900"/>
          </w:cols>
          <w:pgMar w:left="320" w:top="468" w:right="67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5397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79945" cy="53975"/>
                    </a:xfrm>
                    <a:prstGeom prst="rect">
                      <a:avLst/>
                    </a:prstGeom>
                    <a:noFill/>
                  </pic:spPr>
                </pic:pic>
              </a:graphicData>
            </a:graphic>
          </wp:anchor>
        </w:drawing>
        <w:t>Table of Contents</w:t>
      </w:r>
    </w:p>
    <w:p>
      <w:pPr>
        <w:spacing w:after="0" w:line="296"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auto"/>
        </w:rPr>
        <w:t>Compensation Tables</w:t>
      </w:r>
    </w:p>
    <w:p>
      <w:pPr>
        <w:spacing w:after="0" w:line="21" w:lineRule="exact"/>
        <w:rPr>
          <w:sz w:val="20"/>
          <w:szCs w:val="20"/>
          <w:color w:val="auto"/>
        </w:rPr>
      </w:pPr>
    </w:p>
    <w:p>
      <w:pPr>
        <w:ind w:left="360"/>
        <w:spacing w:after="0"/>
        <w:rPr>
          <w:sz w:val="20"/>
          <w:szCs w:val="20"/>
          <w:color w:val="auto"/>
        </w:rPr>
      </w:pPr>
      <w:r>
        <w:rPr>
          <w:rFonts w:ascii="Arial" w:cs="Arial" w:eastAsia="Arial" w:hAnsi="Arial"/>
          <w:sz w:val="14"/>
          <w:szCs w:val="14"/>
          <w:b w:val="1"/>
          <w:bCs w:val="1"/>
          <w:color w:val="auto"/>
        </w:rPr>
        <w:t>Summary Compensation Table</w:t>
      </w:r>
    </w:p>
    <w:p>
      <w:pPr>
        <w:spacing w:after="0" w:line="90" w:lineRule="exact"/>
        <w:rPr>
          <w:sz w:val="20"/>
          <w:szCs w:val="20"/>
          <w:color w:val="auto"/>
        </w:rPr>
      </w:pPr>
    </w:p>
    <w:p>
      <w:pPr>
        <w:ind w:left="360"/>
        <w:spacing w:after="0"/>
        <w:rPr>
          <w:sz w:val="20"/>
          <w:szCs w:val="20"/>
          <w:color w:val="auto"/>
        </w:rPr>
      </w:pPr>
      <w:r>
        <w:rPr>
          <w:rFonts w:ascii="Arial" w:cs="Arial" w:eastAsia="Arial" w:hAnsi="Arial"/>
          <w:sz w:val="41"/>
          <w:szCs w:val="41"/>
          <w:b w:val="1"/>
          <w:bCs w:val="1"/>
          <w:color w:val="00B0DB"/>
        </w:rPr>
        <w:t>COMPENSATION TABLES</w:t>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31"/>
          <w:szCs w:val="31"/>
          <w:color w:val="00B0DB"/>
        </w:rPr>
        <w:t>Summary Compensation Table</w:t>
      </w:r>
    </w:p>
    <w:p>
      <w:pPr>
        <w:spacing w:after="0" w:line="221" w:lineRule="exact"/>
        <w:rPr>
          <w:sz w:val="20"/>
          <w:szCs w:val="20"/>
          <w:color w:val="auto"/>
        </w:rPr>
      </w:pPr>
    </w:p>
    <w:p>
      <w:pPr>
        <w:ind w:left="360" w:right="80"/>
        <w:spacing w:after="0" w:line="274" w:lineRule="auto"/>
        <w:rPr>
          <w:sz w:val="20"/>
          <w:szCs w:val="20"/>
          <w:color w:val="auto"/>
        </w:rPr>
      </w:pPr>
      <w:r>
        <w:rPr>
          <w:rFonts w:ascii="Arial" w:cs="Arial" w:eastAsia="Arial" w:hAnsi="Arial"/>
          <w:sz w:val="17"/>
          <w:szCs w:val="17"/>
          <w:color w:val="auto"/>
        </w:rPr>
        <w:t>The following table presents summary information regarding the total compensation that was awarded to, earned by or paid to our Named Executive Officers during the years ended December 31, 2020, December 31, 2021 and December 31, 2022:</w:t>
      </w:r>
    </w:p>
    <w:p>
      <w:pPr>
        <w:spacing w:after="0" w:line="174" w:lineRule="exact"/>
        <w:rPr>
          <w:sz w:val="20"/>
          <w:szCs w:val="20"/>
          <w:color w:val="auto"/>
        </w:rPr>
      </w:pPr>
    </w:p>
    <w:tbl>
      <w:tblPr>
        <w:tblLayout w:type="fixed"/>
        <w:tblInd w:w="360" w:type="dxa"/>
        <w:tblCellMar>
          <w:top w:w="0" w:type="dxa"/>
          <w:left w:w="0" w:type="dxa"/>
          <w:bottom w:w="0" w:type="dxa"/>
          <w:right w:w="0" w:type="dxa"/>
        </w:tblCellMar>
      </w:tblPr>
      <w:tr>
        <w:trPr>
          <w:trHeight w:val="161"/>
        </w:trPr>
        <w:tc>
          <w:tcPr>
            <w:tcW w:w="20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500" w:type="dxa"/>
            <w:vAlign w:val="bottom"/>
            <w:gridSpan w:val="2"/>
          </w:tcPr>
          <w:p>
            <w:pPr>
              <w:jc w:val="center"/>
              <w:spacing w:after="0"/>
              <w:rPr>
                <w:sz w:val="20"/>
                <w:szCs w:val="20"/>
                <w:color w:val="auto"/>
              </w:rPr>
            </w:pPr>
            <w:r>
              <w:rPr>
                <w:rFonts w:ascii="Arial" w:cs="Arial" w:eastAsia="Arial" w:hAnsi="Arial"/>
                <w:sz w:val="14"/>
                <w:szCs w:val="14"/>
                <w:b w:val="1"/>
                <w:bCs w:val="1"/>
                <w:color w:val="00467D"/>
                <w:w w:val="96"/>
              </w:rPr>
              <w:t>Non-Equity</w:t>
            </w: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20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jc w:val="right"/>
              <w:ind w:right="203"/>
              <w:spacing w:after="0" w:line="151" w:lineRule="exact"/>
              <w:rPr>
                <w:sz w:val="20"/>
                <w:szCs w:val="20"/>
                <w:color w:val="auto"/>
              </w:rPr>
            </w:pPr>
            <w:r>
              <w:rPr>
                <w:rFonts w:ascii="Arial" w:cs="Arial" w:eastAsia="Arial" w:hAnsi="Arial"/>
                <w:sz w:val="14"/>
                <w:szCs w:val="14"/>
                <w:b w:val="1"/>
                <w:bCs w:val="1"/>
                <w:color w:val="00467D"/>
              </w:rPr>
              <w:t>Stock</w:t>
            </w:r>
          </w:p>
        </w:tc>
        <w:tc>
          <w:tcPr>
            <w:tcW w:w="180" w:type="dxa"/>
            <w:vAlign w:val="bottom"/>
          </w:tcPr>
          <w:p>
            <w:pPr>
              <w:spacing w:after="0"/>
              <w:rPr>
                <w:sz w:val="13"/>
                <w:szCs w:val="13"/>
                <w:color w:val="auto"/>
              </w:rPr>
            </w:pPr>
          </w:p>
        </w:tc>
        <w:tc>
          <w:tcPr>
            <w:tcW w:w="1000" w:type="dxa"/>
            <w:vAlign w:val="bottom"/>
          </w:tcPr>
          <w:p>
            <w:pPr>
              <w:jc w:val="right"/>
              <w:ind w:right="364"/>
              <w:spacing w:after="0" w:line="151" w:lineRule="exact"/>
              <w:rPr>
                <w:sz w:val="20"/>
                <w:szCs w:val="20"/>
                <w:color w:val="auto"/>
              </w:rPr>
            </w:pPr>
            <w:r>
              <w:rPr>
                <w:rFonts w:ascii="Arial" w:cs="Arial" w:eastAsia="Arial" w:hAnsi="Arial"/>
                <w:sz w:val="14"/>
                <w:szCs w:val="14"/>
                <w:b w:val="1"/>
                <w:bCs w:val="1"/>
                <w:color w:val="00467D"/>
              </w:rPr>
              <w:t>Option</w:t>
            </w:r>
          </w:p>
        </w:tc>
        <w:tc>
          <w:tcPr>
            <w:tcW w:w="1500" w:type="dxa"/>
            <w:vAlign w:val="bottom"/>
            <w:gridSpan w:val="2"/>
          </w:tcPr>
          <w:p>
            <w:pPr>
              <w:jc w:val="center"/>
              <w:spacing w:after="0" w:line="151" w:lineRule="exact"/>
              <w:rPr>
                <w:sz w:val="20"/>
                <w:szCs w:val="20"/>
                <w:color w:val="auto"/>
              </w:rPr>
            </w:pPr>
            <w:r>
              <w:rPr>
                <w:rFonts w:ascii="Arial" w:cs="Arial" w:eastAsia="Arial" w:hAnsi="Arial"/>
                <w:sz w:val="14"/>
                <w:szCs w:val="14"/>
                <w:b w:val="1"/>
                <w:bCs w:val="1"/>
                <w:color w:val="00467D"/>
                <w:w w:val="97"/>
              </w:rPr>
              <w:t>Incentive Plan</w:t>
            </w:r>
          </w:p>
        </w:tc>
        <w:tc>
          <w:tcPr>
            <w:tcW w:w="1360" w:type="dxa"/>
            <w:vAlign w:val="bottom"/>
            <w:gridSpan w:val="2"/>
          </w:tcPr>
          <w:p>
            <w:pPr>
              <w:jc w:val="right"/>
              <w:ind w:right="243"/>
              <w:spacing w:after="0" w:line="151" w:lineRule="exact"/>
              <w:rPr>
                <w:sz w:val="20"/>
                <w:szCs w:val="20"/>
                <w:color w:val="auto"/>
              </w:rPr>
            </w:pPr>
            <w:r>
              <w:rPr>
                <w:rFonts w:ascii="Arial" w:cs="Arial" w:eastAsia="Arial" w:hAnsi="Arial"/>
                <w:sz w:val="14"/>
                <w:szCs w:val="14"/>
                <w:b w:val="1"/>
                <w:bCs w:val="1"/>
                <w:color w:val="00467D"/>
              </w:rPr>
              <w:t>All Other</w:t>
            </w: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7"/>
        </w:trPr>
        <w:tc>
          <w:tcPr>
            <w:tcW w:w="2060" w:type="dxa"/>
            <w:vAlign w:val="bottom"/>
            <w:tcBorders>
              <w:bottom w:val="single" w:sz="8" w:color="00467D"/>
            </w:tcBorders>
          </w:tcPr>
          <w:p>
            <w:pPr>
              <w:ind w:left="60"/>
              <w:spacing w:after="0"/>
              <w:rPr>
                <w:sz w:val="20"/>
                <w:szCs w:val="20"/>
                <w:color w:val="auto"/>
              </w:rPr>
            </w:pPr>
            <w:r>
              <w:rPr>
                <w:rFonts w:ascii="Arial" w:cs="Arial" w:eastAsia="Arial" w:hAnsi="Arial"/>
                <w:sz w:val="14"/>
                <w:szCs w:val="14"/>
                <w:b w:val="1"/>
                <w:bCs w:val="1"/>
                <w:color w:val="00467D"/>
              </w:rPr>
              <w:t>Name and Principal Position</w:t>
            </w:r>
          </w:p>
        </w:tc>
        <w:tc>
          <w:tcPr>
            <w:tcW w:w="540" w:type="dxa"/>
            <w:vAlign w:val="bottom"/>
            <w:tcBorders>
              <w:bottom w:val="single" w:sz="8" w:color="00467D"/>
            </w:tcBorders>
          </w:tcPr>
          <w:p>
            <w:pPr>
              <w:ind w:left="100"/>
              <w:spacing w:after="0"/>
              <w:rPr>
                <w:sz w:val="20"/>
                <w:szCs w:val="20"/>
                <w:color w:val="auto"/>
              </w:rPr>
            </w:pPr>
            <w:r>
              <w:rPr>
                <w:rFonts w:ascii="Arial" w:cs="Arial" w:eastAsia="Arial" w:hAnsi="Arial"/>
                <w:sz w:val="14"/>
                <w:szCs w:val="14"/>
                <w:b w:val="1"/>
                <w:bCs w:val="1"/>
                <w:color w:val="00467D"/>
              </w:rPr>
              <w:t>Year</w:t>
            </w:r>
          </w:p>
        </w:tc>
        <w:tc>
          <w:tcPr>
            <w:tcW w:w="180" w:type="dxa"/>
            <w:vAlign w:val="bottom"/>
            <w:tcBorders>
              <w:bottom w:val="single" w:sz="8" w:color="00467D"/>
            </w:tcBorders>
          </w:tcPr>
          <w:p>
            <w:pPr>
              <w:spacing w:after="0"/>
              <w:rPr>
                <w:sz w:val="17"/>
                <w:szCs w:val="17"/>
                <w:color w:val="auto"/>
              </w:rPr>
            </w:pPr>
          </w:p>
        </w:tc>
        <w:tc>
          <w:tcPr>
            <w:tcW w:w="780" w:type="dxa"/>
            <w:vAlign w:val="bottom"/>
            <w:tcBorders>
              <w:bottom w:val="single" w:sz="8" w:color="00467D"/>
            </w:tcBorders>
          </w:tcPr>
          <w:p>
            <w:pPr>
              <w:jc w:val="right"/>
              <w:ind w:right="123"/>
              <w:spacing w:after="0" w:line="207" w:lineRule="exact"/>
              <w:rPr>
                <w:sz w:val="20"/>
                <w:szCs w:val="20"/>
                <w:color w:val="auto"/>
              </w:rPr>
            </w:pPr>
            <w:r>
              <w:rPr>
                <w:rFonts w:ascii="Arial" w:cs="Arial" w:eastAsia="Arial" w:hAnsi="Arial"/>
                <w:sz w:val="14"/>
                <w:szCs w:val="14"/>
                <w:b w:val="1"/>
                <w:bCs w:val="1"/>
                <w:color w:val="00467D"/>
                <w:w w:val="89"/>
              </w:rPr>
              <w:t xml:space="preserve">Salary </w:t>
            </w:r>
            <w:r>
              <w:rPr>
                <w:rFonts w:ascii="Arial" w:cs="Arial" w:eastAsia="Arial" w:hAnsi="Arial"/>
                <w:sz w:val="20"/>
                <w:szCs w:val="20"/>
                <w:b w:val="1"/>
                <w:bCs w:val="1"/>
                <w:color w:val="00467D"/>
                <w:w w:val="89"/>
                <w:vertAlign w:val="superscript"/>
              </w:rPr>
              <w:t>(1)</w:t>
            </w:r>
          </w:p>
        </w:tc>
        <w:tc>
          <w:tcPr>
            <w:tcW w:w="160" w:type="dxa"/>
            <w:vAlign w:val="bottom"/>
            <w:tcBorders>
              <w:bottom w:val="single" w:sz="8" w:color="00467D"/>
            </w:tcBorders>
          </w:tcPr>
          <w:p>
            <w:pPr>
              <w:spacing w:after="0"/>
              <w:rPr>
                <w:sz w:val="17"/>
                <w:szCs w:val="17"/>
                <w:color w:val="auto"/>
              </w:rPr>
            </w:pPr>
          </w:p>
        </w:tc>
        <w:tc>
          <w:tcPr>
            <w:tcW w:w="780" w:type="dxa"/>
            <w:vAlign w:val="bottom"/>
            <w:tcBorders>
              <w:bottom w:val="single" w:sz="8" w:color="00467D"/>
            </w:tcBorders>
          </w:tcPr>
          <w:p>
            <w:pPr>
              <w:jc w:val="right"/>
              <w:ind w:right="103"/>
              <w:spacing w:after="0" w:line="207" w:lineRule="exact"/>
              <w:rPr>
                <w:sz w:val="20"/>
                <w:szCs w:val="20"/>
                <w:color w:val="auto"/>
              </w:rPr>
            </w:pPr>
            <w:r>
              <w:rPr>
                <w:rFonts w:ascii="Arial" w:cs="Arial" w:eastAsia="Arial" w:hAnsi="Arial"/>
                <w:sz w:val="14"/>
                <w:szCs w:val="14"/>
                <w:b w:val="1"/>
                <w:bCs w:val="1"/>
                <w:color w:val="00467D"/>
                <w:w w:val="90"/>
              </w:rPr>
              <w:t xml:space="preserve">Bonus </w:t>
            </w:r>
            <w:r>
              <w:rPr>
                <w:rFonts w:ascii="Arial" w:cs="Arial" w:eastAsia="Arial" w:hAnsi="Arial"/>
                <w:sz w:val="20"/>
                <w:szCs w:val="20"/>
                <w:b w:val="1"/>
                <w:bCs w:val="1"/>
                <w:color w:val="00467D"/>
                <w:w w:val="90"/>
                <w:vertAlign w:val="superscript"/>
              </w:rPr>
              <w:t>(2)</w:t>
            </w:r>
          </w:p>
        </w:tc>
        <w:tc>
          <w:tcPr>
            <w:tcW w:w="960" w:type="dxa"/>
            <w:vAlign w:val="bottom"/>
            <w:tcBorders>
              <w:bottom w:val="single" w:sz="8" w:color="00467D"/>
            </w:tcBorders>
            <w:gridSpan w:val="2"/>
          </w:tcPr>
          <w:p>
            <w:pPr>
              <w:jc w:val="right"/>
              <w:ind w:right="63"/>
              <w:spacing w:after="0" w:line="207" w:lineRule="exact"/>
              <w:rPr>
                <w:sz w:val="20"/>
                <w:szCs w:val="20"/>
                <w:color w:val="auto"/>
              </w:rPr>
            </w:pPr>
            <w:r>
              <w:rPr>
                <w:rFonts w:ascii="Arial" w:cs="Arial" w:eastAsia="Arial" w:hAnsi="Arial"/>
                <w:sz w:val="14"/>
                <w:szCs w:val="14"/>
                <w:b w:val="1"/>
                <w:bCs w:val="1"/>
                <w:color w:val="00467D"/>
              </w:rPr>
              <w:t xml:space="preserve">Awards </w:t>
            </w:r>
            <w:r>
              <w:rPr>
                <w:rFonts w:ascii="Arial" w:cs="Arial" w:eastAsia="Arial" w:hAnsi="Arial"/>
                <w:sz w:val="20"/>
                <w:szCs w:val="20"/>
                <w:b w:val="1"/>
                <w:bCs w:val="1"/>
                <w:color w:val="00467D"/>
                <w:vertAlign w:val="superscript"/>
              </w:rPr>
              <w:t>(3)</w:t>
            </w:r>
          </w:p>
        </w:tc>
        <w:tc>
          <w:tcPr>
            <w:tcW w:w="180" w:type="dxa"/>
            <w:vAlign w:val="bottom"/>
            <w:tcBorders>
              <w:bottom w:val="single" w:sz="8" w:color="00467D"/>
            </w:tcBorders>
          </w:tcPr>
          <w:p>
            <w:pPr>
              <w:spacing w:after="0"/>
              <w:rPr>
                <w:sz w:val="17"/>
                <w:szCs w:val="17"/>
                <w:color w:val="auto"/>
              </w:rPr>
            </w:pPr>
          </w:p>
        </w:tc>
        <w:tc>
          <w:tcPr>
            <w:tcW w:w="1000" w:type="dxa"/>
            <w:vAlign w:val="bottom"/>
            <w:tcBorders>
              <w:bottom w:val="single" w:sz="8" w:color="00467D"/>
            </w:tcBorders>
          </w:tcPr>
          <w:p>
            <w:pPr>
              <w:jc w:val="right"/>
              <w:ind w:right="244"/>
              <w:spacing w:after="0" w:line="207" w:lineRule="exact"/>
              <w:rPr>
                <w:sz w:val="20"/>
                <w:szCs w:val="20"/>
                <w:color w:val="auto"/>
              </w:rPr>
            </w:pPr>
            <w:r>
              <w:rPr>
                <w:rFonts w:ascii="Arial" w:cs="Arial" w:eastAsia="Arial" w:hAnsi="Arial"/>
                <w:sz w:val="14"/>
                <w:szCs w:val="14"/>
                <w:b w:val="1"/>
                <w:bCs w:val="1"/>
                <w:color w:val="00467D"/>
                <w:w w:val="93"/>
              </w:rPr>
              <w:t xml:space="preserve">Awards </w:t>
            </w:r>
            <w:r>
              <w:rPr>
                <w:rFonts w:ascii="Arial" w:cs="Arial" w:eastAsia="Arial" w:hAnsi="Arial"/>
                <w:sz w:val="20"/>
                <w:szCs w:val="20"/>
                <w:b w:val="1"/>
                <w:bCs w:val="1"/>
                <w:color w:val="00467D"/>
                <w:w w:val="93"/>
                <w:vertAlign w:val="superscript"/>
              </w:rPr>
              <w:t>(4)</w:t>
            </w:r>
          </w:p>
        </w:tc>
        <w:tc>
          <w:tcPr>
            <w:tcW w:w="1500" w:type="dxa"/>
            <w:vAlign w:val="bottom"/>
            <w:tcBorders>
              <w:bottom w:val="single" w:sz="8" w:color="00467D"/>
            </w:tcBorders>
            <w:gridSpan w:val="2"/>
          </w:tcPr>
          <w:p>
            <w:pPr>
              <w:jc w:val="center"/>
              <w:spacing w:after="0" w:line="207" w:lineRule="exact"/>
              <w:rPr>
                <w:sz w:val="20"/>
                <w:szCs w:val="20"/>
                <w:color w:val="auto"/>
              </w:rPr>
            </w:pPr>
            <w:r>
              <w:rPr>
                <w:rFonts w:ascii="Arial" w:cs="Arial" w:eastAsia="Arial" w:hAnsi="Arial"/>
                <w:sz w:val="14"/>
                <w:szCs w:val="14"/>
                <w:b w:val="1"/>
                <w:bCs w:val="1"/>
                <w:color w:val="00467D"/>
                <w:w w:val="95"/>
              </w:rPr>
              <w:t xml:space="preserve">Compensation </w:t>
            </w:r>
            <w:r>
              <w:rPr>
                <w:rFonts w:ascii="Arial" w:cs="Arial" w:eastAsia="Arial" w:hAnsi="Arial"/>
                <w:sz w:val="20"/>
                <w:szCs w:val="20"/>
                <w:b w:val="1"/>
                <w:bCs w:val="1"/>
                <w:color w:val="00467D"/>
                <w:w w:val="95"/>
                <w:vertAlign w:val="superscript"/>
              </w:rPr>
              <w:t>(5)</w:t>
            </w:r>
          </w:p>
        </w:tc>
        <w:tc>
          <w:tcPr>
            <w:tcW w:w="1360" w:type="dxa"/>
            <w:vAlign w:val="bottom"/>
            <w:tcBorders>
              <w:bottom w:val="single" w:sz="8" w:color="00467D"/>
            </w:tcBorders>
            <w:gridSpan w:val="2"/>
          </w:tcPr>
          <w:p>
            <w:pPr>
              <w:jc w:val="right"/>
              <w:spacing w:after="0" w:line="207" w:lineRule="exact"/>
              <w:rPr>
                <w:sz w:val="20"/>
                <w:szCs w:val="20"/>
                <w:color w:val="auto"/>
              </w:rPr>
            </w:pPr>
            <w:r>
              <w:rPr>
                <w:rFonts w:ascii="Arial" w:cs="Arial" w:eastAsia="Arial" w:hAnsi="Arial"/>
                <w:sz w:val="14"/>
                <w:szCs w:val="14"/>
                <w:b w:val="1"/>
                <w:bCs w:val="1"/>
                <w:color w:val="00467D"/>
              </w:rPr>
              <w:t xml:space="preserve">Compensation </w:t>
            </w:r>
            <w:r>
              <w:rPr>
                <w:rFonts w:ascii="Arial" w:cs="Arial" w:eastAsia="Arial" w:hAnsi="Arial"/>
                <w:sz w:val="20"/>
                <w:szCs w:val="20"/>
                <w:b w:val="1"/>
                <w:bCs w:val="1"/>
                <w:color w:val="00467D"/>
                <w:vertAlign w:val="superscript"/>
              </w:rPr>
              <w:t>(6)</w:t>
            </w:r>
          </w:p>
        </w:tc>
        <w:tc>
          <w:tcPr>
            <w:tcW w:w="160" w:type="dxa"/>
            <w:vAlign w:val="bottom"/>
            <w:tcBorders>
              <w:bottom w:val="single" w:sz="8" w:color="00467D"/>
            </w:tcBorders>
          </w:tcPr>
          <w:p>
            <w:pPr>
              <w:spacing w:after="0"/>
              <w:rPr>
                <w:sz w:val="17"/>
                <w:szCs w:val="17"/>
                <w:color w:val="auto"/>
              </w:rPr>
            </w:pPr>
          </w:p>
        </w:tc>
        <w:tc>
          <w:tcPr>
            <w:tcW w:w="880" w:type="dxa"/>
            <w:vAlign w:val="bottom"/>
            <w:tcBorders>
              <w:bottom w:val="single" w:sz="8" w:color="00467D"/>
            </w:tcBorders>
          </w:tcPr>
          <w:p>
            <w:pPr>
              <w:jc w:val="right"/>
              <w:ind w:right="283"/>
              <w:spacing w:after="0"/>
              <w:rPr>
                <w:sz w:val="20"/>
                <w:szCs w:val="20"/>
                <w:color w:val="auto"/>
              </w:rPr>
            </w:pPr>
            <w:r>
              <w:rPr>
                <w:rFonts w:ascii="Arial" w:cs="Arial" w:eastAsia="Arial" w:hAnsi="Arial"/>
                <w:sz w:val="14"/>
                <w:szCs w:val="14"/>
                <w:b w:val="1"/>
                <w:bCs w:val="1"/>
                <w:color w:val="00467D"/>
              </w:rPr>
              <w:t>Total</w:t>
            </w:r>
          </w:p>
        </w:tc>
        <w:tc>
          <w:tcPr>
            <w:tcW w:w="0" w:type="dxa"/>
            <w:vAlign w:val="bottom"/>
          </w:tcPr>
          <w:p>
            <w:pPr>
              <w:spacing w:after="0"/>
              <w:rPr>
                <w:sz w:val="1"/>
                <w:szCs w:val="1"/>
                <w:color w:val="auto"/>
              </w:rPr>
            </w:pPr>
          </w:p>
        </w:tc>
      </w:tr>
      <w:tr>
        <w:trPr>
          <w:trHeight w:val="161"/>
        </w:trPr>
        <w:tc>
          <w:tcPr>
            <w:tcW w:w="2060" w:type="dxa"/>
            <w:vAlign w:val="bottom"/>
          </w:tcPr>
          <w:p>
            <w:pPr>
              <w:ind w:left="60"/>
              <w:spacing w:after="0" w:line="161" w:lineRule="exact"/>
              <w:rPr>
                <w:sz w:val="20"/>
                <w:szCs w:val="20"/>
                <w:color w:val="auto"/>
              </w:rPr>
            </w:pPr>
            <w:r>
              <w:rPr>
                <w:rFonts w:ascii="Arial" w:cs="Arial" w:eastAsia="Arial" w:hAnsi="Arial"/>
                <w:sz w:val="15"/>
                <w:szCs w:val="15"/>
                <w:color w:val="auto"/>
              </w:rPr>
              <w:t>Michael B. Petras, Jr.</w:t>
            </w:r>
          </w:p>
        </w:tc>
        <w:tc>
          <w:tcPr>
            <w:tcW w:w="540" w:type="dxa"/>
            <w:vAlign w:val="bottom"/>
          </w:tcPr>
          <w:p>
            <w:pPr>
              <w:ind w:left="120"/>
              <w:spacing w:after="0" w:line="161" w:lineRule="exact"/>
              <w:rPr>
                <w:sz w:val="20"/>
                <w:szCs w:val="20"/>
                <w:color w:val="auto"/>
              </w:rPr>
            </w:pPr>
            <w:r>
              <w:rPr>
                <w:rFonts w:ascii="Arial" w:cs="Arial" w:eastAsia="Arial" w:hAnsi="Arial"/>
                <w:sz w:val="15"/>
                <w:szCs w:val="15"/>
                <w:color w:val="auto"/>
              </w:rPr>
              <w:t>2022</w:t>
            </w:r>
          </w:p>
        </w:tc>
        <w:tc>
          <w:tcPr>
            <w:tcW w:w="180" w:type="dxa"/>
            <w:vAlign w:val="bottom"/>
          </w:tcPr>
          <w:p>
            <w:pPr>
              <w:jc w:val="right"/>
              <w:spacing w:after="0" w:line="161" w:lineRule="exact"/>
              <w:rPr>
                <w:sz w:val="20"/>
                <w:szCs w:val="20"/>
                <w:color w:val="auto"/>
              </w:rPr>
            </w:pPr>
            <w:r>
              <w:rPr>
                <w:rFonts w:ascii="Arial" w:cs="Arial" w:eastAsia="Arial" w:hAnsi="Arial"/>
                <w:sz w:val="15"/>
                <w:szCs w:val="15"/>
                <w:color w:val="auto"/>
              </w:rPr>
              <w:t>$</w:t>
            </w:r>
          </w:p>
        </w:tc>
        <w:tc>
          <w:tcPr>
            <w:tcW w:w="780" w:type="dxa"/>
            <w:vAlign w:val="bottom"/>
          </w:tcPr>
          <w:p>
            <w:pPr>
              <w:jc w:val="right"/>
              <w:ind w:right="3"/>
              <w:spacing w:after="0" w:line="161" w:lineRule="exact"/>
              <w:rPr>
                <w:sz w:val="20"/>
                <w:szCs w:val="20"/>
                <w:color w:val="auto"/>
              </w:rPr>
            </w:pPr>
            <w:r>
              <w:rPr>
                <w:rFonts w:ascii="Arial" w:cs="Arial" w:eastAsia="Arial" w:hAnsi="Arial"/>
                <w:sz w:val="15"/>
                <w:szCs w:val="15"/>
                <w:color w:val="auto"/>
              </w:rPr>
              <w:t>1,038,462</w:t>
            </w:r>
          </w:p>
        </w:tc>
        <w:tc>
          <w:tcPr>
            <w:tcW w:w="160" w:type="dxa"/>
            <w:vAlign w:val="bottom"/>
          </w:tcPr>
          <w:p>
            <w:pPr>
              <w:spacing w:after="0"/>
              <w:rPr>
                <w:sz w:val="14"/>
                <w:szCs w:val="14"/>
                <w:color w:val="auto"/>
              </w:rPr>
            </w:pPr>
          </w:p>
        </w:tc>
        <w:tc>
          <w:tcPr>
            <w:tcW w:w="780" w:type="dxa"/>
            <w:vAlign w:val="bottom"/>
          </w:tcPr>
          <w:p>
            <w:pPr>
              <w:jc w:val="right"/>
              <w:ind w:right="3"/>
              <w:spacing w:after="0" w:line="161" w:lineRule="exact"/>
              <w:rPr>
                <w:sz w:val="20"/>
                <w:szCs w:val="20"/>
                <w:color w:val="auto"/>
              </w:rPr>
            </w:pPr>
            <w:r>
              <w:rPr>
                <w:rFonts w:ascii="Arial" w:cs="Arial" w:eastAsia="Arial" w:hAnsi="Arial"/>
                <w:sz w:val="15"/>
                <w:szCs w:val="15"/>
                <w:color w:val="auto"/>
              </w:rPr>
              <w:t>—</w:t>
            </w:r>
          </w:p>
        </w:tc>
        <w:tc>
          <w:tcPr>
            <w:tcW w:w="180" w:type="dxa"/>
            <w:vAlign w:val="bottom"/>
          </w:tcPr>
          <w:p>
            <w:pPr>
              <w:jc w:val="right"/>
              <w:spacing w:after="0" w:line="161" w:lineRule="exact"/>
              <w:rPr>
                <w:sz w:val="20"/>
                <w:szCs w:val="20"/>
                <w:color w:val="auto"/>
              </w:rPr>
            </w:pPr>
            <w:r>
              <w:rPr>
                <w:rFonts w:ascii="Arial" w:cs="Arial" w:eastAsia="Arial" w:hAnsi="Arial"/>
                <w:sz w:val="15"/>
                <w:szCs w:val="15"/>
                <w:color w:val="auto"/>
              </w:rPr>
              <w:t>$</w:t>
            </w:r>
          </w:p>
        </w:tc>
        <w:tc>
          <w:tcPr>
            <w:tcW w:w="780" w:type="dxa"/>
            <w:vAlign w:val="bottom"/>
          </w:tcPr>
          <w:p>
            <w:pPr>
              <w:jc w:val="right"/>
              <w:ind w:right="3"/>
              <w:spacing w:after="0" w:line="161" w:lineRule="exact"/>
              <w:rPr>
                <w:sz w:val="20"/>
                <w:szCs w:val="20"/>
                <w:color w:val="auto"/>
              </w:rPr>
            </w:pPr>
            <w:r>
              <w:rPr>
                <w:rFonts w:ascii="Arial" w:cs="Arial" w:eastAsia="Arial" w:hAnsi="Arial"/>
                <w:sz w:val="15"/>
                <w:szCs w:val="15"/>
                <w:color w:val="auto"/>
              </w:rPr>
              <w:t>3,749,997</w:t>
            </w:r>
          </w:p>
        </w:tc>
        <w:tc>
          <w:tcPr>
            <w:tcW w:w="180" w:type="dxa"/>
            <w:vAlign w:val="bottom"/>
          </w:tcPr>
          <w:p>
            <w:pPr>
              <w:jc w:val="right"/>
              <w:spacing w:after="0" w:line="161" w:lineRule="exact"/>
              <w:rPr>
                <w:sz w:val="20"/>
                <w:szCs w:val="20"/>
                <w:color w:val="auto"/>
              </w:rPr>
            </w:pPr>
            <w:r>
              <w:rPr>
                <w:rFonts w:ascii="Arial" w:cs="Arial" w:eastAsia="Arial" w:hAnsi="Arial"/>
                <w:sz w:val="15"/>
                <w:szCs w:val="15"/>
                <w:color w:val="auto"/>
              </w:rPr>
              <w:t>$</w:t>
            </w:r>
          </w:p>
        </w:tc>
        <w:tc>
          <w:tcPr>
            <w:tcW w:w="1000" w:type="dxa"/>
            <w:vAlign w:val="bottom"/>
          </w:tcPr>
          <w:p>
            <w:pPr>
              <w:jc w:val="right"/>
              <w:ind w:right="144"/>
              <w:spacing w:after="0" w:line="161" w:lineRule="exact"/>
              <w:rPr>
                <w:sz w:val="20"/>
                <w:szCs w:val="20"/>
                <w:color w:val="auto"/>
              </w:rPr>
            </w:pPr>
            <w:r>
              <w:rPr>
                <w:rFonts w:ascii="Arial" w:cs="Arial" w:eastAsia="Arial" w:hAnsi="Arial"/>
                <w:sz w:val="15"/>
                <w:szCs w:val="15"/>
                <w:color w:val="auto"/>
              </w:rPr>
              <w:t>10,712,705</w:t>
            </w:r>
          </w:p>
        </w:tc>
        <w:tc>
          <w:tcPr>
            <w:tcW w:w="460" w:type="dxa"/>
            <w:vAlign w:val="bottom"/>
          </w:tcPr>
          <w:p>
            <w:pPr>
              <w:jc w:val="right"/>
              <w:spacing w:after="0" w:line="161" w:lineRule="exact"/>
              <w:rPr>
                <w:sz w:val="20"/>
                <w:szCs w:val="20"/>
                <w:color w:val="auto"/>
              </w:rPr>
            </w:pPr>
            <w:r>
              <w:rPr>
                <w:rFonts w:ascii="Arial" w:cs="Arial" w:eastAsia="Arial" w:hAnsi="Arial"/>
                <w:sz w:val="15"/>
                <w:szCs w:val="15"/>
                <w:color w:val="auto"/>
              </w:rPr>
              <w:t>$</w:t>
            </w:r>
          </w:p>
        </w:tc>
        <w:tc>
          <w:tcPr>
            <w:tcW w:w="1040" w:type="dxa"/>
            <w:vAlign w:val="bottom"/>
          </w:tcPr>
          <w:p>
            <w:pPr>
              <w:jc w:val="right"/>
              <w:ind w:right="263"/>
              <w:spacing w:after="0" w:line="161" w:lineRule="exact"/>
              <w:rPr>
                <w:sz w:val="20"/>
                <w:szCs w:val="20"/>
                <w:color w:val="auto"/>
              </w:rPr>
            </w:pPr>
            <w:r>
              <w:rPr>
                <w:rFonts w:ascii="Arial" w:cs="Arial" w:eastAsia="Arial" w:hAnsi="Arial"/>
                <w:sz w:val="15"/>
                <w:szCs w:val="15"/>
                <w:color w:val="auto"/>
              </w:rPr>
              <w:t>1,142,308</w:t>
            </w:r>
          </w:p>
        </w:tc>
        <w:tc>
          <w:tcPr>
            <w:tcW w:w="680" w:type="dxa"/>
            <w:vAlign w:val="bottom"/>
          </w:tcPr>
          <w:p>
            <w:pPr>
              <w:jc w:val="right"/>
              <w:spacing w:after="0" w:line="161" w:lineRule="exact"/>
              <w:rPr>
                <w:sz w:val="20"/>
                <w:szCs w:val="20"/>
                <w:color w:val="auto"/>
              </w:rPr>
            </w:pPr>
            <w:r>
              <w:rPr>
                <w:rFonts w:ascii="Arial" w:cs="Arial" w:eastAsia="Arial" w:hAnsi="Arial"/>
                <w:sz w:val="15"/>
                <w:szCs w:val="15"/>
                <w:color w:val="auto"/>
              </w:rPr>
              <w:t>$</w:t>
            </w:r>
          </w:p>
        </w:tc>
        <w:tc>
          <w:tcPr>
            <w:tcW w:w="680" w:type="dxa"/>
            <w:vAlign w:val="bottom"/>
          </w:tcPr>
          <w:p>
            <w:pPr>
              <w:jc w:val="right"/>
              <w:ind w:right="23"/>
              <w:spacing w:after="0" w:line="161" w:lineRule="exact"/>
              <w:rPr>
                <w:sz w:val="20"/>
                <w:szCs w:val="20"/>
                <w:color w:val="auto"/>
              </w:rPr>
            </w:pPr>
            <w:r>
              <w:rPr>
                <w:rFonts w:ascii="Arial" w:cs="Arial" w:eastAsia="Arial" w:hAnsi="Arial"/>
                <w:sz w:val="15"/>
                <w:szCs w:val="15"/>
                <w:color w:val="auto"/>
              </w:rPr>
              <w:t>16,386</w:t>
            </w:r>
          </w:p>
        </w:tc>
        <w:tc>
          <w:tcPr>
            <w:tcW w:w="160" w:type="dxa"/>
            <w:vAlign w:val="bottom"/>
          </w:tcPr>
          <w:p>
            <w:pPr>
              <w:jc w:val="right"/>
              <w:spacing w:after="0" w:line="161" w:lineRule="exact"/>
              <w:rPr>
                <w:sz w:val="20"/>
                <w:szCs w:val="20"/>
                <w:color w:val="auto"/>
              </w:rPr>
            </w:pPr>
            <w:r>
              <w:rPr>
                <w:rFonts w:ascii="Arial" w:cs="Arial" w:eastAsia="Arial" w:hAnsi="Arial"/>
                <w:sz w:val="15"/>
                <w:szCs w:val="15"/>
                <w:color w:val="auto"/>
              </w:rPr>
              <w:t>$</w:t>
            </w:r>
          </w:p>
        </w:tc>
        <w:tc>
          <w:tcPr>
            <w:tcW w:w="880" w:type="dxa"/>
            <w:vAlign w:val="bottom"/>
          </w:tcPr>
          <w:p>
            <w:pPr>
              <w:jc w:val="right"/>
              <w:ind w:right="23"/>
              <w:spacing w:after="0" w:line="161" w:lineRule="exact"/>
              <w:rPr>
                <w:sz w:val="20"/>
                <w:szCs w:val="20"/>
                <w:color w:val="auto"/>
              </w:rPr>
            </w:pPr>
            <w:r>
              <w:rPr>
                <w:rFonts w:ascii="Arial" w:cs="Arial" w:eastAsia="Arial" w:hAnsi="Arial"/>
                <w:sz w:val="15"/>
                <w:szCs w:val="15"/>
                <w:color w:val="auto"/>
              </w:rPr>
              <w:t>16,659,858</w:t>
            </w:r>
          </w:p>
        </w:tc>
        <w:tc>
          <w:tcPr>
            <w:tcW w:w="0" w:type="dxa"/>
            <w:vAlign w:val="bottom"/>
          </w:tcPr>
          <w:p>
            <w:pPr>
              <w:spacing w:after="0"/>
              <w:rPr>
                <w:sz w:val="1"/>
                <w:szCs w:val="1"/>
                <w:color w:val="auto"/>
              </w:rPr>
            </w:pPr>
          </w:p>
        </w:tc>
      </w:tr>
      <w:tr>
        <w:trPr>
          <w:trHeight w:val="181"/>
        </w:trPr>
        <w:tc>
          <w:tcPr>
            <w:tcW w:w="2060" w:type="dxa"/>
            <w:vAlign w:val="bottom"/>
          </w:tcPr>
          <w:p>
            <w:pPr>
              <w:ind w:left="60"/>
              <w:spacing w:after="0"/>
              <w:rPr>
                <w:sz w:val="20"/>
                <w:szCs w:val="20"/>
                <w:color w:val="auto"/>
              </w:rPr>
            </w:pPr>
            <w:r>
              <w:rPr>
                <w:rFonts w:ascii="Arial" w:cs="Arial" w:eastAsia="Arial" w:hAnsi="Arial"/>
                <w:sz w:val="15"/>
                <w:szCs w:val="15"/>
                <w:i w:val="1"/>
                <w:iCs w:val="1"/>
                <w:color w:val="auto"/>
              </w:rPr>
              <w:t>Chairman and CEO</w:t>
            </w:r>
          </w:p>
        </w:tc>
        <w:tc>
          <w:tcPr>
            <w:tcW w:w="540" w:type="dxa"/>
            <w:vAlign w:val="bottom"/>
          </w:tcPr>
          <w:p>
            <w:pPr>
              <w:ind w:left="120"/>
              <w:spacing w:after="0"/>
              <w:rPr>
                <w:sz w:val="20"/>
                <w:szCs w:val="20"/>
                <w:color w:val="auto"/>
              </w:rPr>
            </w:pPr>
            <w:r>
              <w:rPr>
                <w:rFonts w:ascii="Arial" w:cs="Arial" w:eastAsia="Arial" w:hAnsi="Arial"/>
                <w:sz w:val="15"/>
                <w:szCs w:val="15"/>
                <w:color w:val="auto"/>
              </w:rPr>
              <w:t>2021</w:t>
            </w:r>
          </w:p>
        </w:tc>
        <w:tc>
          <w:tcPr>
            <w:tcW w:w="180" w:type="dxa"/>
            <w:vAlign w:val="bottom"/>
          </w:tcPr>
          <w:p>
            <w:pPr>
              <w:spacing w:after="0"/>
              <w:rPr>
                <w:sz w:val="15"/>
                <w:szCs w:val="15"/>
                <w:color w:val="auto"/>
              </w:rPr>
            </w:pPr>
          </w:p>
        </w:tc>
        <w:tc>
          <w:tcPr>
            <w:tcW w:w="780" w:type="dxa"/>
            <w:vAlign w:val="bottom"/>
          </w:tcPr>
          <w:p>
            <w:pPr>
              <w:jc w:val="right"/>
              <w:ind w:right="3"/>
              <w:spacing w:after="0"/>
              <w:rPr>
                <w:sz w:val="20"/>
                <w:szCs w:val="20"/>
                <w:color w:val="auto"/>
              </w:rPr>
            </w:pPr>
            <w:r>
              <w:rPr>
                <w:rFonts w:ascii="Arial" w:cs="Arial" w:eastAsia="Arial" w:hAnsi="Arial"/>
                <w:sz w:val="15"/>
                <w:szCs w:val="15"/>
                <w:color w:val="auto"/>
              </w:rPr>
              <w:t>1,000,000</w:t>
            </w:r>
          </w:p>
        </w:tc>
        <w:tc>
          <w:tcPr>
            <w:tcW w:w="160" w:type="dxa"/>
            <w:vAlign w:val="bottom"/>
          </w:tcPr>
          <w:p>
            <w:pPr>
              <w:spacing w:after="0"/>
              <w:rPr>
                <w:sz w:val="15"/>
                <w:szCs w:val="15"/>
                <w:color w:val="auto"/>
              </w:rPr>
            </w:pPr>
          </w:p>
        </w:tc>
        <w:tc>
          <w:tcPr>
            <w:tcW w:w="78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5"/>
                <w:szCs w:val="15"/>
                <w:color w:val="auto"/>
              </w:rPr>
            </w:pPr>
          </w:p>
        </w:tc>
        <w:tc>
          <w:tcPr>
            <w:tcW w:w="78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5"/>
                <w:szCs w:val="15"/>
                <w:color w:val="auto"/>
              </w:rPr>
            </w:pPr>
          </w:p>
        </w:tc>
        <w:tc>
          <w:tcPr>
            <w:tcW w:w="1000" w:type="dxa"/>
            <w:vAlign w:val="bottom"/>
          </w:tcPr>
          <w:p>
            <w:pPr>
              <w:jc w:val="right"/>
              <w:ind w:right="144"/>
              <w:spacing w:after="0"/>
              <w:rPr>
                <w:sz w:val="20"/>
                <w:szCs w:val="20"/>
                <w:color w:val="auto"/>
              </w:rPr>
            </w:pPr>
            <w:r>
              <w:rPr>
                <w:rFonts w:ascii="Arial" w:cs="Arial" w:eastAsia="Arial" w:hAnsi="Arial"/>
                <w:sz w:val="15"/>
                <w:szCs w:val="15"/>
                <w:color w:val="auto"/>
              </w:rPr>
              <w:t>—</w:t>
            </w:r>
          </w:p>
        </w:tc>
        <w:tc>
          <w:tcPr>
            <w:tcW w:w="460" w:type="dxa"/>
            <w:vAlign w:val="bottom"/>
          </w:tcPr>
          <w:p>
            <w:pPr>
              <w:spacing w:after="0"/>
              <w:rPr>
                <w:sz w:val="15"/>
                <w:szCs w:val="15"/>
                <w:color w:val="auto"/>
              </w:rPr>
            </w:pPr>
          </w:p>
        </w:tc>
        <w:tc>
          <w:tcPr>
            <w:tcW w:w="1040" w:type="dxa"/>
            <w:vAlign w:val="bottom"/>
          </w:tcPr>
          <w:p>
            <w:pPr>
              <w:jc w:val="right"/>
              <w:ind w:right="263"/>
              <w:spacing w:after="0"/>
              <w:rPr>
                <w:sz w:val="20"/>
                <w:szCs w:val="20"/>
                <w:color w:val="auto"/>
              </w:rPr>
            </w:pPr>
            <w:r>
              <w:rPr>
                <w:rFonts w:ascii="Arial" w:cs="Arial" w:eastAsia="Arial" w:hAnsi="Arial"/>
                <w:sz w:val="15"/>
                <w:szCs w:val="15"/>
                <w:color w:val="auto"/>
              </w:rPr>
              <w:t>1,137,500</w:t>
            </w:r>
          </w:p>
        </w:tc>
        <w:tc>
          <w:tcPr>
            <w:tcW w:w="680" w:type="dxa"/>
            <w:vAlign w:val="bottom"/>
          </w:tcPr>
          <w:p>
            <w:pPr>
              <w:spacing w:after="0"/>
              <w:rPr>
                <w:sz w:val="15"/>
                <w:szCs w:val="15"/>
                <w:color w:val="auto"/>
              </w:rPr>
            </w:pPr>
          </w:p>
        </w:tc>
        <w:tc>
          <w:tcPr>
            <w:tcW w:w="680" w:type="dxa"/>
            <w:vAlign w:val="bottom"/>
          </w:tcPr>
          <w:p>
            <w:pPr>
              <w:jc w:val="right"/>
              <w:ind w:right="23"/>
              <w:spacing w:after="0"/>
              <w:rPr>
                <w:sz w:val="20"/>
                <w:szCs w:val="20"/>
                <w:color w:val="auto"/>
              </w:rPr>
            </w:pPr>
            <w:r>
              <w:rPr>
                <w:rFonts w:ascii="Arial" w:cs="Arial" w:eastAsia="Arial" w:hAnsi="Arial"/>
                <w:sz w:val="15"/>
                <w:szCs w:val="15"/>
                <w:color w:val="auto"/>
              </w:rPr>
              <w:t>60,074</w:t>
            </w:r>
          </w:p>
        </w:tc>
        <w:tc>
          <w:tcPr>
            <w:tcW w:w="160" w:type="dxa"/>
            <w:vAlign w:val="bottom"/>
          </w:tcPr>
          <w:p>
            <w:pPr>
              <w:spacing w:after="0"/>
              <w:rPr>
                <w:sz w:val="15"/>
                <w:szCs w:val="15"/>
                <w:color w:val="auto"/>
              </w:rPr>
            </w:pPr>
          </w:p>
        </w:tc>
        <w:tc>
          <w:tcPr>
            <w:tcW w:w="880" w:type="dxa"/>
            <w:vAlign w:val="bottom"/>
          </w:tcPr>
          <w:p>
            <w:pPr>
              <w:jc w:val="right"/>
              <w:ind w:right="23"/>
              <w:spacing w:after="0"/>
              <w:rPr>
                <w:sz w:val="20"/>
                <w:szCs w:val="20"/>
                <w:color w:val="auto"/>
              </w:rPr>
            </w:pPr>
            <w:r>
              <w:rPr>
                <w:rFonts w:ascii="Arial" w:cs="Arial" w:eastAsia="Arial" w:hAnsi="Arial"/>
                <w:sz w:val="15"/>
                <w:szCs w:val="15"/>
                <w:color w:val="auto"/>
              </w:rPr>
              <w:t>2,197,574</w:t>
            </w:r>
          </w:p>
        </w:tc>
        <w:tc>
          <w:tcPr>
            <w:tcW w:w="0" w:type="dxa"/>
            <w:vAlign w:val="bottom"/>
          </w:tcPr>
          <w:p>
            <w:pPr>
              <w:spacing w:after="0"/>
              <w:rPr>
                <w:sz w:val="1"/>
                <w:szCs w:val="1"/>
                <w:color w:val="auto"/>
              </w:rPr>
            </w:pPr>
          </w:p>
        </w:tc>
      </w:tr>
      <w:tr>
        <w:trPr>
          <w:trHeight w:val="193"/>
        </w:trPr>
        <w:tc>
          <w:tcPr>
            <w:tcW w:w="2060" w:type="dxa"/>
            <w:vAlign w:val="bottom"/>
            <w:tcBorders>
              <w:bottom w:val="single" w:sz="8" w:color="99B5CB"/>
            </w:tcBorders>
          </w:tcPr>
          <w:p>
            <w:pPr>
              <w:spacing w:after="0"/>
              <w:rPr>
                <w:sz w:val="16"/>
                <w:szCs w:val="16"/>
                <w:color w:val="auto"/>
              </w:rPr>
            </w:pPr>
          </w:p>
        </w:tc>
        <w:tc>
          <w:tcPr>
            <w:tcW w:w="540" w:type="dxa"/>
            <w:vAlign w:val="bottom"/>
            <w:tcBorders>
              <w:bottom w:val="single" w:sz="8" w:color="99B5CB"/>
            </w:tcBorders>
          </w:tcPr>
          <w:p>
            <w:pPr>
              <w:ind w:left="120"/>
              <w:spacing w:after="0"/>
              <w:rPr>
                <w:sz w:val="20"/>
                <w:szCs w:val="20"/>
                <w:color w:val="auto"/>
              </w:rPr>
            </w:pPr>
            <w:r>
              <w:rPr>
                <w:rFonts w:ascii="Arial" w:cs="Arial" w:eastAsia="Arial" w:hAnsi="Arial"/>
                <w:sz w:val="15"/>
                <w:szCs w:val="15"/>
                <w:color w:val="auto"/>
              </w:rPr>
              <w:t>2020</w:t>
            </w:r>
          </w:p>
        </w:tc>
        <w:tc>
          <w:tcPr>
            <w:tcW w:w="180" w:type="dxa"/>
            <w:vAlign w:val="bottom"/>
            <w:tcBorders>
              <w:bottom w:val="single" w:sz="8" w:color="99B5CB"/>
            </w:tcBorders>
          </w:tcPr>
          <w:p>
            <w:pPr>
              <w:spacing w:after="0"/>
              <w:rPr>
                <w:sz w:val="16"/>
                <w:szCs w:val="16"/>
                <w:color w:val="auto"/>
              </w:rPr>
            </w:pPr>
          </w:p>
        </w:tc>
        <w:tc>
          <w:tcPr>
            <w:tcW w:w="780" w:type="dxa"/>
            <w:vAlign w:val="bottom"/>
            <w:tcBorders>
              <w:bottom w:val="single" w:sz="8" w:color="99B5CB"/>
            </w:tcBorders>
          </w:tcPr>
          <w:p>
            <w:pPr>
              <w:jc w:val="right"/>
              <w:ind w:right="3"/>
              <w:spacing w:after="0"/>
              <w:rPr>
                <w:sz w:val="20"/>
                <w:szCs w:val="20"/>
                <w:color w:val="auto"/>
              </w:rPr>
            </w:pPr>
            <w:r>
              <w:rPr>
                <w:rFonts w:ascii="Arial" w:cs="Arial" w:eastAsia="Arial" w:hAnsi="Arial"/>
                <w:sz w:val="15"/>
                <w:szCs w:val="15"/>
                <w:color w:val="auto"/>
              </w:rPr>
              <w:t>727,692</w:t>
            </w:r>
          </w:p>
        </w:tc>
        <w:tc>
          <w:tcPr>
            <w:tcW w:w="160" w:type="dxa"/>
            <w:vAlign w:val="bottom"/>
            <w:tcBorders>
              <w:bottom w:val="single" w:sz="8" w:color="99B5CB"/>
            </w:tcBorders>
          </w:tcPr>
          <w:p>
            <w:pPr>
              <w:jc w:val="right"/>
              <w:spacing w:after="0"/>
              <w:rPr>
                <w:sz w:val="20"/>
                <w:szCs w:val="20"/>
                <w:color w:val="auto"/>
              </w:rPr>
            </w:pPr>
            <w:r>
              <w:rPr>
                <w:rFonts w:ascii="Arial" w:cs="Arial" w:eastAsia="Arial" w:hAnsi="Arial"/>
                <w:sz w:val="15"/>
                <w:szCs w:val="15"/>
                <w:color w:val="auto"/>
              </w:rPr>
              <w:t>$</w:t>
            </w:r>
          </w:p>
        </w:tc>
        <w:tc>
          <w:tcPr>
            <w:tcW w:w="780" w:type="dxa"/>
            <w:vAlign w:val="bottom"/>
            <w:tcBorders>
              <w:bottom w:val="single" w:sz="8" w:color="99B5CB"/>
            </w:tcBorders>
          </w:tcPr>
          <w:p>
            <w:pPr>
              <w:jc w:val="right"/>
              <w:ind w:right="3"/>
              <w:spacing w:after="0"/>
              <w:rPr>
                <w:sz w:val="20"/>
                <w:szCs w:val="20"/>
                <w:color w:val="auto"/>
              </w:rPr>
            </w:pPr>
            <w:r>
              <w:rPr>
                <w:rFonts w:ascii="Arial" w:cs="Arial" w:eastAsia="Arial" w:hAnsi="Arial"/>
                <w:sz w:val="15"/>
                <w:szCs w:val="15"/>
                <w:color w:val="auto"/>
              </w:rPr>
              <w:t>700,000</w:t>
            </w:r>
          </w:p>
        </w:tc>
        <w:tc>
          <w:tcPr>
            <w:tcW w:w="180" w:type="dxa"/>
            <w:vAlign w:val="bottom"/>
            <w:tcBorders>
              <w:bottom w:val="single" w:sz="8" w:color="99B5CB"/>
            </w:tcBorders>
          </w:tcPr>
          <w:p>
            <w:pPr>
              <w:spacing w:after="0"/>
              <w:rPr>
                <w:sz w:val="16"/>
                <w:szCs w:val="16"/>
                <w:color w:val="auto"/>
              </w:rPr>
            </w:pPr>
          </w:p>
        </w:tc>
        <w:tc>
          <w:tcPr>
            <w:tcW w:w="780" w:type="dxa"/>
            <w:vAlign w:val="bottom"/>
            <w:tcBorders>
              <w:bottom w:val="single" w:sz="8" w:color="99B5CB"/>
            </w:tcBorders>
          </w:tcPr>
          <w:p>
            <w:pPr>
              <w:jc w:val="right"/>
              <w:ind w:right="3"/>
              <w:spacing w:after="0"/>
              <w:rPr>
                <w:sz w:val="20"/>
                <w:szCs w:val="20"/>
                <w:color w:val="auto"/>
              </w:rPr>
            </w:pPr>
            <w:r>
              <w:rPr>
                <w:rFonts w:ascii="Arial" w:cs="Arial" w:eastAsia="Arial" w:hAnsi="Arial"/>
                <w:sz w:val="15"/>
                <w:szCs w:val="15"/>
                <w:color w:val="auto"/>
              </w:rPr>
              <w:t>6,000,000</w:t>
            </w:r>
          </w:p>
        </w:tc>
        <w:tc>
          <w:tcPr>
            <w:tcW w:w="180" w:type="dxa"/>
            <w:vAlign w:val="bottom"/>
            <w:tcBorders>
              <w:bottom w:val="single" w:sz="8" w:color="99B5CB"/>
            </w:tcBorders>
          </w:tcPr>
          <w:p>
            <w:pPr>
              <w:spacing w:after="0"/>
              <w:rPr>
                <w:sz w:val="16"/>
                <w:szCs w:val="16"/>
                <w:color w:val="auto"/>
              </w:rPr>
            </w:pPr>
          </w:p>
        </w:tc>
        <w:tc>
          <w:tcPr>
            <w:tcW w:w="1000" w:type="dxa"/>
            <w:vAlign w:val="bottom"/>
            <w:tcBorders>
              <w:bottom w:val="single" w:sz="8" w:color="99B5CB"/>
            </w:tcBorders>
          </w:tcPr>
          <w:p>
            <w:pPr>
              <w:jc w:val="right"/>
              <w:ind w:right="144"/>
              <w:spacing w:after="0"/>
              <w:rPr>
                <w:sz w:val="20"/>
                <w:szCs w:val="20"/>
                <w:color w:val="auto"/>
              </w:rPr>
            </w:pPr>
            <w:r>
              <w:rPr>
                <w:rFonts w:ascii="Arial" w:cs="Arial" w:eastAsia="Arial" w:hAnsi="Arial"/>
                <w:sz w:val="15"/>
                <w:szCs w:val="15"/>
                <w:color w:val="auto"/>
              </w:rPr>
              <w:t>9,000,000</w:t>
            </w:r>
          </w:p>
        </w:tc>
        <w:tc>
          <w:tcPr>
            <w:tcW w:w="460" w:type="dxa"/>
            <w:vAlign w:val="bottom"/>
            <w:tcBorders>
              <w:bottom w:val="single" w:sz="8" w:color="99B5CB"/>
            </w:tcBorders>
          </w:tcPr>
          <w:p>
            <w:pPr>
              <w:spacing w:after="0"/>
              <w:rPr>
                <w:sz w:val="16"/>
                <w:szCs w:val="16"/>
                <w:color w:val="auto"/>
              </w:rPr>
            </w:pPr>
          </w:p>
        </w:tc>
        <w:tc>
          <w:tcPr>
            <w:tcW w:w="1040" w:type="dxa"/>
            <w:vAlign w:val="bottom"/>
            <w:tcBorders>
              <w:bottom w:val="single" w:sz="8" w:color="99B5CB"/>
            </w:tcBorders>
          </w:tcPr>
          <w:p>
            <w:pPr>
              <w:jc w:val="right"/>
              <w:ind w:right="263"/>
              <w:spacing w:after="0"/>
              <w:rPr>
                <w:sz w:val="20"/>
                <w:szCs w:val="20"/>
                <w:color w:val="auto"/>
              </w:rPr>
            </w:pPr>
            <w:r>
              <w:rPr>
                <w:rFonts w:ascii="Arial" w:cs="Arial" w:eastAsia="Arial" w:hAnsi="Arial"/>
                <w:sz w:val="15"/>
                <w:szCs w:val="15"/>
                <w:color w:val="auto"/>
              </w:rPr>
              <w:t>738,957</w:t>
            </w:r>
          </w:p>
        </w:tc>
        <w:tc>
          <w:tcPr>
            <w:tcW w:w="680" w:type="dxa"/>
            <w:vAlign w:val="bottom"/>
            <w:tcBorders>
              <w:bottom w:val="single" w:sz="8" w:color="99B5CB"/>
            </w:tcBorders>
          </w:tcPr>
          <w:p>
            <w:pPr>
              <w:spacing w:after="0"/>
              <w:rPr>
                <w:sz w:val="16"/>
                <w:szCs w:val="16"/>
                <w:color w:val="auto"/>
              </w:rPr>
            </w:pPr>
          </w:p>
        </w:tc>
        <w:tc>
          <w:tcPr>
            <w:tcW w:w="680" w:type="dxa"/>
            <w:vAlign w:val="bottom"/>
            <w:tcBorders>
              <w:bottom w:val="single" w:sz="8" w:color="99B5CB"/>
            </w:tcBorders>
          </w:tcPr>
          <w:p>
            <w:pPr>
              <w:jc w:val="right"/>
              <w:ind w:right="23"/>
              <w:spacing w:after="0"/>
              <w:rPr>
                <w:sz w:val="20"/>
                <w:szCs w:val="20"/>
                <w:color w:val="auto"/>
              </w:rPr>
            </w:pPr>
            <w:r>
              <w:rPr>
                <w:rFonts w:ascii="Arial" w:cs="Arial" w:eastAsia="Arial" w:hAnsi="Arial"/>
                <w:sz w:val="15"/>
                <w:szCs w:val="15"/>
                <w:color w:val="auto"/>
              </w:rPr>
              <w:t>37,609</w:t>
            </w:r>
          </w:p>
        </w:tc>
        <w:tc>
          <w:tcPr>
            <w:tcW w:w="160" w:type="dxa"/>
            <w:vAlign w:val="bottom"/>
            <w:tcBorders>
              <w:bottom w:val="single" w:sz="8" w:color="99B5CB"/>
            </w:tcBorders>
          </w:tcPr>
          <w:p>
            <w:pPr>
              <w:spacing w:after="0"/>
              <w:rPr>
                <w:sz w:val="16"/>
                <w:szCs w:val="16"/>
                <w:color w:val="auto"/>
              </w:rPr>
            </w:pPr>
          </w:p>
        </w:tc>
        <w:tc>
          <w:tcPr>
            <w:tcW w:w="880" w:type="dxa"/>
            <w:vAlign w:val="bottom"/>
            <w:tcBorders>
              <w:bottom w:val="single" w:sz="8" w:color="99B5CB"/>
            </w:tcBorders>
          </w:tcPr>
          <w:p>
            <w:pPr>
              <w:jc w:val="right"/>
              <w:ind w:right="23"/>
              <w:spacing w:after="0"/>
              <w:rPr>
                <w:sz w:val="20"/>
                <w:szCs w:val="20"/>
                <w:color w:val="auto"/>
              </w:rPr>
            </w:pPr>
            <w:r>
              <w:rPr>
                <w:rFonts w:ascii="Arial" w:cs="Arial" w:eastAsia="Arial" w:hAnsi="Arial"/>
                <w:sz w:val="15"/>
                <w:szCs w:val="15"/>
                <w:color w:val="auto"/>
              </w:rPr>
              <w:t>17,204,248</w:t>
            </w:r>
          </w:p>
        </w:tc>
        <w:tc>
          <w:tcPr>
            <w:tcW w:w="0" w:type="dxa"/>
            <w:vAlign w:val="bottom"/>
          </w:tcPr>
          <w:p>
            <w:pPr>
              <w:spacing w:after="0"/>
              <w:rPr>
                <w:sz w:val="1"/>
                <w:szCs w:val="1"/>
                <w:color w:val="auto"/>
              </w:rPr>
            </w:pPr>
          </w:p>
        </w:tc>
      </w:tr>
      <w:tr>
        <w:trPr>
          <w:trHeight w:val="161"/>
        </w:trPr>
        <w:tc>
          <w:tcPr>
            <w:tcW w:w="2060" w:type="dxa"/>
            <w:vAlign w:val="bottom"/>
          </w:tcPr>
          <w:p>
            <w:pPr>
              <w:ind w:left="60"/>
              <w:spacing w:after="0" w:line="161" w:lineRule="exact"/>
              <w:rPr>
                <w:sz w:val="20"/>
                <w:szCs w:val="20"/>
                <w:color w:val="auto"/>
              </w:rPr>
            </w:pPr>
            <w:r>
              <w:rPr>
                <w:rFonts w:ascii="Arial" w:cs="Arial" w:eastAsia="Arial" w:hAnsi="Arial"/>
                <w:sz w:val="15"/>
                <w:szCs w:val="15"/>
                <w:color w:val="auto"/>
              </w:rPr>
              <w:t>Michael F. Biehl</w:t>
            </w:r>
          </w:p>
        </w:tc>
        <w:tc>
          <w:tcPr>
            <w:tcW w:w="540" w:type="dxa"/>
            <w:vAlign w:val="bottom"/>
          </w:tcPr>
          <w:p>
            <w:pPr>
              <w:ind w:left="120"/>
              <w:spacing w:after="0" w:line="161" w:lineRule="exact"/>
              <w:rPr>
                <w:sz w:val="20"/>
                <w:szCs w:val="20"/>
                <w:color w:val="auto"/>
              </w:rPr>
            </w:pPr>
            <w:r>
              <w:rPr>
                <w:rFonts w:ascii="Arial" w:cs="Arial" w:eastAsia="Arial" w:hAnsi="Arial"/>
                <w:sz w:val="15"/>
                <w:szCs w:val="15"/>
                <w:color w:val="auto"/>
              </w:rPr>
              <w:t>2022</w:t>
            </w:r>
          </w:p>
        </w:tc>
        <w:tc>
          <w:tcPr>
            <w:tcW w:w="180" w:type="dxa"/>
            <w:vAlign w:val="bottom"/>
          </w:tcPr>
          <w:p>
            <w:pPr>
              <w:jc w:val="right"/>
              <w:spacing w:after="0" w:line="161" w:lineRule="exact"/>
              <w:rPr>
                <w:sz w:val="20"/>
                <w:szCs w:val="20"/>
                <w:color w:val="auto"/>
              </w:rPr>
            </w:pPr>
            <w:r>
              <w:rPr>
                <w:rFonts w:ascii="Arial" w:cs="Arial" w:eastAsia="Arial" w:hAnsi="Arial"/>
                <w:sz w:val="15"/>
                <w:szCs w:val="15"/>
                <w:color w:val="auto"/>
              </w:rPr>
              <w:t>$</w:t>
            </w:r>
          </w:p>
        </w:tc>
        <w:tc>
          <w:tcPr>
            <w:tcW w:w="780" w:type="dxa"/>
            <w:vAlign w:val="bottom"/>
          </w:tcPr>
          <w:p>
            <w:pPr>
              <w:jc w:val="right"/>
              <w:ind w:right="3"/>
              <w:spacing w:after="0" w:line="161" w:lineRule="exact"/>
              <w:rPr>
                <w:sz w:val="20"/>
                <w:szCs w:val="20"/>
                <w:color w:val="auto"/>
              </w:rPr>
            </w:pPr>
            <w:r>
              <w:rPr>
                <w:rFonts w:ascii="Arial" w:cs="Arial" w:eastAsia="Arial" w:hAnsi="Arial"/>
                <w:sz w:val="15"/>
                <w:szCs w:val="15"/>
                <w:color w:val="auto"/>
              </w:rPr>
              <w:t>415,385</w:t>
            </w:r>
          </w:p>
        </w:tc>
        <w:tc>
          <w:tcPr>
            <w:tcW w:w="160" w:type="dxa"/>
            <w:vAlign w:val="bottom"/>
          </w:tcPr>
          <w:p>
            <w:pPr>
              <w:spacing w:after="0"/>
              <w:rPr>
                <w:sz w:val="14"/>
                <w:szCs w:val="14"/>
                <w:color w:val="auto"/>
              </w:rPr>
            </w:pPr>
          </w:p>
        </w:tc>
        <w:tc>
          <w:tcPr>
            <w:tcW w:w="780" w:type="dxa"/>
            <w:vAlign w:val="bottom"/>
          </w:tcPr>
          <w:p>
            <w:pPr>
              <w:jc w:val="right"/>
              <w:ind w:right="3"/>
              <w:spacing w:after="0" w:line="161" w:lineRule="exact"/>
              <w:rPr>
                <w:sz w:val="20"/>
                <w:szCs w:val="20"/>
                <w:color w:val="auto"/>
              </w:rPr>
            </w:pPr>
            <w:r>
              <w:rPr>
                <w:rFonts w:ascii="Arial" w:cs="Arial" w:eastAsia="Arial" w:hAnsi="Arial"/>
                <w:sz w:val="15"/>
                <w:szCs w:val="15"/>
                <w:color w:val="auto"/>
              </w:rPr>
              <w:t>—</w:t>
            </w:r>
          </w:p>
        </w:tc>
        <w:tc>
          <w:tcPr>
            <w:tcW w:w="180" w:type="dxa"/>
            <w:vAlign w:val="bottom"/>
          </w:tcPr>
          <w:p>
            <w:pPr>
              <w:spacing w:after="0"/>
              <w:rPr>
                <w:sz w:val="14"/>
                <w:szCs w:val="14"/>
                <w:color w:val="auto"/>
              </w:rPr>
            </w:pPr>
          </w:p>
        </w:tc>
        <w:tc>
          <w:tcPr>
            <w:tcW w:w="780" w:type="dxa"/>
            <w:vAlign w:val="bottom"/>
          </w:tcPr>
          <w:p>
            <w:pPr>
              <w:jc w:val="right"/>
              <w:ind w:right="3"/>
              <w:spacing w:after="0" w:line="161" w:lineRule="exact"/>
              <w:rPr>
                <w:sz w:val="20"/>
                <w:szCs w:val="20"/>
                <w:color w:val="auto"/>
              </w:rPr>
            </w:pPr>
            <w:r>
              <w:rPr>
                <w:rFonts w:ascii="Arial" w:cs="Arial" w:eastAsia="Arial" w:hAnsi="Arial"/>
                <w:sz w:val="15"/>
                <w:szCs w:val="15"/>
                <w:color w:val="auto"/>
              </w:rPr>
              <w:t>—</w:t>
            </w:r>
          </w:p>
        </w:tc>
        <w:tc>
          <w:tcPr>
            <w:tcW w:w="180" w:type="dxa"/>
            <w:vAlign w:val="bottom"/>
          </w:tcPr>
          <w:p>
            <w:pPr>
              <w:spacing w:after="0"/>
              <w:rPr>
                <w:sz w:val="14"/>
                <w:szCs w:val="14"/>
                <w:color w:val="auto"/>
              </w:rPr>
            </w:pPr>
          </w:p>
        </w:tc>
        <w:tc>
          <w:tcPr>
            <w:tcW w:w="1000" w:type="dxa"/>
            <w:vAlign w:val="bottom"/>
          </w:tcPr>
          <w:p>
            <w:pPr>
              <w:jc w:val="right"/>
              <w:ind w:right="144"/>
              <w:spacing w:after="0" w:line="161" w:lineRule="exact"/>
              <w:rPr>
                <w:sz w:val="20"/>
                <w:szCs w:val="20"/>
                <w:color w:val="auto"/>
              </w:rPr>
            </w:pPr>
            <w:r>
              <w:rPr>
                <w:rFonts w:ascii="Arial" w:cs="Arial" w:eastAsia="Arial" w:hAnsi="Arial"/>
                <w:sz w:val="15"/>
                <w:szCs w:val="15"/>
                <w:color w:val="auto"/>
              </w:rPr>
              <w:t>—</w:t>
            </w:r>
          </w:p>
        </w:tc>
        <w:tc>
          <w:tcPr>
            <w:tcW w:w="460" w:type="dxa"/>
            <w:vAlign w:val="bottom"/>
          </w:tcPr>
          <w:p>
            <w:pPr>
              <w:spacing w:after="0"/>
              <w:rPr>
                <w:sz w:val="14"/>
                <w:szCs w:val="14"/>
                <w:color w:val="auto"/>
              </w:rPr>
            </w:pPr>
          </w:p>
        </w:tc>
        <w:tc>
          <w:tcPr>
            <w:tcW w:w="1040" w:type="dxa"/>
            <w:vAlign w:val="bottom"/>
          </w:tcPr>
          <w:p>
            <w:pPr>
              <w:jc w:val="right"/>
              <w:ind w:right="263"/>
              <w:spacing w:after="0" w:line="161" w:lineRule="exact"/>
              <w:rPr>
                <w:sz w:val="20"/>
                <w:szCs w:val="20"/>
                <w:color w:val="auto"/>
              </w:rPr>
            </w:pPr>
            <w:r>
              <w:rPr>
                <w:rFonts w:ascii="Arial" w:cs="Arial" w:eastAsia="Arial" w:hAnsi="Arial"/>
                <w:sz w:val="15"/>
                <w:szCs w:val="15"/>
                <w:color w:val="auto"/>
              </w:rPr>
              <w:t>—</w:t>
            </w:r>
          </w:p>
        </w:tc>
        <w:tc>
          <w:tcPr>
            <w:tcW w:w="680" w:type="dxa"/>
            <w:vAlign w:val="bottom"/>
          </w:tcPr>
          <w:p>
            <w:pPr>
              <w:spacing w:after="0"/>
              <w:rPr>
                <w:sz w:val="14"/>
                <w:szCs w:val="14"/>
                <w:color w:val="auto"/>
              </w:rPr>
            </w:pPr>
          </w:p>
        </w:tc>
        <w:tc>
          <w:tcPr>
            <w:tcW w:w="680" w:type="dxa"/>
            <w:vAlign w:val="bottom"/>
          </w:tcPr>
          <w:p>
            <w:pPr>
              <w:jc w:val="right"/>
              <w:ind w:right="23"/>
              <w:spacing w:after="0" w:line="161" w:lineRule="exact"/>
              <w:rPr>
                <w:sz w:val="20"/>
                <w:szCs w:val="20"/>
                <w:color w:val="auto"/>
              </w:rPr>
            </w:pPr>
            <w:r>
              <w:rPr>
                <w:rFonts w:ascii="Arial" w:cs="Arial" w:eastAsia="Arial" w:hAnsi="Arial"/>
                <w:sz w:val="15"/>
                <w:szCs w:val="15"/>
                <w:color w:val="auto"/>
              </w:rPr>
              <w:t>—</w:t>
            </w:r>
          </w:p>
        </w:tc>
        <w:tc>
          <w:tcPr>
            <w:tcW w:w="160" w:type="dxa"/>
            <w:vAlign w:val="bottom"/>
          </w:tcPr>
          <w:p>
            <w:pPr>
              <w:jc w:val="right"/>
              <w:spacing w:after="0" w:line="161" w:lineRule="exact"/>
              <w:rPr>
                <w:sz w:val="20"/>
                <w:szCs w:val="20"/>
                <w:color w:val="auto"/>
              </w:rPr>
            </w:pPr>
            <w:r>
              <w:rPr>
                <w:rFonts w:ascii="Arial" w:cs="Arial" w:eastAsia="Arial" w:hAnsi="Arial"/>
                <w:sz w:val="15"/>
                <w:szCs w:val="15"/>
                <w:color w:val="auto"/>
              </w:rPr>
              <w:t>$</w:t>
            </w:r>
          </w:p>
        </w:tc>
        <w:tc>
          <w:tcPr>
            <w:tcW w:w="880" w:type="dxa"/>
            <w:vAlign w:val="bottom"/>
          </w:tcPr>
          <w:p>
            <w:pPr>
              <w:jc w:val="right"/>
              <w:ind w:right="23"/>
              <w:spacing w:after="0" w:line="161" w:lineRule="exact"/>
              <w:rPr>
                <w:sz w:val="20"/>
                <w:szCs w:val="20"/>
                <w:color w:val="auto"/>
              </w:rPr>
            </w:pPr>
            <w:r>
              <w:rPr>
                <w:rFonts w:ascii="Arial" w:cs="Arial" w:eastAsia="Arial" w:hAnsi="Arial"/>
                <w:sz w:val="15"/>
                <w:szCs w:val="15"/>
                <w:color w:val="auto"/>
              </w:rPr>
              <w:t>415,385</w:t>
            </w:r>
          </w:p>
        </w:tc>
        <w:tc>
          <w:tcPr>
            <w:tcW w:w="0" w:type="dxa"/>
            <w:vAlign w:val="bottom"/>
          </w:tcPr>
          <w:p>
            <w:pPr>
              <w:spacing w:after="0"/>
              <w:rPr>
                <w:sz w:val="1"/>
                <w:szCs w:val="1"/>
                <w:color w:val="auto"/>
              </w:rPr>
            </w:pPr>
          </w:p>
        </w:tc>
      </w:tr>
      <w:tr>
        <w:trPr>
          <w:trHeight w:val="205"/>
        </w:trPr>
        <w:tc>
          <w:tcPr>
            <w:tcW w:w="2060" w:type="dxa"/>
            <w:vAlign w:val="bottom"/>
            <w:tcBorders>
              <w:bottom w:val="single" w:sz="8" w:color="99B5CB"/>
            </w:tcBorders>
          </w:tcPr>
          <w:p>
            <w:pPr>
              <w:ind w:left="60"/>
              <w:spacing w:after="0"/>
              <w:rPr>
                <w:sz w:val="20"/>
                <w:szCs w:val="20"/>
                <w:color w:val="auto"/>
              </w:rPr>
            </w:pPr>
            <w:r>
              <w:rPr>
                <w:rFonts w:ascii="Arial" w:cs="Arial" w:eastAsia="Arial" w:hAnsi="Arial"/>
                <w:sz w:val="15"/>
                <w:szCs w:val="15"/>
                <w:i w:val="1"/>
                <w:iCs w:val="1"/>
                <w:color w:val="auto"/>
              </w:rPr>
              <w:t>Interim CFO</w:t>
            </w:r>
          </w:p>
        </w:tc>
        <w:tc>
          <w:tcPr>
            <w:tcW w:w="540" w:type="dxa"/>
            <w:vAlign w:val="bottom"/>
            <w:tcBorders>
              <w:bottom w:val="single" w:sz="8" w:color="99B5CB"/>
            </w:tcBorders>
          </w:tcPr>
          <w:p>
            <w:pPr>
              <w:spacing w:after="0"/>
              <w:rPr>
                <w:sz w:val="17"/>
                <w:szCs w:val="17"/>
                <w:color w:val="auto"/>
              </w:rPr>
            </w:pPr>
          </w:p>
        </w:tc>
        <w:tc>
          <w:tcPr>
            <w:tcW w:w="180" w:type="dxa"/>
            <w:vAlign w:val="bottom"/>
            <w:tcBorders>
              <w:bottom w:val="single" w:sz="8" w:color="99B5CB"/>
            </w:tcBorders>
          </w:tcPr>
          <w:p>
            <w:pPr>
              <w:spacing w:after="0"/>
              <w:rPr>
                <w:sz w:val="17"/>
                <w:szCs w:val="17"/>
                <w:color w:val="auto"/>
              </w:rPr>
            </w:pPr>
          </w:p>
        </w:tc>
        <w:tc>
          <w:tcPr>
            <w:tcW w:w="780" w:type="dxa"/>
            <w:vAlign w:val="bottom"/>
            <w:tcBorders>
              <w:bottom w:val="single" w:sz="8" w:color="99B5CB"/>
            </w:tcBorders>
          </w:tcPr>
          <w:p>
            <w:pPr>
              <w:spacing w:after="0"/>
              <w:rPr>
                <w:sz w:val="17"/>
                <w:szCs w:val="17"/>
                <w:color w:val="auto"/>
              </w:rPr>
            </w:pPr>
          </w:p>
        </w:tc>
        <w:tc>
          <w:tcPr>
            <w:tcW w:w="160" w:type="dxa"/>
            <w:vAlign w:val="bottom"/>
            <w:tcBorders>
              <w:bottom w:val="single" w:sz="8" w:color="99B5CB"/>
            </w:tcBorders>
          </w:tcPr>
          <w:p>
            <w:pPr>
              <w:spacing w:after="0"/>
              <w:rPr>
                <w:sz w:val="17"/>
                <w:szCs w:val="17"/>
                <w:color w:val="auto"/>
              </w:rPr>
            </w:pPr>
          </w:p>
        </w:tc>
        <w:tc>
          <w:tcPr>
            <w:tcW w:w="780" w:type="dxa"/>
            <w:vAlign w:val="bottom"/>
            <w:tcBorders>
              <w:bottom w:val="single" w:sz="8" w:color="99B5CB"/>
            </w:tcBorders>
          </w:tcPr>
          <w:p>
            <w:pPr>
              <w:spacing w:after="0"/>
              <w:rPr>
                <w:sz w:val="17"/>
                <w:szCs w:val="17"/>
                <w:color w:val="auto"/>
              </w:rPr>
            </w:pPr>
          </w:p>
        </w:tc>
        <w:tc>
          <w:tcPr>
            <w:tcW w:w="180" w:type="dxa"/>
            <w:vAlign w:val="bottom"/>
            <w:tcBorders>
              <w:bottom w:val="single" w:sz="8" w:color="99B5CB"/>
            </w:tcBorders>
          </w:tcPr>
          <w:p>
            <w:pPr>
              <w:spacing w:after="0"/>
              <w:rPr>
                <w:sz w:val="17"/>
                <w:szCs w:val="17"/>
                <w:color w:val="auto"/>
              </w:rPr>
            </w:pPr>
          </w:p>
        </w:tc>
        <w:tc>
          <w:tcPr>
            <w:tcW w:w="780" w:type="dxa"/>
            <w:vAlign w:val="bottom"/>
            <w:tcBorders>
              <w:bottom w:val="single" w:sz="8" w:color="99B5CB"/>
            </w:tcBorders>
          </w:tcPr>
          <w:p>
            <w:pPr>
              <w:spacing w:after="0"/>
              <w:rPr>
                <w:sz w:val="17"/>
                <w:szCs w:val="17"/>
                <w:color w:val="auto"/>
              </w:rPr>
            </w:pPr>
          </w:p>
        </w:tc>
        <w:tc>
          <w:tcPr>
            <w:tcW w:w="180" w:type="dxa"/>
            <w:vAlign w:val="bottom"/>
            <w:tcBorders>
              <w:bottom w:val="single" w:sz="8" w:color="99B5CB"/>
            </w:tcBorders>
          </w:tcPr>
          <w:p>
            <w:pPr>
              <w:spacing w:after="0"/>
              <w:rPr>
                <w:sz w:val="17"/>
                <w:szCs w:val="17"/>
                <w:color w:val="auto"/>
              </w:rPr>
            </w:pPr>
          </w:p>
        </w:tc>
        <w:tc>
          <w:tcPr>
            <w:tcW w:w="1000" w:type="dxa"/>
            <w:vAlign w:val="bottom"/>
            <w:tcBorders>
              <w:bottom w:val="single" w:sz="8" w:color="99B5CB"/>
            </w:tcBorders>
          </w:tcPr>
          <w:p>
            <w:pPr>
              <w:spacing w:after="0"/>
              <w:rPr>
                <w:sz w:val="17"/>
                <w:szCs w:val="17"/>
                <w:color w:val="auto"/>
              </w:rPr>
            </w:pPr>
          </w:p>
        </w:tc>
        <w:tc>
          <w:tcPr>
            <w:tcW w:w="460" w:type="dxa"/>
            <w:vAlign w:val="bottom"/>
            <w:tcBorders>
              <w:bottom w:val="single" w:sz="8" w:color="99B5CB"/>
            </w:tcBorders>
          </w:tcPr>
          <w:p>
            <w:pPr>
              <w:spacing w:after="0"/>
              <w:rPr>
                <w:sz w:val="17"/>
                <w:szCs w:val="17"/>
                <w:color w:val="auto"/>
              </w:rPr>
            </w:pPr>
          </w:p>
        </w:tc>
        <w:tc>
          <w:tcPr>
            <w:tcW w:w="1040" w:type="dxa"/>
            <w:vAlign w:val="bottom"/>
            <w:tcBorders>
              <w:bottom w:val="single" w:sz="8" w:color="99B5CB"/>
            </w:tcBorders>
          </w:tcPr>
          <w:p>
            <w:pPr>
              <w:spacing w:after="0"/>
              <w:rPr>
                <w:sz w:val="17"/>
                <w:szCs w:val="17"/>
                <w:color w:val="auto"/>
              </w:rPr>
            </w:pPr>
          </w:p>
        </w:tc>
        <w:tc>
          <w:tcPr>
            <w:tcW w:w="680" w:type="dxa"/>
            <w:vAlign w:val="bottom"/>
            <w:tcBorders>
              <w:bottom w:val="single" w:sz="8" w:color="99B5CB"/>
            </w:tcBorders>
          </w:tcPr>
          <w:p>
            <w:pPr>
              <w:spacing w:after="0"/>
              <w:rPr>
                <w:sz w:val="17"/>
                <w:szCs w:val="17"/>
                <w:color w:val="auto"/>
              </w:rPr>
            </w:pPr>
          </w:p>
        </w:tc>
        <w:tc>
          <w:tcPr>
            <w:tcW w:w="680" w:type="dxa"/>
            <w:vAlign w:val="bottom"/>
            <w:tcBorders>
              <w:bottom w:val="single" w:sz="8" w:color="99B5CB"/>
            </w:tcBorders>
          </w:tcPr>
          <w:p>
            <w:pPr>
              <w:spacing w:after="0"/>
              <w:rPr>
                <w:sz w:val="17"/>
                <w:szCs w:val="17"/>
                <w:color w:val="auto"/>
              </w:rPr>
            </w:pPr>
          </w:p>
        </w:tc>
        <w:tc>
          <w:tcPr>
            <w:tcW w:w="160" w:type="dxa"/>
            <w:vAlign w:val="bottom"/>
            <w:tcBorders>
              <w:bottom w:val="single" w:sz="8" w:color="99B5CB"/>
            </w:tcBorders>
          </w:tcPr>
          <w:p>
            <w:pPr>
              <w:spacing w:after="0"/>
              <w:rPr>
                <w:sz w:val="17"/>
                <w:szCs w:val="17"/>
                <w:color w:val="auto"/>
              </w:rPr>
            </w:pPr>
          </w:p>
        </w:tc>
        <w:tc>
          <w:tcPr>
            <w:tcW w:w="880" w:type="dxa"/>
            <w:vAlign w:val="bottom"/>
            <w:tcBorders>
              <w:bottom w:val="single" w:sz="8" w:color="99B5CB"/>
            </w:tcBorders>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2060" w:type="dxa"/>
            <w:vAlign w:val="bottom"/>
          </w:tcPr>
          <w:p>
            <w:pPr>
              <w:ind w:left="60"/>
              <w:spacing w:after="0" w:line="162" w:lineRule="exact"/>
              <w:rPr>
                <w:sz w:val="20"/>
                <w:szCs w:val="20"/>
                <w:color w:val="auto"/>
              </w:rPr>
            </w:pPr>
            <w:r>
              <w:rPr>
                <w:rFonts w:ascii="Arial" w:cs="Arial" w:eastAsia="Arial" w:hAnsi="Arial"/>
                <w:sz w:val="15"/>
                <w:szCs w:val="15"/>
                <w:color w:val="auto"/>
              </w:rPr>
              <w:t>Michael P. Rutz</w:t>
            </w:r>
          </w:p>
        </w:tc>
        <w:tc>
          <w:tcPr>
            <w:tcW w:w="540" w:type="dxa"/>
            <w:vAlign w:val="bottom"/>
          </w:tcPr>
          <w:p>
            <w:pPr>
              <w:ind w:left="120"/>
              <w:spacing w:after="0" w:line="162" w:lineRule="exact"/>
              <w:rPr>
                <w:sz w:val="20"/>
                <w:szCs w:val="20"/>
                <w:color w:val="auto"/>
              </w:rPr>
            </w:pPr>
            <w:r>
              <w:rPr>
                <w:rFonts w:ascii="Arial" w:cs="Arial" w:eastAsia="Arial" w:hAnsi="Arial"/>
                <w:sz w:val="15"/>
                <w:szCs w:val="15"/>
                <w:color w:val="auto"/>
              </w:rPr>
              <w:t>2022</w:t>
            </w:r>
          </w:p>
        </w:tc>
        <w:tc>
          <w:tcPr>
            <w:tcW w:w="18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780" w:type="dxa"/>
            <w:vAlign w:val="bottom"/>
          </w:tcPr>
          <w:p>
            <w:pPr>
              <w:jc w:val="right"/>
              <w:ind w:right="3"/>
              <w:spacing w:after="0" w:line="162" w:lineRule="exact"/>
              <w:rPr>
                <w:sz w:val="20"/>
                <w:szCs w:val="20"/>
                <w:color w:val="auto"/>
              </w:rPr>
            </w:pPr>
            <w:r>
              <w:rPr>
                <w:rFonts w:ascii="Arial" w:cs="Arial" w:eastAsia="Arial" w:hAnsi="Arial"/>
                <w:sz w:val="15"/>
                <w:szCs w:val="15"/>
                <w:color w:val="auto"/>
              </w:rPr>
              <w:t>445,385</w:t>
            </w:r>
          </w:p>
        </w:tc>
        <w:tc>
          <w:tcPr>
            <w:tcW w:w="160" w:type="dxa"/>
            <w:vAlign w:val="bottom"/>
          </w:tcPr>
          <w:p>
            <w:pPr>
              <w:spacing w:after="0"/>
              <w:rPr>
                <w:sz w:val="14"/>
                <w:szCs w:val="14"/>
                <w:color w:val="auto"/>
              </w:rPr>
            </w:pPr>
          </w:p>
        </w:tc>
        <w:tc>
          <w:tcPr>
            <w:tcW w:w="780" w:type="dxa"/>
            <w:vAlign w:val="bottom"/>
          </w:tcPr>
          <w:p>
            <w:pPr>
              <w:jc w:val="right"/>
              <w:ind w:right="3"/>
              <w:spacing w:after="0" w:line="162" w:lineRule="exact"/>
              <w:rPr>
                <w:sz w:val="20"/>
                <w:szCs w:val="20"/>
                <w:color w:val="auto"/>
              </w:rPr>
            </w:pPr>
            <w:r>
              <w:rPr>
                <w:rFonts w:ascii="Arial" w:cs="Arial" w:eastAsia="Arial" w:hAnsi="Arial"/>
                <w:sz w:val="15"/>
                <w:szCs w:val="15"/>
                <w:color w:val="auto"/>
              </w:rPr>
              <w:t>—</w:t>
            </w:r>
          </w:p>
        </w:tc>
        <w:tc>
          <w:tcPr>
            <w:tcW w:w="18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780" w:type="dxa"/>
            <w:vAlign w:val="bottom"/>
          </w:tcPr>
          <w:p>
            <w:pPr>
              <w:jc w:val="right"/>
              <w:ind w:right="3"/>
              <w:spacing w:after="0" w:line="162" w:lineRule="exact"/>
              <w:rPr>
                <w:sz w:val="20"/>
                <w:szCs w:val="20"/>
                <w:color w:val="auto"/>
              </w:rPr>
            </w:pPr>
            <w:r>
              <w:rPr>
                <w:rFonts w:ascii="Arial" w:cs="Arial" w:eastAsia="Arial" w:hAnsi="Arial"/>
                <w:sz w:val="15"/>
                <w:szCs w:val="15"/>
                <w:color w:val="auto"/>
              </w:rPr>
              <w:t>499,989</w:t>
            </w:r>
          </w:p>
        </w:tc>
        <w:tc>
          <w:tcPr>
            <w:tcW w:w="18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1000" w:type="dxa"/>
            <w:vAlign w:val="bottom"/>
          </w:tcPr>
          <w:p>
            <w:pPr>
              <w:jc w:val="right"/>
              <w:ind w:right="144"/>
              <w:spacing w:after="0" w:line="162" w:lineRule="exact"/>
              <w:rPr>
                <w:sz w:val="20"/>
                <w:szCs w:val="20"/>
                <w:color w:val="auto"/>
              </w:rPr>
            </w:pPr>
            <w:r>
              <w:rPr>
                <w:rFonts w:ascii="Arial" w:cs="Arial" w:eastAsia="Arial" w:hAnsi="Arial"/>
                <w:sz w:val="15"/>
                <w:szCs w:val="15"/>
                <w:color w:val="auto"/>
              </w:rPr>
              <w:t>497,220</w:t>
            </w:r>
          </w:p>
        </w:tc>
        <w:tc>
          <w:tcPr>
            <w:tcW w:w="46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1040" w:type="dxa"/>
            <w:vAlign w:val="bottom"/>
          </w:tcPr>
          <w:p>
            <w:pPr>
              <w:jc w:val="right"/>
              <w:ind w:right="263"/>
              <w:spacing w:after="0" w:line="162" w:lineRule="exact"/>
              <w:rPr>
                <w:sz w:val="20"/>
                <w:szCs w:val="20"/>
                <w:color w:val="auto"/>
              </w:rPr>
            </w:pPr>
            <w:r>
              <w:rPr>
                <w:rFonts w:ascii="Arial" w:cs="Arial" w:eastAsia="Arial" w:hAnsi="Arial"/>
                <w:sz w:val="15"/>
                <w:szCs w:val="15"/>
                <w:color w:val="auto"/>
              </w:rPr>
              <w:t>253,201</w:t>
            </w:r>
          </w:p>
        </w:tc>
        <w:tc>
          <w:tcPr>
            <w:tcW w:w="68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680" w:type="dxa"/>
            <w:vAlign w:val="bottom"/>
          </w:tcPr>
          <w:p>
            <w:pPr>
              <w:jc w:val="right"/>
              <w:ind w:right="23"/>
              <w:spacing w:after="0" w:line="162" w:lineRule="exact"/>
              <w:rPr>
                <w:sz w:val="20"/>
                <w:szCs w:val="20"/>
                <w:color w:val="auto"/>
              </w:rPr>
            </w:pPr>
            <w:r>
              <w:rPr>
                <w:rFonts w:ascii="Arial" w:cs="Arial" w:eastAsia="Arial" w:hAnsi="Arial"/>
                <w:sz w:val="15"/>
                <w:szCs w:val="15"/>
                <w:color w:val="auto"/>
              </w:rPr>
              <w:t>17,146</w:t>
            </w:r>
          </w:p>
        </w:tc>
        <w:tc>
          <w:tcPr>
            <w:tcW w:w="16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880" w:type="dxa"/>
            <w:vAlign w:val="bottom"/>
          </w:tcPr>
          <w:p>
            <w:pPr>
              <w:jc w:val="right"/>
              <w:ind w:right="23"/>
              <w:spacing w:after="0" w:line="162" w:lineRule="exact"/>
              <w:rPr>
                <w:sz w:val="20"/>
                <w:szCs w:val="20"/>
                <w:color w:val="auto"/>
              </w:rPr>
            </w:pPr>
            <w:r>
              <w:rPr>
                <w:rFonts w:ascii="Arial" w:cs="Arial" w:eastAsia="Arial" w:hAnsi="Arial"/>
                <w:sz w:val="15"/>
                <w:szCs w:val="15"/>
                <w:color w:val="auto"/>
              </w:rPr>
              <w:t>1,712,941</w:t>
            </w:r>
          </w:p>
        </w:tc>
        <w:tc>
          <w:tcPr>
            <w:tcW w:w="0" w:type="dxa"/>
            <w:vAlign w:val="bottom"/>
          </w:tcPr>
          <w:p>
            <w:pPr>
              <w:spacing w:after="0"/>
              <w:rPr>
                <w:sz w:val="1"/>
                <w:szCs w:val="1"/>
                <w:color w:val="auto"/>
              </w:rPr>
            </w:pPr>
          </w:p>
        </w:tc>
      </w:tr>
      <w:tr>
        <w:trPr>
          <w:trHeight w:val="181"/>
        </w:trPr>
        <w:tc>
          <w:tcPr>
            <w:tcW w:w="2060" w:type="dxa"/>
            <w:vAlign w:val="bottom"/>
          </w:tcPr>
          <w:p>
            <w:pPr>
              <w:ind w:left="60"/>
              <w:spacing w:after="0"/>
              <w:rPr>
                <w:sz w:val="20"/>
                <w:szCs w:val="20"/>
                <w:color w:val="auto"/>
              </w:rPr>
            </w:pPr>
            <w:r>
              <w:rPr>
                <w:rFonts w:ascii="Arial" w:cs="Arial" w:eastAsia="Arial" w:hAnsi="Arial"/>
                <w:sz w:val="15"/>
                <w:szCs w:val="15"/>
                <w:i w:val="1"/>
                <w:iCs w:val="1"/>
                <w:color w:val="auto"/>
              </w:rPr>
              <w:t>President of Sterigenics</w:t>
            </w:r>
          </w:p>
        </w:tc>
        <w:tc>
          <w:tcPr>
            <w:tcW w:w="540" w:type="dxa"/>
            <w:vAlign w:val="bottom"/>
          </w:tcPr>
          <w:p>
            <w:pPr>
              <w:ind w:left="120"/>
              <w:spacing w:after="0"/>
              <w:rPr>
                <w:sz w:val="20"/>
                <w:szCs w:val="20"/>
                <w:color w:val="auto"/>
              </w:rPr>
            </w:pPr>
            <w:r>
              <w:rPr>
                <w:rFonts w:ascii="Arial" w:cs="Arial" w:eastAsia="Arial" w:hAnsi="Arial"/>
                <w:sz w:val="15"/>
                <w:szCs w:val="15"/>
                <w:color w:val="auto"/>
              </w:rPr>
              <w:t>2021</w:t>
            </w:r>
          </w:p>
        </w:tc>
        <w:tc>
          <w:tcPr>
            <w:tcW w:w="180" w:type="dxa"/>
            <w:vAlign w:val="bottom"/>
          </w:tcPr>
          <w:p>
            <w:pPr>
              <w:spacing w:after="0"/>
              <w:rPr>
                <w:sz w:val="15"/>
                <w:szCs w:val="15"/>
                <w:color w:val="auto"/>
              </w:rPr>
            </w:pPr>
          </w:p>
        </w:tc>
        <w:tc>
          <w:tcPr>
            <w:tcW w:w="780" w:type="dxa"/>
            <w:vAlign w:val="bottom"/>
          </w:tcPr>
          <w:p>
            <w:pPr>
              <w:jc w:val="right"/>
              <w:ind w:right="3"/>
              <w:spacing w:after="0"/>
              <w:rPr>
                <w:sz w:val="20"/>
                <w:szCs w:val="20"/>
                <w:color w:val="auto"/>
              </w:rPr>
            </w:pPr>
            <w:r>
              <w:rPr>
                <w:rFonts w:ascii="Arial" w:cs="Arial" w:eastAsia="Arial" w:hAnsi="Arial"/>
                <w:sz w:val="15"/>
                <w:szCs w:val="15"/>
                <w:color w:val="auto"/>
              </w:rPr>
              <w:t>430,000</w:t>
            </w:r>
          </w:p>
        </w:tc>
        <w:tc>
          <w:tcPr>
            <w:tcW w:w="160" w:type="dxa"/>
            <w:vAlign w:val="bottom"/>
          </w:tcPr>
          <w:p>
            <w:pPr>
              <w:spacing w:after="0"/>
              <w:rPr>
                <w:sz w:val="15"/>
                <w:szCs w:val="15"/>
                <w:color w:val="auto"/>
              </w:rPr>
            </w:pPr>
          </w:p>
        </w:tc>
        <w:tc>
          <w:tcPr>
            <w:tcW w:w="78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5"/>
                <w:szCs w:val="15"/>
                <w:color w:val="auto"/>
              </w:rPr>
            </w:pPr>
          </w:p>
        </w:tc>
        <w:tc>
          <w:tcPr>
            <w:tcW w:w="78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5"/>
                <w:szCs w:val="15"/>
                <w:color w:val="auto"/>
              </w:rPr>
            </w:pPr>
          </w:p>
        </w:tc>
        <w:tc>
          <w:tcPr>
            <w:tcW w:w="1000" w:type="dxa"/>
            <w:vAlign w:val="bottom"/>
          </w:tcPr>
          <w:p>
            <w:pPr>
              <w:jc w:val="right"/>
              <w:ind w:right="144"/>
              <w:spacing w:after="0"/>
              <w:rPr>
                <w:sz w:val="20"/>
                <w:szCs w:val="20"/>
                <w:color w:val="auto"/>
              </w:rPr>
            </w:pPr>
            <w:r>
              <w:rPr>
                <w:rFonts w:ascii="Arial" w:cs="Arial" w:eastAsia="Arial" w:hAnsi="Arial"/>
                <w:sz w:val="15"/>
                <w:szCs w:val="15"/>
                <w:color w:val="auto"/>
              </w:rPr>
              <w:t>—</w:t>
            </w:r>
          </w:p>
        </w:tc>
        <w:tc>
          <w:tcPr>
            <w:tcW w:w="460" w:type="dxa"/>
            <w:vAlign w:val="bottom"/>
          </w:tcPr>
          <w:p>
            <w:pPr>
              <w:spacing w:after="0"/>
              <w:rPr>
                <w:sz w:val="15"/>
                <w:szCs w:val="15"/>
                <w:color w:val="auto"/>
              </w:rPr>
            </w:pPr>
          </w:p>
        </w:tc>
        <w:tc>
          <w:tcPr>
            <w:tcW w:w="1040" w:type="dxa"/>
            <w:vAlign w:val="bottom"/>
          </w:tcPr>
          <w:p>
            <w:pPr>
              <w:jc w:val="right"/>
              <w:ind w:right="263"/>
              <w:spacing w:after="0"/>
              <w:rPr>
                <w:sz w:val="20"/>
                <w:szCs w:val="20"/>
                <w:color w:val="auto"/>
              </w:rPr>
            </w:pPr>
            <w:r>
              <w:rPr>
                <w:rFonts w:ascii="Arial" w:cs="Arial" w:eastAsia="Arial" w:hAnsi="Arial"/>
                <w:sz w:val="15"/>
                <w:szCs w:val="15"/>
                <w:color w:val="auto"/>
              </w:rPr>
              <w:t>246,390</w:t>
            </w:r>
          </w:p>
        </w:tc>
        <w:tc>
          <w:tcPr>
            <w:tcW w:w="680" w:type="dxa"/>
            <w:vAlign w:val="bottom"/>
          </w:tcPr>
          <w:p>
            <w:pPr>
              <w:spacing w:after="0"/>
              <w:rPr>
                <w:sz w:val="15"/>
                <w:szCs w:val="15"/>
                <w:color w:val="auto"/>
              </w:rPr>
            </w:pPr>
          </w:p>
        </w:tc>
        <w:tc>
          <w:tcPr>
            <w:tcW w:w="680" w:type="dxa"/>
            <w:vAlign w:val="bottom"/>
          </w:tcPr>
          <w:p>
            <w:pPr>
              <w:jc w:val="right"/>
              <w:ind w:right="23"/>
              <w:spacing w:after="0"/>
              <w:rPr>
                <w:sz w:val="20"/>
                <w:szCs w:val="20"/>
                <w:color w:val="auto"/>
              </w:rPr>
            </w:pPr>
            <w:r>
              <w:rPr>
                <w:rFonts w:ascii="Arial" w:cs="Arial" w:eastAsia="Arial" w:hAnsi="Arial"/>
                <w:sz w:val="15"/>
                <w:szCs w:val="15"/>
                <w:color w:val="auto"/>
              </w:rPr>
              <w:t>13,050</w:t>
            </w:r>
          </w:p>
        </w:tc>
        <w:tc>
          <w:tcPr>
            <w:tcW w:w="160" w:type="dxa"/>
            <w:vAlign w:val="bottom"/>
          </w:tcPr>
          <w:p>
            <w:pPr>
              <w:spacing w:after="0"/>
              <w:rPr>
                <w:sz w:val="15"/>
                <w:szCs w:val="15"/>
                <w:color w:val="auto"/>
              </w:rPr>
            </w:pPr>
          </w:p>
        </w:tc>
        <w:tc>
          <w:tcPr>
            <w:tcW w:w="880" w:type="dxa"/>
            <w:vAlign w:val="bottom"/>
          </w:tcPr>
          <w:p>
            <w:pPr>
              <w:jc w:val="right"/>
              <w:ind w:right="23"/>
              <w:spacing w:after="0"/>
              <w:rPr>
                <w:sz w:val="20"/>
                <w:szCs w:val="20"/>
                <w:color w:val="auto"/>
              </w:rPr>
            </w:pPr>
            <w:r>
              <w:rPr>
                <w:rFonts w:ascii="Arial" w:cs="Arial" w:eastAsia="Arial" w:hAnsi="Arial"/>
                <w:sz w:val="15"/>
                <w:szCs w:val="15"/>
                <w:color w:val="auto"/>
              </w:rPr>
              <w:t>689,440</w:t>
            </w:r>
          </w:p>
        </w:tc>
        <w:tc>
          <w:tcPr>
            <w:tcW w:w="0" w:type="dxa"/>
            <w:vAlign w:val="bottom"/>
          </w:tcPr>
          <w:p>
            <w:pPr>
              <w:spacing w:after="0"/>
              <w:rPr>
                <w:sz w:val="1"/>
                <w:szCs w:val="1"/>
                <w:color w:val="auto"/>
              </w:rPr>
            </w:pPr>
          </w:p>
        </w:tc>
      </w:tr>
      <w:tr>
        <w:trPr>
          <w:trHeight w:val="193"/>
        </w:trPr>
        <w:tc>
          <w:tcPr>
            <w:tcW w:w="2060" w:type="dxa"/>
            <w:vAlign w:val="bottom"/>
            <w:tcBorders>
              <w:bottom w:val="single" w:sz="8" w:color="99B5CB"/>
            </w:tcBorders>
          </w:tcPr>
          <w:p>
            <w:pPr>
              <w:spacing w:after="0"/>
              <w:rPr>
                <w:sz w:val="16"/>
                <w:szCs w:val="16"/>
                <w:color w:val="auto"/>
              </w:rPr>
            </w:pPr>
          </w:p>
        </w:tc>
        <w:tc>
          <w:tcPr>
            <w:tcW w:w="540" w:type="dxa"/>
            <w:vAlign w:val="bottom"/>
            <w:tcBorders>
              <w:bottom w:val="single" w:sz="8" w:color="99B5CB"/>
            </w:tcBorders>
          </w:tcPr>
          <w:p>
            <w:pPr>
              <w:ind w:left="120"/>
              <w:spacing w:after="0"/>
              <w:rPr>
                <w:sz w:val="20"/>
                <w:szCs w:val="20"/>
                <w:color w:val="auto"/>
              </w:rPr>
            </w:pPr>
            <w:r>
              <w:rPr>
                <w:rFonts w:ascii="Arial" w:cs="Arial" w:eastAsia="Arial" w:hAnsi="Arial"/>
                <w:sz w:val="15"/>
                <w:szCs w:val="15"/>
                <w:color w:val="auto"/>
              </w:rPr>
              <w:t>2020</w:t>
            </w:r>
          </w:p>
        </w:tc>
        <w:tc>
          <w:tcPr>
            <w:tcW w:w="180" w:type="dxa"/>
            <w:vAlign w:val="bottom"/>
            <w:tcBorders>
              <w:bottom w:val="single" w:sz="8" w:color="99B5CB"/>
            </w:tcBorders>
          </w:tcPr>
          <w:p>
            <w:pPr>
              <w:spacing w:after="0"/>
              <w:rPr>
                <w:sz w:val="16"/>
                <w:szCs w:val="16"/>
                <w:color w:val="auto"/>
              </w:rPr>
            </w:pPr>
          </w:p>
        </w:tc>
        <w:tc>
          <w:tcPr>
            <w:tcW w:w="780" w:type="dxa"/>
            <w:vAlign w:val="bottom"/>
            <w:tcBorders>
              <w:bottom w:val="single" w:sz="8" w:color="99B5CB"/>
            </w:tcBorders>
          </w:tcPr>
          <w:p>
            <w:pPr>
              <w:jc w:val="right"/>
              <w:ind w:right="3"/>
              <w:spacing w:after="0"/>
              <w:rPr>
                <w:sz w:val="20"/>
                <w:szCs w:val="20"/>
                <w:color w:val="auto"/>
              </w:rPr>
            </w:pPr>
            <w:r>
              <w:rPr>
                <w:rFonts w:ascii="Arial" w:cs="Arial" w:eastAsia="Arial" w:hAnsi="Arial"/>
                <w:sz w:val="15"/>
                <w:szCs w:val="15"/>
                <w:color w:val="auto"/>
              </w:rPr>
              <w:t>269,577</w:t>
            </w:r>
          </w:p>
        </w:tc>
        <w:tc>
          <w:tcPr>
            <w:tcW w:w="160" w:type="dxa"/>
            <w:vAlign w:val="bottom"/>
            <w:tcBorders>
              <w:bottom w:val="single" w:sz="8" w:color="99B5CB"/>
            </w:tcBorders>
          </w:tcPr>
          <w:p>
            <w:pPr>
              <w:jc w:val="right"/>
              <w:spacing w:after="0"/>
              <w:rPr>
                <w:sz w:val="20"/>
                <w:szCs w:val="20"/>
                <w:color w:val="auto"/>
              </w:rPr>
            </w:pPr>
            <w:r>
              <w:rPr>
                <w:rFonts w:ascii="Arial" w:cs="Arial" w:eastAsia="Arial" w:hAnsi="Arial"/>
                <w:sz w:val="15"/>
                <w:szCs w:val="15"/>
                <w:color w:val="auto"/>
              </w:rPr>
              <w:t>$</w:t>
            </w:r>
          </w:p>
        </w:tc>
        <w:tc>
          <w:tcPr>
            <w:tcW w:w="780" w:type="dxa"/>
            <w:vAlign w:val="bottom"/>
            <w:tcBorders>
              <w:bottom w:val="single" w:sz="8" w:color="99B5CB"/>
            </w:tcBorders>
          </w:tcPr>
          <w:p>
            <w:pPr>
              <w:jc w:val="right"/>
              <w:ind w:right="3"/>
              <w:spacing w:after="0"/>
              <w:rPr>
                <w:sz w:val="20"/>
                <w:szCs w:val="20"/>
                <w:color w:val="auto"/>
              </w:rPr>
            </w:pPr>
            <w:r>
              <w:rPr>
                <w:rFonts w:ascii="Arial" w:cs="Arial" w:eastAsia="Arial" w:hAnsi="Arial"/>
                <w:sz w:val="15"/>
                <w:szCs w:val="15"/>
                <w:color w:val="auto"/>
              </w:rPr>
              <w:t>50,000</w:t>
            </w:r>
          </w:p>
        </w:tc>
        <w:tc>
          <w:tcPr>
            <w:tcW w:w="180" w:type="dxa"/>
            <w:vAlign w:val="bottom"/>
            <w:tcBorders>
              <w:bottom w:val="single" w:sz="8" w:color="99B5CB"/>
            </w:tcBorders>
          </w:tcPr>
          <w:p>
            <w:pPr>
              <w:jc w:val="right"/>
              <w:spacing w:after="0"/>
              <w:rPr>
                <w:sz w:val="20"/>
                <w:szCs w:val="20"/>
                <w:color w:val="auto"/>
              </w:rPr>
            </w:pPr>
            <w:r>
              <w:rPr>
                <w:rFonts w:ascii="Arial" w:cs="Arial" w:eastAsia="Arial" w:hAnsi="Arial"/>
                <w:sz w:val="15"/>
                <w:szCs w:val="15"/>
                <w:color w:val="auto"/>
              </w:rPr>
              <w:t>$</w:t>
            </w:r>
          </w:p>
        </w:tc>
        <w:tc>
          <w:tcPr>
            <w:tcW w:w="780" w:type="dxa"/>
            <w:vAlign w:val="bottom"/>
            <w:tcBorders>
              <w:bottom w:val="single" w:sz="8" w:color="99B5CB"/>
            </w:tcBorders>
          </w:tcPr>
          <w:p>
            <w:pPr>
              <w:jc w:val="right"/>
              <w:ind w:right="3"/>
              <w:spacing w:after="0"/>
              <w:rPr>
                <w:sz w:val="20"/>
                <w:szCs w:val="20"/>
                <w:color w:val="auto"/>
              </w:rPr>
            </w:pPr>
            <w:r>
              <w:rPr>
                <w:rFonts w:ascii="Arial" w:cs="Arial" w:eastAsia="Arial" w:hAnsi="Arial"/>
                <w:sz w:val="15"/>
                <w:szCs w:val="15"/>
                <w:color w:val="auto"/>
              </w:rPr>
              <w:t>4,800,000</w:t>
            </w:r>
          </w:p>
        </w:tc>
        <w:tc>
          <w:tcPr>
            <w:tcW w:w="180" w:type="dxa"/>
            <w:vAlign w:val="bottom"/>
            <w:tcBorders>
              <w:bottom w:val="single" w:sz="8" w:color="99B5CB"/>
            </w:tcBorders>
          </w:tcPr>
          <w:p>
            <w:pPr>
              <w:spacing w:after="0"/>
              <w:rPr>
                <w:sz w:val="16"/>
                <w:szCs w:val="16"/>
                <w:color w:val="auto"/>
              </w:rPr>
            </w:pPr>
          </w:p>
        </w:tc>
        <w:tc>
          <w:tcPr>
            <w:tcW w:w="1000" w:type="dxa"/>
            <w:vAlign w:val="bottom"/>
            <w:tcBorders>
              <w:bottom w:val="single" w:sz="8" w:color="99B5CB"/>
            </w:tcBorders>
          </w:tcPr>
          <w:p>
            <w:pPr>
              <w:jc w:val="right"/>
              <w:ind w:right="144"/>
              <w:spacing w:after="0"/>
              <w:rPr>
                <w:sz w:val="20"/>
                <w:szCs w:val="20"/>
                <w:color w:val="auto"/>
              </w:rPr>
            </w:pPr>
            <w:r>
              <w:rPr>
                <w:rFonts w:ascii="Arial" w:cs="Arial" w:eastAsia="Arial" w:hAnsi="Arial"/>
                <w:sz w:val="15"/>
                <w:szCs w:val="15"/>
                <w:color w:val="auto"/>
              </w:rPr>
              <w:t>900,000</w:t>
            </w:r>
          </w:p>
        </w:tc>
        <w:tc>
          <w:tcPr>
            <w:tcW w:w="460" w:type="dxa"/>
            <w:vAlign w:val="bottom"/>
            <w:tcBorders>
              <w:bottom w:val="single" w:sz="8" w:color="99B5CB"/>
            </w:tcBorders>
          </w:tcPr>
          <w:p>
            <w:pPr>
              <w:spacing w:after="0"/>
              <w:rPr>
                <w:sz w:val="16"/>
                <w:szCs w:val="16"/>
                <w:color w:val="auto"/>
              </w:rPr>
            </w:pPr>
          </w:p>
        </w:tc>
        <w:tc>
          <w:tcPr>
            <w:tcW w:w="1040" w:type="dxa"/>
            <w:vAlign w:val="bottom"/>
            <w:tcBorders>
              <w:bottom w:val="single" w:sz="8" w:color="99B5CB"/>
            </w:tcBorders>
          </w:tcPr>
          <w:p>
            <w:pPr>
              <w:jc w:val="right"/>
              <w:ind w:right="263"/>
              <w:spacing w:after="0"/>
              <w:rPr>
                <w:sz w:val="20"/>
                <w:szCs w:val="20"/>
                <w:color w:val="auto"/>
              </w:rPr>
            </w:pPr>
            <w:r>
              <w:rPr>
                <w:rFonts w:ascii="Arial" w:cs="Arial" w:eastAsia="Arial" w:hAnsi="Arial"/>
                <w:sz w:val="15"/>
                <w:szCs w:val="15"/>
                <w:color w:val="auto"/>
              </w:rPr>
              <w:t>153,133</w:t>
            </w:r>
          </w:p>
        </w:tc>
        <w:tc>
          <w:tcPr>
            <w:tcW w:w="680" w:type="dxa"/>
            <w:vAlign w:val="bottom"/>
            <w:tcBorders>
              <w:bottom w:val="single" w:sz="8" w:color="99B5CB"/>
            </w:tcBorders>
          </w:tcPr>
          <w:p>
            <w:pPr>
              <w:spacing w:after="0"/>
              <w:rPr>
                <w:sz w:val="16"/>
                <w:szCs w:val="16"/>
                <w:color w:val="auto"/>
              </w:rPr>
            </w:pPr>
          </w:p>
        </w:tc>
        <w:tc>
          <w:tcPr>
            <w:tcW w:w="680" w:type="dxa"/>
            <w:vAlign w:val="bottom"/>
            <w:tcBorders>
              <w:bottom w:val="single" w:sz="8" w:color="99B5CB"/>
            </w:tcBorders>
          </w:tcPr>
          <w:p>
            <w:pPr>
              <w:jc w:val="right"/>
              <w:ind w:right="23"/>
              <w:spacing w:after="0"/>
              <w:rPr>
                <w:sz w:val="20"/>
                <w:szCs w:val="20"/>
                <w:color w:val="auto"/>
              </w:rPr>
            </w:pPr>
            <w:r>
              <w:rPr>
                <w:rFonts w:ascii="Arial" w:cs="Arial" w:eastAsia="Arial" w:hAnsi="Arial"/>
                <w:sz w:val="15"/>
                <w:szCs w:val="15"/>
                <w:color w:val="auto"/>
              </w:rPr>
              <w:t>10,623</w:t>
            </w:r>
          </w:p>
        </w:tc>
        <w:tc>
          <w:tcPr>
            <w:tcW w:w="160" w:type="dxa"/>
            <w:vAlign w:val="bottom"/>
            <w:tcBorders>
              <w:bottom w:val="single" w:sz="8" w:color="99B5CB"/>
            </w:tcBorders>
          </w:tcPr>
          <w:p>
            <w:pPr>
              <w:spacing w:after="0"/>
              <w:rPr>
                <w:sz w:val="16"/>
                <w:szCs w:val="16"/>
                <w:color w:val="auto"/>
              </w:rPr>
            </w:pPr>
          </w:p>
        </w:tc>
        <w:tc>
          <w:tcPr>
            <w:tcW w:w="880" w:type="dxa"/>
            <w:vAlign w:val="bottom"/>
            <w:tcBorders>
              <w:bottom w:val="single" w:sz="8" w:color="99B5CB"/>
            </w:tcBorders>
          </w:tcPr>
          <w:p>
            <w:pPr>
              <w:jc w:val="right"/>
              <w:ind w:right="23"/>
              <w:spacing w:after="0"/>
              <w:rPr>
                <w:sz w:val="20"/>
                <w:szCs w:val="20"/>
                <w:color w:val="auto"/>
              </w:rPr>
            </w:pPr>
            <w:r>
              <w:rPr>
                <w:rFonts w:ascii="Arial" w:cs="Arial" w:eastAsia="Arial" w:hAnsi="Arial"/>
                <w:sz w:val="15"/>
                <w:szCs w:val="15"/>
                <w:color w:val="auto"/>
              </w:rPr>
              <w:t>6,183,333</w:t>
            </w:r>
          </w:p>
        </w:tc>
        <w:tc>
          <w:tcPr>
            <w:tcW w:w="0" w:type="dxa"/>
            <w:vAlign w:val="bottom"/>
          </w:tcPr>
          <w:p>
            <w:pPr>
              <w:spacing w:after="0"/>
              <w:rPr>
                <w:sz w:val="1"/>
                <w:szCs w:val="1"/>
                <w:color w:val="auto"/>
              </w:rPr>
            </w:pPr>
          </w:p>
        </w:tc>
      </w:tr>
      <w:tr>
        <w:trPr>
          <w:trHeight w:val="161"/>
        </w:trPr>
        <w:tc>
          <w:tcPr>
            <w:tcW w:w="2060" w:type="dxa"/>
            <w:vAlign w:val="bottom"/>
          </w:tcPr>
          <w:p>
            <w:pPr>
              <w:ind w:left="60"/>
              <w:spacing w:after="0" w:line="161" w:lineRule="exact"/>
              <w:rPr>
                <w:sz w:val="20"/>
                <w:szCs w:val="20"/>
                <w:color w:val="auto"/>
              </w:rPr>
            </w:pPr>
            <w:r>
              <w:rPr>
                <w:rFonts w:ascii="Arial" w:cs="Arial" w:eastAsia="Arial" w:hAnsi="Arial"/>
                <w:sz w:val="15"/>
                <w:szCs w:val="15"/>
                <w:color w:val="auto"/>
              </w:rPr>
              <w:t>Alexander Dimitrief</w:t>
            </w:r>
          </w:p>
        </w:tc>
        <w:tc>
          <w:tcPr>
            <w:tcW w:w="540" w:type="dxa"/>
            <w:vAlign w:val="bottom"/>
            <w:vMerge w:val="restart"/>
          </w:tcPr>
          <w:p>
            <w:pPr>
              <w:ind w:left="120"/>
              <w:spacing w:after="0"/>
              <w:rPr>
                <w:sz w:val="20"/>
                <w:szCs w:val="20"/>
                <w:color w:val="auto"/>
              </w:rPr>
            </w:pPr>
            <w:r>
              <w:rPr>
                <w:rFonts w:ascii="Arial" w:cs="Arial" w:eastAsia="Arial" w:hAnsi="Arial"/>
                <w:sz w:val="15"/>
                <w:szCs w:val="15"/>
                <w:color w:val="auto"/>
              </w:rPr>
              <w:t>2022</w:t>
            </w:r>
          </w:p>
        </w:tc>
        <w:tc>
          <w:tcPr>
            <w:tcW w:w="18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780" w:type="dxa"/>
            <w:vAlign w:val="bottom"/>
            <w:vMerge w:val="restart"/>
          </w:tcPr>
          <w:p>
            <w:pPr>
              <w:jc w:val="right"/>
              <w:ind w:right="3"/>
              <w:spacing w:after="0"/>
              <w:rPr>
                <w:sz w:val="20"/>
                <w:szCs w:val="20"/>
                <w:color w:val="auto"/>
              </w:rPr>
            </w:pPr>
            <w:r>
              <w:rPr>
                <w:rFonts w:ascii="Arial" w:cs="Arial" w:eastAsia="Arial" w:hAnsi="Arial"/>
                <w:sz w:val="15"/>
                <w:szCs w:val="15"/>
                <w:color w:val="auto"/>
              </w:rPr>
              <w:t>90,000</w:t>
            </w:r>
          </w:p>
        </w:tc>
        <w:tc>
          <w:tcPr>
            <w:tcW w:w="16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780" w:type="dxa"/>
            <w:vAlign w:val="bottom"/>
            <w:vMerge w:val="restart"/>
          </w:tcPr>
          <w:p>
            <w:pPr>
              <w:jc w:val="right"/>
              <w:ind w:right="3"/>
              <w:spacing w:after="0"/>
              <w:rPr>
                <w:sz w:val="20"/>
                <w:szCs w:val="20"/>
                <w:color w:val="auto"/>
              </w:rPr>
            </w:pPr>
            <w:r>
              <w:rPr>
                <w:rFonts w:ascii="Arial" w:cs="Arial" w:eastAsia="Arial" w:hAnsi="Arial"/>
                <w:sz w:val="15"/>
                <w:szCs w:val="15"/>
                <w:color w:val="auto"/>
              </w:rPr>
              <w:t>1,500,000</w:t>
            </w:r>
          </w:p>
        </w:tc>
        <w:tc>
          <w:tcPr>
            <w:tcW w:w="18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780" w:type="dxa"/>
            <w:vAlign w:val="bottom"/>
            <w:vMerge w:val="restart"/>
          </w:tcPr>
          <w:p>
            <w:pPr>
              <w:jc w:val="right"/>
              <w:ind w:right="3"/>
              <w:spacing w:after="0"/>
              <w:rPr>
                <w:sz w:val="20"/>
                <w:szCs w:val="20"/>
                <w:color w:val="auto"/>
              </w:rPr>
            </w:pPr>
            <w:r>
              <w:rPr>
                <w:rFonts w:ascii="Arial" w:cs="Arial" w:eastAsia="Arial" w:hAnsi="Arial"/>
                <w:sz w:val="15"/>
                <w:szCs w:val="15"/>
                <w:color w:val="auto"/>
              </w:rPr>
              <w:t>1,499,995</w:t>
            </w:r>
          </w:p>
        </w:tc>
        <w:tc>
          <w:tcPr>
            <w:tcW w:w="18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1000" w:type="dxa"/>
            <w:vAlign w:val="bottom"/>
            <w:vMerge w:val="restart"/>
          </w:tcPr>
          <w:p>
            <w:pPr>
              <w:jc w:val="right"/>
              <w:ind w:right="144"/>
              <w:spacing w:after="0"/>
              <w:rPr>
                <w:sz w:val="20"/>
                <w:szCs w:val="20"/>
                <w:color w:val="auto"/>
              </w:rPr>
            </w:pPr>
            <w:r>
              <w:rPr>
                <w:rFonts w:ascii="Arial" w:cs="Arial" w:eastAsia="Arial" w:hAnsi="Arial"/>
                <w:sz w:val="15"/>
                <w:szCs w:val="15"/>
                <w:color w:val="auto"/>
              </w:rPr>
              <w:t>1,991,351</w:t>
            </w:r>
          </w:p>
        </w:tc>
        <w:tc>
          <w:tcPr>
            <w:tcW w:w="46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1040" w:type="dxa"/>
            <w:vAlign w:val="bottom"/>
            <w:vMerge w:val="restart"/>
          </w:tcPr>
          <w:p>
            <w:pPr>
              <w:jc w:val="right"/>
              <w:ind w:right="263"/>
              <w:spacing w:after="0"/>
              <w:rPr>
                <w:sz w:val="20"/>
                <w:szCs w:val="20"/>
                <w:color w:val="auto"/>
              </w:rPr>
            </w:pPr>
            <w:r>
              <w:rPr>
                <w:rFonts w:ascii="Arial" w:cs="Arial" w:eastAsia="Arial" w:hAnsi="Arial"/>
                <w:sz w:val="15"/>
                <w:szCs w:val="15"/>
                <w:color w:val="auto"/>
              </w:rPr>
              <w:t>39,600</w:t>
            </w:r>
          </w:p>
        </w:tc>
        <w:tc>
          <w:tcPr>
            <w:tcW w:w="68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680" w:type="dxa"/>
            <w:vAlign w:val="bottom"/>
            <w:vMerge w:val="restart"/>
          </w:tcPr>
          <w:p>
            <w:pPr>
              <w:jc w:val="right"/>
              <w:ind w:right="23"/>
              <w:spacing w:after="0"/>
              <w:rPr>
                <w:sz w:val="20"/>
                <w:szCs w:val="20"/>
                <w:color w:val="auto"/>
              </w:rPr>
            </w:pPr>
            <w:r>
              <w:rPr>
                <w:rFonts w:ascii="Arial" w:cs="Arial" w:eastAsia="Arial" w:hAnsi="Arial"/>
                <w:sz w:val="15"/>
                <w:szCs w:val="15"/>
                <w:color w:val="auto"/>
              </w:rPr>
              <w:t>1,038</w:t>
            </w:r>
          </w:p>
        </w:tc>
        <w:tc>
          <w:tcPr>
            <w:tcW w:w="16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880" w:type="dxa"/>
            <w:vAlign w:val="bottom"/>
            <w:vMerge w:val="restart"/>
          </w:tcPr>
          <w:p>
            <w:pPr>
              <w:jc w:val="right"/>
              <w:ind w:right="23"/>
              <w:spacing w:after="0"/>
              <w:rPr>
                <w:sz w:val="20"/>
                <w:szCs w:val="20"/>
                <w:color w:val="auto"/>
              </w:rPr>
            </w:pPr>
            <w:r>
              <w:rPr>
                <w:rFonts w:ascii="Arial" w:cs="Arial" w:eastAsia="Arial" w:hAnsi="Arial"/>
                <w:sz w:val="15"/>
                <w:szCs w:val="15"/>
                <w:color w:val="auto"/>
              </w:rPr>
              <w:t>5,121,984</w:t>
            </w:r>
          </w:p>
        </w:tc>
        <w:tc>
          <w:tcPr>
            <w:tcW w:w="0" w:type="dxa"/>
            <w:vAlign w:val="bottom"/>
          </w:tcPr>
          <w:p>
            <w:pPr>
              <w:spacing w:after="0"/>
              <w:rPr>
                <w:sz w:val="1"/>
                <w:szCs w:val="1"/>
                <w:color w:val="auto"/>
              </w:rPr>
            </w:pPr>
          </w:p>
        </w:tc>
      </w:tr>
      <w:tr>
        <w:trPr>
          <w:trHeight w:val="114"/>
        </w:trPr>
        <w:tc>
          <w:tcPr>
            <w:tcW w:w="2060" w:type="dxa"/>
            <w:vAlign w:val="bottom"/>
            <w:vMerge w:val="restart"/>
          </w:tcPr>
          <w:p>
            <w:pPr>
              <w:ind w:left="60"/>
              <w:spacing w:after="0"/>
              <w:rPr>
                <w:sz w:val="20"/>
                <w:szCs w:val="20"/>
                <w:color w:val="auto"/>
              </w:rPr>
            </w:pPr>
            <w:r>
              <w:rPr>
                <w:rFonts w:ascii="Arial" w:cs="Arial" w:eastAsia="Arial" w:hAnsi="Arial"/>
                <w:sz w:val="15"/>
                <w:szCs w:val="15"/>
                <w:i w:val="1"/>
                <w:iCs w:val="1"/>
                <w:color w:val="auto"/>
              </w:rPr>
              <w:t>SVP, General Counsel and</w:t>
            </w:r>
          </w:p>
        </w:tc>
        <w:tc>
          <w:tcPr>
            <w:tcW w:w="540" w:type="dxa"/>
            <w:vAlign w:val="bottom"/>
            <w:vMerge w:val="continue"/>
          </w:tcPr>
          <w:p>
            <w:pPr>
              <w:spacing w:after="0"/>
              <w:rPr>
                <w:sz w:val="9"/>
                <w:szCs w:val="9"/>
                <w:color w:val="auto"/>
              </w:rPr>
            </w:pPr>
          </w:p>
        </w:tc>
        <w:tc>
          <w:tcPr>
            <w:tcW w:w="18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16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18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180" w:type="dxa"/>
            <w:vAlign w:val="bottom"/>
            <w:vMerge w:val="continue"/>
          </w:tcPr>
          <w:p>
            <w:pPr>
              <w:spacing w:after="0"/>
              <w:rPr>
                <w:sz w:val="9"/>
                <w:szCs w:val="9"/>
                <w:color w:val="auto"/>
              </w:rPr>
            </w:pPr>
          </w:p>
        </w:tc>
        <w:tc>
          <w:tcPr>
            <w:tcW w:w="1000" w:type="dxa"/>
            <w:vAlign w:val="bottom"/>
            <w:vMerge w:val="continue"/>
          </w:tcPr>
          <w:p>
            <w:pPr>
              <w:spacing w:after="0"/>
              <w:rPr>
                <w:sz w:val="9"/>
                <w:szCs w:val="9"/>
                <w:color w:val="auto"/>
              </w:rPr>
            </w:pPr>
          </w:p>
        </w:tc>
        <w:tc>
          <w:tcPr>
            <w:tcW w:w="460" w:type="dxa"/>
            <w:vAlign w:val="bottom"/>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16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7"/>
        </w:trPr>
        <w:tc>
          <w:tcPr>
            <w:tcW w:w="20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60" w:type="dxa"/>
            <w:vAlign w:val="bottom"/>
          </w:tcPr>
          <w:p>
            <w:pPr>
              <w:spacing w:after="0"/>
              <w:rPr>
                <w:sz w:val="5"/>
                <w:szCs w:val="5"/>
                <w:color w:val="auto"/>
              </w:rPr>
            </w:pPr>
          </w:p>
        </w:tc>
        <w:tc>
          <w:tcPr>
            <w:tcW w:w="780" w:type="dxa"/>
            <w:vAlign w:val="bottom"/>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4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80" w:type="dxa"/>
            <w:vAlign w:val="bottom"/>
          </w:tcPr>
          <w:p>
            <w:pPr>
              <w:spacing w:after="0"/>
              <w:rPr>
                <w:sz w:val="5"/>
                <w:szCs w:val="5"/>
                <w:color w:val="auto"/>
              </w:rPr>
            </w:pPr>
          </w:p>
        </w:tc>
        <w:tc>
          <w:tcPr>
            <w:tcW w:w="160" w:type="dxa"/>
            <w:vAlign w:val="bottom"/>
          </w:tcPr>
          <w:p>
            <w:pPr>
              <w:spacing w:after="0"/>
              <w:rPr>
                <w:sz w:val="5"/>
                <w:szCs w:val="5"/>
                <w:color w:val="auto"/>
              </w:rPr>
            </w:pPr>
          </w:p>
        </w:tc>
        <w:tc>
          <w:tcPr>
            <w:tcW w:w="8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5"/>
        </w:trPr>
        <w:tc>
          <w:tcPr>
            <w:tcW w:w="2060" w:type="dxa"/>
            <w:vAlign w:val="bottom"/>
            <w:tcBorders>
              <w:bottom w:val="single" w:sz="8" w:color="99B5CB"/>
            </w:tcBorders>
          </w:tcPr>
          <w:p>
            <w:pPr>
              <w:ind w:left="220"/>
              <w:spacing w:after="0"/>
              <w:rPr>
                <w:sz w:val="20"/>
                <w:szCs w:val="20"/>
                <w:color w:val="auto"/>
              </w:rPr>
            </w:pPr>
            <w:r>
              <w:rPr>
                <w:rFonts w:ascii="Arial" w:cs="Arial" w:eastAsia="Arial" w:hAnsi="Arial"/>
                <w:sz w:val="15"/>
                <w:szCs w:val="15"/>
                <w:i w:val="1"/>
                <w:iCs w:val="1"/>
                <w:color w:val="auto"/>
              </w:rPr>
              <w:t>Secretary</w:t>
            </w:r>
          </w:p>
        </w:tc>
        <w:tc>
          <w:tcPr>
            <w:tcW w:w="540" w:type="dxa"/>
            <w:vAlign w:val="bottom"/>
            <w:tcBorders>
              <w:bottom w:val="single" w:sz="8" w:color="99B5CB"/>
            </w:tcBorders>
          </w:tcPr>
          <w:p>
            <w:pPr>
              <w:spacing w:after="0"/>
              <w:rPr>
                <w:sz w:val="17"/>
                <w:szCs w:val="17"/>
                <w:color w:val="auto"/>
              </w:rPr>
            </w:pPr>
          </w:p>
        </w:tc>
        <w:tc>
          <w:tcPr>
            <w:tcW w:w="180" w:type="dxa"/>
            <w:vAlign w:val="bottom"/>
            <w:tcBorders>
              <w:bottom w:val="single" w:sz="8" w:color="99B5CB"/>
            </w:tcBorders>
          </w:tcPr>
          <w:p>
            <w:pPr>
              <w:spacing w:after="0"/>
              <w:rPr>
                <w:sz w:val="17"/>
                <w:szCs w:val="17"/>
                <w:color w:val="auto"/>
              </w:rPr>
            </w:pPr>
          </w:p>
        </w:tc>
        <w:tc>
          <w:tcPr>
            <w:tcW w:w="780" w:type="dxa"/>
            <w:vAlign w:val="bottom"/>
            <w:tcBorders>
              <w:bottom w:val="single" w:sz="8" w:color="99B5CB"/>
            </w:tcBorders>
          </w:tcPr>
          <w:p>
            <w:pPr>
              <w:spacing w:after="0"/>
              <w:rPr>
                <w:sz w:val="17"/>
                <w:szCs w:val="17"/>
                <w:color w:val="auto"/>
              </w:rPr>
            </w:pPr>
          </w:p>
        </w:tc>
        <w:tc>
          <w:tcPr>
            <w:tcW w:w="160" w:type="dxa"/>
            <w:vAlign w:val="bottom"/>
            <w:tcBorders>
              <w:bottom w:val="single" w:sz="8" w:color="99B5CB"/>
            </w:tcBorders>
          </w:tcPr>
          <w:p>
            <w:pPr>
              <w:spacing w:after="0"/>
              <w:rPr>
                <w:sz w:val="17"/>
                <w:szCs w:val="17"/>
                <w:color w:val="auto"/>
              </w:rPr>
            </w:pPr>
          </w:p>
        </w:tc>
        <w:tc>
          <w:tcPr>
            <w:tcW w:w="780" w:type="dxa"/>
            <w:vAlign w:val="bottom"/>
            <w:tcBorders>
              <w:bottom w:val="single" w:sz="8" w:color="99B5CB"/>
            </w:tcBorders>
          </w:tcPr>
          <w:p>
            <w:pPr>
              <w:spacing w:after="0"/>
              <w:rPr>
                <w:sz w:val="17"/>
                <w:szCs w:val="17"/>
                <w:color w:val="auto"/>
              </w:rPr>
            </w:pPr>
          </w:p>
        </w:tc>
        <w:tc>
          <w:tcPr>
            <w:tcW w:w="180" w:type="dxa"/>
            <w:vAlign w:val="bottom"/>
            <w:tcBorders>
              <w:bottom w:val="single" w:sz="8" w:color="99B5CB"/>
            </w:tcBorders>
          </w:tcPr>
          <w:p>
            <w:pPr>
              <w:spacing w:after="0"/>
              <w:rPr>
                <w:sz w:val="17"/>
                <w:szCs w:val="17"/>
                <w:color w:val="auto"/>
              </w:rPr>
            </w:pPr>
          </w:p>
        </w:tc>
        <w:tc>
          <w:tcPr>
            <w:tcW w:w="780" w:type="dxa"/>
            <w:vAlign w:val="bottom"/>
            <w:tcBorders>
              <w:bottom w:val="single" w:sz="8" w:color="99B5CB"/>
            </w:tcBorders>
          </w:tcPr>
          <w:p>
            <w:pPr>
              <w:spacing w:after="0"/>
              <w:rPr>
                <w:sz w:val="17"/>
                <w:szCs w:val="17"/>
                <w:color w:val="auto"/>
              </w:rPr>
            </w:pPr>
          </w:p>
        </w:tc>
        <w:tc>
          <w:tcPr>
            <w:tcW w:w="180" w:type="dxa"/>
            <w:vAlign w:val="bottom"/>
            <w:tcBorders>
              <w:bottom w:val="single" w:sz="8" w:color="99B5CB"/>
            </w:tcBorders>
          </w:tcPr>
          <w:p>
            <w:pPr>
              <w:spacing w:after="0"/>
              <w:rPr>
                <w:sz w:val="17"/>
                <w:szCs w:val="17"/>
                <w:color w:val="auto"/>
              </w:rPr>
            </w:pPr>
          </w:p>
        </w:tc>
        <w:tc>
          <w:tcPr>
            <w:tcW w:w="1000" w:type="dxa"/>
            <w:vAlign w:val="bottom"/>
            <w:tcBorders>
              <w:bottom w:val="single" w:sz="8" w:color="99B5CB"/>
            </w:tcBorders>
          </w:tcPr>
          <w:p>
            <w:pPr>
              <w:spacing w:after="0"/>
              <w:rPr>
                <w:sz w:val="17"/>
                <w:szCs w:val="17"/>
                <w:color w:val="auto"/>
              </w:rPr>
            </w:pPr>
          </w:p>
        </w:tc>
        <w:tc>
          <w:tcPr>
            <w:tcW w:w="460" w:type="dxa"/>
            <w:vAlign w:val="bottom"/>
            <w:tcBorders>
              <w:bottom w:val="single" w:sz="8" w:color="99B5CB"/>
            </w:tcBorders>
          </w:tcPr>
          <w:p>
            <w:pPr>
              <w:spacing w:after="0"/>
              <w:rPr>
                <w:sz w:val="17"/>
                <w:szCs w:val="17"/>
                <w:color w:val="auto"/>
              </w:rPr>
            </w:pPr>
          </w:p>
        </w:tc>
        <w:tc>
          <w:tcPr>
            <w:tcW w:w="1040" w:type="dxa"/>
            <w:vAlign w:val="bottom"/>
            <w:tcBorders>
              <w:bottom w:val="single" w:sz="8" w:color="99B5CB"/>
            </w:tcBorders>
          </w:tcPr>
          <w:p>
            <w:pPr>
              <w:spacing w:after="0"/>
              <w:rPr>
                <w:sz w:val="17"/>
                <w:szCs w:val="17"/>
                <w:color w:val="auto"/>
              </w:rPr>
            </w:pPr>
          </w:p>
        </w:tc>
        <w:tc>
          <w:tcPr>
            <w:tcW w:w="680" w:type="dxa"/>
            <w:vAlign w:val="bottom"/>
            <w:tcBorders>
              <w:bottom w:val="single" w:sz="8" w:color="99B5CB"/>
            </w:tcBorders>
          </w:tcPr>
          <w:p>
            <w:pPr>
              <w:spacing w:after="0"/>
              <w:rPr>
                <w:sz w:val="17"/>
                <w:szCs w:val="17"/>
                <w:color w:val="auto"/>
              </w:rPr>
            </w:pPr>
          </w:p>
        </w:tc>
        <w:tc>
          <w:tcPr>
            <w:tcW w:w="680" w:type="dxa"/>
            <w:vAlign w:val="bottom"/>
            <w:tcBorders>
              <w:bottom w:val="single" w:sz="8" w:color="99B5CB"/>
            </w:tcBorders>
          </w:tcPr>
          <w:p>
            <w:pPr>
              <w:spacing w:after="0"/>
              <w:rPr>
                <w:sz w:val="17"/>
                <w:szCs w:val="17"/>
                <w:color w:val="auto"/>
              </w:rPr>
            </w:pPr>
          </w:p>
        </w:tc>
        <w:tc>
          <w:tcPr>
            <w:tcW w:w="160" w:type="dxa"/>
            <w:vAlign w:val="bottom"/>
            <w:tcBorders>
              <w:bottom w:val="single" w:sz="8" w:color="99B5CB"/>
            </w:tcBorders>
          </w:tcPr>
          <w:p>
            <w:pPr>
              <w:spacing w:after="0"/>
              <w:rPr>
                <w:sz w:val="17"/>
                <w:szCs w:val="17"/>
                <w:color w:val="auto"/>
              </w:rPr>
            </w:pPr>
          </w:p>
        </w:tc>
        <w:tc>
          <w:tcPr>
            <w:tcW w:w="880" w:type="dxa"/>
            <w:vAlign w:val="bottom"/>
            <w:tcBorders>
              <w:bottom w:val="single" w:sz="8" w:color="99B5CB"/>
            </w:tcBorders>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2060" w:type="dxa"/>
            <w:vAlign w:val="bottom"/>
          </w:tcPr>
          <w:p>
            <w:pPr>
              <w:ind w:left="60"/>
              <w:spacing w:after="0" w:line="163" w:lineRule="exact"/>
              <w:rPr>
                <w:sz w:val="20"/>
                <w:szCs w:val="20"/>
                <w:color w:val="auto"/>
              </w:rPr>
            </w:pPr>
            <w:r>
              <w:rPr>
                <w:rFonts w:ascii="Arial" w:cs="Arial" w:eastAsia="Arial" w:hAnsi="Arial"/>
                <w:sz w:val="13"/>
                <w:szCs w:val="13"/>
                <w:color w:val="auto"/>
              </w:rPr>
              <w:t>Matthew J. Klaben</w:t>
            </w:r>
            <w:r>
              <w:rPr>
                <w:rFonts w:ascii="Arial" w:cs="Arial" w:eastAsia="Arial" w:hAnsi="Arial"/>
                <w:sz w:val="18"/>
                <w:szCs w:val="18"/>
                <w:color w:val="auto"/>
                <w:vertAlign w:val="superscript"/>
              </w:rPr>
              <w:t>(7)</w:t>
            </w:r>
          </w:p>
        </w:tc>
        <w:tc>
          <w:tcPr>
            <w:tcW w:w="540" w:type="dxa"/>
            <w:vAlign w:val="bottom"/>
            <w:vMerge w:val="restart"/>
          </w:tcPr>
          <w:p>
            <w:pPr>
              <w:ind w:left="120"/>
              <w:spacing w:after="0"/>
              <w:rPr>
                <w:sz w:val="20"/>
                <w:szCs w:val="20"/>
                <w:color w:val="auto"/>
              </w:rPr>
            </w:pPr>
            <w:r>
              <w:rPr>
                <w:rFonts w:ascii="Arial" w:cs="Arial" w:eastAsia="Arial" w:hAnsi="Arial"/>
                <w:sz w:val="15"/>
                <w:szCs w:val="15"/>
                <w:color w:val="auto"/>
              </w:rPr>
              <w:t>2022</w:t>
            </w:r>
          </w:p>
        </w:tc>
        <w:tc>
          <w:tcPr>
            <w:tcW w:w="18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780" w:type="dxa"/>
            <w:vAlign w:val="bottom"/>
            <w:vMerge w:val="restart"/>
          </w:tcPr>
          <w:p>
            <w:pPr>
              <w:jc w:val="right"/>
              <w:ind w:right="3"/>
              <w:spacing w:after="0"/>
              <w:rPr>
                <w:sz w:val="20"/>
                <w:szCs w:val="20"/>
                <w:color w:val="auto"/>
              </w:rPr>
            </w:pPr>
            <w:r>
              <w:rPr>
                <w:rFonts w:ascii="Arial" w:cs="Arial" w:eastAsia="Arial" w:hAnsi="Arial"/>
                <w:sz w:val="15"/>
                <w:szCs w:val="15"/>
                <w:color w:val="auto"/>
              </w:rPr>
              <w:t>318,115</w:t>
            </w:r>
          </w:p>
        </w:tc>
        <w:tc>
          <w:tcPr>
            <w:tcW w:w="160" w:type="dxa"/>
            <w:vAlign w:val="bottom"/>
          </w:tcPr>
          <w:p>
            <w:pPr>
              <w:spacing w:after="0"/>
              <w:rPr>
                <w:sz w:val="14"/>
                <w:szCs w:val="14"/>
                <w:color w:val="auto"/>
              </w:rPr>
            </w:pPr>
          </w:p>
        </w:tc>
        <w:tc>
          <w:tcPr>
            <w:tcW w:w="780" w:type="dxa"/>
            <w:vAlign w:val="bottom"/>
            <w:vMerge w:val="restart"/>
          </w:tcPr>
          <w:p>
            <w:pPr>
              <w:jc w:val="right"/>
              <w:ind w:right="3"/>
              <w:spacing w:after="0"/>
              <w:rPr>
                <w:sz w:val="20"/>
                <w:szCs w:val="20"/>
                <w:color w:val="auto"/>
              </w:rPr>
            </w:pPr>
            <w:r>
              <w:rPr>
                <w:rFonts w:ascii="Arial" w:cs="Arial" w:eastAsia="Arial" w:hAnsi="Arial"/>
                <w:sz w:val="15"/>
                <w:szCs w:val="15"/>
                <w:color w:val="auto"/>
              </w:rPr>
              <w:t>—</w:t>
            </w:r>
          </w:p>
        </w:tc>
        <w:tc>
          <w:tcPr>
            <w:tcW w:w="18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780" w:type="dxa"/>
            <w:vAlign w:val="bottom"/>
            <w:vMerge w:val="restart"/>
          </w:tcPr>
          <w:p>
            <w:pPr>
              <w:jc w:val="right"/>
              <w:ind w:right="3"/>
              <w:spacing w:after="0"/>
              <w:rPr>
                <w:sz w:val="20"/>
                <w:szCs w:val="20"/>
                <w:color w:val="auto"/>
              </w:rPr>
            </w:pPr>
            <w:r>
              <w:rPr>
                <w:rFonts w:ascii="Arial" w:cs="Arial" w:eastAsia="Arial" w:hAnsi="Arial"/>
                <w:sz w:val="15"/>
                <w:szCs w:val="15"/>
                <w:color w:val="auto"/>
              </w:rPr>
              <w:t>437,482</w:t>
            </w:r>
          </w:p>
        </w:tc>
        <w:tc>
          <w:tcPr>
            <w:tcW w:w="18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1000" w:type="dxa"/>
            <w:vAlign w:val="bottom"/>
            <w:vMerge w:val="restart"/>
          </w:tcPr>
          <w:p>
            <w:pPr>
              <w:jc w:val="right"/>
              <w:ind w:right="144"/>
              <w:spacing w:after="0"/>
              <w:rPr>
                <w:sz w:val="20"/>
                <w:szCs w:val="20"/>
                <w:color w:val="auto"/>
              </w:rPr>
            </w:pPr>
            <w:r>
              <w:rPr>
                <w:rFonts w:ascii="Arial" w:cs="Arial" w:eastAsia="Arial" w:hAnsi="Arial"/>
                <w:sz w:val="15"/>
                <w:szCs w:val="15"/>
                <w:color w:val="auto"/>
              </w:rPr>
              <w:t>174,027</w:t>
            </w:r>
          </w:p>
        </w:tc>
        <w:tc>
          <w:tcPr>
            <w:tcW w:w="46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1040" w:type="dxa"/>
            <w:vAlign w:val="bottom"/>
            <w:vMerge w:val="restart"/>
          </w:tcPr>
          <w:p>
            <w:pPr>
              <w:jc w:val="right"/>
              <w:ind w:right="263"/>
              <w:spacing w:after="0"/>
              <w:rPr>
                <w:sz w:val="20"/>
                <w:szCs w:val="20"/>
                <w:color w:val="auto"/>
              </w:rPr>
            </w:pPr>
            <w:r>
              <w:rPr>
                <w:rFonts w:ascii="Arial" w:cs="Arial" w:eastAsia="Arial" w:hAnsi="Arial"/>
                <w:sz w:val="15"/>
                <w:szCs w:val="15"/>
                <w:color w:val="auto"/>
              </w:rPr>
              <w:t>95,129</w:t>
            </w:r>
          </w:p>
        </w:tc>
        <w:tc>
          <w:tcPr>
            <w:tcW w:w="68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680" w:type="dxa"/>
            <w:vAlign w:val="bottom"/>
            <w:vMerge w:val="restart"/>
          </w:tcPr>
          <w:p>
            <w:pPr>
              <w:jc w:val="right"/>
              <w:ind w:right="23"/>
              <w:spacing w:after="0"/>
              <w:rPr>
                <w:sz w:val="20"/>
                <w:szCs w:val="20"/>
                <w:color w:val="auto"/>
              </w:rPr>
            </w:pPr>
            <w:r>
              <w:rPr>
                <w:rFonts w:ascii="Arial" w:cs="Arial" w:eastAsia="Arial" w:hAnsi="Arial"/>
                <w:sz w:val="15"/>
                <w:szCs w:val="15"/>
                <w:color w:val="auto"/>
              </w:rPr>
              <w:t>13,514</w:t>
            </w:r>
          </w:p>
        </w:tc>
        <w:tc>
          <w:tcPr>
            <w:tcW w:w="16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880" w:type="dxa"/>
            <w:vAlign w:val="bottom"/>
            <w:vMerge w:val="restart"/>
          </w:tcPr>
          <w:p>
            <w:pPr>
              <w:jc w:val="right"/>
              <w:ind w:right="23"/>
              <w:spacing w:after="0"/>
              <w:rPr>
                <w:sz w:val="20"/>
                <w:szCs w:val="20"/>
                <w:color w:val="auto"/>
              </w:rPr>
            </w:pPr>
            <w:r>
              <w:rPr>
                <w:rFonts w:ascii="Arial" w:cs="Arial" w:eastAsia="Arial" w:hAnsi="Arial"/>
                <w:sz w:val="15"/>
                <w:szCs w:val="15"/>
                <w:color w:val="auto"/>
              </w:rPr>
              <w:t>1,038,267</w:t>
            </w:r>
          </w:p>
        </w:tc>
        <w:tc>
          <w:tcPr>
            <w:tcW w:w="0" w:type="dxa"/>
            <w:vAlign w:val="bottom"/>
          </w:tcPr>
          <w:p>
            <w:pPr>
              <w:spacing w:after="0"/>
              <w:rPr>
                <w:sz w:val="1"/>
                <w:szCs w:val="1"/>
                <w:color w:val="auto"/>
              </w:rPr>
            </w:pPr>
          </w:p>
        </w:tc>
      </w:tr>
      <w:tr>
        <w:trPr>
          <w:trHeight w:val="88"/>
        </w:trPr>
        <w:tc>
          <w:tcPr>
            <w:tcW w:w="2060" w:type="dxa"/>
            <w:vAlign w:val="bottom"/>
            <w:vMerge w:val="restart"/>
          </w:tcPr>
          <w:p>
            <w:pPr>
              <w:ind w:left="60"/>
              <w:spacing w:after="0"/>
              <w:rPr>
                <w:sz w:val="20"/>
                <w:szCs w:val="20"/>
                <w:color w:val="auto"/>
              </w:rPr>
            </w:pPr>
            <w:r>
              <w:rPr>
                <w:rFonts w:ascii="Arial" w:cs="Arial" w:eastAsia="Arial" w:hAnsi="Arial"/>
                <w:sz w:val="15"/>
                <w:szCs w:val="15"/>
                <w:i w:val="1"/>
                <w:iCs w:val="1"/>
                <w:color w:val="auto"/>
              </w:rPr>
              <w:t>Former Interim SVP,</w:t>
            </w:r>
          </w:p>
        </w:tc>
        <w:tc>
          <w:tcPr>
            <w:tcW w:w="540" w:type="dxa"/>
            <w:vAlign w:val="bottom"/>
            <w:vMerge w:val="continue"/>
          </w:tcPr>
          <w:p>
            <w:pPr>
              <w:spacing w:after="0"/>
              <w:rPr>
                <w:sz w:val="7"/>
                <w:szCs w:val="7"/>
                <w:color w:val="auto"/>
              </w:rPr>
            </w:pPr>
          </w:p>
        </w:tc>
        <w:tc>
          <w:tcPr>
            <w:tcW w:w="18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18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180" w:type="dxa"/>
            <w:vAlign w:val="bottom"/>
            <w:vMerge w:val="continue"/>
          </w:tcPr>
          <w:p>
            <w:pPr>
              <w:spacing w:after="0"/>
              <w:rPr>
                <w:sz w:val="7"/>
                <w:szCs w:val="7"/>
                <w:color w:val="auto"/>
              </w:rPr>
            </w:pPr>
          </w:p>
        </w:tc>
        <w:tc>
          <w:tcPr>
            <w:tcW w:w="1000" w:type="dxa"/>
            <w:vAlign w:val="bottom"/>
            <w:vMerge w:val="continue"/>
          </w:tcPr>
          <w:p>
            <w:pPr>
              <w:spacing w:after="0"/>
              <w:rPr>
                <w:sz w:val="7"/>
                <w:szCs w:val="7"/>
                <w:color w:val="auto"/>
              </w:rPr>
            </w:pPr>
          </w:p>
        </w:tc>
        <w:tc>
          <w:tcPr>
            <w:tcW w:w="460" w:type="dxa"/>
            <w:vAlign w:val="bottom"/>
            <w:vMerge w:val="continue"/>
          </w:tcPr>
          <w:p>
            <w:pPr>
              <w:spacing w:after="0"/>
              <w:rPr>
                <w:sz w:val="7"/>
                <w:szCs w:val="7"/>
                <w:color w:val="auto"/>
              </w:rPr>
            </w:pPr>
          </w:p>
        </w:tc>
        <w:tc>
          <w:tcPr>
            <w:tcW w:w="104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160" w:type="dxa"/>
            <w:vAlign w:val="bottom"/>
            <w:vMerge w:val="continue"/>
          </w:tcPr>
          <w:p>
            <w:pPr>
              <w:spacing w:after="0"/>
              <w:rPr>
                <w:sz w:val="7"/>
                <w:szCs w:val="7"/>
                <w:color w:val="auto"/>
              </w:rPr>
            </w:pPr>
          </w:p>
        </w:tc>
        <w:tc>
          <w:tcPr>
            <w:tcW w:w="8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2060" w:type="dxa"/>
            <w:vAlign w:val="bottom"/>
            <w:vMerge w:val="continue"/>
          </w:tcPr>
          <w:p>
            <w:pPr>
              <w:spacing w:after="0"/>
              <w:rPr>
                <w:sz w:val="8"/>
                <w:szCs w:val="8"/>
                <w:color w:val="auto"/>
              </w:rPr>
            </w:pPr>
          </w:p>
        </w:tc>
        <w:tc>
          <w:tcPr>
            <w:tcW w:w="540" w:type="dxa"/>
            <w:vAlign w:val="bottom"/>
            <w:vMerge w:val="restart"/>
          </w:tcPr>
          <w:p>
            <w:pPr>
              <w:ind w:left="120"/>
              <w:spacing w:after="0"/>
              <w:rPr>
                <w:sz w:val="20"/>
                <w:szCs w:val="20"/>
                <w:color w:val="auto"/>
              </w:rPr>
            </w:pPr>
            <w:r>
              <w:rPr>
                <w:rFonts w:ascii="Arial" w:cs="Arial" w:eastAsia="Arial" w:hAnsi="Arial"/>
                <w:sz w:val="15"/>
                <w:szCs w:val="15"/>
                <w:color w:val="auto"/>
              </w:rPr>
              <w:t>2021</w:t>
            </w:r>
          </w:p>
        </w:tc>
        <w:tc>
          <w:tcPr>
            <w:tcW w:w="180" w:type="dxa"/>
            <w:vAlign w:val="bottom"/>
          </w:tcPr>
          <w:p>
            <w:pPr>
              <w:spacing w:after="0"/>
              <w:rPr>
                <w:sz w:val="8"/>
                <w:szCs w:val="8"/>
                <w:color w:val="auto"/>
              </w:rPr>
            </w:pPr>
          </w:p>
        </w:tc>
        <w:tc>
          <w:tcPr>
            <w:tcW w:w="780" w:type="dxa"/>
            <w:vAlign w:val="bottom"/>
            <w:vMerge w:val="restart"/>
          </w:tcPr>
          <w:p>
            <w:pPr>
              <w:jc w:val="right"/>
              <w:ind w:right="3"/>
              <w:spacing w:after="0"/>
              <w:rPr>
                <w:sz w:val="20"/>
                <w:szCs w:val="20"/>
                <w:color w:val="auto"/>
              </w:rPr>
            </w:pPr>
            <w:r>
              <w:rPr>
                <w:rFonts w:ascii="Arial" w:cs="Arial" w:eastAsia="Arial" w:hAnsi="Arial"/>
                <w:sz w:val="15"/>
                <w:szCs w:val="15"/>
                <w:color w:val="auto"/>
              </w:rPr>
              <w:t>405,769</w:t>
            </w:r>
          </w:p>
        </w:tc>
        <w:tc>
          <w:tcPr>
            <w:tcW w:w="160" w:type="dxa"/>
            <w:vAlign w:val="bottom"/>
          </w:tcPr>
          <w:p>
            <w:pPr>
              <w:spacing w:after="0"/>
              <w:rPr>
                <w:sz w:val="8"/>
                <w:szCs w:val="8"/>
                <w:color w:val="auto"/>
              </w:rPr>
            </w:pPr>
          </w:p>
        </w:tc>
        <w:tc>
          <w:tcPr>
            <w:tcW w:w="780" w:type="dxa"/>
            <w:vAlign w:val="bottom"/>
            <w:vMerge w:val="restart"/>
          </w:tcPr>
          <w:p>
            <w:pPr>
              <w:jc w:val="right"/>
              <w:ind w:right="3"/>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8"/>
                <w:szCs w:val="8"/>
                <w:color w:val="auto"/>
              </w:rPr>
            </w:pPr>
          </w:p>
        </w:tc>
        <w:tc>
          <w:tcPr>
            <w:tcW w:w="780" w:type="dxa"/>
            <w:vAlign w:val="bottom"/>
            <w:vMerge w:val="restart"/>
          </w:tcPr>
          <w:p>
            <w:pPr>
              <w:jc w:val="right"/>
              <w:ind w:right="3"/>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8"/>
                <w:szCs w:val="8"/>
                <w:color w:val="auto"/>
              </w:rPr>
            </w:pPr>
          </w:p>
        </w:tc>
        <w:tc>
          <w:tcPr>
            <w:tcW w:w="1000" w:type="dxa"/>
            <w:vAlign w:val="bottom"/>
            <w:vMerge w:val="restart"/>
          </w:tcPr>
          <w:p>
            <w:pPr>
              <w:jc w:val="right"/>
              <w:ind w:right="144"/>
              <w:spacing w:after="0"/>
              <w:rPr>
                <w:sz w:val="20"/>
                <w:szCs w:val="20"/>
                <w:color w:val="auto"/>
              </w:rPr>
            </w:pPr>
            <w:r>
              <w:rPr>
                <w:rFonts w:ascii="Arial" w:cs="Arial" w:eastAsia="Arial" w:hAnsi="Arial"/>
                <w:sz w:val="15"/>
                <w:szCs w:val="15"/>
                <w:color w:val="auto"/>
              </w:rPr>
              <w:t>—</w:t>
            </w:r>
          </w:p>
        </w:tc>
        <w:tc>
          <w:tcPr>
            <w:tcW w:w="460" w:type="dxa"/>
            <w:vAlign w:val="bottom"/>
          </w:tcPr>
          <w:p>
            <w:pPr>
              <w:spacing w:after="0"/>
              <w:rPr>
                <w:sz w:val="8"/>
                <w:szCs w:val="8"/>
                <w:color w:val="auto"/>
              </w:rPr>
            </w:pPr>
          </w:p>
        </w:tc>
        <w:tc>
          <w:tcPr>
            <w:tcW w:w="1040" w:type="dxa"/>
            <w:vAlign w:val="bottom"/>
            <w:vMerge w:val="restart"/>
          </w:tcPr>
          <w:p>
            <w:pPr>
              <w:jc w:val="right"/>
              <w:ind w:right="263"/>
              <w:spacing w:after="0"/>
              <w:rPr>
                <w:sz w:val="20"/>
                <w:szCs w:val="20"/>
                <w:color w:val="auto"/>
              </w:rPr>
            </w:pPr>
            <w:r>
              <w:rPr>
                <w:rFonts w:ascii="Arial" w:cs="Arial" w:eastAsia="Arial" w:hAnsi="Arial"/>
                <w:sz w:val="15"/>
                <w:szCs w:val="15"/>
                <w:color w:val="auto"/>
              </w:rPr>
              <w:t>176,225</w:t>
            </w:r>
          </w:p>
        </w:tc>
        <w:tc>
          <w:tcPr>
            <w:tcW w:w="680" w:type="dxa"/>
            <w:vAlign w:val="bottom"/>
          </w:tcPr>
          <w:p>
            <w:pPr>
              <w:spacing w:after="0"/>
              <w:rPr>
                <w:sz w:val="8"/>
                <w:szCs w:val="8"/>
                <w:color w:val="auto"/>
              </w:rPr>
            </w:pPr>
          </w:p>
        </w:tc>
        <w:tc>
          <w:tcPr>
            <w:tcW w:w="680" w:type="dxa"/>
            <w:vAlign w:val="bottom"/>
            <w:vMerge w:val="restart"/>
          </w:tcPr>
          <w:p>
            <w:pPr>
              <w:jc w:val="right"/>
              <w:ind w:right="23"/>
              <w:spacing w:after="0"/>
              <w:rPr>
                <w:sz w:val="20"/>
                <w:szCs w:val="20"/>
                <w:color w:val="auto"/>
              </w:rPr>
            </w:pPr>
            <w:r>
              <w:rPr>
                <w:rFonts w:ascii="Arial" w:cs="Arial" w:eastAsia="Arial" w:hAnsi="Arial"/>
                <w:sz w:val="15"/>
                <w:szCs w:val="15"/>
                <w:color w:val="auto"/>
              </w:rPr>
              <w:t>13,050</w:t>
            </w:r>
          </w:p>
        </w:tc>
        <w:tc>
          <w:tcPr>
            <w:tcW w:w="160" w:type="dxa"/>
            <w:vAlign w:val="bottom"/>
          </w:tcPr>
          <w:p>
            <w:pPr>
              <w:spacing w:after="0"/>
              <w:rPr>
                <w:sz w:val="8"/>
                <w:szCs w:val="8"/>
                <w:color w:val="auto"/>
              </w:rPr>
            </w:pPr>
          </w:p>
        </w:tc>
        <w:tc>
          <w:tcPr>
            <w:tcW w:w="880" w:type="dxa"/>
            <w:vAlign w:val="bottom"/>
            <w:vMerge w:val="restart"/>
          </w:tcPr>
          <w:p>
            <w:pPr>
              <w:jc w:val="right"/>
              <w:ind w:right="23"/>
              <w:spacing w:after="0"/>
              <w:rPr>
                <w:sz w:val="20"/>
                <w:szCs w:val="20"/>
                <w:color w:val="auto"/>
              </w:rPr>
            </w:pPr>
            <w:r>
              <w:rPr>
                <w:rFonts w:ascii="Arial" w:cs="Arial" w:eastAsia="Arial" w:hAnsi="Arial"/>
                <w:sz w:val="15"/>
                <w:szCs w:val="15"/>
                <w:color w:val="auto"/>
              </w:rPr>
              <w:t>595,044</w:t>
            </w:r>
          </w:p>
        </w:tc>
        <w:tc>
          <w:tcPr>
            <w:tcW w:w="0" w:type="dxa"/>
            <w:vAlign w:val="bottom"/>
          </w:tcPr>
          <w:p>
            <w:pPr>
              <w:spacing w:after="0"/>
              <w:rPr>
                <w:sz w:val="1"/>
                <w:szCs w:val="1"/>
                <w:color w:val="auto"/>
              </w:rPr>
            </w:pPr>
          </w:p>
        </w:tc>
      </w:tr>
      <w:tr>
        <w:trPr>
          <w:trHeight w:val="181"/>
        </w:trPr>
        <w:tc>
          <w:tcPr>
            <w:tcW w:w="2060" w:type="dxa"/>
            <w:vAlign w:val="bottom"/>
          </w:tcPr>
          <w:p>
            <w:pPr>
              <w:ind w:left="220"/>
              <w:spacing w:after="0"/>
              <w:rPr>
                <w:sz w:val="20"/>
                <w:szCs w:val="20"/>
                <w:color w:val="auto"/>
              </w:rPr>
            </w:pPr>
            <w:r>
              <w:rPr>
                <w:rFonts w:ascii="Arial" w:cs="Arial" w:eastAsia="Arial" w:hAnsi="Arial"/>
                <w:sz w:val="15"/>
                <w:szCs w:val="15"/>
                <w:i w:val="1"/>
                <w:iCs w:val="1"/>
                <w:color w:val="auto"/>
              </w:rPr>
              <w:t>General Counsel and</w:t>
            </w:r>
          </w:p>
        </w:tc>
        <w:tc>
          <w:tcPr>
            <w:tcW w:w="54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46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2060" w:type="dxa"/>
            <w:vAlign w:val="bottom"/>
            <w:tcBorders>
              <w:bottom w:val="single" w:sz="8" w:color="99B5CB"/>
            </w:tcBorders>
          </w:tcPr>
          <w:p>
            <w:pPr>
              <w:ind w:left="220"/>
              <w:spacing w:after="0"/>
              <w:rPr>
                <w:sz w:val="20"/>
                <w:szCs w:val="20"/>
                <w:color w:val="auto"/>
              </w:rPr>
            </w:pPr>
            <w:r>
              <w:rPr>
                <w:rFonts w:ascii="Arial" w:cs="Arial" w:eastAsia="Arial" w:hAnsi="Arial"/>
                <w:sz w:val="15"/>
                <w:szCs w:val="15"/>
                <w:i w:val="1"/>
                <w:iCs w:val="1"/>
                <w:color w:val="auto"/>
              </w:rPr>
              <w:t>Secretary</w:t>
            </w:r>
          </w:p>
        </w:tc>
        <w:tc>
          <w:tcPr>
            <w:tcW w:w="540" w:type="dxa"/>
            <w:vAlign w:val="bottom"/>
            <w:tcBorders>
              <w:bottom w:val="single" w:sz="8" w:color="99B5CB"/>
            </w:tcBorders>
          </w:tcPr>
          <w:p>
            <w:pPr>
              <w:spacing w:after="0"/>
              <w:rPr>
                <w:sz w:val="17"/>
                <w:szCs w:val="17"/>
                <w:color w:val="auto"/>
              </w:rPr>
            </w:pPr>
          </w:p>
        </w:tc>
        <w:tc>
          <w:tcPr>
            <w:tcW w:w="180" w:type="dxa"/>
            <w:vAlign w:val="bottom"/>
            <w:tcBorders>
              <w:bottom w:val="single" w:sz="8" w:color="99B5CB"/>
            </w:tcBorders>
          </w:tcPr>
          <w:p>
            <w:pPr>
              <w:spacing w:after="0"/>
              <w:rPr>
                <w:sz w:val="17"/>
                <w:szCs w:val="17"/>
                <w:color w:val="auto"/>
              </w:rPr>
            </w:pPr>
          </w:p>
        </w:tc>
        <w:tc>
          <w:tcPr>
            <w:tcW w:w="780" w:type="dxa"/>
            <w:vAlign w:val="bottom"/>
            <w:tcBorders>
              <w:bottom w:val="single" w:sz="8" w:color="99B5CB"/>
            </w:tcBorders>
          </w:tcPr>
          <w:p>
            <w:pPr>
              <w:spacing w:after="0"/>
              <w:rPr>
                <w:sz w:val="17"/>
                <w:szCs w:val="17"/>
                <w:color w:val="auto"/>
              </w:rPr>
            </w:pPr>
          </w:p>
        </w:tc>
        <w:tc>
          <w:tcPr>
            <w:tcW w:w="160" w:type="dxa"/>
            <w:vAlign w:val="bottom"/>
            <w:tcBorders>
              <w:bottom w:val="single" w:sz="8" w:color="99B5CB"/>
            </w:tcBorders>
          </w:tcPr>
          <w:p>
            <w:pPr>
              <w:spacing w:after="0"/>
              <w:rPr>
                <w:sz w:val="17"/>
                <w:szCs w:val="17"/>
                <w:color w:val="auto"/>
              </w:rPr>
            </w:pPr>
          </w:p>
        </w:tc>
        <w:tc>
          <w:tcPr>
            <w:tcW w:w="780" w:type="dxa"/>
            <w:vAlign w:val="bottom"/>
            <w:tcBorders>
              <w:bottom w:val="single" w:sz="8" w:color="99B5CB"/>
            </w:tcBorders>
          </w:tcPr>
          <w:p>
            <w:pPr>
              <w:spacing w:after="0"/>
              <w:rPr>
                <w:sz w:val="17"/>
                <w:szCs w:val="17"/>
                <w:color w:val="auto"/>
              </w:rPr>
            </w:pPr>
          </w:p>
        </w:tc>
        <w:tc>
          <w:tcPr>
            <w:tcW w:w="180" w:type="dxa"/>
            <w:vAlign w:val="bottom"/>
            <w:tcBorders>
              <w:bottom w:val="single" w:sz="8" w:color="99B5CB"/>
            </w:tcBorders>
          </w:tcPr>
          <w:p>
            <w:pPr>
              <w:spacing w:after="0"/>
              <w:rPr>
                <w:sz w:val="17"/>
                <w:szCs w:val="17"/>
                <w:color w:val="auto"/>
              </w:rPr>
            </w:pPr>
          </w:p>
        </w:tc>
        <w:tc>
          <w:tcPr>
            <w:tcW w:w="780" w:type="dxa"/>
            <w:vAlign w:val="bottom"/>
            <w:tcBorders>
              <w:bottom w:val="single" w:sz="8" w:color="99B5CB"/>
            </w:tcBorders>
          </w:tcPr>
          <w:p>
            <w:pPr>
              <w:spacing w:after="0"/>
              <w:rPr>
                <w:sz w:val="17"/>
                <w:szCs w:val="17"/>
                <w:color w:val="auto"/>
              </w:rPr>
            </w:pPr>
          </w:p>
        </w:tc>
        <w:tc>
          <w:tcPr>
            <w:tcW w:w="180" w:type="dxa"/>
            <w:vAlign w:val="bottom"/>
            <w:tcBorders>
              <w:bottom w:val="single" w:sz="8" w:color="99B5CB"/>
            </w:tcBorders>
          </w:tcPr>
          <w:p>
            <w:pPr>
              <w:spacing w:after="0"/>
              <w:rPr>
                <w:sz w:val="17"/>
                <w:szCs w:val="17"/>
                <w:color w:val="auto"/>
              </w:rPr>
            </w:pPr>
          </w:p>
        </w:tc>
        <w:tc>
          <w:tcPr>
            <w:tcW w:w="1000" w:type="dxa"/>
            <w:vAlign w:val="bottom"/>
            <w:tcBorders>
              <w:bottom w:val="single" w:sz="8" w:color="99B5CB"/>
            </w:tcBorders>
          </w:tcPr>
          <w:p>
            <w:pPr>
              <w:spacing w:after="0"/>
              <w:rPr>
                <w:sz w:val="17"/>
                <w:szCs w:val="17"/>
                <w:color w:val="auto"/>
              </w:rPr>
            </w:pPr>
          </w:p>
        </w:tc>
        <w:tc>
          <w:tcPr>
            <w:tcW w:w="460" w:type="dxa"/>
            <w:vAlign w:val="bottom"/>
            <w:tcBorders>
              <w:bottom w:val="single" w:sz="8" w:color="99B5CB"/>
            </w:tcBorders>
          </w:tcPr>
          <w:p>
            <w:pPr>
              <w:spacing w:after="0"/>
              <w:rPr>
                <w:sz w:val="17"/>
                <w:szCs w:val="17"/>
                <w:color w:val="auto"/>
              </w:rPr>
            </w:pPr>
          </w:p>
        </w:tc>
        <w:tc>
          <w:tcPr>
            <w:tcW w:w="1040" w:type="dxa"/>
            <w:vAlign w:val="bottom"/>
            <w:tcBorders>
              <w:bottom w:val="single" w:sz="8" w:color="99B5CB"/>
            </w:tcBorders>
          </w:tcPr>
          <w:p>
            <w:pPr>
              <w:spacing w:after="0"/>
              <w:rPr>
                <w:sz w:val="17"/>
                <w:szCs w:val="17"/>
                <w:color w:val="auto"/>
              </w:rPr>
            </w:pPr>
          </w:p>
        </w:tc>
        <w:tc>
          <w:tcPr>
            <w:tcW w:w="680" w:type="dxa"/>
            <w:vAlign w:val="bottom"/>
            <w:tcBorders>
              <w:bottom w:val="single" w:sz="8" w:color="99B5CB"/>
            </w:tcBorders>
          </w:tcPr>
          <w:p>
            <w:pPr>
              <w:spacing w:after="0"/>
              <w:rPr>
                <w:sz w:val="17"/>
                <w:szCs w:val="17"/>
                <w:color w:val="auto"/>
              </w:rPr>
            </w:pPr>
          </w:p>
        </w:tc>
        <w:tc>
          <w:tcPr>
            <w:tcW w:w="680" w:type="dxa"/>
            <w:vAlign w:val="bottom"/>
            <w:tcBorders>
              <w:bottom w:val="single" w:sz="8" w:color="99B5CB"/>
            </w:tcBorders>
          </w:tcPr>
          <w:p>
            <w:pPr>
              <w:spacing w:after="0"/>
              <w:rPr>
                <w:sz w:val="17"/>
                <w:szCs w:val="17"/>
                <w:color w:val="auto"/>
              </w:rPr>
            </w:pPr>
          </w:p>
        </w:tc>
        <w:tc>
          <w:tcPr>
            <w:tcW w:w="160" w:type="dxa"/>
            <w:vAlign w:val="bottom"/>
            <w:tcBorders>
              <w:bottom w:val="single" w:sz="8" w:color="99B5CB"/>
            </w:tcBorders>
          </w:tcPr>
          <w:p>
            <w:pPr>
              <w:spacing w:after="0"/>
              <w:rPr>
                <w:sz w:val="17"/>
                <w:szCs w:val="17"/>
                <w:color w:val="auto"/>
              </w:rPr>
            </w:pPr>
          </w:p>
        </w:tc>
        <w:tc>
          <w:tcPr>
            <w:tcW w:w="880" w:type="dxa"/>
            <w:vAlign w:val="bottom"/>
            <w:tcBorders>
              <w:bottom w:val="single" w:sz="8" w:color="99B5CB"/>
            </w:tcBorders>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2060" w:type="dxa"/>
            <w:vAlign w:val="bottom"/>
          </w:tcPr>
          <w:p>
            <w:pPr>
              <w:ind w:left="60"/>
              <w:spacing w:after="0" w:line="162" w:lineRule="exact"/>
              <w:rPr>
                <w:sz w:val="20"/>
                <w:szCs w:val="20"/>
                <w:color w:val="auto"/>
              </w:rPr>
            </w:pPr>
            <w:r>
              <w:rPr>
                <w:rFonts w:ascii="Arial" w:cs="Arial" w:eastAsia="Arial" w:hAnsi="Arial"/>
                <w:sz w:val="15"/>
                <w:szCs w:val="15"/>
                <w:color w:val="auto"/>
              </w:rPr>
              <w:t>Scott J. Leffler</w:t>
            </w:r>
          </w:p>
        </w:tc>
        <w:tc>
          <w:tcPr>
            <w:tcW w:w="540" w:type="dxa"/>
            <w:vAlign w:val="bottom"/>
          </w:tcPr>
          <w:p>
            <w:pPr>
              <w:ind w:left="120"/>
              <w:spacing w:after="0" w:line="162" w:lineRule="exact"/>
              <w:rPr>
                <w:sz w:val="20"/>
                <w:szCs w:val="20"/>
                <w:color w:val="auto"/>
              </w:rPr>
            </w:pPr>
            <w:r>
              <w:rPr>
                <w:rFonts w:ascii="Arial" w:cs="Arial" w:eastAsia="Arial" w:hAnsi="Arial"/>
                <w:sz w:val="15"/>
                <w:szCs w:val="15"/>
                <w:color w:val="auto"/>
              </w:rPr>
              <w:t>2022</w:t>
            </w:r>
          </w:p>
        </w:tc>
        <w:tc>
          <w:tcPr>
            <w:tcW w:w="18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780" w:type="dxa"/>
            <w:vAlign w:val="bottom"/>
          </w:tcPr>
          <w:p>
            <w:pPr>
              <w:jc w:val="right"/>
              <w:ind w:right="3"/>
              <w:spacing w:after="0" w:line="162" w:lineRule="exact"/>
              <w:rPr>
                <w:sz w:val="20"/>
                <w:szCs w:val="20"/>
                <w:color w:val="auto"/>
              </w:rPr>
            </w:pPr>
            <w:r>
              <w:rPr>
                <w:rFonts w:ascii="Arial" w:cs="Arial" w:eastAsia="Arial" w:hAnsi="Arial"/>
                <w:sz w:val="15"/>
                <w:szCs w:val="15"/>
                <w:color w:val="auto"/>
              </w:rPr>
              <w:t>305,769</w:t>
            </w:r>
          </w:p>
        </w:tc>
        <w:tc>
          <w:tcPr>
            <w:tcW w:w="160" w:type="dxa"/>
            <w:vAlign w:val="bottom"/>
          </w:tcPr>
          <w:p>
            <w:pPr>
              <w:spacing w:after="0"/>
              <w:rPr>
                <w:sz w:val="14"/>
                <w:szCs w:val="14"/>
                <w:color w:val="auto"/>
              </w:rPr>
            </w:pPr>
          </w:p>
        </w:tc>
        <w:tc>
          <w:tcPr>
            <w:tcW w:w="780" w:type="dxa"/>
            <w:vAlign w:val="bottom"/>
          </w:tcPr>
          <w:p>
            <w:pPr>
              <w:jc w:val="right"/>
              <w:ind w:right="3"/>
              <w:spacing w:after="0" w:line="162" w:lineRule="exact"/>
              <w:rPr>
                <w:sz w:val="20"/>
                <w:szCs w:val="20"/>
                <w:color w:val="auto"/>
              </w:rPr>
            </w:pPr>
            <w:r>
              <w:rPr>
                <w:rFonts w:ascii="Arial" w:cs="Arial" w:eastAsia="Arial" w:hAnsi="Arial"/>
                <w:sz w:val="15"/>
                <w:szCs w:val="15"/>
                <w:color w:val="auto"/>
              </w:rPr>
              <w:t>—</w:t>
            </w:r>
          </w:p>
        </w:tc>
        <w:tc>
          <w:tcPr>
            <w:tcW w:w="18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780" w:type="dxa"/>
            <w:vAlign w:val="bottom"/>
          </w:tcPr>
          <w:p>
            <w:pPr>
              <w:jc w:val="right"/>
              <w:ind w:right="3"/>
              <w:spacing w:after="0" w:line="162" w:lineRule="exact"/>
              <w:rPr>
                <w:sz w:val="20"/>
                <w:szCs w:val="20"/>
                <w:color w:val="auto"/>
              </w:rPr>
            </w:pPr>
            <w:r>
              <w:rPr>
                <w:rFonts w:ascii="Arial" w:cs="Arial" w:eastAsia="Arial" w:hAnsi="Arial"/>
                <w:sz w:val="15"/>
                <w:szCs w:val="15"/>
                <w:color w:val="auto"/>
              </w:rPr>
              <w:t>749,983</w:t>
            </w:r>
          </w:p>
        </w:tc>
        <w:tc>
          <w:tcPr>
            <w:tcW w:w="18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1000" w:type="dxa"/>
            <w:vAlign w:val="bottom"/>
          </w:tcPr>
          <w:p>
            <w:pPr>
              <w:jc w:val="right"/>
              <w:ind w:right="144"/>
              <w:spacing w:after="0" w:line="162" w:lineRule="exact"/>
              <w:rPr>
                <w:sz w:val="20"/>
                <w:szCs w:val="20"/>
                <w:color w:val="auto"/>
              </w:rPr>
            </w:pPr>
            <w:r>
              <w:rPr>
                <w:rFonts w:ascii="Arial" w:cs="Arial" w:eastAsia="Arial" w:hAnsi="Arial"/>
                <w:sz w:val="15"/>
                <w:szCs w:val="15"/>
                <w:color w:val="auto"/>
              </w:rPr>
              <w:t>745,834</w:t>
            </w:r>
          </w:p>
        </w:tc>
        <w:tc>
          <w:tcPr>
            <w:tcW w:w="460" w:type="dxa"/>
            <w:vAlign w:val="bottom"/>
          </w:tcPr>
          <w:p>
            <w:pPr>
              <w:spacing w:after="0"/>
              <w:rPr>
                <w:sz w:val="14"/>
                <w:szCs w:val="14"/>
                <w:color w:val="auto"/>
              </w:rPr>
            </w:pPr>
          </w:p>
        </w:tc>
        <w:tc>
          <w:tcPr>
            <w:tcW w:w="1040" w:type="dxa"/>
            <w:vAlign w:val="bottom"/>
          </w:tcPr>
          <w:p>
            <w:pPr>
              <w:jc w:val="right"/>
              <w:ind w:right="263"/>
              <w:spacing w:after="0" w:line="162" w:lineRule="exact"/>
              <w:rPr>
                <w:sz w:val="20"/>
                <w:szCs w:val="20"/>
                <w:color w:val="auto"/>
              </w:rPr>
            </w:pPr>
            <w:r>
              <w:rPr>
                <w:rFonts w:ascii="Arial" w:cs="Arial" w:eastAsia="Arial" w:hAnsi="Arial"/>
                <w:sz w:val="15"/>
                <w:szCs w:val="15"/>
                <w:color w:val="auto"/>
              </w:rPr>
              <w:t>—</w:t>
            </w:r>
          </w:p>
        </w:tc>
        <w:tc>
          <w:tcPr>
            <w:tcW w:w="68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680" w:type="dxa"/>
            <w:vAlign w:val="bottom"/>
          </w:tcPr>
          <w:p>
            <w:pPr>
              <w:jc w:val="right"/>
              <w:ind w:right="23"/>
              <w:spacing w:after="0" w:line="162" w:lineRule="exact"/>
              <w:rPr>
                <w:sz w:val="20"/>
                <w:szCs w:val="20"/>
                <w:color w:val="auto"/>
              </w:rPr>
            </w:pPr>
            <w:r>
              <w:rPr>
                <w:rFonts w:ascii="Arial" w:cs="Arial" w:eastAsia="Arial" w:hAnsi="Arial"/>
                <w:sz w:val="15"/>
                <w:szCs w:val="15"/>
                <w:color w:val="auto"/>
              </w:rPr>
              <w:t>16,855</w:t>
            </w:r>
          </w:p>
        </w:tc>
        <w:tc>
          <w:tcPr>
            <w:tcW w:w="16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880" w:type="dxa"/>
            <w:vAlign w:val="bottom"/>
          </w:tcPr>
          <w:p>
            <w:pPr>
              <w:jc w:val="right"/>
              <w:ind w:right="23"/>
              <w:spacing w:after="0" w:line="162" w:lineRule="exact"/>
              <w:rPr>
                <w:sz w:val="20"/>
                <w:szCs w:val="20"/>
                <w:color w:val="auto"/>
              </w:rPr>
            </w:pPr>
            <w:r>
              <w:rPr>
                <w:rFonts w:ascii="Arial" w:cs="Arial" w:eastAsia="Arial" w:hAnsi="Arial"/>
                <w:sz w:val="15"/>
                <w:szCs w:val="15"/>
                <w:color w:val="auto"/>
              </w:rPr>
              <w:t>1,818,441</w:t>
            </w:r>
          </w:p>
        </w:tc>
        <w:tc>
          <w:tcPr>
            <w:tcW w:w="0" w:type="dxa"/>
            <w:vAlign w:val="bottom"/>
          </w:tcPr>
          <w:p>
            <w:pPr>
              <w:spacing w:after="0"/>
              <w:rPr>
                <w:sz w:val="1"/>
                <w:szCs w:val="1"/>
                <w:color w:val="auto"/>
              </w:rPr>
            </w:pPr>
          </w:p>
        </w:tc>
      </w:tr>
      <w:tr>
        <w:trPr>
          <w:trHeight w:val="181"/>
        </w:trPr>
        <w:tc>
          <w:tcPr>
            <w:tcW w:w="2060" w:type="dxa"/>
            <w:vAlign w:val="bottom"/>
          </w:tcPr>
          <w:p>
            <w:pPr>
              <w:ind w:left="60"/>
              <w:spacing w:after="0"/>
              <w:rPr>
                <w:sz w:val="20"/>
                <w:szCs w:val="20"/>
                <w:color w:val="auto"/>
              </w:rPr>
            </w:pPr>
            <w:r>
              <w:rPr>
                <w:rFonts w:ascii="Arial" w:cs="Arial" w:eastAsia="Arial" w:hAnsi="Arial"/>
                <w:sz w:val="15"/>
                <w:szCs w:val="15"/>
                <w:i w:val="1"/>
                <w:iCs w:val="1"/>
                <w:color w:val="auto"/>
              </w:rPr>
              <w:t>Former CFO and Treasurer</w:t>
            </w:r>
          </w:p>
        </w:tc>
        <w:tc>
          <w:tcPr>
            <w:tcW w:w="540" w:type="dxa"/>
            <w:vAlign w:val="bottom"/>
          </w:tcPr>
          <w:p>
            <w:pPr>
              <w:ind w:left="120"/>
              <w:spacing w:after="0"/>
              <w:rPr>
                <w:sz w:val="20"/>
                <w:szCs w:val="20"/>
                <w:color w:val="auto"/>
              </w:rPr>
            </w:pPr>
            <w:r>
              <w:rPr>
                <w:rFonts w:ascii="Arial" w:cs="Arial" w:eastAsia="Arial" w:hAnsi="Arial"/>
                <w:sz w:val="15"/>
                <w:szCs w:val="15"/>
                <w:color w:val="auto"/>
              </w:rPr>
              <w:t>2021</w:t>
            </w:r>
          </w:p>
        </w:tc>
        <w:tc>
          <w:tcPr>
            <w:tcW w:w="180" w:type="dxa"/>
            <w:vAlign w:val="bottom"/>
          </w:tcPr>
          <w:p>
            <w:pPr>
              <w:spacing w:after="0"/>
              <w:rPr>
                <w:sz w:val="15"/>
                <w:szCs w:val="15"/>
                <w:color w:val="auto"/>
              </w:rPr>
            </w:pPr>
          </w:p>
        </w:tc>
        <w:tc>
          <w:tcPr>
            <w:tcW w:w="780" w:type="dxa"/>
            <w:vAlign w:val="bottom"/>
          </w:tcPr>
          <w:p>
            <w:pPr>
              <w:jc w:val="right"/>
              <w:ind w:right="3"/>
              <w:spacing w:after="0"/>
              <w:rPr>
                <w:sz w:val="20"/>
                <w:szCs w:val="20"/>
                <w:color w:val="auto"/>
              </w:rPr>
            </w:pPr>
            <w:r>
              <w:rPr>
                <w:rFonts w:ascii="Arial" w:cs="Arial" w:eastAsia="Arial" w:hAnsi="Arial"/>
                <w:sz w:val="15"/>
                <w:szCs w:val="15"/>
                <w:color w:val="auto"/>
              </w:rPr>
              <w:t>450,000</w:t>
            </w:r>
          </w:p>
        </w:tc>
        <w:tc>
          <w:tcPr>
            <w:tcW w:w="160" w:type="dxa"/>
            <w:vAlign w:val="bottom"/>
          </w:tcPr>
          <w:p>
            <w:pPr>
              <w:spacing w:after="0"/>
              <w:rPr>
                <w:sz w:val="15"/>
                <w:szCs w:val="15"/>
                <w:color w:val="auto"/>
              </w:rPr>
            </w:pPr>
          </w:p>
        </w:tc>
        <w:tc>
          <w:tcPr>
            <w:tcW w:w="78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5"/>
                <w:szCs w:val="15"/>
                <w:color w:val="auto"/>
              </w:rPr>
            </w:pPr>
          </w:p>
        </w:tc>
        <w:tc>
          <w:tcPr>
            <w:tcW w:w="78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5"/>
                <w:szCs w:val="15"/>
                <w:color w:val="auto"/>
              </w:rPr>
            </w:pPr>
          </w:p>
        </w:tc>
        <w:tc>
          <w:tcPr>
            <w:tcW w:w="1000" w:type="dxa"/>
            <w:vAlign w:val="bottom"/>
          </w:tcPr>
          <w:p>
            <w:pPr>
              <w:jc w:val="right"/>
              <w:ind w:right="144"/>
              <w:spacing w:after="0"/>
              <w:rPr>
                <w:sz w:val="20"/>
                <w:szCs w:val="20"/>
                <w:color w:val="auto"/>
              </w:rPr>
            </w:pPr>
            <w:r>
              <w:rPr>
                <w:rFonts w:ascii="Arial" w:cs="Arial" w:eastAsia="Arial" w:hAnsi="Arial"/>
                <w:sz w:val="15"/>
                <w:szCs w:val="15"/>
                <w:color w:val="auto"/>
              </w:rPr>
              <w:t>—</w:t>
            </w:r>
          </w:p>
        </w:tc>
        <w:tc>
          <w:tcPr>
            <w:tcW w:w="460" w:type="dxa"/>
            <w:vAlign w:val="bottom"/>
          </w:tcPr>
          <w:p>
            <w:pPr>
              <w:spacing w:after="0"/>
              <w:rPr>
                <w:sz w:val="15"/>
                <w:szCs w:val="15"/>
                <w:color w:val="auto"/>
              </w:rPr>
            </w:pPr>
          </w:p>
        </w:tc>
        <w:tc>
          <w:tcPr>
            <w:tcW w:w="1040" w:type="dxa"/>
            <w:vAlign w:val="bottom"/>
          </w:tcPr>
          <w:p>
            <w:pPr>
              <w:jc w:val="right"/>
              <w:ind w:right="263"/>
              <w:spacing w:after="0"/>
              <w:rPr>
                <w:sz w:val="20"/>
                <w:szCs w:val="20"/>
                <w:color w:val="auto"/>
              </w:rPr>
            </w:pPr>
            <w:r>
              <w:rPr>
                <w:rFonts w:ascii="Arial" w:cs="Arial" w:eastAsia="Arial" w:hAnsi="Arial"/>
                <w:sz w:val="15"/>
                <w:szCs w:val="15"/>
                <w:color w:val="auto"/>
              </w:rPr>
              <w:t>292,383</w:t>
            </w:r>
          </w:p>
        </w:tc>
        <w:tc>
          <w:tcPr>
            <w:tcW w:w="680" w:type="dxa"/>
            <w:vAlign w:val="bottom"/>
          </w:tcPr>
          <w:p>
            <w:pPr>
              <w:spacing w:after="0"/>
              <w:rPr>
                <w:sz w:val="15"/>
                <w:szCs w:val="15"/>
                <w:color w:val="auto"/>
              </w:rPr>
            </w:pPr>
          </w:p>
        </w:tc>
        <w:tc>
          <w:tcPr>
            <w:tcW w:w="680" w:type="dxa"/>
            <w:vAlign w:val="bottom"/>
          </w:tcPr>
          <w:p>
            <w:pPr>
              <w:jc w:val="right"/>
              <w:ind w:right="23"/>
              <w:spacing w:after="0"/>
              <w:rPr>
                <w:sz w:val="20"/>
                <w:szCs w:val="20"/>
                <w:color w:val="auto"/>
              </w:rPr>
            </w:pPr>
            <w:r>
              <w:rPr>
                <w:rFonts w:ascii="Arial" w:cs="Arial" w:eastAsia="Arial" w:hAnsi="Arial"/>
                <w:sz w:val="15"/>
                <w:szCs w:val="15"/>
                <w:color w:val="auto"/>
              </w:rPr>
              <w:t>13,050</w:t>
            </w:r>
          </w:p>
        </w:tc>
        <w:tc>
          <w:tcPr>
            <w:tcW w:w="160" w:type="dxa"/>
            <w:vAlign w:val="bottom"/>
          </w:tcPr>
          <w:p>
            <w:pPr>
              <w:spacing w:after="0"/>
              <w:rPr>
                <w:sz w:val="15"/>
                <w:szCs w:val="15"/>
                <w:color w:val="auto"/>
              </w:rPr>
            </w:pPr>
          </w:p>
        </w:tc>
        <w:tc>
          <w:tcPr>
            <w:tcW w:w="880" w:type="dxa"/>
            <w:vAlign w:val="bottom"/>
          </w:tcPr>
          <w:p>
            <w:pPr>
              <w:jc w:val="right"/>
              <w:ind w:right="23"/>
              <w:spacing w:after="0"/>
              <w:rPr>
                <w:sz w:val="20"/>
                <w:szCs w:val="20"/>
                <w:color w:val="auto"/>
              </w:rPr>
            </w:pPr>
            <w:r>
              <w:rPr>
                <w:rFonts w:ascii="Arial" w:cs="Arial" w:eastAsia="Arial" w:hAnsi="Arial"/>
                <w:sz w:val="15"/>
                <w:szCs w:val="15"/>
                <w:color w:val="auto"/>
              </w:rPr>
              <w:t>755,433</w:t>
            </w:r>
          </w:p>
        </w:tc>
        <w:tc>
          <w:tcPr>
            <w:tcW w:w="0" w:type="dxa"/>
            <w:vAlign w:val="bottom"/>
          </w:tcPr>
          <w:p>
            <w:pPr>
              <w:spacing w:after="0"/>
              <w:rPr>
                <w:sz w:val="1"/>
                <w:szCs w:val="1"/>
                <w:color w:val="auto"/>
              </w:rPr>
            </w:pPr>
          </w:p>
        </w:tc>
      </w:tr>
      <w:tr>
        <w:trPr>
          <w:trHeight w:val="193"/>
        </w:trPr>
        <w:tc>
          <w:tcPr>
            <w:tcW w:w="2060" w:type="dxa"/>
            <w:vAlign w:val="bottom"/>
            <w:tcBorders>
              <w:bottom w:val="single" w:sz="8" w:color="99B5CB"/>
            </w:tcBorders>
          </w:tcPr>
          <w:p>
            <w:pPr>
              <w:spacing w:after="0"/>
              <w:rPr>
                <w:sz w:val="16"/>
                <w:szCs w:val="16"/>
                <w:color w:val="auto"/>
              </w:rPr>
            </w:pPr>
          </w:p>
        </w:tc>
        <w:tc>
          <w:tcPr>
            <w:tcW w:w="540" w:type="dxa"/>
            <w:vAlign w:val="bottom"/>
            <w:tcBorders>
              <w:bottom w:val="single" w:sz="8" w:color="99B5CB"/>
            </w:tcBorders>
          </w:tcPr>
          <w:p>
            <w:pPr>
              <w:ind w:left="120"/>
              <w:spacing w:after="0"/>
              <w:rPr>
                <w:sz w:val="20"/>
                <w:szCs w:val="20"/>
                <w:color w:val="auto"/>
              </w:rPr>
            </w:pPr>
            <w:r>
              <w:rPr>
                <w:rFonts w:ascii="Arial" w:cs="Arial" w:eastAsia="Arial" w:hAnsi="Arial"/>
                <w:sz w:val="15"/>
                <w:szCs w:val="15"/>
                <w:color w:val="auto"/>
              </w:rPr>
              <w:t>2020</w:t>
            </w:r>
          </w:p>
        </w:tc>
        <w:tc>
          <w:tcPr>
            <w:tcW w:w="180" w:type="dxa"/>
            <w:vAlign w:val="bottom"/>
            <w:tcBorders>
              <w:bottom w:val="single" w:sz="8" w:color="99B5CB"/>
            </w:tcBorders>
          </w:tcPr>
          <w:p>
            <w:pPr>
              <w:spacing w:after="0"/>
              <w:rPr>
                <w:sz w:val="16"/>
                <w:szCs w:val="16"/>
                <w:color w:val="auto"/>
              </w:rPr>
            </w:pPr>
          </w:p>
        </w:tc>
        <w:tc>
          <w:tcPr>
            <w:tcW w:w="780" w:type="dxa"/>
            <w:vAlign w:val="bottom"/>
            <w:tcBorders>
              <w:bottom w:val="single" w:sz="8" w:color="99B5CB"/>
            </w:tcBorders>
          </w:tcPr>
          <w:p>
            <w:pPr>
              <w:jc w:val="right"/>
              <w:ind w:right="3"/>
              <w:spacing w:after="0"/>
              <w:rPr>
                <w:sz w:val="20"/>
                <w:szCs w:val="20"/>
                <w:color w:val="auto"/>
              </w:rPr>
            </w:pPr>
            <w:r>
              <w:rPr>
                <w:rFonts w:ascii="Arial" w:cs="Arial" w:eastAsia="Arial" w:hAnsi="Arial"/>
                <w:sz w:val="15"/>
                <w:szCs w:val="15"/>
                <w:color w:val="auto"/>
              </w:rPr>
              <w:t>369,805</w:t>
            </w:r>
          </w:p>
        </w:tc>
        <w:tc>
          <w:tcPr>
            <w:tcW w:w="160" w:type="dxa"/>
            <w:vAlign w:val="bottom"/>
            <w:tcBorders>
              <w:bottom w:val="single" w:sz="8" w:color="99B5CB"/>
            </w:tcBorders>
          </w:tcPr>
          <w:p>
            <w:pPr>
              <w:jc w:val="right"/>
              <w:spacing w:after="0"/>
              <w:rPr>
                <w:sz w:val="20"/>
                <w:szCs w:val="20"/>
                <w:color w:val="auto"/>
              </w:rPr>
            </w:pPr>
            <w:r>
              <w:rPr>
                <w:rFonts w:ascii="Arial" w:cs="Arial" w:eastAsia="Arial" w:hAnsi="Arial"/>
                <w:sz w:val="15"/>
                <w:szCs w:val="15"/>
                <w:color w:val="auto"/>
              </w:rPr>
              <w:t>$</w:t>
            </w:r>
          </w:p>
        </w:tc>
        <w:tc>
          <w:tcPr>
            <w:tcW w:w="780" w:type="dxa"/>
            <w:vAlign w:val="bottom"/>
            <w:tcBorders>
              <w:bottom w:val="single" w:sz="8" w:color="99B5CB"/>
            </w:tcBorders>
          </w:tcPr>
          <w:p>
            <w:pPr>
              <w:jc w:val="right"/>
              <w:ind w:right="3"/>
              <w:spacing w:after="0"/>
              <w:rPr>
                <w:sz w:val="20"/>
                <w:szCs w:val="20"/>
                <w:color w:val="auto"/>
              </w:rPr>
            </w:pPr>
            <w:r>
              <w:rPr>
                <w:rFonts w:ascii="Arial" w:cs="Arial" w:eastAsia="Arial" w:hAnsi="Arial"/>
                <w:sz w:val="15"/>
                <w:szCs w:val="15"/>
                <w:color w:val="auto"/>
              </w:rPr>
              <w:t>225,000</w:t>
            </w:r>
          </w:p>
        </w:tc>
        <w:tc>
          <w:tcPr>
            <w:tcW w:w="180" w:type="dxa"/>
            <w:vAlign w:val="bottom"/>
            <w:tcBorders>
              <w:bottom w:val="single" w:sz="8" w:color="99B5CB"/>
            </w:tcBorders>
          </w:tcPr>
          <w:p>
            <w:pPr>
              <w:spacing w:after="0"/>
              <w:rPr>
                <w:sz w:val="16"/>
                <w:szCs w:val="16"/>
                <w:color w:val="auto"/>
              </w:rPr>
            </w:pPr>
          </w:p>
        </w:tc>
        <w:tc>
          <w:tcPr>
            <w:tcW w:w="780" w:type="dxa"/>
            <w:vAlign w:val="bottom"/>
            <w:tcBorders>
              <w:bottom w:val="single" w:sz="8" w:color="99B5CB"/>
            </w:tcBorders>
          </w:tcPr>
          <w:p>
            <w:pPr>
              <w:jc w:val="right"/>
              <w:ind w:right="3"/>
              <w:spacing w:after="0"/>
              <w:rPr>
                <w:sz w:val="20"/>
                <w:szCs w:val="20"/>
                <w:color w:val="auto"/>
              </w:rPr>
            </w:pPr>
            <w:r>
              <w:rPr>
                <w:rFonts w:ascii="Arial" w:cs="Arial" w:eastAsia="Arial" w:hAnsi="Arial"/>
                <w:sz w:val="15"/>
                <w:szCs w:val="15"/>
                <w:color w:val="auto"/>
              </w:rPr>
              <w:t>1,200,000</w:t>
            </w:r>
          </w:p>
        </w:tc>
        <w:tc>
          <w:tcPr>
            <w:tcW w:w="180" w:type="dxa"/>
            <w:vAlign w:val="bottom"/>
            <w:tcBorders>
              <w:bottom w:val="single" w:sz="8" w:color="99B5CB"/>
            </w:tcBorders>
          </w:tcPr>
          <w:p>
            <w:pPr>
              <w:spacing w:after="0"/>
              <w:rPr>
                <w:sz w:val="16"/>
                <w:szCs w:val="16"/>
                <w:color w:val="auto"/>
              </w:rPr>
            </w:pPr>
          </w:p>
        </w:tc>
        <w:tc>
          <w:tcPr>
            <w:tcW w:w="1000" w:type="dxa"/>
            <w:vAlign w:val="bottom"/>
            <w:tcBorders>
              <w:bottom w:val="single" w:sz="8" w:color="99B5CB"/>
            </w:tcBorders>
          </w:tcPr>
          <w:p>
            <w:pPr>
              <w:jc w:val="right"/>
              <w:ind w:right="144"/>
              <w:spacing w:after="0"/>
              <w:rPr>
                <w:sz w:val="20"/>
                <w:szCs w:val="20"/>
                <w:color w:val="auto"/>
              </w:rPr>
            </w:pPr>
            <w:r>
              <w:rPr>
                <w:rFonts w:ascii="Arial" w:cs="Arial" w:eastAsia="Arial" w:hAnsi="Arial"/>
                <w:sz w:val="15"/>
                <w:szCs w:val="15"/>
                <w:color w:val="auto"/>
              </w:rPr>
              <w:t>1,800,000</w:t>
            </w:r>
          </w:p>
        </w:tc>
        <w:tc>
          <w:tcPr>
            <w:tcW w:w="460" w:type="dxa"/>
            <w:vAlign w:val="bottom"/>
            <w:tcBorders>
              <w:bottom w:val="single" w:sz="8" w:color="99B5CB"/>
            </w:tcBorders>
          </w:tcPr>
          <w:p>
            <w:pPr>
              <w:spacing w:after="0"/>
              <w:rPr>
                <w:sz w:val="16"/>
                <w:szCs w:val="16"/>
                <w:color w:val="auto"/>
              </w:rPr>
            </w:pPr>
          </w:p>
        </w:tc>
        <w:tc>
          <w:tcPr>
            <w:tcW w:w="1040" w:type="dxa"/>
            <w:vAlign w:val="bottom"/>
            <w:tcBorders>
              <w:bottom w:val="single" w:sz="8" w:color="99B5CB"/>
            </w:tcBorders>
          </w:tcPr>
          <w:p>
            <w:pPr>
              <w:jc w:val="right"/>
              <w:ind w:right="263"/>
              <w:spacing w:after="0"/>
              <w:rPr>
                <w:sz w:val="20"/>
                <w:szCs w:val="20"/>
                <w:color w:val="auto"/>
              </w:rPr>
            </w:pPr>
            <w:r>
              <w:rPr>
                <w:rFonts w:ascii="Arial" w:cs="Arial" w:eastAsia="Arial" w:hAnsi="Arial"/>
                <w:sz w:val="15"/>
                <w:szCs w:val="15"/>
                <w:color w:val="auto"/>
              </w:rPr>
              <w:t>222,113</w:t>
            </w:r>
          </w:p>
        </w:tc>
        <w:tc>
          <w:tcPr>
            <w:tcW w:w="680" w:type="dxa"/>
            <w:vAlign w:val="bottom"/>
            <w:tcBorders>
              <w:bottom w:val="single" w:sz="8" w:color="99B5CB"/>
            </w:tcBorders>
          </w:tcPr>
          <w:p>
            <w:pPr>
              <w:spacing w:after="0"/>
              <w:rPr>
                <w:sz w:val="16"/>
                <w:szCs w:val="16"/>
                <w:color w:val="auto"/>
              </w:rPr>
            </w:pPr>
          </w:p>
        </w:tc>
        <w:tc>
          <w:tcPr>
            <w:tcW w:w="680" w:type="dxa"/>
            <w:vAlign w:val="bottom"/>
            <w:tcBorders>
              <w:bottom w:val="single" w:sz="8" w:color="99B5CB"/>
            </w:tcBorders>
          </w:tcPr>
          <w:p>
            <w:pPr>
              <w:jc w:val="right"/>
              <w:ind w:right="23"/>
              <w:spacing w:after="0"/>
              <w:rPr>
                <w:sz w:val="20"/>
                <w:szCs w:val="20"/>
                <w:color w:val="auto"/>
              </w:rPr>
            </w:pPr>
            <w:r>
              <w:rPr>
                <w:rFonts w:ascii="Arial" w:cs="Arial" w:eastAsia="Arial" w:hAnsi="Arial"/>
                <w:sz w:val="15"/>
                <w:szCs w:val="15"/>
                <w:color w:val="auto"/>
              </w:rPr>
              <w:t>24,913</w:t>
            </w:r>
          </w:p>
        </w:tc>
        <w:tc>
          <w:tcPr>
            <w:tcW w:w="160" w:type="dxa"/>
            <w:vAlign w:val="bottom"/>
            <w:tcBorders>
              <w:bottom w:val="single" w:sz="8" w:color="99B5CB"/>
            </w:tcBorders>
          </w:tcPr>
          <w:p>
            <w:pPr>
              <w:spacing w:after="0"/>
              <w:rPr>
                <w:sz w:val="16"/>
                <w:szCs w:val="16"/>
                <w:color w:val="auto"/>
              </w:rPr>
            </w:pPr>
          </w:p>
        </w:tc>
        <w:tc>
          <w:tcPr>
            <w:tcW w:w="880" w:type="dxa"/>
            <w:vAlign w:val="bottom"/>
            <w:tcBorders>
              <w:bottom w:val="single" w:sz="8" w:color="99B5CB"/>
            </w:tcBorders>
          </w:tcPr>
          <w:p>
            <w:pPr>
              <w:jc w:val="right"/>
              <w:ind w:right="23"/>
              <w:spacing w:after="0"/>
              <w:rPr>
                <w:sz w:val="20"/>
                <w:szCs w:val="20"/>
                <w:color w:val="auto"/>
              </w:rPr>
            </w:pPr>
            <w:r>
              <w:rPr>
                <w:rFonts w:ascii="Arial" w:cs="Arial" w:eastAsia="Arial" w:hAnsi="Arial"/>
                <w:sz w:val="15"/>
                <w:szCs w:val="15"/>
                <w:color w:val="auto"/>
              </w:rPr>
              <w:t>3,841,831</w:t>
            </w:r>
          </w:p>
        </w:tc>
        <w:tc>
          <w:tcPr>
            <w:tcW w:w="0" w:type="dxa"/>
            <w:vAlign w:val="bottom"/>
          </w:tcPr>
          <w:p>
            <w:pPr>
              <w:spacing w:after="0"/>
              <w:rPr>
                <w:sz w:val="1"/>
                <w:szCs w:val="1"/>
                <w:color w:val="auto"/>
              </w:rPr>
            </w:pPr>
          </w:p>
        </w:tc>
      </w:tr>
      <w:tr>
        <w:trPr>
          <w:trHeight w:val="161"/>
        </w:trPr>
        <w:tc>
          <w:tcPr>
            <w:tcW w:w="2060" w:type="dxa"/>
            <w:vAlign w:val="bottom"/>
          </w:tcPr>
          <w:p>
            <w:pPr>
              <w:ind w:left="60"/>
              <w:spacing w:after="0" w:line="161" w:lineRule="exact"/>
              <w:rPr>
                <w:sz w:val="20"/>
                <w:szCs w:val="20"/>
                <w:color w:val="auto"/>
              </w:rPr>
            </w:pPr>
            <w:r>
              <w:rPr>
                <w:rFonts w:ascii="Arial" w:cs="Arial" w:eastAsia="Arial" w:hAnsi="Arial"/>
                <w:sz w:val="15"/>
                <w:szCs w:val="15"/>
                <w:color w:val="auto"/>
              </w:rPr>
              <w:t>Terrence G. Hammons, Jr.</w:t>
            </w:r>
          </w:p>
        </w:tc>
        <w:tc>
          <w:tcPr>
            <w:tcW w:w="540" w:type="dxa"/>
            <w:vAlign w:val="bottom"/>
          </w:tcPr>
          <w:p>
            <w:pPr>
              <w:ind w:left="120"/>
              <w:spacing w:after="0" w:line="161" w:lineRule="exact"/>
              <w:rPr>
                <w:sz w:val="20"/>
                <w:szCs w:val="20"/>
                <w:color w:val="auto"/>
              </w:rPr>
            </w:pPr>
            <w:r>
              <w:rPr>
                <w:rFonts w:ascii="Arial" w:cs="Arial" w:eastAsia="Arial" w:hAnsi="Arial"/>
                <w:sz w:val="15"/>
                <w:szCs w:val="15"/>
                <w:color w:val="auto"/>
              </w:rPr>
              <w:t>2022</w:t>
            </w:r>
          </w:p>
        </w:tc>
        <w:tc>
          <w:tcPr>
            <w:tcW w:w="180" w:type="dxa"/>
            <w:vAlign w:val="bottom"/>
          </w:tcPr>
          <w:p>
            <w:pPr>
              <w:jc w:val="right"/>
              <w:spacing w:after="0" w:line="161" w:lineRule="exact"/>
              <w:rPr>
                <w:sz w:val="20"/>
                <w:szCs w:val="20"/>
                <w:color w:val="auto"/>
              </w:rPr>
            </w:pPr>
            <w:r>
              <w:rPr>
                <w:rFonts w:ascii="Arial" w:cs="Arial" w:eastAsia="Arial" w:hAnsi="Arial"/>
                <w:sz w:val="15"/>
                <w:szCs w:val="15"/>
                <w:color w:val="auto"/>
              </w:rPr>
              <w:t>$</w:t>
            </w:r>
          </w:p>
        </w:tc>
        <w:tc>
          <w:tcPr>
            <w:tcW w:w="780" w:type="dxa"/>
            <w:vAlign w:val="bottom"/>
          </w:tcPr>
          <w:p>
            <w:pPr>
              <w:jc w:val="right"/>
              <w:ind w:right="3"/>
              <w:spacing w:after="0" w:line="161" w:lineRule="exact"/>
              <w:rPr>
                <w:sz w:val="20"/>
                <w:szCs w:val="20"/>
                <w:color w:val="auto"/>
              </w:rPr>
            </w:pPr>
            <w:r>
              <w:rPr>
                <w:rFonts w:ascii="Arial" w:cs="Arial" w:eastAsia="Arial" w:hAnsi="Arial"/>
                <w:sz w:val="15"/>
                <w:szCs w:val="15"/>
                <w:color w:val="auto"/>
              </w:rPr>
              <w:t>335,000</w:t>
            </w:r>
          </w:p>
        </w:tc>
        <w:tc>
          <w:tcPr>
            <w:tcW w:w="160" w:type="dxa"/>
            <w:vAlign w:val="bottom"/>
          </w:tcPr>
          <w:p>
            <w:pPr>
              <w:jc w:val="right"/>
              <w:spacing w:after="0" w:line="161" w:lineRule="exact"/>
              <w:rPr>
                <w:sz w:val="20"/>
                <w:szCs w:val="20"/>
                <w:color w:val="auto"/>
              </w:rPr>
            </w:pPr>
            <w:r>
              <w:rPr>
                <w:rFonts w:ascii="Arial" w:cs="Arial" w:eastAsia="Arial" w:hAnsi="Arial"/>
                <w:sz w:val="15"/>
                <w:szCs w:val="15"/>
                <w:color w:val="auto"/>
              </w:rPr>
              <w:t>$</w:t>
            </w:r>
          </w:p>
        </w:tc>
        <w:tc>
          <w:tcPr>
            <w:tcW w:w="780" w:type="dxa"/>
            <w:vAlign w:val="bottom"/>
          </w:tcPr>
          <w:p>
            <w:pPr>
              <w:jc w:val="right"/>
              <w:ind w:right="3"/>
              <w:spacing w:after="0" w:line="161" w:lineRule="exact"/>
              <w:rPr>
                <w:sz w:val="20"/>
                <w:szCs w:val="20"/>
                <w:color w:val="auto"/>
              </w:rPr>
            </w:pPr>
            <w:r>
              <w:rPr>
                <w:rFonts w:ascii="Arial" w:cs="Arial" w:eastAsia="Arial" w:hAnsi="Arial"/>
                <w:sz w:val="15"/>
                <w:szCs w:val="15"/>
                <w:color w:val="auto"/>
              </w:rPr>
              <w:t>500,000</w:t>
            </w:r>
          </w:p>
        </w:tc>
        <w:tc>
          <w:tcPr>
            <w:tcW w:w="180" w:type="dxa"/>
            <w:vAlign w:val="bottom"/>
          </w:tcPr>
          <w:p>
            <w:pPr>
              <w:jc w:val="right"/>
              <w:spacing w:after="0" w:line="161" w:lineRule="exact"/>
              <w:rPr>
                <w:sz w:val="20"/>
                <w:szCs w:val="20"/>
                <w:color w:val="auto"/>
              </w:rPr>
            </w:pPr>
            <w:r>
              <w:rPr>
                <w:rFonts w:ascii="Arial" w:cs="Arial" w:eastAsia="Arial" w:hAnsi="Arial"/>
                <w:sz w:val="15"/>
                <w:szCs w:val="15"/>
                <w:color w:val="auto"/>
              </w:rPr>
              <w:t>$</w:t>
            </w:r>
          </w:p>
        </w:tc>
        <w:tc>
          <w:tcPr>
            <w:tcW w:w="780" w:type="dxa"/>
            <w:vAlign w:val="bottom"/>
          </w:tcPr>
          <w:p>
            <w:pPr>
              <w:jc w:val="right"/>
              <w:ind w:right="3"/>
              <w:spacing w:after="0" w:line="161" w:lineRule="exact"/>
              <w:rPr>
                <w:sz w:val="20"/>
                <w:szCs w:val="20"/>
                <w:color w:val="auto"/>
              </w:rPr>
            </w:pPr>
            <w:r>
              <w:rPr>
                <w:rFonts w:ascii="Arial" w:cs="Arial" w:eastAsia="Arial" w:hAnsi="Arial"/>
                <w:sz w:val="15"/>
                <w:szCs w:val="15"/>
                <w:color w:val="auto"/>
              </w:rPr>
              <w:t>449,994</w:t>
            </w:r>
          </w:p>
        </w:tc>
        <w:tc>
          <w:tcPr>
            <w:tcW w:w="180" w:type="dxa"/>
            <w:vAlign w:val="bottom"/>
          </w:tcPr>
          <w:p>
            <w:pPr>
              <w:jc w:val="right"/>
              <w:spacing w:after="0" w:line="161" w:lineRule="exact"/>
              <w:rPr>
                <w:sz w:val="20"/>
                <w:szCs w:val="20"/>
                <w:color w:val="auto"/>
              </w:rPr>
            </w:pPr>
            <w:r>
              <w:rPr>
                <w:rFonts w:ascii="Arial" w:cs="Arial" w:eastAsia="Arial" w:hAnsi="Arial"/>
                <w:sz w:val="15"/>
                <w:szCs w:val="15"/>
                <w:color w:val="auto"/>
              </w:rPr>
              <w:t>$</w:t>
            </w:r>
          </w:p>
        </w:tc>
        <w:tc>
          <w:tcPr>
            <w:tcW w:w="1000" w:type="dxa"/>
            <w:vAlign w:val="bottom"/>
          </w:tcPr>
          <w:p>
            <w:pPr>
              <w:jc w:val="right"/>
              <w:ind w:right="144"/>
              <w:spacing w:after="0" w:line="161" w:lineRule="exact"/>
              <w:rPr>
                <w:sz w:val="20"/>
                <w:szCs w:val="20"/>
                <w:color w:val="auto"/>
              </w:rPr>
            </w:pPr>
            <w:r>
              <w:rPr>
                <w:rFonts w:ascii="Arial" w:cs="Arial" w:eastAsia="Arial" w:hAnsi="Arial"/>
                <w:sz w:val="15"/>
                <w:szCs w:val="15"/>
                <w:color w:val="auto"/>
              </w:rPr>
              <w:t>447,496</w:t>
            </w:r>
          </w:p>
        </w:tc>
        <w:tc>
          <w:tcPr>
            <w:tcW w:w="460" w:type="dxa"/>
            <w:vAlign w:val="bottom"/>
          </w:tcPr>
          <w:p>
            <w:pPr>
              <w:spacing w:after="0"/>
              <w:rPr>
                <w:sz w:val="14"/>
                <w:szCs w:val="14"/>
                <w:color w:val="auto"/>
              </w:rPr>
            </w:pPr>
          </w:p>
        </w:tc>
        <w:tc>
          <w:tcPr>
            <w:tcW w:w="1040" w:type="dxa"/>
            <w:vAlign w:val="bottom"/>
          </w:tcPr>
          <w:p>
            <w:pPr>
              <w:jc w:val="right"/>
              <w:ind w:right="263"/>
              <w:spacing w:after="0" w:line="161" w:lineRule="exact"/>
              <w:rPr>
                <w:sz w:val="20"/>
                <w:szCs w:val="20"/>
                <w:color w:val="auto"/>
              </w:rPr>
            </w:pPr>
            <w:r>
              <w:rPr>
                <w:rFonts w:ascii="Arial" w:cs="Arial" w:eastAsia="Arial" w:hAnsi="Arial"/>
                <w:sz w:val="15"/>
                <w:szCs w:val="15"/>
                <w:color w:val="auto"/>
              </w:rPr>
              <w:t>—</w:t>
            </w:r>
          </w:p>
        </w:tc>
        <w:tc>
          <w:tcPr>
            <w:tcW w:w="680" w:type="dxa"/>
            <w:vAlign w:val="bottom"/>
          </w:tcPr>
          <w:p>
            <w:pPr>
              <w:jc w:val="right"/>
              <w:spacing w:after="0" w:line="161" w:lineRule="exact"/>
              <w:rPr>
                <w:sz w:val="20"/>
                <w:szCs w:val="20"/>
                <w:color w:val="auto"/>
              </w:rPr>
            </w:pPr>
            <w:r>
              <w:rPr>
                <w:rFonts w:ascii="Arial" w:cs="Arial" w:eastAsia="Arial" w:hAnsi="Arial"/>
                <w:sz w:val="15"/>
                <w:szCs w:val="15"/>
                <w:color w:val="auto"/>
              </w:rPr>
              <w:t>$</w:t>
            </w:r>
          </w:p>
        </w:tc>
        <w:tc>
          <w:tcPr>
            <w:tcW w:w="680" w:type="dxa"/>
            <w:vAlign w:val="bottom"/>
          </w:tcPr>
          <w:p>
            <w:pPr>
              <w:jc w:val="right"/>
              <w:ind w:right="23"/>
              <w:spacing w:after="0" w:line="161" w:lineRule="exact"/>
              <w:rPr>
                <w:sz w:val="20"/>
                <w:szCs w:val="20"/>
                <w:color w:val="auto"/>
              </w:rPr>
            </w:pPr>
            <w:r>
              <w:rPr>
                <w:rFonts w:ascii="Arial" w:cs="Arial" w:eastAsia="Arial" w:hAnsi="Arial"/>
                <w:sz w:val="15"/>
                <w:szCs w:val="15"/>
                <w:color w:val="auto"/>
              </w:rPr>
              <w:t>165,705</w:t>
            </w:r>
          </w:p>
        </w:tc>
        <w:tc>
          <w:tcPr>
            <w:tcW w:w="160" w:type="dxa"/>
            <w:vAlign w:val="bottom"/>
          </w:tcPr>
          <w:p>
            <w:pPr>
              <w:jc w:val="right"/>
              <w:spacing w:after="0" w:line="161" w:lineRule="exact"/>
              <w:rPr>
                <w:sz w:val="20"/>
                <w:szCs w:val="20"/>
                <w:color w:val="auto"/>
              </w:rPr>
            </w:pPr>
            <w:r>
              <w:rPr>
                <w:rFonts w:ascii="Arial" w:cs="Arial" w:eastAsia="Arial" w:hAnsi="Arial"/>
                <w:sz w:val="15"/>
                <w:szCs w:val="15"/>
                <w:color w:val="auto"/>
              </w:rPr>
              <w:t>$</w:t>
            </w:r>
          </w:p>
        </w:tc>
        <w:tc>
          <w:tcPr>
            <w:tcW w:w="880" w:type="dxa"/>
            <w:vAlign w:val="bottom"/>
          </w:tcPr>
          <w:p>
            <w:pPr>
              <w:jc w:val="right"/>
              <w:ind w:right="23"/>
              <w:spacing w:after="0" w:line="161" w:lineRule="exact"/>
              <w:rPr>
                <w:sz w:val="20"/>
                <w:szCs w:val="20"/>
                <w:color w:val="auto"/>
              </w:rPr>
            </w:pPr>
            <w:r>
              <w:rPr>
                <w:rFonts w:ascii="Arial" w:cs="Arial" w:eastAsia="Arial" w:hAnsi="Arial"/>
                <w:sz w:val="15"/>
                <w:szCs w:val="15"/>
                <w:color w:val="auto"/>
              </w:rPr>
              <w:t>1,898,195</w:t>
            </w:r>
          </w:p>
        </w:tc>
        <w:tc>
          <w:tcPr>
            <w:tcW w:w="0" w:type="dxa"/>
            <w:vAlign w:val="bottom"/>
          </w:tcPr>
          <w:p>
            <w:pPr>
              <w:spacing w:after="0"/>
              <w:rPr>
                <w:sz w:val="1"/>
                <w:szCs w:val="1"/>
                <w:color w:val="auto"/>
              </w:rPr>
            </w:pPr>
          </w:p>
        </w:tc>
      </w:tr>
      <w:tr>
        <w:trPr>
          <w:trHeight w:val="181"/>
        </w:trPr>
        <w:tc>
          <w:tcPr>
            <w:tcW w:w="2060" w:type="dxa"/>
            <w:vAlign w:val="bottom"/>
          </w:tcPr>
          <w:p>
            <w:pPr>
              <w:ind w:left="60"/>
              <w:spacing w:after="0"/>
              <w:rPr>
                <w:sz w:val="20"/>
                <w:szCs w:val="20"/>
                <w:color w:val="auto"/>
              </w:rPr>
            </w:pPr>
            <w:r>
              <w:rPr>
                <w:rFonts w:ascii="Arial" w:cs="Arial" w:eastAsia="Arial" w:hAnsi="Arial"/>
                <w:sz w:val="15"/>
                <w:szCs w:val="15"/>
                <w:i w:val="1"/>
                <w:iCs w:val="1"/>
                <w:color w:val="auto"/>
              </w:rPr>
              <w:t>Former SVP, General</w:t>
            </w:r>
          </w:p>
        </w:tc>
        <w:tc>
          <w:tcPr>
            <w:tcW w:w="540" w:type="dxa"/>
            <w:vAlign w:val="bottom"/>
          </w:tcPr>
          <w:p>
            <w:pPr>
              <w:ind w:left="120"/>
              <w:spacing w:after="0"/>
              <w:rPr>
                <w:sz w:val="20"/>
                <w:szCs w:val="20"/>
                <w:color w:val="auto"/>
              </w:rPr>
            </w:pPr>
            <w:r>
              <w:rPr>
                <w:rFonts w:ascii="Arial" w:cs="Arial" w:eastAsia="Arial" w:hAnsi="Arial"/>
                <w:sz w:val="15"/>
                <w:szCs w:val="15"/>
                <w:color w:val="auto"/>
              </w:rPr>
              <w:t>2021</w:t>
            </w:r>
          </w:p>
        </w:tc>
        <w:tc>
          <w:tcPr>
            <w:tcW w:w="180" w:type="dxa"/>
            <w:vAlign w:val="bottom"/>
          </w:tcPr>
          <w:p>
            <w:pPr>
              <w:spacing w:after="0"/>
              <w:rPr>
                <w:sz w:val="15"/>
                <w:szCs w:val="15"/>
                <w:color w:val="auto"/>
              </w:rPr>
            </w:pPr>
          </w:p>
        </w:tc>
        <w:tc>
          <w:tcPr>
            <w:tcW w:w="780" w:type="dxa"/>
            <w:vAlign w:val="bottom"/>
          </w:tcPr>
          <w:p>
            <w:pPr>
              <w:jc w:val="right"/>
              <w:ind w:right="3"/>
              <w:spacing w:after="0"/>
              <w:rPr>
                <w:sz w:val="20"/>
                <w:szCs w:val="20"/>
                <w:color w:val="auto"/>
              </w:rPr>
            </w:pPr>
            <w:r>
              <w:rPr>
                <w:rFonts w:ascii="Arial" w:cs="Arial" w:eastAsia="Arial" w:hAnsi="Arial"/>
                <w:sz w:val="15"/>
                <w:szCs w:val="15"/>
                <w:color w:val="auto"/>
              </w:rPr>
              <w:t>65,385</w:t>
            </w:r>
          </w:p>
        </w:tc>
        <w:tc>
          <w:tcPr>
            <w:tcW w:w="160" w:type="dxa"/>
            <w:vAlign w:val="bottom"/>
          </w:tcPr>
          <w:p>
            <w:pPr>
              <w:spacing w:after="0"/>
              <w:rPr>
                <w:sz w:val="15"/>
                <w:szCs w:val="15"/>
                <w:color w:val="auto"/>
              </w:rPr>
            </w:pPr>
          </w:p>
        </w:tc>
        <w:tc>
          <w:tcPr>
            <w:tcW w:w="78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5"/>
                <w:szCs w:val="15"/>
                <w:color w:val="auto"/>
              </w:rPr>
            </w:pPr>
          </w:p>
        </w:tc>
        <w:tc>
          <w:tcPr>
            <w:tcW w:w="780" w:type="dxa"/>
            <w:vAlign w:val="bottom"/>
          </w:tcPr>
          <w:p>
            <w:pPr>
              <w:jc w:val="right"/>
              <w:ind w:right="3"/>
              <w:spacing w:after="0"/>
              <w:rPr>
                <w:sz w:val="20"/>
                <w:szCs w:val="20"/>
                <w:color w:val="auto"/>
              </w:rPr>
            </w:pPr>
            <w:r>
              <w:rPr>
                <w:rFonts w:ascii="Arial" w:cs="Arial" w:eastAsia="Arial" w:hAnsi="Arial"/>
                <w:sz w:val="15"/>
                <w:szCs w:val="15"/>
                <w:color w:val="auto"/>
              </w:rPr>
              <w:t>200,000</w:t>
            </w:r>
          </w:p>
        </w:tc>
        <w:tc>
          <w:tcPr>
            <w:tcW w:w="180" w:type="dxa"/>
            <w:vAlign w:val="bottom"/>
          </w:tcPr>
          <w:p>
            <w:pPr>
              <w:spacing w:after="0"/>
              <w:rPr>
                <w:sz w:val="15"/>
                <w:szCs w:val="15"/>
                <w:color w:val="auto"/>
              </w:rPr>
            </w:pPr>
          </w:p>
        </w:tc>
        <w:tc>
          <w:tcPr>
            <w:tcW w:w="1000" w:type="dxa"/>
            <w:vAlign w:val="bottom"/>
          </w:tcPr>
          <w:p>
            <w:pPr>
              <w:jc w:val="right"/>
              <w:ind w:right="144"/>
              <w:spacing w:after="0"/>
              <w:rPr>
                <w:sz w:val="20"/>
                <w:szCs w:val="20"/>
                <w:color w:val="auto"/>
              </w:rPr>
            </w:pPr>
            <w:r>
              <w:rPr>
                <w:rFonts w:ascii="Arial" w:cs="Arial" w:eastAsia="Arial" w:hAnsi="Arial"/>
                <w:sz w:val="15"/>
                <w:szCs w:val="15"/>
                <w:color w:val="auto"/>
              </w:rPr>
              <w:t>300,000</w:t>
            </w:r>
          </w:p>
        </w:tc>
        <w:tc>
          <w:tcPr>
            <w:tcW w:w="460" w:type="dxa"/>
            <w:vAlign w:val="bottom"/>
          </w:tcPr>
          <w:p>
            <w:pPr>
              <w:spacing w:after="0"/>
              <w:rPr>
                <w:sz w:val="15"/>
                <w:szCs w:val="15"/>
                <w:color w:val="auto"/>
              </w:rPr>
            </w:pPr>
          </w:p>
        </w:tc>
        <w:tc>
          <w:tcPr>
            <w:tcW w:w="1040" w:type="dxa"/>
            <w:vAlign w:val="bottom"/>
          </w:tcPr>
          <w:p>
            <w:pPr>
              <w:jc w:val="right"/>
              <w:ind w:right="263"/>
              <w:spacing w:after="0"/>
              <w:rPr>
                <w:sz w:val="20"/>
                <w:szCs w:val="20"/>
                <w:color w:val="auto"/>
              </w:rPr>
            </w:pPr>
            <w:r>
              <w:rPr>
                <w:rFonts w:ascii="Arial" w:cs="Arial" w:eastAsia="Arial" w:hAnsi="Arial"/>
                <w:sz w:val="15"/>
                <w:szCs w:val="15"/>
                <w:color w:val="auto"/>
              </w:rPr>
              <w:t>29,750</w:t>
            </w:r>
          </w:p>
        </w:tc>
        <w:tc>
          <w:tcPr>
            <w:tcW w:w="680" w:type="dxa"/>
            <w:vAlign w:val="bottom"/>
          </w:tcPr>
          <w:p>
            <w:pPr>
              <w:spacing w:after="0"/>
              <w:rPr>
                <w:sz w:val="15"/>
                <w:szCs w:val="15"/>
                <w:color w:val="auto"/>
              </w:rPr>
            </w:pPr>
          </w:p>
        </w:tc>
        <w:tc>
          <w:tcPr>
            <w:tcW w:w="680" w:type="dxa"/>
            <w:vAlign w:val="bottom"/>
          </w:tcPr>
          <w:p>
            <w:pPr>
              <w:jc w:val="right"/>
              <w:ind w:right="23"/>
              <w:spacing w:after="0"/>
              <w:rPr>
                <w:sz w:val="20"/>
                <w:szCs w:val="20"/>
                <w:color w:val="auto"/>
              </w:rPr>
            </w:pPr>
            <w:r>
              <w:rPr>
                <w:rFonts w:ascii="Arial" w:cs="Arial" w:eastAsia="Arial" w:hAnsi="Arial"/>
                <w:sz w:val="15"/>
                <w:szCs w:val="15"/>
                <w:color w:val="auto"/>
              </w:rPr>
              <w:t>490</w:t>
            </w:r>
          </w:p>
        </w:tc>
        <w:tc>
          <w:tcPr>
            <w:tcW w:w="160" w:type="dxa"/>
            <w:vAlign w:val="bottom"/>
          </w:tcPr>
          <w:p>
            <w:pPr>
              <w:spacing w:after="0"/>
              <w:rPr>
                <w:sz w:val="15"/>
                <w:szCs w:val="15"/>
                <w:color w:val="auto"/>
              </w:rPr>
            </w:pPr>
          </w:p>
        </w:tc>
        <w:tc>
          <w:tcPr>
            <w:tcW w:w="880" w:type="dxa"/>
            <w:vAlign w:val="bottom"/>
          </w:tcPr>
          <w:p>
            <w:pPr>
              <w:jc w:val="right"/>
              <w:ind w:right="23"/>
              <w:spacing w:after="0"/>
              <w:rPr>
                <w:sz w:val="20"/>
                <w:szCs w:val="20"/>
                <w:color w:val="auto"/>
              </w:rPr>
            </w:pPr>
            <w:r>
              <w:rPr>
                <w:rFonts w:ascii="Arial" w:cs="Arial" w:eastAsia="Arial" w:hAnsi="Arial"/>
                <w:sz w:val="15"/>
                <w:szCs w:val="15"/>
                <w:color w:val="auto"/>
              </w:rPr>
              <w:t>595,625</w:t>
            </w:r>
          </w:p>
        </w:tc>
        <w:tc>
          <w:tcPr>
            <w:tcW w:w="0" w:type="dxa"/>
            <w:vAlign w:val="bottom"/>
          </w:tcPr>
          <w:p>
            <w:pPr>
              <w:spacing w:after="0"/>
              <w:rPr>
                <w:sz w:val="1"/>
                <w:szCs w:val="1"/>
                <w:color w:val="auto"/>
              </w:rPr>
            </w:pPr>
          </w:p>
        </w:tc>
      </w:tr>
      <w:tr>
        <w:trPr>
          <w:trHeight w:val="205"/>
        </w:trPr>
        <w:tc>
          <w:tcPr>
            <w:tcW w:w="2060" w:type="dxa"/>
            <w:vAlign w:val="bottom"/>
            <w:tcBorders>
              <w:bottom w:val="single" w:sz="8" w:color="00467D"/>
            </w:tcBorders>
          </w:tcPr>
          <w:p>
            <w:pPr>
              <w:ind w:left="220"/>
              <w:spacing w:after="0"/>
              <w:rPr>
                <w:sz w:val="20"/>
                <w:szCs w:val="20"/>
                <w:color w:val="auto"/>
              </w:rPr>
            </w:pPr>
            <w:r>
              <w:rPr>
                <w:rFonts w:ascii="Arial" w:cs="Arial" w:eastAsia="Arial" w:hAnsi="Arial"/>
                <w:sz w:val="15"/>
                <w:szCs w:val="15"/>
                <w:i w:val="1"/>
                <w:iCs w:val="1"/>
                <w:color w:val="auto"/>
              </w:rPr>
              <w:t>Counsel and Secretary</w:t>
            </w:r>
          </w:p>
        </w:tc>
        <w:tc>
          <w:tcPr>
            <w:tcW w:w="540" w:type="dxa"/>
            <w:vAlign w:val="bottom"/>
            <w:tcBorders>
              <w:bottom w:val="single" w:sz="8" w:color="00467D"/>
            </w:tcBorders>
          </w:tcPr>
          <w:p>
            <w:pPr>
              <w:spacing w:after="0"/>
              <w:rPr>
                <w:sz w:val="17"/>
                <w:szCs w:val="17"/>
                <w:color w:val="auto"/>
              </w:rPr>
            </w:pPr>
          </w:p>
        </w:tc>
        <w:tc>
          <w:tcPr>
            <w:tcW w:w="180" w:type="dxa"/>
            <w:vAlign w:val="bottom"/>
            <w:tcBorders>
              <w:bottom w:val="single" w:sz="8" w:color="00467D"/>
            </w:tcBorders>
          </w:tcPr>
          <w:p>
            <w:pPr>
              <w:spacing w:after="0"/>
              <w:rPr>
                <w:sz w:val="17"/>
                <w:szCs w:val="17"/>
                <w:color w:val="auto"/>
              </w:rPr>
            </w:pPr>
          </w:p>
        </w:tc>
        <w:tc>
          <w:tcPr>
            <w:tcW w:w="780" w:type="dxa"/>
            <w:vAlign w:val="bottom"/>
            <w:tcBorders>
              <w:bottom w:val="single" w:sz="8" w:color="00467D"/>
            </w:tcBorders>
          </w:tcPr>
          <w:p>
            <w:pPr>
              <w:spacing w:after="0"/>
              <w:rPr>
                <w:sz w:val="17"/>
                <w:szCs w:val="17"/>
                <w:color w:val="auto"/>
              </w:rPr>
            </w:pPr>
          </w:p>
        </w:tc>
        <w:tc>
          <w:tcPr>
            <w:tcW w:w="160" w:type="dxa"/>
            <w:vAlign w:val="bottom"/>
            <w:tcBorders>
              <w:bottom w:val="single" w:sz="8" w:color="00467D"/>
            </w:tcBorders>
          </w:tcPr>
          <w:p>
            <w:pPr>
              <w:spacing w:after="0"/>
              <w:rPr>
                <w:sz w:val="17"/>
                <w:szCs w:val="17"/>
                <w:color w:val="auto"/>
              </w:rPr>
            </w:pPr>
          </w:p>
        </w:tc>
        <w:tc>
          <w:tcPr>
            <w:tcW w:w="780" w:type="dxa"/>
            <w:vAlign w:val="bottom"/>
            <w:tcBorders>
              <w:bottom w:val="single" w:sz="8" w:color="00467D"/>
            </w:tcBorders>
          </w:tcPr>
          <w:p>
            <w:pPr>
              <w:spacing w:after="0"/>
              <w:rPr>
                <w:sz w:val="17"/>
                <w:szCs w:val="17"/>
                <w:color w:val="auto"/>
              </w:rPr>
            </w:pPr>
          </w:p>
        </w:tc>
        <w:tc>
          <w:tcPr>
            <w:tcW w:w="180" w:type="dxa"/>
            <w:vAlign w:val="bottom"/>
            <w:tcBorders>
              <w:bottom w:val="single" w:sz="8" w:color="00467D"/>
            </w:tcBorders>
          </w:tcPr>
          <w:p>
            <w:pPr>
              <w:spacing w:after="0"/>
              <w:rPr>
                <w:sz w:val="17"/>
                <w:szCs w:val="17"/>
                <w:color w:val="auto"/>
              </w:rPr>
            </w:pPr>
          </w:p>
        </w:tc>
        <w:tc>
          <w:tcPr>
            <w:tcW w:w="780" w:type="dxa"/>
            <w:vAlign w:val="bottom"/>
            <w:tcBorders>
              <w:bottom w:val="single" w:sz="8" w:color="00467D"/>
            </w:tcBorders>
          </w:tcPr>
          <w:p>
            <w:pPr>
              <w:spacing w:after="0"/>
              <w:rPr>
                <w:sz w:val="17"/>
                <w:szCs w:val="17"/>
                <w:color w:val="auto"/>
              </w:rPr>
            </w:pPr>
          </w:p>
        </w:tc>
        <w:tc>
          <w:tcPr>
            <w:tcW w:w="180" w:type="dxa"/>
            <w:vAlign w:val="bottom"/>
            <w:tcBorders>
              <w:bottom w:val="single" w:sz="8" w:color="00467D"/>
            </w:tcBorders>
          </w:tcPr>
          <w:p>
            <w:pPr>
              <w:spacing w:after="0"/>
              <w:rPr>
                <w:sz w:val="17"/>
                <w:szCs w:val="17"/>
                <w:color w:val="auto"/>
              </w:rPr>
            </w:pPr>
          </w:p>
        </w:tc>
        <w:tc>
          <w:tcPr>
            <w:tcW w:w="1000" w:type="dxa"/>
            <w:vAlign w:val="bottom"/>
            <w:tcBorders>
              <w:bottom w:val="single" w:sz="8" w:color="00467D"/>
            </w:tcBorders>
          </w:tcPr>
          <w:p>
            <w:pPr>
              <w:spacing w:after="0"/>
              <w:rPr>
                <w:sz w:val="17"/>
                <w:szCs w:val="17"/>
                <w:color w:val="auto"/>
              </w:rPr>
            </w:pPr>
          </w:p>
        </w:tc>
        <w:tc>
          <w:tcPr>
            <w:tcW w:w="460" w:type="dxa"/>
            <w:vAlign w:val="bottom"/>
            <w:tcBorders>
              <w:bottom w:val="single" w:sz="8" w:color="00467D"/>
            </w:tcBorders>
          </w:tcPr>
          <w:p>
            <w:pPr>
              <w:spacing w:after="0"/>
              <w:rPr>
                <w:sz w:val="17"/>
                <w:szCs w:val="17"/>
                <w:color w:val="auto"/>
              </w:rPr>
            </w:pPr>
          </w:p>
        </w:tc>
        <w:tc>
          <w:tcPr>
            <w:tcW w:w="1040" w:type="dxa"/>
            <w:vAlign w:val="bottom"/>
            <w:tcBorders>
              <w:bottom w:val="single" w:sz="8" w:color="00467D"/>
            </w:tcBorders>
          </w:tcPr>
          <w:p>
            <w:pPr>
              <w:spacing w:after="0"/>
              <w:rPr>
                <w:sz w:val="17"/>
                <w:szCs w:val="17"/>
                <w:color w:val="auto"/>
              </w:rPr>
            </w:pPr>
          </w:p>
        </w:tc>
        <w:tc>
          <w:tcPr>
            <w:tcW w:w="680" w:type="dxa"/>
            <w:vAlign w:val="bottom"/>
            <w:tcBorders>
              <w:bottom w:val="single" w:sz="8" w:color="00467D"/>
            </w:tcBorders>
          </w:tcPr>
          <w:p>
            <w:pPr>
              <w:spacing w:after="0"/>
              <w:rPr>
                <w:sz w:val="17"/>
                <w:szCs w:val="17"/>
                <w:color w:val="auto"/>
              </w:rPr>
            </w:pPr>
          </w:p>
        </w:tc>
        <w:tc>
          <w:tcPr>
            <w:tcW w:w="680" w:type="dxa"/>
            <w:vAlign w:val="bottom"/>
            <w:tcBorders>
              <w:bottom w:val="single" w:sz="8" w:color="00467D"/>
            </w:tcBorders>
          </w:tcPr>
          <w:p>
            <w:pPr>
              <w:spacing w:after="0"/>
              <w:rPr>
                <w:sz w:val="17"/>
                <w:szCs w:val="17"/>
                <w:color w:val="auto"/>
              </w:rPr>
            </w:pPr>
          </w:p>
        </w:tc>
        <w:tc>
          <w:tcPr>
            <w:tcW w:w="160" w:type="dxa"/>
            <w:vAlign w:val="bottom"/>
            <w:tcBorders>
              <w:bottom w:val="single" w:sz="8" w:color="00467D"/>
            </w:tcBorders>
          </w:tcPr>
          <w:p>
            <w:pPr>
              <w:spacing w:after="0"/>
              <w:rPr>
                <w:sz w:val="17"/>
                <w:szCs w:val="17"/>
                <w:color w:val="auto"/>
              </w:rPr>
            </w:pPr>
          </w:p>
        </w:tc>
        <w:tc>
          <w:tcPr>
            <w:tcW w:w="880" w:type="dxa"/>
            <w:vAlign w:val="bottom"/>
            <w:tcBorders>
              <w:bottom w:val="single" w:sz="8" w:color="00467D"/>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70" w:lineRule="exact"/>
        <w:rPr>
          <w:sz w:val="20"/>
          <w:szCs w:val="20"/>
          <w:color w:val="auto"/>
        </w:rPr>
      </w:pPr>
    </w:p>
    <w:p>
      <w:pPr>
        <w:ind w:left="780" w:right="80" w:hanging="422"/>
        <w:spacing w:after="0" w:line="255" w:lineRule="auto"/>
        <w:tabs>
          <w:tab w:leader="none" w:pos="780" w:val="left"/>
        </w:tabs>
        <w:numPr>
          <w:ilvl w:val="0"/>
          <w:numId w:val="31"/>
        </w:numPr>
        <w:rPr>
          <w:rFonts w:ascii="Arial" w:cs="Arial" w:eastAsia="Arial" w:hAnsi="Arial"/>
          <w:sz w:val="13"/>
          <w:szCs w:val="13"/>
          <w:color w:val="auto"/>
        </w:rPr>
      </w:pPr>
      <w:r>
        <w:rPr>
          <w:rFonts w:ascii="Arial" w:cs="Arial" w:eastAsia="Arial" w:hAnsi="Arial"/>
          <w:sz w:val="13"/>
          <w:szCs w:val="13"/>
          <w:color w:val="auto"/>
        </w:rPr>
        <w:t>Amounts reported in this column represent annual base salary paid to our NEOs, if any, for 2020, 2021 and 2022. For Messrs. Petras and Leffler, the amounts shown in 2020 include base salary actually paid before and after entering into amended and restated employment agreements in November 2020. See “Employment Agreements”. For Mr. Rutz, the amount shown for 2020 consists of base salary paid following the commencement of his employment in May 2020. For Mr. Biehl, the amount shown consists of base salary paid following the commencement of his employment in July 2022. For Mr. Dimitrief, the amount shown consists of base salary paid following the commencement of his employment in November 2022. For Mr. Hammons, the amount shown for 2021 consists of base salary paid following the commencement of his employment in November 2021 and the amount shown for 2022 consists of base salary paid through the date of his separation with the Company. The amount shown for Mr. Klaben in 2021 includes base salary actually paid before and after transitioning from the role of General Counsel to Deputy General Counsel in November 2021 and for 2022 base salary paid before and after his appointment as interim General Counsel. See “Executive Transitions”.</w:t>
      </w:r>
    </w:p>
    <w:p>
      <w:pPr>
        <w:spacing w:after="0" w:line="45" w:lineRule="exact"/>
        <w:rPr>
          <w:rFonts w:ascii="Arial" w:cs="Arial" w:eastAsia="Arial" w:hAnsi="Arial"/>
          <w:sz w:val="13"/>
          <w:szCs w:val="13"/>
          <w:color w:val="auto"/>
        </w:rPr>
      </w:pPr>
    </w:p>
    <w:p>
      <w:pPr>
        <w:ind w:left="780" w:right="40" w:hanging="422"/>
        <w:spacing w:after="0" w:line="236" w:lineRule="auto"/>
        <w:tabs>
          <w:tab w:leader="none" w:pos="780" w:val="left"/>
        </w:tabs>
        <w:numPr>
          <w:ilvl w:val="0"/>
          <w:numId w:val="31"/>
        </w:numPr>
        <w:rPr>
          <w:rFonts w:ascii="Arial" w:cs="Arial" w:eastAsia="Arial" w:hAnsi="Arial"/>
          <w:sz w:val="14"/>
          <w:szCs w:val="14"/>
          <w:color w:val="auto"/>
        </w:rPr>
      </w:pPr>
      <w:r>
        <w:rPr>
          <w:rFonts w:ascii="Arial" w:cs="Arial" w:eastAsia="Arial" w:hAnsi="Arial"/>
          <w:sz w:val="14"/>
          <w:szCs w:val="14"/>
          <w:color w:val="auto"/>
        </w:rPr>
        <w:t>Amounts reported in this column represent bonuses paid to our NEOs, if any, for 2020, 2021 and 2022. The amounts reported for Messrs. Petras and Leffler for 2020 include the value of discretionary cash bonuses granted in connection with our IPO. The amount shown for Mr. Rutz in 2020 represents a one-time lump sum cash sign-on bonus equal to $50,000, which was paid on the first ordinary payroll date following May 21, 2020 pursuant to his offer letter. See “Employment Agreement with Mr. Michael P. Rutz”. The amount shown for Mr. Dimitrief represents a one-time lump sum cash sign-on bonus equal to $1,500,000, which was paid on the first ordinary payroll date following November 1, 2022. See “Offer Letter with Mr. Alex Dimitrief”. The amount shown for Mr. Hammons represents a one-time lump sum cash sign-on bonus equal to $500,000, which was paid on the first ordinary payroll date following February 2022. See “Offer Letter, Restrictive Covenants Agreement and Separation Agreement with Mr. Terrence G. Hammons, Jr.”</w:t>
      </w:r>
    </w:p>
    <w:p>
      <w:pPr>
        <w:spacing w:after="0" w:line="53" w:lineRule="exact"/>
        <w:rPr>
          <w:rFonts w:ascii="Arial" w:cs="Arial" w:eastAsia="Arial" w:hAnsi="Arial"/>
          <w:sz w:val="14"/>
          <w:szCs w:val="14"/>
          <w:color w:val="auto"/>
        </w:rPr>
      </w:pPr>
    </w:p>
    <w:p>
      <w:pPr>
        <w:ind w:left="780" w:right="60" w:hanging="422"/>
        <w:spacing w:after="0"/>
        <w:tabs>
          <w:tab w:leader="none" w:pos="780" w:val="left"/>
        </w:tabs>
        <w:numPr>
          <w:ilvl w:val="0"/>
          <w:numId w:val="31"/>
        </w:numPr>
        <w:rPr>
          <w:rFonts w:ascii="Arial" w:cs="Arial" w:eastAsia="Arial" w:hAnsi="Arial"/>
          <w:sz w:val="14"/>
          <w:szCs w:val="14"/>
          <w:color w:val="auto"/>
        </w:rPr>
      </w:pPr>
      <w:r>
        <w:rPr>
          <w:rFonts w:ascii="Arial" w:cs="Arial" w:eastAsia="Arial" w:hAnsi="Arial"/>
          <w:sz w:val="14"/>
          <w:szCs w:val="14"/>
          <w:color w:val="auto"/>
        </w:rPr>
        <w:t>Amounts in this column reflect the aggregate grant date fair value of share-based compensation awarded during the year, including in connection with our annual award cycle. For Mr. Dimitrief, this amount includes restricted stock granted in connection with commencement of his employment in November 2022. For Mr. Klaben, this amount includes the value of RSUs which were granted as an incentive award in November 2022. In lieu of our formal grant cycle in 2021, our NEOs received equity grants in November 2020, in connection with our IPO. For Messrs. Petras and Leffler, this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231775</wp:posOffset>
            </wp:positionH>
            <wp:positionV relativeFrom="paragraph">
              <wp:posOffset>95885</wp:posOffset>
            </wp:positionV>
            <wp:extent cx="6687820" cy="1651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687820" cy="16510"/>
                    </a:xfrm>
                    <a:prstGeom prst="rect">
                      <a:avLst/>
                    </a:prstGeom>
                    <a:noFill/>
                  </pic:spPr>
                </pic:pic>
              </a:graphicData>
            </a:graphic>
          </wp:anchor>
        </w:drawing>
      </w:r>
    </w:p>
    <w:p>
      <w:pPr>
        <w:spacing w:after="0" w:line="320" w:lineRule="exact"/>
        <w:rPr>
          <w:sz w:val="20"/>
          <w:szCs w:val="20"/>
          <w:color w:val="auto"/>
        </w:rPr>
      </w:pPr>
    </w:p>
    <w:tbl>
      <w:tblPr>
        <w:tblLayout w:type="fixed"/>
        <w:tblInd w:w="360" w:type="dxa"/>
        <w:tblCellMar>
          <w:top w:w="0" w:type="dxa"/>
          <w:left w:w="0" w:type="dxa"/>
          <w:bottom w:w="0" w:type="dxa"/>
          <w:right w:w="0" w:type="dxa"/>
        </w:tblCellMar>
      </w:tblPr>
      <w:tr>
        <w:trPr>
          <w:trHeight w:val="226"/>
        </w:trPr>
        <w:tc>
          <w:tcPr>
            <w:tcW w:w="3900" w:type="dxa"/>
            <w:vAlign w:val="bottom"/>
          </w:tcPr>
          <w:p>
            <w:pPr>
              <w:spacing w:after="0"/>
              <w:rPr>
                <w:sz w:val="20"/>
                <w:szCs w:val="20"/>
                <w:color w:val="auto"/>
              </w:rPr>
            </w:pPr>
            <w:r>
              <w:rPr>
                <w:rFonts w:ascii="Arial" w:cs="Arial" w:eastAsia="Arial" w:hAnsi="Arial"/>
                <w:sz w:val="17"/>
                <w:szCs w:val="17"/>
                <w:color w:val="auto"/>
              </w:rPr>
              <w:t>2023 Notice and Proxy Statement</w:t>
            </w:r>
          </w:p>
        </w:tc>
        <w:tc>
          <w:tcPr>
            <w:tcW w:w="1520" w:type="dxa"/>
            <w:vAlign w:val="bottom"/>
          </w:tcPr>
          <w:p>
            <w:pPr>
              <w:jc w:val="right"/>
              <w:spacing w:after="0"/>
              <w:rPr>
                <w:sz w:val="20"/>
                <w:szCs w:val="20"/>
                <w:color w:val="auto"/>
              </w:rPr>
            </w:pPr>
            <w:r>
              <w:rPr>
                <w:rFonts w:ascii="Arial" w:cs="Arial" w:eastAsia="Arial" w:hAnsi="Arial"/>
                <w:sz w:val="17"/>
                <w:szCs w:val="17"/>
                <w:color w:val="auto"/>
              </w:rPr>
              <w:t>44</w:t>
            </w:r>
          </w:p>
        </w:tc>
      </w:tr>
    </w:tbl>
    <w:p>
      <w:pPr>
        <w:sectPr>
          <w:pgSz w:w="11900" w:h="16838" w:orient="portrait"/>
          <w:cols w:equalWidth="0" w:num="1">
            <w:col w:w="10900"/>
          </w:cols>
          <w:pgMar w:left="320" w:top="468" w:right="67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5397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79945" cy="53975"/>
                    </a:xfrm>
                    <a:prstGeom prst="rect">
                      <a:avLst/>
                    </a:prstGeom>
                    <a:noFill/>
                  </pic:spPr>
                </pic:pic>
              </a:graphicData>
            </a:graphic>
          </wp:anchor>
        </w:drawing>
        <w:t>Table of Contents</w:t>
      </w:r>
    </w:p>
    <w:p>
      <w:pPr>
        <w:spacing w:after="0" w:line="296"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Compensation Tables</w:t>
      </w:r>
    </w:p>
    <w:p>
      <w:pPr>
        <w:spacing w:after="0" w:line="21" w:lineRule="exact"/>
        <w:rPr>
          <w:sz w:val="20"/>
          <w:szCs w:val="20"/>
          <w:color w:val="auto"/>
        </w:rPr>
      </w:pPr>
    </w:p>
    <w:p>
      <w:pPr>
        <w:ind w:left="8880"/>
        <w:spacing w:after="0"/>
        <w:rPr>
          <w:sz w:val="20"/>
          <w:szCs w:val="20"/>
          <w:color w:val="auto"/>
        </w:rPr>
      </w:pPr>
      <w:r>
        <w:rPr>
          <w:rFonts w:ascii="Arial" w:cs="Arial" w:eastAsia="Arial" w:hAnsi="Arial"/>
          <w:sz w:val="13"/>
          <w:szCs w:val="13"/>
          <w:b w:val="1"/>
          <w:bCs w:val="1"/>
          <w:color w:val="auto"/>
        </w:rPr>
        <w:t>Summary Compensation Table</w:t>
      </w:r>
    </w:p>
    <w:p>
      <w:pPr>
        <w:spacing w:after="0" w:line="135" w:lineRule="exact"/>
        <w:rPr>
          <w:sz w:val="20"/>
          <w:szCs w:val="20"/>
          <w:color w:val="auto"/>
        </w:rPr>
      </w:pPr>
    </w:p>
    <w:p>
      <w:pPr>
        <w:ind w:left="780" w:right="60"/>
        <w:spacing w:after="0" w:line="236" w:lineRule="auto"/>
        <w:rPr>
          <w:sz w:val="20"/>
          <w:szCs w:val="20"/>
          <w:color w:val="auto"/>
        </w:rPr>
      </w:pPr>
      <w:r>
        <w:rPr>
          <w:rFonts w:ascii="Arial" w:cs="Arial" w:eastAsia="Arial" w:hAnsi="Arial"/>
          <w:sz w:val="14"/>
          <w:szCs w:val="14"/>
          <w:color w:val="auto"/>
        </w:rPr>
        <w:t>amount includes the grant date fair value of RSUs granted in connection with our IPO. For Mr. Rutz, this amount includes the grant date fair value of RSUs granted in connection with our IPO and the grant date fair value of a limited partnership interest in Topco Parent that was granted in connection with the commencement of his employment in 2020. In connection with our IPO, Mr. Rutz received a distribution of unvested restricted stock in respect of that limited partnership interest in Topco Parent. See “Corporate Reorganization &amp; Distribution of Shares.” For Mr. Hammons, this amount includes RSUs granted in connection with the commencement of his employment in 2021. The grant date fair value of this compensation was computed in accordance with the provisions of FASB ASC 718. The assumptions that we used to calculate these amounts are discussed in Note 16, “Share-Based Compensation” and Note 1, “Significant Accounting Policies” to our consolidated financial statements included in our Annual Report on Form 10-K for the fiscal year ended December 31, 2022.</w:t>
      </w:r>
    </w:p>
    <w:p>
      <w:pPr>
        <w:spacing w:after="0" w:line="92" w:lineRule="exact"/>
        <w:rPr>
          <w:sz w:val="20"/>
          <w:szCs w:val="20"/>
          <w:color w:val="auto"/>
        </w:rPr>
      </w:pPr>
    </w:p>
    <w:p>
      <w:pPr>
        <w:ind w:left="780" w:right="80" w:hanging="422"/>
        <w:spacing w:after="0" w:line="235" w:lineRule="auto"/>
        <w:tabs>
          <w:tab w:leader="none" w:pos="780" w:val="left"/>
        </w:tabs>
        <w:numPr>
          <w:ilvl w:val="0"/>
          <w:numId w:val="32"/>
        </w:numPr>
        <w:rPr>
          <w:rFonts w:ascii="Arial" w:cs="Arial" w:eastAsia="Arial" w:hAnsi="Arial"/>
          <w:sz w:val="14"/>
          <w:szCs w:val="14"/>
          <w:color w:val="auto"/>
        </w:rPr>
      </w:pPr>
      <w:r>
        <w:rPr>
          <w:rFonts w:ascii="Arial" w:cs="Arial" w:eastAsia="Arial" w:hAnsi="Arial"/>
          <w:sz w:val="14"/>
          <w:szCs w:val="14"/>
          <w:color w:val="auto"/>
        </w:rPr>
        <w:t>Amounts in this column reflect the aggregate grant date fair value of stock options awarded during the year, including in connection with our annual award cycle. For Mr. Petras, this amount includes the value of stock options which were granted as an incentive award in November 2022. For Mr. Dimitrief, this amount includes stock options granted in connection with the commencement of his employment in November 2022. The grant date fair value of this compensation was computed in accordance with the provisions of FASB ASC 718. With respect to stock options awarded to Messrs. Petras and Dimitrief in November 2022, the grant date fair value differs from the target value disclosed in the Compensation Discussion and Analysis above because following the date of grant, certain assumptions in the Black-Scholes option pricing model were updated for purposes of calculating the grant date fair value in accordance with FASB ASC 718. The assumptions that we used to calculate these amounts are discussed in Note 16, “Share-Based Compensation” and Note 1, “Significant Accounting Policies” to our consolidated financial statements included in our Annual Report on Form 10-K for the fiscal year ended December 31, 2022.</w:t>
      </w:r>
    </w:p>
    <w:p>
      <w:pPr>
        <w:spacing w:after="0" w:line="94" w:lineRule="exact"/>
        <w:rPr>
          <w:rFonts w:ascii="Arial" w:cs="Arial" w:eastAsia="Arial" w:hAnsi="Arial"/>
          <w:sz w:val="14"/>
          <w:szCs w:val="14"/>
          <w:color w:val="auto"/>
        </w:rPr>
      </w:pPr>
    </w:p>
    <w:p>
      <w:pPr>
        <w:ind w:left="780" w:right="240" w:hanging="422"/>
        <w:spacing w:after="0" w:line="259" w:lineRule="auto"/>
        <w:tabs>
          <w:tab w:leader="none" w:pos="780" w:val="left"/>
        </w:tabs>
        <w:numPr>
          <w:ilvl w:val="0"/>
          <w:numId w:val="32"/>
        </w:numPr>
        <w:rPr>
          <w:rFonts w:ascii="Arial" w:cs="Arial" w:eastAsia="Arial" w:hAnsi="Arial"/>
          <w:sz w:val="14"/>
          <w:szCs w:val="14"/>
          <w:color w:val="auto"/>
        </w:rPr>
      </w:pPr>
      <w:r>
        <w:rPr>
          <w:rFonts w:ascii="Arial" w:cs="Arial" w:eastAsia="Arial" w:hAnsi="Arial"/>
          <w:sz w:val="14"/>
          <w:szCs w:val="14"/>
          <w:color w:val="auto"/>
        </w:rPr>
        <w:t>Amounts in this column reflect the value of annual cash incentive awards earned, if any, by each NEO under our Annual Incentive Plan in 2020, 2021 and 2022, as applicable. See “Annual Incentive Plan (AIP)”.</w:t>
      </w:r>
    </w:p>
    <w:p>
      <w:pPr>
        <w:spacing w:after="0" w:line="78" w:lineRule="exact"/>
        <w:rPr>
          <w:rFonts w:ascii="Arial" w:cs="Arial" w:eastAsia="Arial" w:hAnsi="Arial"/>
          <w:sz w:val="14"/>
          <w:szCs w:val="14"/>
          <w:color w:val="auto"/>
        </w:rPr>
      </w:pPr>
    </w:p>
    <w:p>
      <w:pPr>
        <w:ind w:left="780" w:hanging="422"/>
        <w:spacing w:after="0"/>
        <w:tabs>
          <w:tab w:leader="none" w:pos="780" w:val="left"/>
        </w:tabs>
        <w:numPr>
          <w:ilvl w:val="0"/>
          <w:numId w:val="32"/>
        </w:numPr>
        <w:rPr>
          <w:rFonts w:ascii="Arial" w:cs="Arial" w:eastAsia="Arial" w:hAnsi="Arial"/>
          <w:sz w:val="14"/>
          <w:szCs w:val="14"/>
          <w:color w:val="auto"/>
        </w:rPr>
      </w:pPr>
      <w:r>
        <w:rPr>
          <w:rFonts w:ascii="Arial" w:cs="Arial" w:eastAsia="Arial" w:hAnsi="Arial"/>
          <w:sz w:val="14"/>
          <w:szCs w:val="14"/>
          <w:color w:val="auto"/>
        </w:rPr>
        <w:t>Amounts for fiscal year 2022 include the following: the value of Company contributions made on behalf of our NEOs under our 401(k) Plan, in which all U.S.</w:t>
      </w:r>
    </w:p>
    <w:p>
      <w:pPr>
        <w:spacing w:after="0" w:line="5" w:lineRule="exact"/>
        <w:rPr>
          <w:rFonts w:ascii="Arial" w:cs="Arial" w:eastAsia="Arial" w:hAnsi="Arial"/>
          <w:sz w:val="14"/>
          <w:szCs w:val="14"/>
          <w:color w:val="auto"/>
        </w:rPr>
      </w:pPr>
    </w:p>
    <w:p>
      <w:pPr>
        <w:ind w:left="780" w:right="120"/>
        <w:spacing w:after="0" w:line="230" w:lineRule="auto"/>
        <w:rPr>
          <w:rFonts w:ascii="Arial" w:cs="Arial" w:eastAsia="Arial" w:hAnsi="Arial"/>
          <w:sz w:val="14"/>
          <w:szCs w:val="14"/>
          <w:color w:val="auto"/>
        </w:rPr>
      </w:pPr>
      <w:r>
        <w:rPr>
          <w:rFonts w:ascii="Arial" w:cs="Arial" w:eastAsia="Arial" w:hAnsi="Arial"/>
          <w:sz w:val="14"/>
          <w:szCs w:val="14"/>
          <w:color w:val="auto"/>
        </w:rPr>
        <w:t>employees, including our NEOs, are eligible to participate (for each of Messrs. Petras, Hammons and Leffler: $13,725, Mr. Dimitrief $1,038, Mr. Rutz $13,210 and for Mr. Klaben $13,514), the value of a Company paid executive physical examination (for Mr. Petras $2,661, Mr. Leffler $3,130 and Mr. Rutz $3,936), and for</w:t>
      </w:r>
    </w:p>
    <w:p>
      <w:pPr>
        <w:spacing w:after="0" w:line="1" w:lineRule="exact"/>
        <w:rPr>
          <w:rFonts w:ascii="Arial" w:cs="Arial" w:eastAsia="Arial" w:hAnsi="Arial"/>
          <w:sz w:val="14"/>
          <w:szCs w:val="14"/>
          <w:color w:val="auto"/>
        </w:rPr>
      </w:pPr>
    </w:p>
    <w:p>
      <w:pPr>
        <w:ind w:left="780" w:right="280"/>
        <w:spacing w:after="0" w:line="242" w:lineRule="auto"/>
        <w:rPr>
          <w:rFonts w:ascii="Arial" w:cs="Arial" w:eastAsia="Arial" w:hAnsi="Arial"/>
          <w:sz w:val="14"/>
          <w:szCs w:val="14"/>
          <w:color w:val="auto"/>
        </w:rPr>
      </w:pPr>
      <w:r>
        <w:rPr>
          <w:rFonts w:ascii="Arial" w:cs="Arial" w:eastAsia="Arial" w:hAnsi="Arial"/>
          <w:sz w:val="14"/>
          <w:szCs w:val="14"/>
          <w:color w:val="auto"/>
        </w:rPr>
        <w:t>Mr. Hammons, the value of commuting flights ($2,514), moving expenses ($7,428), severance payments ($101,538) and consulting fees ($40,500). See “Potential Payments Upon Termination or Change in Control”.</w:t>
      </w:r>
    </w:p>
    <w:p>
      <w:pPr>
        <w:spacing w:after="0" w:line="89" w:lineRule="exact"/>
        <w:rPr>
          <w:rFonts w:ascii="Arial" w:cs="Arial" w:eastAsia="Arial" w:hAnsi="Arial"/>
          <w:sz w:val="14"/>
          <w:szCs w:val="14"/>
          <w:color w:val="auto"/>
        </w:rPr>
      </w:pPr>
    </w:p>
    <w:p>
      <w:pPr>
        <w:ind w:left="780" w:right="200" w:hanging="422"/>
        <w:spacing w:after="0" w:line="245" w:lineRule="auto"/>
        <w:tabs>
          <w:tab w:leader="none" w:pos="780" w:val="left"/>
        </w:tabs>
        <w:numPr>
          <w:ilvl w:val="0"/>
          <w:numId w:val="32"/>
        </w:numPr>
        <w:rPr>
          <w:rFonts w:ascii="Arial" w:cs="Arial" w:eastAsia="Arial" w:hAnsi="Arial"/>
          <w:sz w:val="14"/>
          <w:szCs w:val="14"/>
          <w:color w:val="auto"/>
        </w:rPr>
      </w:pPr>
      <w:r>
        <w:rPr>
          <w:rFonts w:ascii="Arial" w:cs="Arial" w:eastAsia="Arial" w:hAnsi="Arial"/>
          <w:sz w:val="14"/>
          <w:szCs w:val="14"/>
          <w:color w:val="auto"/>
        </w:rPr>
        <w:t>In 2022, Mr. Klaben served as our Interim SVP, General Counsel and Secretary. In 2021, from January through October 31, he served as our SVP General Counsel and Secretary. See “Executive Transitions.” Mr. Klaben was not determined to be an NEO for 2020. Accordingly, our Summary Compensation Table only includes compensation information for Mr. Klaben for 2021 and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231775</wp:posOffset>
            </wp:positionH>
            <wp:positionV relativeFrom="paragraph">
              <wp:posOffset>93345</wp:posOffset>
            </wp:positionV>
            <wp:extent cx="6687820" cy="1651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687820" cy="16510"/>
                    </a:xfrm>
                    <a:prstGeom prst="rect">
                      <a:avLst/>
                    </a:prstGeom>
                    <a:noFill/>
                  </pic:spPr>
                </pic:pic>
              </a:graphicData>
            </a:graphic>
          </wp:anchor>
        </w:drawing>
      </w:r>
    </w:p>
    <w:p>
      <w:pPr>
        <w:spacing w:after="0" w:line="317"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6443980</wp:posOffset>
            </wp:positionH>
            <wp:positionV relativeFrom="paragraph">
              <wp:posOffset>-113030</wp:posOffset>
            </wp:positionV>
            <wp:extent cx="475615" cy="15557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475615" cy="155575"/>
                    </a:xfrm>
                    <a:prstGeom prst="rect">
                      <a:avLst/>
                    </a:prstGeom>
                    <a:noFill/>
                  </pic:spPr>
                </pic:pic>
              </a:graphicData>
            </a:graphic>
          </wp:anchor>
        </w:drawing>
      </w:r>
    </w:p>
    <w:p>
      <w:pPr>
        <w:sectPr>
          <w:pgSz w:w="11900" w:h="16838" w:orient="portrait"/>
          <w:cols w:equalWidth="0" w:num="1">
            <w:col w:w="10900"/>
          </w:cols>
          <w:pgMar w:left="320" w:top="468" w:right="67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5397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79945" cy="53975"/>
                    </a:xfrm>
                    <a:prstGeom prst="rect">
                      <a:avLst/>
                    </a:prstGeom>
                    <a:noFill/>
                  </pic:spPr>
                </pic:pic>
              </a:graphicData>
            </a:graphic>
          </wp:anchor>
        </w:drawing>
        <w:t>Table of Contents</w:t>
      </w:r>
    </w:p>
    <w:p>
      <w:pPr>
        <w:spacing w:after="0" w:line="296"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auto"/>
        </w:rPr>
        <w:t>Compensation Tables</w:t>
      </w:r>
    </w:p>
    <w:p>
      <w:pPr>
        <w:spacing w:after="0" w:line="21" w:lineRule="exact"/>
        <w:rPr>
          <w:sz w:val="20"/>
          <w:szCs w:val="20"/>
          <w:color w:val="auto"/>
        </w:rPr>
      </w:pPr>
    </w:p>
    <w:p>
      <w:pPr>
        <w:ind w:left="360"/>
        <w:spacing w:after="0"/>
        <w:rPr>
          <w:sz w:val="20"/>
          <w:szCs w:val="20"/>
          <w:color w:val="auto"/>
        </w:rPr>
      </w:pPr>
      <w:r>
        <w:rPr>
          <w:rFonts w:ascii="Arial" w:cs="Arial" w:eastAsia="Arial" w:hAnsi="Arial"/>
          <w:sz w:val="14"/>
          <w:szCs w:val="14"/>
          <w:b w:val="1"/>
          <w:bCs w:val="1"/>
          <w:color w:val="auto"/>
        </w:rPr>
        <w:t>Grants of Plan-Based Awards</w:t>
      </w:r>
    </w:p>
    <w:p>
      <w:pPr>
        <w:spacing w:after="0" w:line="105" w:lineRule="exact"/>
        <w:rPr>
          <w:sz w:val="20"/>
          <w:szCs w:val="20"/>
          <w:color w:val="auto"/>
        </w:rPr>
      </w:pPr>
    </w:p>
    <w:p>
      <w:pPr>
        <w:ind w:left="360"/>
        <w:spacing w:after="0"/>
        <w:rPr>
          <w:sz w:val="20"/>
          <w:szCs w:val="20"/>
          <w:color w:val="auto"/>
        </w:rPr>
      </w:pPr>
      <w:r>
        <w:rPr>
          <w:rFonts w:ascii="Arial" w:cs="Arial" w:eastAsia="Arial" w:hAnsi="Arial"/>
          <w:sz w:val="31"/>
          <w:szCs w:val="31"/>
          <w:color w:val="00B0DB"/>
        </w:rPr>
        <w:t>Grants of Plan-Based Awards</w:t>
      </w:r>
    </w:p>
    <w:p>
      <w:pPr>
        <w:spacing w:after="0" w:line="221" w:lineRule="exact"/>
        <w:rPr>
          <w:sz w:val="20"/>
          <w:szCs w:val="20"/>
          <w:color w:val="auto"/>
        </w:rPr>
      </w:pPr>
    </w:p>
    <w:p>
      <w:pPr>
        <w:ind w:left="360" w:right="780"/>
        <w:spacing w:after="0" w:line="274" w:lineRule="auto"/>
        <w:rPr>
          <w:sz w:val="20"/>
          <w:szCs w:val="20"/>
          <w:color w:val="auto"/>
        </w:rPr>
      </w:pPr>
      <w:r>
        <w:rPr>
          <w:rFonts w:ascii="Arial" w:cs="Arial" w:eastAsia="Arial" w:hAnsi="Arial"/>
          <w:sz w:val="17"/>
          <w:szCs w:val="17"/>
          <w:color w:val="auto"/>
        </w:rPr>
        <w:t>The following table sets forth information regarding plan-based awards granted to each of our NEOs during the fiscal year ended December 31, 2022. Mr. Biehl was not granted any equity incentive awards in 2022.</w:t>
      </w:r>
    </w:p>
    <w:p>
      <w:pPr>
        <w:sectPr>
          <w:pgSz w:w="11900" w:h="16838" w:orient="portrait"/>
          <w:cols w:equalWidth="0" w:num="1">
            <w:col w:w="10900"/>
          </w:cols>
          <w:pgMar w:left="320" w:top="468" w:right="6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left="4680"/>
        <w:spacing w:after="0"/>
        <w:rPr>
          <w:sz w:val="20"/>
          <w:szCs w:val="20"/>
          <w:color w:val="auto"/>
        </w:rPr>
      </w:pPr>
      <w:r>
        <w:rPr>
          <w:rFonts w:ascii="Arial" w:cs="Arial" w:eastAsia="Arial" w:hAnsi="Arial"/>
          <w:sz w:val="14"/>
          <w:szCs w:val="14"/>
          <w:b w:val="1"/>
          <w:bCs w:val="1"/>
          <w:color w:val="00467D"/>
        </w:rPr>
        <w:t>Estimated future payouts under</w:t>
      </w:r>
    </w:p>
    <w:p>
      <w:pPr>
        <w:jc w:val="center"/>
        <w:ind w:left="4680"/>
        <w:spacing w:after="0" w:line="187" w:lineRule="auto"/>
        <w:rPr>
          <w:sz w:val="20"/>
          <w:szCs w:val="20"/>
          <w:color w:val="auto"/>
        </w:rPr>
      </w:pPr>
      <w:r>
        <w:rPr>
          <w:rFonts w:ascii="Arial" w:cs="Arial" w:eastAsia="Arial" w:hAnsi="Arial"/>
          <w:sz w:val="13"/>
          <w:szCs w:val="13"/>
          <w:b w:val="1"/>
          <w:bCs w:val="1"/>
          <w:color w:val="00467D"/>
        </w:rPr>
        <w:t xml:space="preserve">non-equity incentive plan awards </w:t>
      </w:r>
      <w:r>
        <w:rPr>
          <w:rFonts w:ascii="Arial" w:cs="Arial" w:eastAsia="Arial" w:hAnsi="Arial"/>
          <w:sz w:val="19"/>
          <w:szCs w:val="19"/>
          <w:b w:val="1"/>
          <w:bCs w:val="1"/>
          <w:color w:val="00467D"/>
          <w:vertAlign w:val="superscript"/>
        </w:rPr>
        <w:t>(1)</w:t>
      </w:r>
    </w:p>
    <w:p>
      <w:pPr>
        <w:spacing w:after="0" w:line="1" w:lineRule="exact"/>
        <w:rPr>
          <w:sz w:val="20"/>
          <w:szCs w:val="20"/>
          <w:color w:val="auto"/>
        </w:rPr>
      </w:pPr>
    </w:p>
    <w:tbl>
      <w:tblPr>
        <w:tblLayout w:type="fixed"/>
        <w:tblInd w:w="420" w:type="dxa"/>
        <w:tblCellMar>
          <w:top w:w="0" w:type="dxa"/>
          <w:left w:w="0" w:type="dxa"/>
          <w:bottom w:w="0" w:type="dxa"/>
          <w:right w:w="0" w:type="dxa"/>
        </w:tblCellMar>
      </w:tblPr>
      <w:tr>
        <w:trPr>
          <w:trHeight w:val="151"/>
        </w:trPr>
        <w:tc>
          <w:tcPr>
            <w:tcW w:w="122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Borders>
              <w:top w:val="single" w:sz="8" w:color="00467D"/>
            </w:tcBorders>
          </w:tcPr>
          <w:p>
            <w:pPr>
              <w:jc w:val="center"/>
              <w:ind w:right="51"/>
              <w:spacing w:after="0" w:line="151" w:lineRule="exact"/>
              <w:rPr>
                <w:sz w:val="20"/>
                <w:szCs w:val="20"/>
                <w:color w:val="auto"/>
              </w:rPr>
            </w:pPr>
            <w:r>
              <w:rPr>
                <w:rFonts w:ascii="Arial" w:cs="Arial" w:eastAsia="Arial" w:hAnsi="Arial"/>
                <w:sz w:val="14"/>
                <w:szCs w:val="14"/>
                <w:b w:val="1"/>
                <w:bCs w:val="1"/>
                <w:color w:val="00467D"/>
                <w:w w:val="97"/>
              </w:rPr>
              <w:t>Threshold</w:t>
            </w:r>
          </w:p>
        </w:tc>
        <w:tc>
          <w:tcPr>
            <w:tcW w:w="880" w:type="dxa"/>
            <w:vAlign w:val="bottom"/>
            <w:tcBorders>
              <w:top w:val="single" w:sz="8" w:color="00467D"/>
            </w:tcBorders>
          </w:tcPr>
          <w:p>
            <w:pPr>
              <w:spacing w:after="0"/>
              <w:rPr>
                <w:sz w:val="13"/>
                <w:szCs w:val="13"/>
                <w:color w:val="auto"/>
              </w:rPr>
            </w:pPr>
          </w:p>
        </w:tc>
        <w:tc>
          <w:tcPr>
            <w:tcW w:w="880" w:type="dxa"/>
            <w:vAlign w:val="bottom"/>
            <w:tcBorders>
              <w:top w:val="single" w:sz="8" w:color="00467D"/>
            </w:tcBorders>
          </w:tcPr>
          <w:p>
            <w:pPr>
              <w:jc w:val="center"/>
              <w:spacing w:after="0" w:line="151" w:lineRule="exact"/>
              <w:rPr>
                <w:sz w:val="20"/>
                <w:szCs w:val="20"/>
                <w:color w:val="auto"/>
              </w:rPr>
            </w:pPr>
            <w:r>
              <w:rPr>
                <w:rFonts w:ascii="Arial" w:cs="Arial" w:eastAsia="Arial" w:hAnsi="Arial"/>
                <w:sz w:val="14"/>
                <w:szCs w:val="14"/>
                <w:b w:val="1"/>
                <w:bCs w:val="1"/>
                <w:color w:val="00467D"/>
                <w:w w:val="95"/>
              </w:rPr>
              <w:t>Maximum</w:t>
            </w:r>
          </w:p>
        </w:tc>
      </w:tr>
      <w:tr>
        <w:trPr>
          <w:trHeight w:val="189"/>
        </w:trPr>
        <w:tc>
          <w:tcPr>
            <w:tcW w:w="1220" w:type="dxa"/>
            <w:vAlign w:val="bottom"/>
          </w:tcPr>
          <w:p>
            <w:pPr>
              <w:spacing w:after="0"/>
              <w:rPr>
                <w:sz w:val="20"/>
                <w:szCs w:val="20"/>
                <w:color w:val="auto"/>
              </w:rPr>
            </w:pPr>
            <w:r>
              <w:rPr>
                <w:rFonts w:ascii="Arial" w:cs="Arial" w:eastAsia="Arial" w:hAnsi="Arial"/>
                <w:sz w:val="14"/>
                <w:szCs w:val="14"/>
                <w:b w:val="1"/>
                <w:bCs w:val="1"/>
                <w:color w:val="00467D"/>
              </w:rPr>
              <w:t>Name</w:t>
            </w:r>
          </w:p>
        </w:tc>
        <w:tc>
          <w:tcPr>
            <w:tcW w:w="1960" w:type="dxa"/>
            <w:vAlign w:val="bottom"/>
          </w:tcPr>
          <w:p>
            <w:pPr>
              <w:ind w:left="860"/>
              <w:spacing w:after="0"/>
              <w:rPr>
                <w:sz w:val="20"/>
                <w:szCs w:val="20"/>
                <w:color w:val="auto"/>
              </w:rPr>
            </w:pPr>
            <w:r>
              <w:rPr>
                <w:rFonts w:ascii="Arial" w:cs="Arial" w:eastAsia="Arial" w:hAnsi="Arial"/>
                <w:sz w:val="14"/>
                <w:szCs w:val="14"/>
                <w:b w:val="1"/>
                <w:bCs w:val="1"/>
                <w:color w:val="00467D"/>
              </w:rPr>
              <w:t>Name of Plan</w:t>
            </w:r>
          </w:p>
        </w:tc>
        <w:tc>
          <w:tcPr>
            <w:tcW w:w="1100" w:type="dxa"/>
            <w:vAlign w:val="bottom"/>
          </w:tcPr>
          <w:p>
            <w:pPr>
              <w:ind w:left="240"/>
              <w:spacing w:after="0"/>
              <w:rPr>
                <w:sz w:val="20"/>
                <w:szCs w:val="20"/>
                <w:color w:val="auto"/>
              </w:rPr>
            </w:pPr>
            <w:r>
              <w:rPr>
                <w:rFonts w:ascii="Arial" w:cs="Arial" w:eastAsia="Arial" w:hAnsi="Arial"/>
                <w:sz w:val="14"/>
                <w:szCs w:val="14"/>
                <w:b w:val="1"/>
                <w:bCs w:val="1"/>
                <w:color w:val="00467D"/>
              </w:rPr>
              <w:t>Grant Date</w:t>
            </w:r>
          </w:p>
        </w:tc>
        <w:tc>
          <w:tcPr>
            <w:tcW w:w="780" w:type="dxa"/>
            <w:vAlign w:val="bottom"/>
          </w:tcPr>
          <w:p>
            <w:pPr>
              <w:jc w:val="right"/>
              <w:ind w:right="291"/>
              <w:spacing w:after="0"/>
              <w:rPr>
                <w:sz w:val="20"/>
                <w:szCs w:val="20"/>
                <w:color w:val="auto"/>
              </w:rPr>
            </w:pPr>
            <w:r>
              <w:rPr>
                <w:rFonts w:ascii="Arial" w:cs="Arial" w:eastAsia="Arial" w:hAnsi="Arial"/>
                <w:sz w:val="14"/>
                <w:szCs w:val="14"/>
                <w:b w:val="1"/>
                <w:bCs w:val="1"/>
                <w:color w:val="00467D"/>
              </w:rPr>
              <w:t>($)</w:t>
            </w:r>
          </w:p>
        </w:tc>
        <w:tc>
          <w:tcPr>
            <w:tcW w:w="880" w:type="dxa"/>
            <w:vAlign w:val="bottom"/>
          </w:tcPr>
          <w:p>
            <w:pPr>
              <w:ind w:left="120"/>
              <w:spacing w:after="0"/>
              <w:rPr>
                <w:sz w:val="20"/>
                <w:szCs w:val="20"/>
                <w:color w:val="auto"/>
              </w:rPr>
            </w:pPr>
            <w:r>
              <w:rPr>
                <w:rFonts w:ascii="Arial" w:cs="Arial" w:eastAsia="Arial" w:hAnsi="Arial"/>
                <w:sz w:val="14"/>
                <w:szCs w:val="14"/>
                <w:b w:val="1"/>
                <w:bCs w:val="1"/>
                <w:color w:val="00467D"/>
              </w:rPr>
              <w:t>Target ($)</w:t>
            </w:r>
          </w:p>
        </w:tc>
        <w:tc>
          <w:tcPr>
            <w:tcW w:w="880" w:type="dxa"/>
            <w:vAlign w:val="bottom"/>
          </w:tcPr>
          <w:p>
            <w:pPr>
              <w:jc w:val="right"/>
              <w:ind w:right="251"/>
              <w:spacing w:after="0"/>
              <w:rPr>
                <w:sz w:val="20"/>
                <w:szCs w:val="20"/>
                <w:color w:val="auto"/>
              </w:rPr>
            </w:pPr>
            <w:r>
              <w:rPr>
                <w:rFonts w:ascii="Arial" w:cs="Arial" w:eastAsia="Arial" w:hAnsi="Arial"/>
                <w:sz w:val="14"/>
                <w:szCs w:val="14"/>
                <w:b w:val="1"/>
                <w:bCs w:val="1"/>
                <w:color w:val="00467D"/>
              </w:rPr>
              <w:t>($)</w:t>
            </w:r>
          </w:p>
        </w:tc>
      </w:tr>
    </w:tbl>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820" w:type="dxa"/>
            <w:vAlign w:val="bottom"/>
          </w:tcPr>
          <w:p>
            <w:pPr>
              <w:jc w:val="center"/>
              <w:ind w:right="71"/>
              <w:spacing w:after="0"/>
              <w:rPr>
                <w:sz w:val="20"/>
                <w:szCs w:val="20"/>
                <w:color w:val="auto"/>
              </w:rPr>
            </w:pPr>
            <w:r>
              <w:rPr>
                <w:rFonts w:ascii="Arial" w:cs="Arial" w:eastAsia="Arial" w:hAnsi="Arial"/>
                <w:sz w:val="14"/>
                <w:szCs w:val="14"/>
                <w:b w:val="1"/>
                <w:bCs w:val="1"/>
                <w:color w:val="00467D"/>
                <w:w w:val="98"/>
              </w:rPr>
              <w:t>All other</w:t>
            </w:r>
          </w:p>
        </w:tc>
        <w:tc>
          <w:tcPr>
            <w:tcW w:w="980" w:type="dxa"/>
            <w:vAlign w:val="bottom"/>
          </w:tcPr>
          <w:p>
            <w:pPr>
              <w:jc w:val="center"/>
              <w:spacing w:after="0"/>
              <w:rPr>
                <w:sz w:val="20"/>
                <w:szCs w:val="20"/>
                <w:color w:val="auto"/>
              </w:rPr>
            </w:pPr>
            <w:r>
              <w:rPr>
                <w:rFonts w:ascii="Arial" w:cs="Arial" w:eastAsia="Arial" w:hAnsi="Arial"/>
                <w:sz w:val="14"/>
                <w:szCs w:val="14"/>
                <w:b w:val="1"/>
                <w:bCs w:val="1"/>
                <w:color w:val="00467D"/>
                <w:w w:val="98"/>
              </w:rPr>
              <w:t>All other</w:t>
            </w:r>
          </w:p>
        </w:tc>
        <w:tc>
          <w:tcPr>
            <w:tcW w:w="78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55"/>
        </w:trPr>
        <w:tc>
          <w:tcPr>
            <w:tcW w:w="820" w:type="dxa"/>
            <w:vAlign w:val="bottom"/>
          </w:tcPr>
          <w:p>
            <w:pPr>
              <w:jc w:val="center"/>
              <w:ind w:right="71"/>
              <w:spacing w:after="0" w:line="155" w:lineRule="exact"/>
              <w:rPr>
                <w:sz w:val="20"/>
                <w:szCs w:val="20"/>
                <w:color w:val="auto"/>
              </w:rPr>
            </w:pPr>
            <w:r>
              <w:rPr>
                <w:rFonts w:ascii="Arial" w:cs="Arial" w:eastAsia="Arial" w:hAnsi="Arial"/>
                <w:sz w:val="14"/>
                <w:szCs w:val="14"/>
                <w:b w:val="1"/>
                <w:bCs w:val="1"/>
                <w:color w:val="00467D"/>
                <w:w w:val="98"/>
              </w:rPr>
              <w:t>stock</w:t>
            </w:r>
          </w:p>
        </w:tc>
        <w:tc>
          <w:tcPr>
            <w:tcW w:w="980" w:type="dxa"/>
            <w:vAlign w:val="bottom"/>
          </w:tcPr>
          <w:p>
            <w:pPr>
              <w:jc w:val="center"/>
              <w:spacing w:after="0" w:line="155" w:lineRule="exact"/>
              <w:rPr>
                <w:sz w:val="20"/>
                <w:szCs w:val="20"/>
                <w:color w:val="auto"/>
              </w:rPr>
            </w:pPr>
            <w:r>
              <w:rPr>
                <w:rFonts w:ascii="Arial" w:cs="Arial" w:eastAsia="Arial" w:hAnsi="Arial"/>
                <w:sz w:val="14"/>
                <w:szCs w:val="14"/>
                <w:b w:val="1"/>
                <w:bCs w:val="1"/>
                <w:color w:val="00467D"/>
                <w:w w:val="98"/>
              </w:rPr>
              <w:t>option</w:t>
            </w:r>
          </w:p>
        </w:tc>
        <w:tc>
          <w:tcPr>
            <w:tcW w:w="780" w:type="dxa"/>
            <w:vAlign w:val="bottom"/>
          </w:tcPr>
          <w:p>
            <w:pPr>
              <w:spacing w:after="0"/>
              <w:rPr>
                <w:sz w:val="13"/>
                <w:szCs w:val="13"/>
                <w:color w:val="auto"/>
              </w:rPr>
            </w:pPr>
          </w:p>
        </w:tc>
        <w:tc>
          <w:tcPr>
            <w:tcW w:w="840" w:type="dxa"/>
            <w:vAlign w:val="bottom"/>
          </w:tcPr>
          <w:p>
            <w:pPr>
              <w:spacing w:after="0"/>
              <w:rPr>
                <w:sz w:val="13"/>
                <w:szCs w:val="13"/>
                <w:color w:val="auto"/>
              </w:rPr>
            </w:pPr>
          </w:p>
        </w:tc>
      </w:tr>
      <w:tr>
        <w:trPr>
          <w:trHeight w:val="155"/>
        </w:trPr>
        <w:tc>
          <w:tcPr>
            <w:tcW w:w="820" w:type="dxa"/>
            <w:vAlign w:val="bottom"/>
          </w:tcPr>
          <w:p>
            <w:pPr>
              <w:jc w:val="center"/>
              <w:ind w:right="71"/>
              <w:spacing w:after="0" w:line="155" w:lineRule="exact"/>
              <w:rPr>
                <w:sz w:val="20"/>
                <w:szCs w:val="20"/>
                <w:color w:val="auto"/>
              </w:rPr>
            </w:pPr>
            <w:r>
              <w:rPr>
                <w:rFonts w:ascii="Arial" w:cs="Arial" w:eastAsia="Arial" w:hAnsi="Arial"/>
                <w:sz w:val="14"/>
                <w:szCs w:val="14"/>
                <w:b w:val="1"/>
                <w:bCs w:val="1"/>
                <w:color w:val="00467D"/>
                <w:w w:val="98"/>
              </w:rPr>
              <w:t>awards:</w:t>
            </w:r>
          </w:p>
        </w:tc>
        <w:tc>
          <w:tcPr>
            <w:tcW w:w="980" w:type="dxa"/>
            <w:vAlign w:val="bottom"/>
          </w:tcPr>
          <w:p>
            <w:pPr>
              <w:jc w:val="center"/>
              <w:spacing w:after="0" w:line="155" w:lineRule="exact"/>
              <w:rPr>
                <w:sz w:val="20"/>
                <w:szCs w:val="20"/>
                <w:color w:val="auto"/>
              </w:rPr>
            </w:pPr>
            <w:r>
              <w:rPr>
                <w:rFonts w:ascii="Arial" w:cs="Arial" w:eastAsia="Arial" w:hAnsi="Arial"/>
                <w:sz w:val="14"/>
                <w:szCs w:val="14"/>
                <w:b w:val="1"/>
                <w:bCs w:val="1"/>
                <w:color w:val="00467D"/>
                <w:w w:val="98"/>
              </w:rPr>
              <w:t>awards:</w:t>
            </w:r>
          </w:p>
        </w:tc>
        <w:tc>
          <w:tcPr>
            <w:tcW w:w="780" w:type="dxa"/>
            <w:vAlign w:val="bottom"/>
          </w:tcPr>
          <w:p>
            <w:pPr>
              <w:jc w:val="center"/>
              <w:ind w:left="31"/>
              <w:spacing w:after="0" w:line="155" w:lineRule="exact"/>
              <w:rPr>
                <w:sz w:val="20"/>
                <w:szCs w:val="20"/>
                <w:color w:val="auto"/>
              </w:rPr>
            </w:pPr>
            <w:r>
              <w:rPr>
                <w:rFonts w:ascii="Arial" w:cs="Arial" w:eastAsia="Arial" w:hAnsi="Arial"/>
                <w:sz w:val="14"/>
                <w:szCs w:val="14"/>
                <w:b w:val="1"/>
                <w:bCs w:val="1"/>
                <w:color w:val="00467D"/>
                <w:w w:val="97"/>
              </w:rPr>
              <w:t>Exercise</w:t>
            </w:r>
          </w:p>
        </w:tc>
        <w:tc>
          <w:tcPr>
            <w:tcW w:w="840" w:type="dxa"/>
            <w:vAlign w:val="bottom"/>
          </w:tcPr>
          <w:p>
            <w:pPr>
              <w:spacing w:after="0"/>
              <w:rPr>
                <w:sz w:val="13"/>
                <w:szCs w:val="13"/>
                <w:color w:val="auto"/>
              </w:rPr>
            </w:pPr>
          </w:p>
        </w:tc>
      </w:tr>
      <w:tr>
        <w:trPr>
          <w:trHeight w:val="155"/>
        </w:trPr>
        <w:tc>
          <w:tcPr>
            <w:tcW w:w="820" w:type="dxa"/>
            <w:vAlign w:val="bottom"/>
          </w:tcPr>
          <w:p>
            <w:pPr>
              <w:jc w:val="center"/>
              <w:ind w:right="71"/>
              <w:spacing w:after="0" w:line="155" w:lineRule="exact"/>
              <w:rPr>
                <w:sz w:val="20"/>
                <w:szCs w:val="20"/>
                <w:color w:val="auto"/>
              </w:rPr>
            </w:pPr>
            <w:r>
              <w:rPr>
                <w:rFonts w:ascii="Arial" w:cs="Arial" w:eastAsia="Arial" w:hAnsi="Arial"/>
                <w:sz w:val="14"/>
                <w:szCs w:val="14"/>
                <w:b w:val="1"/>
                <w:bCs w:val="1"/>
                <w:color w:val="00467D"/>
                <w:w w:val="97"/>
              </w:rPr>
              <w:t>Number of</w:t>
            </w:r>
          </w:p>
        </w:tc>
        <w:tc>
          <w:tcPr>
            <w:tcW w:w="980" w:type="dxa"/>
            <w:vAlign w:val="bottom"/>
          </w:tcPr>
          <w:p>
            <w:pPr>
              <w:jc w:val="center"/>
              <w:spacing w:after="0" w:line="155" w:lineRule="exact"/>
              <w:rPr>
                <w:sz w:val="20"/>
                <w:szCs w:val="20"/>
                <w:color w:val="auto"/>
              </w:rPr>
            </w:pPr>
            <w:r>
              <w:rPr>
                <w:rFonts w:ascii="Arial" w:cs="Arial" w:eastAsia="Arial" w:hAnsi="Arial"/>
                <w:sz w:val="14"/>
                <w:szCs w:val="14"/>
                <w:b w:val="1"/>
                <w:bCs w:val="1"/>
                <w:color w:val="00467D"/>
                <w:w w:val="97"/>
              </w:rPr>
              <w:t>Number of</w:t>
            </w:r>
          </w:p>
        </w:tc>
        <w:tc>
          <w:tcPr>
            <w:tcW w:w="780" w:type="dxa"/>
            <w:vAlign w:val="bottom"/>
          </w:tcPr>
          <w:p>
            <w:pPr>
              <w:jc w:val="center"/>
              <w:ind w:left="31"/>
              <w:spacing w:after="0" w:line="155" w:lineRule="exact"/>
              <w:rPr>
                <w:sz w:val="20"/>
                <w:szCs w:val="20"/>
                <w:color w:val="auto"/>
              </w:rPr>
            </w:pPr>
            <w:r>
              <w:rPr>
                <w:rFonts w:ascii="Arial" w:cs="Arial" w:eastAsia="Arial" w:hAnsi="Arial"/>
                <w:sz w:val="14"/>
                <w:szCs w:val="14"/>
                <w:b w:val="1"/>
                <w:bCs w:val="1"/>
                <w:color w:val="00467D"/>
                <w:w w:val="96"/>
              </w:rPr>
              <w:t>or base</w:t>
            </w:r>
          </w:p>
        </w:tc>
        <w:tc>
          <w:tcPr>
            <w:tcW w:w="840" w:type="dxa"/>
            <w:vAlign w:val="bottom"/>
          </w:tcPr>
          <w:p>
            <w:pPr>
              <w:jc w:val="center"/>
              <w:spacing w:after="0" w:line="155" w:lineRule="exact"/>
              <w:rPr>
                <w:sz w:val="20"/>
                <w:szCs w:val="20"/>
                <w:color w:val="auto"/>
              </w:rPr>
            </w:pPr>
            <w:r>
              <w:rPr>
                <w:rFonts w:ascii="Arial" w:cs="Arial" w:eastAsia="Arial" w:hAnsi="Arial"/>
                <w:sz w:val="14"/>
                <w:szCs w:val="14"/>
                <w:b w:val="1"/>
                <w:bCs w:val="1"/>
                <w:color w:val="00467D"/>
                <w:w w:val="97"/>
              </w:rPr>
              <w:t>Grant date</w:t>
            </w:r>
          </w:p>
        </w:tc>
      </w:tr>
      <w:tr>
        <w:trPr>
          <w:trHeight w:val="155"/>
        </w:trPr>
        <w:tc>
          <w:tcPr>
            <w:tcW w:w="820" w:type="dxa"/>
            <w:vAlign w:val="bottom"/>
          </w:tcPr>
          <w:p>
            <w:pPr>
              <w:jc w:val="center"/>
              <w:ind w:right="91"/>
              <w:spacing w:after="0" w:line="155" w:lineRule="exact"/>
              <w:rPr>
                <w:sz w:val="20"/>
                <w:szCs w:val="20"/>
                <w:color w:val="auto"/>
              </w:rPr>
            </w:pPr>
            <w:r>
              <w:rPr>
                <w:rFonts w:ascii="Arial" w:cs="Arial" w:eastAsia="Arial" w:hAnsi="Arial"/>
                <w:sz w:val="14"/>
                <w:szCs w:val="14"/>
                <w:b w:val="1"/>
                <w:bCs w:val="1"/>
                <w:color w:val="00467D"/>
                <w:w w:val="99"/>
              </w:rPr>
              <w:t>shares of</w:t>
            </w:r>
          </w:p>
        </w:tc>
        <w:tc>
          <w:tcPr>
            <w:tcW w:w="980" w:type="dxa"/>
            <w:vAlign w:val="bottom"/>
          </w:tcPr>
          <w:p>
            <w:pPr>
              <w:jc w:val="center"/>
              <w:spacing w:after="0" w:line="155" w:lineRule="exact"/>
              <w:rPr>
                <w:sz w:val="20"/>
                <w:szCs w:val="20"/>
                <w:color w:val="auto"/>
              </w:rPr>
            </w:pPr>
            <w:r>
              <w:rPr>
                <w:rFonts w:ascii="Arial" w:cs="Arial" w:eastAsia="Arial" w:hAnsi="Arial"/>
                <w:sz w:val="14"/>
                <w:szCs w:val="14"/>
                <w:b w:val="1"/>
                <w:bCs w:val="1"/>
                <w:color w:val="00467D"/>
                <w:w w:val="97"/>
              </w:rPr>
              <w:t>securities</w:t>
            </w:r>
          </w:p>
        </w:tc>
        <w:tc>
          <w:tcPr>
            <w:tcW w:w="780" w:type="dxa"/>
            <w:vAlign w:val="bottom"/>
          </w:tcPr>
          <w:p>
            <w:pPr>
              <w:jc w:val="center"/>
              <w:ind w:left="51"/>
              <w:spacing w:after="0" w:line="155" w:lineRule="exact"/>
              <w:rPr>
                <w:sz w:val="20"/>
                <w:szCs w:val="20"/>
                <w:color w:val="auto"/>
              </w:rPr>
            </w:pPr>
            <w:r>
              <w:rPr>
                <w:rFonts w:ascii="Arial" w:cs="Arial" w:eastAsia="Arial" w:hAnsi="Arial"/>
                <w:sz w:val="14"/>
                <w:szCs w:val="14"/>
                <w:b w:val="1"/>
                <w:bCs w:val="1"/>
                <w:color w:val="00467D"/>
                <w:w w:val="98"/>
              </w:rPr>
              <w:t>price of</w:t>
            </w:r>
          </w:p>
        </w:tc>
        <w:tc>
          <w:tcPr>
            <w:tcW w:w="840" w:type="dxa"/>
            <w:vAlign w:val="bottom"/>
          </w:tcPr>
          <w:p>
            <w:pPr>
              <w:jc w:val="center"/>
              <w:spacing w:after="0" w:line="155" w:lineRule="exact"/>
              <w:rPr>
                <w:sz w:val="20"/>
                <w:szCs w:val="20"/>
                <w:color w:val="auto"/>
              </w:rPr>
            </w:pPr>
            <w:r>
              <w:rPr>
                <w:rFonts w:ascii="Arial" w:cs="Arial" w:eastAsia="Arial" w:hAnsi="Arial"/>
                <w:sz w:val="14"/>
                <w:szCs w:val="14"/>
                <w:b w:val="1"/>
                <w:bCs w:val="1"/>
                <w:color w:val="00467D"/>
                <w:w w:val="99"/>
              </w:rPr>
              <w:t>fair value of</w:t>
            </w:r>
          </w:p>
        </w:tc>
      </w:tr>
      <w:tr>
        <w:trPr>
          <w:trHeight w:val="155"/>
        </w:trPr>
        <w:tc>
          <w:tcPr>
            <w:tcW w:w="820" w:type="dxa"/>
            <w:vAlign w:val="bottom"/>
          </w:tcPr>
          <w:p>
            <w:pPr>
              <w:jc w:val="center"/>
              <w:ind w:right="91"/>
              <w:spacing w:after="0" w:line="155" w:lineRule="exact"/>
              <w:rPr>
                <w:sz w:val="20"/>
                <w:szCs w:val="20"/>
                <w:color w:val="auto"/>
              </w:rPr>
            </w:pPr>
            <w:r>
              <w:rPr>
                <w:rFonts w:ascii="Arial" w:cs="Arial" w:eastAsia="Arial" w:hAnsi="Arial"/>
                <w:sz w:val="14"/>
                <w:szCs w:val="14"/>
                <w:b w:val="1"/>
                <w:bCs w:val="1"/>
                <w:color w:val="00467D"/>
                <w:w w:val="99"/>
              </w:rPr>
              <w:t>stock or</w:t>
            </w:r>
          </w:p>
        </w:tc>
        <w:tc>
          <w:tcPr>
            <w:tcW w:w="980" w:type="dxa"/>
            <w:vAlign w:val="bottom"/>
          </w:tcPr>
          <w:p>
            <w:pPr>
              <w:jc w:val="center"/>
              <w:spacing w:after="0" w:line="155" w:lineRule="exact"/>
              <w:rPr>
                <w:sz w:val="20"/>
                <w:szCs w:val="20"/>
                <w:color w:val="auto"/>
              </w:rPr>
            </w:pPr>
            <w:r>
              <w:rPr>
                <w:rFonts w:ascii="Arial" w:cs="Arial" w:eastAsia="Arial" w:hAnsi="Arial"/>
                <w:sz w:val="14"/>
                <w:szCs w:val="14"/>
                <w:b w:val="1"/>
                <w:bCs w:val="1"/>
                <w:color w:val="00467D"/>
                <w:w w:val="97"/>
              </w:rPr>
              <w:t>underlying</w:t>
            </w:r>
          </w:p>
        </w:tc>
        <w:tc>
          <w:tcPr>
            <w:tcW w:w="780" w:type="dxa"/>
            <w:vAlign w:val="bottom"/>
          </w:tcPr>
          <w:p>
            <w:pPr>
              <w:jc w:val="center"/>
              <w:ind w:left="51"/>
              <w:spacing w:after="0" w:line="155" w:lineRule="exact"/>
              <w:rPr>
                <w:sz w:val="20"/>
                <w:szCs w:val="20"/>
                <w:color w:val="auto"/>
              </w:rPr>
            </w:pPr>
            <w:r>
              <w:rPr>
                <w:rFonts w:ascii="Arial" w:cs="Arial" w:eastAsia="Arial" w:hAnsi="Arial"/>
                <w:sz w:val="14"/>
                <w:szCs w:val="14"/>
                <w:b w:val="1"/>
                <w:bCs w:val="1"/>
                <w:color w:val="00467D"/>
                <w:w w:val="98"/>
              </w:rPr>
              <w:t>option</w:t>
            </w:r>
          </w:p>
        </w:tc>
        <w:tc>
          <w:tcPr>
            <w:tcW w:w="840" w:type="dxa"/>
            <w:vAlign w:val="bottom"/>
          </w:tcPr>
          <w:p>
            <w:pPr>
              <w:jc w:val="center"/>
              <w:spacing w:after="0" w:line="155" w:lineRule="exact"/>
              <w:rPr>
                <w:sz w:val="20"/>
                <w:szCs w:val="20"/>
                <w:color w:val="auto"/>
              </w:rPr>
            </w:pPr>
            <w:r>
              <w:rPr>
                <w:rFonts w:ascii="Arial" w:cs="Arial" w:eastAsia="Arial" w:hAnsi="Arial"/>
                <w:sz w:val="14"/>
                <w:szCs w:val="14"/>
                <w:b w:val="1"/>
                <w:bCs w:val="1"/>
                <w:color w:val="00467D"/>
                <w:w w:val="97"/>
              </w:rPr>
              <w:t>stock and</w:t>
            </w:r>
          </w:p>
        </w:tc>
      </w:tr>
      <w:tr>
        <w:trPr>
          <w:trHeight w:val="155"/>
        </w:trPr>
        <w:tc>
          <w:tcPr>
            <w:tcW w:w="820" w:type="dxa"/>
            <w:vAlign w:val="bottom"/>
          </w:tcPr>
          <w:p>
            <w:pPr>
              <w:jc w:val="center"/>
              <w:ind w:right="71"/>
              <w:spacing w:after="0" w:line="155" w:lineRule="exact"/>
              <w:rPr>
                <w:sz w:val="20"/>
                <w:szCs w:val="20"/>
                <w:color w:val="auto"/>
              </w:rPr>
            </w:pPr>
            <w:r>
              <w:rPr>
                <w:rFonts w:ascii="Arial" w:cs="Arial" w:eastAsia="Arial" w:hAnsi="Arial"/>
                <w:sz w:val="14"/>
                <w:szCs w:val="14"/>
                <w:b w:val="1"/>
                <w:bCs w:val="1"/>
                <w:color w:val="00467D"/>
                <w:w w:val="95"/>
              </w:rPr>
              <w:t>units</w:t>
            </w:r>
          </w:p>
        </w:tc>
        <w:tc>
          <w:tcPr>
            <w:tcW w:w="980" w:type="dxa"/>
            <w:vAlign w:val="bottom"/>
          </w:tcPr>
          <w:p>
            <w:pPr>
              <w:jc w:val="center"/>
              <w:spacing w:after="0" w:line="155" w:lineRule="exact"/>
              <w:rPr>
                <w:sz w:val="20"/>
                <w:szCs w:val="20"/>
                <w:color w:val="auto"/>
              </w:rPr>
            </w:pPr>
            <w:r>
              <w:rPr>
                <w:rFonts w:ascii="Arial" w:cs="Arial" w:eastAsia="Arial" w:hAnsi="Arial"/>
                <w:sz w:val="14"/>
                <w:szCs w:val="14"/>
                <w:b w:val="1"/>
                <w:bCs w:val="1"/>
                <w:color w:val="00467D"/>
                <w:w w:val="98"/>
              </w:rPr>
              <w:t>options</w:t>
            </w:r>
          </w:p>
        </w:tc>
        <w:tc>
          <w:tcPr>
            <w:tcW w:w="780" w:type="dxa"/>
            <w:vAlign w:val="bottom"/>
          </w:tcPr>
          <w:p>
            <w:pPr>
              <w:jc w:val="center"/>
              <w:ind w:left="31"/>
              <w:spacing w:after="0" w:line="155" w:lineRule="exact"/>
              <w:rPr>
                <w:sz w:val="20"/>
                <w:szCs w:val="20"/>
                <w:color w:val="auto"/>
              </w:rPr>
            </w:pPr>
            <w:r>
              <w:rPr>
                <w:rFonts w:ascii="Arial" w:cs="Arial" w:eastAsia="Arial" w:hAnsi="Arial"/>
                <w:sz w:val="14"/>
                <w:szCs w:val="14"/>
                <w:b w:val="1"/>
                <w:bCs w:val="1"/>
                <w:color w:val="00467D"/>
                <w:w w:val="99"/>
              </w:rPr>
              <w:t>awards</w:t>
            </w:r>
          </w:p>
        </w:tc>
        <w:tc>
          <w:tcPr>
            <w:tcW w:w="840" w:type="dxa"/>
            <w:vAlign w:val="bottom"/>
          </w:tcPr>
          <w:p>
            <w:pPr>
              <w:jc w:val="center"/>
              <w:spacing w:after="0" w:line="155" w:lineRule="exact"/>
              <w:rPr>
                <w:sz w:val="20"/>
                <w:szCs w:val="20"/>
                <w:color w:val="auto"/>
              </w:rPr>
            </w:pPr>
            <w:r>
              <w:rPr>
                <w:rFonts w:ascii="Arial" w:cs="Arial" w:eastAsia="Arial" w:hAnsi="Arial"/>
                <w:sz w:val="14"/>
                <w:szCs w:val="14"/>
                <w:b w:val="1"/>
                <w:bCs w:val="1"/>
                <w:color w:val="00467D"/>
                <w:w w:val="98"/>
              </w:rPr>
              <w:t>option</w:t>
            </w:r>
          </w:p>
        </w:tc>
      </w:tr>
      <w:tr>
        <w:trPr>
          <w:trHeight w:val="177"/>
        </w:trPr>
        <w:tc>
          <w:tcPr>
            <w:tcW w:w="820" w:type="dxa"/>
            <w:vAlign w:val="bottom"/>
          </w:tcPr>
          <w:p>
            <w:pPr>
              <w:jc w:val="center"/>
              <w:ind w:right="71"/>
              <w:spacing w:after="0"/>
              <w:rPr>
                <w:sz w:val="20"/>
                <w:szCs w:val="20"/>
                <w:color w:val="auto"/>
              </w:rPr>
            </w:pPr>
            <w:r>
              <w:rPr>
                <w:rFonts w:ascii="Arial" w:cs="Arial" w:eastAsia="Arial" w:hAnsi="Arial"/>
                <w:sz w:val="14"/>
                <w:szCs w:val="14"/>
                <w:b w:val="1"/>
                <w:bCs w:val="1"/>
                <w:color w:val="00467D"/>
                <w:w w:val="93"/>
              </w:rPr>
              <w:t>(#)</w:t>
            </w:r>
          </w:p>
        </w:tc>
        <w:tc>
          <w:tcPr>
            <w:tcW w:w="980" w:type="dxa"/>
            <w:vAlign w:val="bottom"/>
          </w:tcPr>
          <w:p>
            <w:pPr>
              <w:jc w:val="center"/>
              <w:spacing w:after="0"/>
              <w:rPr>
                <w:sz w:val="20"/>
                <w:szCs w:val="20"/>
                <w:color w:val="auto"/>
              </w:rPr>
            </w:pPr>
            <w:r>
              <w:rPr>
                <w:rFonts w:ascii="Arial" w:cs="Arial" w:eastAsia="Arial" w:hAnsi="Arial"/>
                <w:sz w:val="14"/>
                <w:szCs w:val="14"/>
                <w:b w:val="1"/>
                <w:bCs w:val="1"/>
                <w:color w:val="00467D"/>
                <w:w w:val="93"/>
              </w:rPr>
              <w:t>(#)</w:t>
            </w:r>
          </w:p>
        </w:tc>
        <w:tc>
          <w:tcPr>
            <w:tcW w:w="780" w:type="dxa"/>
            <w:vAlign w:val="bottom"/>
          </w:tcPr>
          <w:p>
            <w:pPr>
              <w:jc w:val="center"/>
              <w:ind w:left="51"/>
              <w:spacing w:after="0"/>
              <w:rPr>
                <w:sz w:val="20"/>
                <w:szCs w:val="20"/>
                <w:color w:val="auto"/>
              </w:rPr>
            </w:pPr>
            <w:r>
              <w:rPr>
                <w:rFonts w:ascii="Arial" w:cs="Arial" w:eastAsia="Arial" w:hAnsi="Arial"/>
                <w:sz w:val="14"/>
                <w:szCs w:val="14"/>
                <w:b w:val="1"/>
                <w:bCs w:val="1"/>
                <w:color w:val="00467D"/>
                <w:w w:val="97"/>
              </w:rPr>
              <w:t>($/Sh)</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00467D"/>
                <w:w w:val="99"/>
              </w:rPr>
              <w:t>awards</w:t>
            </w:r>
          </w:p>
        </w:tc>
      </w:tr>
    </w:tbl>
    <w:p>
      <w:pPr>
        <w:spacing w:after="0" w:line="1" w:lineRule="exact"/>
        <w:rPr>
          <w:sz w:val="20"/>
          <w:szCs w:val="20"/>
          <w:color w:val="auto"/>
        </w:rPr>
      </w:pPr>
    </w:p>
    <w:p>
      <w:pPr>
        <w:sectPr>
          <w:pgSz w:w="11900" w:h="16838" w:orient="portrait"/>
          <w:cols w:equalWidth="0" w:num="2">
            <w:col w:w="7240" w:space="140"/>
            <w:col w:w="3520"/>
          </w:cols>
          <w:pgMar w:left="320" w:top="468" w:right="679" w:bottom="1440" w:gutter="0" w:footer="0" w:header="0"/>
          <w:type w:val="continuous"/>
        </w:sectPr>
      </w:pPr>
    </w:p>
    <w:tbl>
      <w:tblPr>
        <w:tblLayout w:type="fixed"/>
        <w:tblInd w:w="360" w:type="dxa"/>
        <w:tblCellMar>
          <w:top w:w="0" w:type="dxa"/>
          <w:left w:w="0" w:type="dxa"/>
          <w:bottom w:w="0" w:type="dxa"/>
          <w:right w:w="0" w:type="dxa"/>
        </w:tblCellMar>
      </w:tblPr>
      <w:tr>
        <w:trPr>
          <w:trHeight w:val="174"/>
        </w:trPr>
        <w:tc>
          <w:tcPr>
            <w:tcW w:w="1700" w:type="dxa"/>
            <w:vAlign w:val="bottom"/>
            <w:tcBorders>
              <w:top w:val="single" w:sz="8" w:color="00467D"/>
            </w:tcBorders>
          </w:tcPr>
          <w:p>
            <w:pPr>
              <w:ind w:left="60"/>
              <w:spacing w:after="0"/>
              <w:rPr>
                <w:sz w:val="20"/>
                <w:szCs w:val="20"/>
                <w:color w:val="auto"/>
              </w:rPr>
            </w:pPr>
            <w:r>
              <w:rPr>
                <w:rFonts w:ascii="Arial" w:cs="Arial" w:eastAsia="Arial" w:hAnsi="Arial"/>
                <w:sz w:val="15"/>
                <w:szCs w:val="15"/>
                <w:color w:val="auto"/>
              </w:rPr>
              <w:t>Michael B. Petras, Jr.</w:t>
            </w:r>
          </w:p>
        </w:tc>
        <w:tc>
          <w:tcPr>
            <w:tcW w:w="1720" w:type="dxa"/>
            <w:vAlign w:val="bottom"/>
            <w:tcBorders>
              <w:top w:val="single" w:sz="8" w:color="00467D"/>
              <w:bottom w:val="single" w:sz="8" w:color="99B5CB"/>
            </w:tcBorders>
          </w:tcPr>
          <w:p>
            <w:pPr>
              <w:jc w:val="center"/>
              <w:spacing w:after="0"/>
              <w:rPr>
                <w:sz w:val="20"/>
                <w:szCs w:val="20"/>
                <w:color w:val="auto"/>
              </w:rPr>
            </w:pPr>
            <w:r>
              <w:rPr>
                <w:rFonts w:ascii="Arial" w:cs="Arial" w:eastAsia="Arial" w:hAnsi="Arial"/>
                <w:sz w:val="15"/>
                <w:szCs w:val="15"/>
                <w:color w:val="auto"/>
              </w:rPr>
              <w:t>Annual Incentive Plan</w:t>
            </w:r>
          </w:p>
        </w:tc>
        <w:tc>
          <w:tcPr>
            <w:tcW w:w="840" w:type="dxa"/>
            <w:vAlign w:val="bottom"/>
            <w:tcBorders>
              <w:top w:val="single" w:sz="8" w:color="00467D"/>
              <w:bottom w:val="single" w:sz="8" w:color="99B5CB"/>
            </w:tcBorders>
          </w:tcPr>
          <w:p>
            <w:pPr>
              <w:jc w:val="right"/>
              <w:spacing w:after="0"/>
              <w:rPr>
                <w:sz w:val="20"/>
                <w:szCs w:val="20"/>
                <w:color w:val="auto"/>
              </w:rPr>
            </w:pPr>
            <w:r>
              <w:rPr>
                <w:rFonts w:ascii="Arial" w:cs="Arial" w:eastAsia="Arial" w:hAnsi="Arial"/>
                <w:sz w:val="15"/>
                <w:szCs w:val="15"/>
                <w:color w:val="auto"/>
              </w:rPr>
              <w:t>3/2/2022</w:t>
            </w:r>
          </w:p>
        </w:tc>
        <w:tc>
          <w:tcPr>
            <w:tcW w:w="180" w:type="dxa"/>
            <w:vAlign w:val="bottom"/>
            <w:tcBorders>
              <w:top w:val="single" w:sz="8" w:color="00467D"/>
              <w:bottom w:val="single" w:sz="8" w:color="99B5CB"/>
            </w:tcBorders>
          </w:tcPr>
          <w:p>
            <w:pPr>
              <w:jc w:val="right"/>
              <w:spacing w:after="0"/>
              <w:rPr>
                <w:sz w:val="20"/>
                <w:szCs w:val="20"/>
                <w:color w:val="auto"/>
              </w:rPr>
            </w:pPr>
            <w:r>
              <w:rPr>
                <w:rFonts w:ascii="Arial" w:cs="Arial" w:eastAsia="Arial" w:hAnsi="Arial"/>
                <w:sz w:val="15"/>
                <w:szCs w:val="15"/>
                <w:color w:val="auto"/>
              </w:rPr>
              <w:t>$</w:t>
            </w:r>
          </w:p>
        </w:tc>
        <w:tc>
          <w:tcPr>
            <w:tcW w:w="640" w:type="dxa"/>
            <w:vAlign w:val="bottom"/>
            <w:tcBorders>
              <w:top w:val="single" w:sz="8" w:color="00467D"/>
              <w:bottom w:val="single" w:sz="8" w:color="99B5CB"/>
            </w:tcBorders>
          </w:tcPr>
          <w:p>
            <w:pPr>
              <w:jc w:val="right"/>
              <w:ind w:right="3"/>
              <w:spacing w:after="0"/>
              <w:rPr>
                <w:sz w:val="20"/>
                <w:szCs w:val="20"/>
                <w:color w:val="auto"/>
              </w:rPr>
            </w:pPr>
            <w:r>
              <w:rPr>
                <w:rFonts w:ascii="Arial" w:cs="Arial" w:eastAsia="Arial" w:hAnsi="Arial"/>
                <w:sz w:val="15"/>
                <w:szCs w:val="15"/>
                <w:color w:val="auto"/>
                <w:w w:val="99"/>
              </w:rPr>
              <w:t>918,750</w:t>
            </w:r>
          </w:p>
        </w:tc>
        <w:tc>
          <w:tcPr>
            <w:tcW w:w="160" w:type="dxa"/>
            <w:vAlign w:val="bottom"/>
            <w:tcBorders>
              <w:top w:val="single" w:sz="8" w:color="00467D"/>
              <w:bottom w:val="single" w:sz="8" w:color="99B5CB"/>
            </w:tcBorders>
          </w:tcPr>
          <w:p>
            <w:pPr>
              <w:jc w:val="right"/>
              <w:spacing w:after="0"/>
              <w:rPr>
                <w:sz w:val="20"/>
                <w:szCs w:val="20"/>
                <w:color w:val="auto"/>
              </w:rPr>
            </w:pPr>
            <w:r>
              <w:rPr>
                <w:rFonts w:ascii="Arial" w:cs="Arial" w:eastAsia="Arial" w:hAnsi="Arial"/>
                <w:sz w:val="15"/>
                <w:szCs w:val="15"/>
                <w:color w:val="auto"/>
              </w:rPr>
              <w:t>$</w:t>
            </w:r>
          </w:p>
        </w:tc>
        <w:tc>
          <w:tcPr>
            <w:tcW w:w="760" w:type="dxa"/>
            <w:vAlign w:val="bottom"/>
            <w:tcBorders>
              <w:top w:val="single" w:sz="8" w:color="00467D"/>
              <w:bottom w:val="single" w:sz="8" w:color="99B5CB"/>
            </w:tcBorders>
          </w:tcPr>
          <w:p>
            <w:pPr>
              <w:jc w:val="right"/>
              <w:spacing w:after="0"/>
              <w:rPr>
                <w:sz w:val="20"/>
                <w:szCs w:val="20"/>
                <w:color w:val="auto"/>
              </w:rPr>
            </w:pPr>
            <w:r>
              <w:rPr>
                <w:rFonts w:ascii="Arial" w:cs="Arial" w:eastAsia="Arial" w:hAnsi="Arial"/>
                <w:sz w:val="15"/>
                <w:szCs w:val="15"/>
                <w:color w:val="auto"/>
              </w:rPr>
              <w:t>1,312,500</w:t>
            </w:r>
          </w:p>
        </w:tc>
        <w:tc>
          <w:tcPr>
            <w:tcW w:w="160" w:type="dxa"/>
            <w:vAlign w:val="bottom"/>
            <w:tcBorders>
              <w:top w:val="single" w:sz="8" w:color="00467D"/>
              <w:bottom w:val="single" w:sz="8" w:color="99B5CB"/>
            </w:tcBorders>
          </w:tcPr>
          <w:p>
            <w:pPr>
              <w:jc w:val="right"/>
              <w:spacing w:after="0"/>
              <w:rPr>
                <w:sz w:val="20"/>
                <w:szCs w:val="20"/>
                <w:color w:val="auto"/>
              </w:rPr>
            </w:pPr>
            <w:r>
              <w:rPr>
                <w:rFonts w:ascii="Arial" w:cs="Arial" w:eastAsia="Arial" w:hAnsi="Arial"/>
                <w:sz w:val="15"/>
                <w:szCs w:val="15"/>
                <w:color w:val="auto"/>
              </w:rPr>
              <w:t>$</w:t>
            </w:r>
          </w:p>
        </w:tc>
        <w:tc>
          <w:tcPr>
            <w:tcW w:w="2760" w:type="dxa"/>
            <w:vAlign w:val="bottom"/>
            <w:tcBorders>
              <w:top w:val="single" w:sz="8" w:color="00467D"/>
              <w:bottom w:val="single" w:sz="8" w:color="99B5CB"/>
            </w:tcBorders>
          </w:tcPr>
          <w:p>
            <w:pPr>
              <w:jc w:val="right"/>
              <w:ind w:right="1988"/>
              <w:spacing w:after="0"/>
              <w:rPr>
                <w:sz w:val="20"/>
                <w:szCs w:val="20"/>
                <w:color w:val="auto"/>
              </w:rPr>
            </w:pPr>
            <w:r>
              <w:rPr>
                <w:rFonts w:ascii="Arial" w:cs="Arial" w:eastAsia="Arial" w:hAnsi="Arial"/>
                <w:sz w:val="15"/>
                <w:szCs w:val="15"/>
                <w:color w:val="auto"/>
              </w:rPr>
              <w:t>2,625,000</w:t>
            </w:r>
          </w:p>
        </w:tc>
        <w:tc>
          <w:tcPr>
            <w:tcW w:w="200" w:type="dxa"/>
            <w:vAlign w:val="bottom"/>
            <w:tcBorders>
              <w:top w:val="single" w:sz="8" w:color="00467D"/>
              <w:bottom w:val="single" w:sz="8" w:color="99B5CB"/>
            </w:tcBorders>
          </w:tcPr>
          <w:p>
            <w:pPr>
              <w:spacing w:after="0"/>
              <w:rPr>
                <w:sz w:val="15"/>
                <w:szCs w:val="15"/>
                <w:color w:val="auto"/>
              </w:rPr>
            </w:pPr>
          </w:p>
        </w:tc>
        <w:tc>
          <w:tcPr>
            <w:tcW w:w="480" w:type="dxa"/>
            <w:vAlign w:val="bottom"/>
            <w:tcBorders>
              <w:top w:val="single" w:sz="8" w:color="00467D"/>
              <w:bottom w:val="single" w:sz="8" w:color="99B5CB"/>
            </w:tcBorders>
          </w:tcPr>
          <w:p>
            <w:pPr>
              <w:spacing w:after="0"/>
              <w:rPr>
                <w:sz w:val="15"/>
                <w:szCs w:val="15"/>
                <w:color w:val="auto"/>
              </w:rPr>
            </w:pPr>
          </w:p>
        </w:tc>
        <w:tc>
          <w:tcPr>
            <w:tcW w:w="140" w:type="dxa"/>
            <w:vAlign w:val="bottom"/>
            <w:tcBorders>
              <w:top w:val="single" w:sz="8" w:color="00467D"/>
              <w:bottom w:val="single" w:sz="8" w:color="99B5CB"/>
            </w:tcBorders>
          </w:tcPr>
          <w:p>
            <w:pPr>
              <w:spacing w:after="0"/>
              <w:rPr>
                <w:sz w:val="15"/>
                <w:szCs w:val="15"/>
                <w:color w:val="auto"/>
              </w:rPr>
            </w:pPr>
          </w:p>
        </w:tc>
        <w:tc>
          <w:tcPr>
            <w:tcW w:w="800" w:type="dxa"/>
            <w:vAlign w:val="bottom"/>
            <w:tcBorders>
              <w:top w:val="single" w:sz="8" w:color="00467D"/>
              <w:bottom w:val="single" w:sz="8" w:color="99B5CB"/>
            </w:tcBorders>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1700" w:type="dxa"/>
            <w:vAlign w:val="bottom"/>
          </w:tcPr>
          <w:p>
            <w:pPr>
              <w:spacing w:after="0"/>
              <w:rPr>
                <w:sz w:val="15"/>
                <w:szCs w:val="15"/>
                <w:color w:val="auto"/>
              </w:rPr>
            </w:pPr>
          </w:p>
        </w:tc>
        <w:tc>
          <w:tcPr>
            <w:tcW w:w="1720" w:type="dxa"/>
            <w:vAlign w:val="bottom"/>
            <w:tcBorders>
              <w:bottom w:val="single" w:sz="8" w:color="99B5CB"/>
            </w:tcBorders>
          </w:tcPr>
          <w:p>
            <w:pPr>
              <w:jc w:val="center"/>
              <w:spacing w:after="0"/>
              <w:rPr>
                <w:sz w:val="20"/>
                <w:szCs w:val="20"/>
                <w:color w:val="auto"/>
              </w:rPr>
            </w:pPr>
            <w:r>
              <w:rPr>
                <w:rFonts w:ascii="Arial" w:cs="Arial" w:eastAsia="Arial" w:hAnsi="Arial"/>
                <w:sz w:val="15"/>
                <w:szCs w:val="15"/>
                <w:color w:val="auto"/>
              </w:rPr>
              <w:t>2020 Incentive Plan</w:t>
            </w:r>
          </w:p>
        </w:tc>
        <w:tc>
          <w:tcPr>
            <w:tcW w:w="840" w:type="dxa"/>
            <w:vAlign w:val="bottom"/>
            <w:tcBorders>
              <w:bottom w:val="single" w:sz="8" w:color="99B5CB"/>
            </w:tcBorders>
          </w:tcPr>
          <w:p>
            <w:pPr>
              <w:jc w:val="right"/>
              <w:spacing w:after="0"/>
              <w:rPr>
                <w:sz w:val="20"/>
                <w:szCs w:val="20"/>
                <w:color w:val="auto"/>
              </w:rPr>
            </w:pPr>
            <w:r>
              <w:rPr>
                <w:rFonts w:ascii="Arial" w:cs="Arial" w:eastAsia="Arial" w:hAnsi="Arial"/>
                <w:sz w:val="15"/>
                <w:szCs w:val="15"/>
                <w:color w:val="auto"/>
              </w:rPr>
              <w:t>3/2/2022</w:t>
            </w:r>
          </w:p>
        </w:tc>
        <w:tc>
          <w:tcPr>
            <w:tcW w:w="180" w:type="dxa"/>
            <w:vAlign w:val="bottom"/>
            <w:tcBorders>
              <w:bottom w:val="single" w:sz="8" w:color="99B5CB"/>
            </w:tcBorders>
          </w:tcPr>
          <w:p>
            <w:pPr>
              <w:spacing w:after="0"/>
              <w:rPr>
                <w:sz w:val="15"/>
                <w:szCs w:val="15"/>
                <w:color w:val="auto"/>
              </w:rPr>
            </w:pPr>
          </w:p>
        </w:tc>
        <w:tc>
          <w:tcPr>
            <w:tcW w:w="640" w:type="dxa"/>
            <w:vAlign w:val="bottom"/>
            <w:tcBorders>
              <w:bottom w:val="single" w:sz="8" w:color="99B5CB"/>
            </w:tcBorders>
          </w:tcPr>
          <w:p>
            <w:pPr>
              <w:spacing w:after="0"/>
              <w:rPr>
                <w:sz w:val="15"/>
                <w:szCs w:val="15"/>
                <w:color w:val="auto"/>
              </w:rPr>
            </w:pPr>
          </w:p>
        </w:tc>
        <w:tc>
          <w:tcPr>
            <w:tcW w:w="160" w:type="dxa"/>
            <w:vAlign w:val="bottom"/>
            <w:tcBorders>
              <w:bottom w:val="single" w:sz="8" w:color="99B5CB"/>
            </w:tcBorders>
          </w:tcPr>
          <w:p>
            <w:pPr>
              <w:spacing w:after="0"/>
              <w:rPr>
                <w:sz w:val="15"/>
                <w:szCs w:val="15"/>
                <w:color w:val="auto"/>
              </w:rPr>
            </w:pPr>
          </w:p>
        </w:tc>
        <w:tc>
          <w:tcPr>
            <w:tcW w:w="760" w:type="dxa"/>
            <w:vAlign w:val="bottom"/>
            <w:tcBorders>
              <w:bottom w:val="single" w:sz="8" w:color="99B5CB"/>
            </w:tcBorders>
          </w:tcPr>
          <w:p>
            <w:pPr>
              <w:spacing w:after="0"/>
              <w:rPr>
                <w:sz w:val="15"/>
                <w:szCs w:val="15"/>
                <w:color w:val="auto"/>
              </w:rPr>
            </w:pPr>
          </w:p>
        </w:tc>
        <w:tc>
          <w:tcPr>
            <w:tcW w:w="160" w:type="dxa"/>
            <w:vAlign w:val="bottom"/>
            <w:tcBorders>
              <w:bottom w:val="single" w:sz="8" w:color="99B5CB"/>
            </w:tcBorders>
          </w:tcPr>
          <w:p>
            <w:pPr>
              <w:spacing w:after="0"/>
              <w:rPr>
                <w:sz w:val="15"/>
                <w:szCs w:val="15"/>
                <w:color w:val="auto"/>
              </w:rPr>
            </w:pPr>
          </w:p>
        </w:tc>
        <w:tc>
          <w:tcPr>
            <w:tcW w:w="2760" w:type="dxa"/>
            <w:vAlign w:val="bottom"/>
            <w:tcBorders>
              <w:bottom w:val="single" w:sz="8" w:color="99B5CB"/>
            </w:tcBorders>
          </w:tcPr>
          <w:p>
            <w:pPr>
              <w:jc w:val="right"/>
              <w:ind w:right="1008"/>
              <w:spacing w:after="0" w:line="174" w:lineRule="exact"/>
              <w:rPr>
                <w:sz w:val="20"/>
                <w:szCs w:val="20"/>
                <w:color w:val="auto"/>
              </w:rPr>
            </w:pPr>
            <w:r>
              <w:rPr>
                <w:rFonts w:ascii="Arial" w:cs="Arial" w:eastAsia="Arial" w:hAnsi="Arial"/>
                <w:sz w:val="14"/>
                <w:szCs w:val="14"/>
                <w:color w:val="auto"/>
              </w:rPr>
              <w:t>187,219</w:t>
            </w:r>
            <w:r>
              <w:rPr>
                <w:rFonts w:ascii="Arial" w:cs="Arial" w:eastAsia="Arial" w:hAnsi="Arial"/>
                <w:sz w:val="20"/>
                <w:szCs w:val="20"/>
                <w:color w:val="auto"/>
                <w:vertAlign w:val="superscript"/>
              </w:rPr>
              <w:t>(2)</w:t>
            </w:r>
          </w:p>
        </w:tc>
        <w:tc>
          <w:tcPr>
            <w:tcW w:w="200" w:type="dxa"/>
            <w:vAlign w:val="bottom"/>
            <w:tcBorders>
              <w:bottom w:val="single" w:sz="8" w:color="99B5CB"/>
            </w:tcBorders>
          </w:tcPr>
          <w:p>
            <w:pPr>
              <w:spacing w:after="0"/>
              <w:rPr>
                <w:sz w:val="15"/>
                <w:szCs w:val="15"/>
                <w:color w:val="auto"/>
              </w:rPr>
            </w:pPr>
          </w:p>
        </w:tc>
        <w:tc>
          <w:tcPr>
            <w:tcW w:w="480" w:type="dxa"/>
            <w:vAlign w:val="bottom"/>
            <w:tcBorders>
              <w:bottom w:val="single" w:sz="8" w:color="99B5CB"/>
            </w:tcBorders>
          </w:tcPr>
          <w:p>
            <w:pPr>
              <w:spacing w:after="0"/>
              <w:rPr>
                <w:sz w:val="15"/>
                <w:szCs w:val="15"/>
                <w:color w:val="auto"/>
              </w:rPr>
            </w:pPr>
          </w:p>
        </w:tc>
        <w:tc>
          <w:tcPr>
            <w:tcW w:w="140" w:type="dxa"/>
            <w:vAlign w:val="bottom"/>
            <w:tcBorders>
              <w:bottom w:val="single" w:sz="8" w:color="99B5CB"/>
            </w:tcBorders>
          </w:tcPr>
          <w:p>
            <w:pPr>
              <w:jc w:val="right"/>
              <w:spacing w:after="0"/>
              <w:rPr>
                <w:sz w:val="20"/>
                <w:szCs w:val="20"/>
                <w:color w:val="auto"/>
              </w:rPr>
            </w:pPr>
            <w:r>
              <w:rPr>
                <w:rFonts w:ascii="Arial" w:cs="Arial" w:eastAsia="Arial" w:hAnsi="Arial"/>
                <w:sz w:val="15"/>
                <w:szCs w:val="15"/>
                <w:color w:val="auto"/>
              </w:rPr>
              <w:t>$</w:t>
            </w:r>
          </w:p>
        </w:tc>
        <w:tc>
          <w:tcPr>
            <w:tcW w:w="800" w:type="dxa"/>
            <w:vAlign w:val="bottom"/>
            <w:tcBorders>
              <w:bottom w:val="single" w:sz="8" w:color="99B5CB"/>
            </w:tcBorders>
          </w:tcPr>
          <w:p>
            <w:pPr>
              <w:jc w:val="right"/>
              <w:ind w:right="23"/>
              <w:spacing w:after="0"/>
              <w:rPr>
                <w:sz w:val="20"/>
                <w:szCs w:val="20"/>
                <w:color w:val="auto"/>
              </w:rPr>
            </w:pPr>
            <w:r>
              <w:rPr>
                <w:rFonts w:ascii="Arial" w:cs="Arial" w:eastAsia="Arial" w:hAnsi="Arial"/>
                <w:sz w:val="15"/>
                <w:szCs w:val="15"/>
                <w:color w:val="auto"/>
              </w:rPr>
              <w:t>3,749,997</w:t>
            </w:r>
          </w:p>
        </w:tc>
        <w:tc>
          <w:tcPr>
            <w:tcW w:w="0" w:type="dxa"/>
            <w:vAlign w:val="bottom"/>
          </w:tcPr>
          <w:p>
            <w:pPr>
              <w:spacing w:after="0"/>
              <w:rPr>
                <w:sz w:val="1"/>
                <w:szCs w:val="1"/>
                <w:color w:val="auto"/>
              </w:rPr>
            </w:pPr>
          </w:p>
        </w:tc>
      </w:tr>
      <w:tr>
        <w:trPr>
          <w:trHeight w:val="174"/>
        </w:trPr>
        <w:tc>
          <w:tcPr>
            <w:tcW w:w="1700" w:type="dxa"/>
            <w:vAlign w:val="bottom"/>
          </w:tcPr>
          <w:p>
            <w:pPr>
              <w:spacing w:after="0"/>
              <w:rPr>
                <w:sz w:val="15"/>
                <w:szCs w:val="15"/>
                <w:color w:val="auto"/>
              </w:rPr>
            </w:pPr>
          </w:p>
        </w:tc>
        <w:tc>
          <w:tcPr>
            <w:tcW w:w="1720" w:type="dxa"/>
            <w:vAlign w:val="bottom"/>
            <w:tcBorders>
              <w:bottom w:val="single" w:sz="8" w:color="99B5CB"/>
            </w:tcBorders>
          </w:tcPr>
          <w:p>
            <w:pPr>
              <w:jc w:val="center"/>
              <w:spacing w:after="0"/>
              <w:rPr>
                <w:sz w:val="20"/>
                <w:szCs w:val="20"/>
                <w:color w:val="auto"/>
              </w:rPr>
            </w:pPr>
            <w:r>
              <w:rPr>
                <w:rFonts w:ascii="Arial" w:cs="Arial" w:eastAsia="Arial" w:hAnsi="Arial"/>
                <w:sz w:val="15"/>
                <w:szCs w:val="15"/>
                <w:color w:val="auto"/>
              </w:rPr>
              <w:t>2020 Incentive Plan</w:t>
            </w:r>
          </w:p>
        </w:tc>
        <w:tc>
          <w:tcPr>
            <w:tcW w:w="840" w:type="dxa"/>
            <w:vAlign w:val="bottom"/>
            <w:tcBorders>
              <w:bottom w:val="single" w:sz="8" w:color="99B5CB"/>
            </w:tcBorders>
          </w:tcPr>
          <w:p>
            <w:pPr>
              <w:jc w:val="right"/>
              <w:spacing w:after="0"/>
              <w:rPr>
                <w:sz w:val="20"/>
                <w:szCs w:val="20"/>
                <w:color w:val="auto"/>
              </w:rPr>
            </w:pPr>
            <w:r>
              <w:rPr>
                <w:rFonts w:ascii="Arial" w:cs="Arial" w:eastAsia="Arial" w:hAnsi="Arial"/>
                <w:sz w:val="15"/>
                <w:szCs w:val="15"/>
                <w:color w:val="auto"/>
              </w:rPr>
              <w:t>3/2/2022</w:t>
            </w:r>
          </w:p>
        </w:tc>
        <w:tc>
          <w:tcPr>
            <w:tcW w:w="180" w:type="dxa"/>
            <w:vAlign w:val="bottom"/>
            <w:tcBorders>
              <w:bottom w:val="single" w:sz="8" w:color="99B5CB"/>
            </w:tcBorders>
          </w:tcPr>
          <w:p>
            <w:pPr>
              <w:spacing w:after="0"/>
              <w:rPr>
                <w:sz w:val="15"/>
                <w:szCs w:val="15"/>
                <w:color w:val="auto"/>
              </w:rPr>
            </w:pPr>
          </w:p>
        </w:tc>
        <w:tc>
          <w:tcPr>
            <w:tcW w:w="640" w:type="dxa"/>
            <w:vAlign w:val="bottom"/>
            <w:tcBorders>
              <w:bottom w:val="single" w:sz="8" w:color="99B5CB"/>
            </w:tcBorders>
          </w:tcPr>
          <w:p>
            <w:pPr>
              <w:spacing w:after="0"/>
              <w:rPr>
                <w:sz w:val="15"/>
                <w:szCs w:val="15"/>
                <w:color w:val="auto"/>
              </w:rPr>
            </w:pPr>
          </w:p>
        </w:tc>
        <w:tc>
          <w:tcPr>
            <w:tcW w:w="160" w:type="dxa"/>
            <w:vAlign w:val="bottom"/>
            <w:tcBorders>
              <w:bottom w:val="single" w:sz="8" w:color="99B5CB"/>
            </w:tcBorders>
          </w:tcPr>
          <w:p>
            <w:pPr>
              <w:spacing w:after="0"/>
              <w:rPr>
                <w:sz w:val="15"/>
                <w:szCs w:val="15"/>
                <w:color w:val="auto"/>
              </w:rPr>
            </w:pPr>
          </w:p>
        </w:tc>
        <w:tc>
          <w:tcPr>
            <w:tcW w:w="760" w:type="dxa"/>
            <w:vAlign w:val="bottom"/>
            <w:tcBorders>
              <w:bottom w:val="single" w:sz="8" w:color="99B5CB"/>
            </w:tcBorders>
          </w:tcPr>
          <w:p>
            <w:pPr>
              <w:spacing w:after="0"/>
              <w:rPr>
                <w:sz w:val="15"/>
                <w:szCs w:val="15"/>
                <w:color w:val="auto"/>
              </w:rPr>
            </w:pPr>
          </w:p>
        </w:tc>
        <w:tc>
          <w:tcPr>
            <w:tcW w:w="160" w:type="dxa"/>
            <w:vAlign w:val="bottom"/>
            <w:tcBorders>
              <w:bottom w:val="single" w:sz="8" w:color="99B5CB"/>
            </w:tcBorders>
          </w:tcPr>
          <w:p>
            <w:pPr>
              <w:spacing w:after="0"/>
              <w:rPr>
                <w:sz w:val="15"/>
                <w:szCs w:val="15"/>
                <w:color w:val="auto"/>
              </w:rPr>
            </w:pPr>
          </w:p>
        </w:tc>
        <w:tc>
          <w:tcPr>
            <w:tcW w:w="2760" w:type="dxa"/>
            <w:vAlign w:val="bottom"/>
            <w:tcBorders>
              <w:bottom w:val="single" w:sz="8" w:color="99B5CB"/>
            </w:tcBorders>
          </w:tcPr>
          <w:p>
            <w:pPr>
              <w:jc w:val="right"/>
              <w:ind w:right="8"/>
              <w:spacing w:after="0" w:line="174" w:lineRule="exact"/>
              <w:rPr>
                <w:sz w:val="20"/>
                <w:szCs w:val="20"/>
                <w:color w:val="auto"/>
              </w:rPr>
            </w:pPr>
            <w:r>
              <w:rPr>
                <w:rFonts w:ascii="Arial" w:cs="Arial" w:eastAsia="Arial" w:hAnsi="Arial"/>
                <w:sz w:val="14"/>
                <w:szCs w:val="14"/>
                <w:color w:val="auto"/>
              </w:rPr>
              <w:t>478,932</w:t>
            </w:r>
            <w:r>
              <w:rPr>
                <w:rFonts w:ascii="Arial" w:cs="Arial" w:eastAsia="Arial" w:hAnsi="Arial"/>
                <w:sz w:val="20"/>
                <w:szCs w:val="20"/>
                <w:color w:val="auto"/>
                <w:vertAlign w:val="superscript"/>
              </w:rPr>
              <w:t>(3)</w:t>
            </w:r>
          </w:p>
        </w:tc>
        <w:tc>
          <w:tcPr>
            <w:tcW w:w="200" w:type="dxa"/>
            <w:vAlign w:val="bottom"/>
            <w:tcBorders>
              <w:bottom w:val="single" w:sz="8" w:color="99B5CB"/>
            </w:tcBorders>
          </w:tcPr>
          <w:p>
            <w:pPr>
              <w:jc w:val="right"/>
              <w:spacing w:after="0"/>
              <w:rPr>
                <w:sz w:val="20"/>
                <w:szCs w:val="20"/>
                <w:color w:val="auto"/>
              </w:rPr>
            </w:pPr>
            <w:r>
              <w:rPr>
                <w:rFonts w:ascii="Arial" w:cs="Arial" w:eastAsia="Arial" w:hAnsi="Arial"/>
                <w:sz w:val="15"/>
                <w:szCs w:val="15"/>
                <w:color w:val="auto"/>
              </w:rPr>
              <w:t>$</w:t>
            </w:r>
          </w:p>
        </w:tc>
        <w:tc>
          <w:tcPr>
            <w:tcW w:w="480" w:type="dxa"/>
            <w:vAlign w:val="bottom"/>
            <w:tcBorders>
              <w:bottom w:val="single" w:sz="8" w:color="99B5CB"/>
            </w:tcBorders>
          </w:tcPr>
          <w:p>
            <w:pPr>
              <w:jc w:val="right"/>
              <w:spacing w:after="0"/>
              <w:rPr>
                <w:sz w:val="20"/>
                <w:szCs w:val="20"/>
                <w:color w:val="auto"/>
              </w:rPr>
            </w:pPr>
            <w:r>
              <w:rPr>
                <w:rFonts w:ascii="Arial" w:cs="Arial" w:eastAsia="Arial" w:hAnsi="Arial"/>
                <w:sz w:val="15"/>
                <w:szCs w:val="15"/>
                <w:color w:val="auto"/>
              </w:rPr>
              <w:t>20.03</w:t>
            </w:r>
          </w:p>
        </w:tc>
        <w:tc>
          <w:tcPr>
            <w:tcW w:w="140" w:type="dxa"/>
            <w:vAlign w:val="bottom"/>
            <w:tcBorders>
              <w:bottom w:val="single" w:sz="8" w:color="99B5CB"/>
            </w:tcBorders>
          </w:tcPr>
          <w:p>
            <w:pPr>
              <w:jc w:val="right"/>
              <w:spacing w:after="0"/>
              <w:rPr>
                <w:sz w:val="20"/>
                <w:szCs w:val="20"/>
                <w:color w:val="auto"/>
              </w:rPr>
            </w:pPr>
            <w:r>
              <w:rPr>
                <w:rFonts w:ascii="Arial" w:cs="Arial" w:eastAsia="Arial" w:hAnsi="Arial"/>
                <w:sz w:val="15"/>
                <w:szCs w:val="15"/>
                <w:color w:val="auto"/>
              </w:rPr>
              <w:t>$</w:t>
            </w:r>
          </w:p>
        </w:tc>
        <w:tc>
          <w:tcPr>
            <w:tcW w:w="800" w:type="dxa"/>
            <w:vAlign w:val="bottom"/>
            <w:tcBorders>
              <w:bottom w:val="single" w:sz="8" w:color="99B5CB"/>
            </w:tcBorders>
          </w:tcPr>
          <w:p>
            <w:pPr>
              <w:jc w:val="right"/>
              <w:ind w:right="23"/>
              <w:spacing w:after="0"/>
              <w:rPr>
                <w:sz w:val="20"/>
                <w:szCs w:val="20"/>
                <w:color w:val="auto"/>
              </w:rPr>
            </w:pPr>
            <w:r>
              <w:rPr>
                <w:rFonts w:ascii="Arial" w:cs="Arial" w:eastAsia="Arial" w:hAnsi="Arial"/>
                <w:sz w:val="15"/>
                <w:szCs w:val="15"/>
                <w:color w:val="auto"/>
              </w:rPr>
              <w:t>3,729,185</w:t>
            </w:r>
          </w:p>
        </w:tc>
        <w:tc>
          <w:tcPr>
            <w:tcW w:w="0" w:type="dxa"/>
            <w:vAlign w:val="bottom"/>
          </w:tcPr>
          <w:p>
            <w:pPr>
              <w:spacing w:after="0"/>
              <w:rPr>
                <w:sz w:val="1"/>
                <w:szCs w:val="1"/>
                <w:color w:val="auto"/>
              </w:rPr>
            </w:pPr>
          </w:p>
        </w:tc>
      </w:tr>
      <w:tr>
        <w:trPr>
          <w:trHeight w:val="174"/>
        </w:trPr>
        <w:tc>
          <w:tcPr>
            <w:tcW w:w="1700" w:type="dxa"/>
            <w:vAlign w:val="bottom"/>
            <w:tcBorders>
              <w:bottom w:val="single" w:sz="8" w:color="99B5CB"/>
            </w:tcBorders>
          </w:tcPr>
          <w:p>
            <w:pPr>
              <w:spacing w:after="0"/>
              <w:rPr>
                <w:sz w:val="15"/>
                <w:szCs w:val="15"/>
                <w:color w:val="auto"/>
              </w:rPr>
            </w:pPr>
          </w:p>
        </w:tc>
        <w:tc>
          <w:tcPr>
            <w:tcW w:w="1720" w:type="dxa"/>
            <w:vAlign w:val="bottom"/>
            <w:tcBorders>
              <w:bottom w:val="single" w:sz="8" w:color="99B5CB"/>
            </w:tcBorders>
          </w:tcPr>
          <w:p>
            <w:pPr>
              <w:jc w:val="center"/>
              <w:spacing w:after="0"/>
              <w:rPr>
                <w:sz w:val="20"/>
                <w:szCs w:val="20"/>
                <w:color w:val="auto"/>
              </w:rPr>
            </w:pPr>
            <w:r>
              <w:rPr>
                <w:rFonts w:ascii="Arial" w:cs="Arial" w:eastAsia="Arial" w:hAnsi="Arial"/>
                <w:sz w:val="15"/>
                <w:szCs w:val="15"/>
                <w:color w:val="auto"/>
              </w:rPr>
              <w:t>2020 Incentive Plan</w:t>
            </w:r>
          </w:p>
        </w:tc>
        <w:tc>
          <w:tcPr>
            <w:tcW w:w="840" w:type="dxa"/>
            <w:vAlign w:val="bottom"/>
            <w:tcBorders>
              <w:bottom w:val="single" w:sz="8" w:color="99B5CB"/>
            </w:tcBorders>
          </w:tcPr>
          <w:p>
            <w:pPr>
              <w:jc w:val="right"/>
              <w:spacing w:after="0"/>
              <w:rPr>
                <w:sz w:val="20"/>
                <w:szCs w:val="20"/>
                <w:color w:val="auto"/>
              </w:rPr>
            </w:pPr>
            <w:r>
              <w:rPr>
                <w:rFonts w:ascii="Arial" w:cs="Arial" w:eastAsia="Arial" w:hAnsi="Arial"/>
                <w:sz w:val="15"/>
                <w:szCs w:val="15"/>
                <w:color w:val="auto"/>
              </w:rPr>
              <w:t>11/7/2022</w:t>
            </w:r>
          </w:p>
        </w:tc>
        <w:tc>
          <w:tcPr>
            <w:tcW w:w="180" w:type="dxa"/>
            <w:vAlign w:val="bottom"/>
            <w:tcBorders>
              <w:bottom w:val="single" w:sz="8" w:color="99B5CB"/>
            </w:tcBorders>
          </w:tcPr>
          <w:p>
            <w:pPr>
              <w:spacing w:after="0"/>
              <w:rPr>
                <w:sz w:val="15"/>
                <w:szCs w:val="15"/>
                <w:color w:val="auto"/>
              </w:rPr>
            </w:pPr>
          </w:p>
        </w:tc>
        <w:tc>
          <w:tcPr>
            <w:tcW w:w="640" w:type="dxa"/>
            <w:vAlign w:val="bottom"/>
            <w:tcBorders>
              <w:bottom w:val="single" w:sz="8" w:color="99B5CB"/>
            </w:tcBorders>
          </w:tcPr>
          <w:p>
            <w:pPr>
              <w:spacing w:after="0"/>
              <w:rPr>
                <w:sz w:val="15"/>
                <w:szCs w:val="15"/>
                <w:color w:val="auto"/>
              </w:rPr>
            </w:pPr>
          </w:p>
        </w:tc>
        <w:tc>
          <w:tcPr>
            <w:tcW w:w="160" w:type="dxa"/>
            <w:vAlign w:val="bottom"/>
            <w:tcBorders>
              <w:bottom w:val="single" w:sz="8" w:color="99B5CB"/>
            </w:tcBorders>
          </w:tcPr>
          <w:p>
            <w:pPr>
              <w:spacing w:after="0"/>
              <w:rPr>
                <w:sz w:val="15"/>
                <w:szCs w:val="15"/>
                <w:color w:val="auto"/>
              </w:rPr>
            </w:pPr>
          </w:p>
        </w:tc>
        <w:tc>
          <w:tcPr>
            <w:tcW w:w="760" w:type="dxa"/>
            <w:vAlign w:val="bottom"/>
            <w:tcBorders>
              <w:bottom w:val="single" w:sz="8" w:color="99B5CB"/>
            </w:tcBorders>
          </w:tcPr>
          <w:p>
            <w:pPr>
              <w:spacing w:after="0"/>
              <w:rPr>
                <w:sz w:val="15"/>
                <w:szCs w:val="15"/>
                <w:color w:val="auto"/>
              </w:rPr>
            </w:pPr>
          </w:p>
        </w:tc>
        <w:tc>
          <w:tcPr>
            <w:tcW w:w="160" w:type="dxa"/>
            <w:vAlign w:val="bottom"/>
            <w:tcBorders>
              <w:bottom w:val="single" w:sz="8" w:color="99B5CB"/>
            </w:tcBorders>
          </w:tcPr>
          <w:p>
            <w:pPr>
              <w:spacing w:after="0"/>
              <w:rPr>
                <w:sz w:val="15"/>
                <w:szCs w:val="15"/>
                <w:color w:val="auto"/>
              </w:rPr>
            </w:pPr>
          </w:p>
        </w:tc>
        <w:tc>
          <w:tcPr>
            <w:tcW w:w="2760" w:type="dxa"/>
            <w:vAlign w:val="bottom"/>
            <w:tcBorders>
              <w:bottom w:val="single" w:sz="8" w:color="99B5CB"/>
            </w:tcBorders>
          </w:tcPr>
          <w:p>
            <w:pPr>
              <w:jc w:val="right"/>
              <w:ind w:right="8"/>
              <w:spacing w:after="0" w:line="174" w:lineRule="exact"/>
              <w:rPr>
                <w:sz w:val="20"/>
                <w:szCs w:val="20"/>
                <w:color w:val="auto"/>
              </w:rPr>
            </w:pPr>
            <w:r>
              <w:rPr>
                <w:rFonts w:ascii="Arial" w:cs="Arial" w:eastAsia="Arial" w:hAnsi="Arial"/>
                <w:sz w:val="14"/>
                <w:szCs w:val="14"/>
                <w:color w:val="auto"/>
              </w:rPr>
              <w:t>2,108,356</w:t>
            </w:r>
            <w:r>
              <w:rPr>
                <w:rFonts w:ascii="Arial" w:cs="Arial" w:eastAsia="Arial" w:hAnsi="Arial"/>
                <w:sz w:val="20"/>
                <w:szCs w:val="20"/>
                <w:color w:val="auto"/>
                <w:vertAlign w:val="superscript"/>
              </w:rPr>
              <w:t>(4)</w:t>
            </w:r>
          </w:p>
        </w:tc>
        <w:tc>
          <w:tcPr>
            <w:tcW w:w="200" w:type="dxa"/>
            <w:vAlign w:val="bottom"/>
            <w:tcBorders>
              <w:bottom w:val="single" w:sz="8" w:color="99B5CB"/>
            </w:tcBorders>
          </w:tcPr>
          <w:p>
            <w:pPr>
              <w:jc w:val="right"/>
              <w:spacing w:after="0"/>
              <w:rPr>
                <w:sz w:val="20"/>
                <w:szCs w:val="20"/>
                <w:color w:val="auto"/>
              </w:rPr>
            </w:pPr>
            <w:r>
              <w:rPr>
                <w:rFonts w:ascii="Arial" w:cs="Arial" w:eastAsia="Arial" w:hAnsi="Arial"/>
                <w:sz w:val="15"/>
                <w:szCs w:val="15"/>
                <w:color w:val="auto"/>
              </w:rPr>
              <w:t>$</w:t>
            </w:r>
          </w:p>
        </w:tc>
        <w:tc>
          <w:tcPr>
            <w:tcW w:w="480" w:type="dxa"/>
            <w:vAlign w:val="bottom"/>
            <w:tcBorders>
              <w:bottom w:val="single" w:sz="8" w:color="99B5CB"/>
            </w:tcBorders>
          </w:tcPr>
          <w:p>
            <w:pPr>
              <w:jc w:val="right"/>
              <w:spacing w:after="0"/>
              <w:rPr>
                <w:sz w:val="20"/>
                <w:szCs w:val="20"/>
                <w:color w:val="auto"/>
              </w:rPr>
            </w:pPr>
            <w:r>
              <w:rPr>
                <w:rFonts w:ascii="Arial" w:cs="Arial" w:eastAsia="Arial" w:hAnsi="Arial"/>
                <w:sz w:val="15"/>
                <w:szCs w:val="15"/>
                <w:color w:val="auto"/>
              </w:rPr>
              <w:t>6.37</w:t>
            </w:r>
          </w:p>
        </w:tc>
        <w:tc>
          <w:tcPr>
            <w:tcW w:w="140" w:type="dxa"/>
            <w:vAlign w:val="bottom"/>
            <w:tcBorders>
              <w:bottom w:val="single" w:sz="8" w:color="99B5CB"/>
            </w:tcBorders>
          </w:tcPr>
          <w:p>
            <w:pPr>
              <w:jc w:val="right"/>
              <w:spacing w:after="0"/>
              <w:rPr>
                <w:sz w:val="20"/>
                <w:szCs w:val="20"/>
                <w:color w:val="auto"/>
              </w:rPr>
            </w:pPr>
            <w:r>
              <w:rPr>
                <w:rFonts w:ascii="Arial" w:cs="Arial" w:eastAsia="Arial" w:hAnsi="Arial"/>
                <w:sz w:val="15"/>
                <w:szCs w:val="15"/>
                <w:color w:val="auto"/>
              </w:rPr>
              <w:t>$</w:t>
            </w:r>
          </w:p>
        </w:tc>
        <w:tc>
          <w:tcPr>
            <w:tcW w:w="800" w:type="dxa"/>
            <w:vAlign w:val="bottom"/>
            <w:tcBorders>
              <w:bottom w:val="single" w:sz="8" w:color="99B5CB"/>
            </w:tcBorders>
          </w:tcPr>
          <w:p>
            <w:pPr>
              <w:jc w:val="right"/>
              <w:ind w:right="23"/>
              <w:spacing w:after="0"/>
              <w:rPr>
                <w:sz w:val="20"/>
                <w:szCs w:val="20"/>
                <w:color w:val="auto"/>
              </w:rPr>
            </w:pPr>
            <w:r>
              <w:rPr>
                <w:rFonts w:ascii="Arial" w:cs="Arial" w:eastAsia="Arial" w:hAnsi="Arial"/>
                <w:sz w:val="15"/>
                <w:szCs w:val="15"/>
                <w:color w:val="auto"/>
              </w:rPr>
              <w:t>6,983,520</w:t>
            </w:r>
          </w:p>
        </w:tc>
        <w:tc>
          <w:tcPr>
            <w:tcW w:w="0" w:type="dxa"/>
            <w:vAlign w:val="bottom"/>
          </w:tcPr>
          <w:p>
            <w:pPr>
              <w:spacing w:after="0"/>
              <w:rPr>
                <w:sz w:val="1"/>
                <w:szCs w:val="1"/>
                <w:color w:val="auto"/>
              </w:rPr>
            </w:pPr>
          </w:p>
        </w:tc>
      </w:tr>
      <w:tr>
        <w:trPr>
          <w:trHeight w:val="174"/>
        </w:trPr>
        <w:tc>
          <w:tcPr>
            <w:tcW w:w="1700" w:type="dxa"/>
            <w:vAlign w:val="bottom"/>
          </w:tcPr>
          <w:p>
            <w:pPr>
              <w:ind w:left="60"/>
              <w:spacing w:after="0"/>
              <w:rPr>
                <w:sz w:val="20"/>
                <w:szCs w:val="20"/>
                <w:color w:val="auto"/>
              </w:rPr>
            </w:pPr>
            <w:r>
              <w:rPr>
                <w:rFonts w:ascii="Arial" w:cs="Arial" w:eastAsia="Arial" w:hAnsi="Arial"/>
                <w:sz w:val="15"/>
                <w:szCs w:val="15"/>
                <w:color w:val="auto"/>
              </w:rPr>
              <w:t>Michael P. Rutz</w:t>
            </w:r>
          </w:p>
        </w:tc>
        <w:tc>
          <w:tcPr>
            <w:tcW w:w="1720" w:type="dxa"/>
            <w:vAlign w:val="bottom"/>
            <w:tcBorders>
              <w:bottom w:val="single" w:sz="8" w:color="99B5CB"/>
            </w:tcBorders>
          </w:tcPr>
          <w:p>
            <w:pPr>
              <w:jc w:val="center"/>
              <w:spacing w:after="0"/>
              <w:rPr>
                <w:sz w:val="20"/>
                <w:szCs w:val="20"/>
                <w:color w:val="auto"/>
              </w:rPr>
            </w:pPr>
            <w:r>
              <w:rPr>
                <w:rFonts w:ascii="Arial" w:cs="Arial" w:eastAsia="Arial" w:hAnsi="Arial"/>
                <w:sz w:val="15"/>
                <w:szCs w:val="15"/>
                <w:color w:val="auto"/>
              </w:rPr>
              <w:t>Annual Incentive Plan</w:t>
            </w:r>
          </w:p>
        </w:tc>
        <w:tc>
          <w:tcPr>
            <w:tcW w:w="840" w:type="dxa"/>
            <w:vAlign w:val="bottom"/>
            <w:tcBorders>
              <w:bottom w:val="single" w:sz="8" w:color="99B5CB"/>
            </w:tcBorders>
          </w:tcPr>
          <w:p>
            <w:pPr>
              <w:jc w:val="right"/>
              <w:spacing w:after="0"/>
              <w:rPr>
                <w:sz w:val="20"/>
                <w:szCs w:val="20"/>
                <w:color w:val="auto"/>
              </w:rPr>
            </w:pPr>
            <w:r>
              <w:rPr>
                <w:rFonts w:ascii="Arial" w:cs="Arial" w:eastAsia="Arial" w:hAnsi="Arial"/>
                <w:sz w:val="15"/>
                <w:szCs w:val="15"/>
                <w:color w:val="auto"/>
              </w:rPr>
              <w:t>3/2/2022</w:t>
            </w:r>
          </w:p>
        </w:tc>
        <w:tc>
          <w:tcPr>
            <w:tcW w:w="180" w:type="dxa"/>
            <w:vAlign w:val="bottom"/>
            <w:tcBorders>
              <w:bottom w:val="single" w:sz="8" w:color="99B5CB"/>
            </w:tcBorders>
          </w:tcPr>
          <w:p>
            <w:pPr>
              <w:jc w:val="right"/>
              <w:spacing w:after="0"/>
              <w:rPr>
                <w:sz w:val="20"/>
                <w:szCs w:val="20"/>
                <w:color w:val="auto"/>
              </w:rPr>
            </w:pPr>
            <w:r>
              <w:rPr>
                <w:rFonts w:ascii="Arial" w:cs="Arial" w:eastAsia="Arial" w:hAnsi="Arial"/>
                <w:sz w:val="15"/>
                <w:szCs w:val="15"/>
                <w:color w:val="auto"/>
              </w:rPr>
              <w:t>$</w:t>
            </w:r>
          </w:p>
        </w:tc>
        <w:tc>
          <w:tcPr>
            <w:tcW w:w="640" w:type="dxa"/>
            <w:vAlign w:val="bottom"/>
            <w:tcBorders>
              <w:bottom w:val="single" w:sz="8" w:color="99B5CB"/>
            </w:tcBorders>
          </w:tcPr>
          <w:p>
            <w:pPr>
              <w:jc w:val="right"/>
              <w:ind w:right="3"/>
              <w:spacing w:after="0"/>
              <w:rPr>
                <w:sz w:val="20"/>
                <w:szCs w:val="20"/>
                <w:color w:val="auto"/>
              </w:rPr>
            </w:pPr>
            <w:r>
              <w:rPr>
                <w:rFonts w:ascii="Arial" w:cs="Arial" w:eastAsia="Arial" w:hAnsi="Arial"/>
                <w:sz w:val="15"/>
                <w:szCs w:val="15"/>
                <w:color w:val="auto"/>
                <w:w w:val="99"/>
              </w:rPr>
              <w:t>189,000</w:t>
            </w:r>
          </w:p>
        </w:tc>
        <w:tc>
          <w:tcPr>
            <w:tcW w:w="160" w:type="dxa"/>
            <w:vAlign w:val="bottom"/>
            <w:tcBorders>
              <w:bottom w:val="single" w:sz="8" w:color="99B5CB"/>
            </w:tcBorders>
          </w:tcPr>
          <w:p>
            <w:pPr>
              <w:jc w:val="right"/>
              <w:spacing w:after="0"/>
              <w:rPr>
                <w:sz w:val="20"/>
                <w:szCs w:val="20"/>
                <w:color w:val="auto"/>
              </w:rPr>
            </w:pPr>
            <w:r>
              <w:rPr>
                <w:rFonts w:ascii="Arial" w:cs="Arial" w:eastAsia="Arial" w:hAnsi="Arial"/>
                <w:sz w:val="15"/>
                <w:szCs w:val="15"/>
                <w:color w:val="auto"/>
              </w:rPr>
              <w:t>$</w:t>
            </w:r>
          </w:p>
        </w:tc>
        <w:tc>
          <w:tcPr>
            <w:tcW w:w="760" w:type="dxa"/>
            <w:vAlign w:val="bottom"/>
            <w:tcBorders>
              <w:bottom w:val="single" w:sz="8" w:color="99B5CB"/>
            </w:tcBorders>
          </w:tcPr>
          <w:p>
            <w:pPr>
              <w:jc w:val="right"/>
              <w:spacing w:after="0"/>
              <w:rPr>
                <w:sz w:val="20"/>
                <w:szCs w:val="20"/>
                <w:color w:val="auto"/>
              </w:rPr>
            </w:pPr>
            <w:r>
              <w:rPr>
                <w:rFonts w:ascii="Arial" w:cs="Arial" w:eastAsia="Arial" w:hAnsi="Arial"/>
                <w:sz w:val="15"/>
                <w:szCs w:val="15"/>
                <w:color w:val="auto"/>
              </w:rPr>
              <w:t>270,000</w:t>
            </w:r>
          </w:p>
        </w:tc>
        <w:tc>
          <w:tcPr>
            <w:tcW w:w="160" w:type="dxa"/>
            <w:vAlign w:val="bottom"/>
            <w:tcBorders>
              <w:bottom w:val="single" w:sz="8" w:color="99B5CB"/>
            </w:tcBorders>
          </w:tcPr>
          <w:p>
            <w:pPr>
              <w:jc w:val="right"/>
              <w:spacing w:after="0"/>
              <w:rPr>
                <w:sz w:val="20"/>
                <w:szCs w:val="20"/>
                <w:color w:val="auto"/>
              </w:rPr>
            </w:pPr>
            <w:r>
              <w:rPr>
                <w:rFonts w:ascii="Arial" w:cs="Arial" w:eastAsia="Arial" w:hAnsi="Arial"/>
                <w:sz w:val="15"/>
                <w:szCs w:val="15"/>
                <w:color w:val="auto"/>
              </w:rPr>
              <w:t>$</w:t>
            </w:r>
          </w:p>
        </w:tc>
        <w:tc>
          <w:tcPr>
            <w:tcW w:w="2760" w:type="dxa"/>
            <w:vAlign w:val="bottom"/>
            <w:tcBorders>
              <w:bottom w:val="single" w:sz="8" w:color="99B5CB"/>
            </w:tcBorders>
          </w:tcPr>
          <w:p>
            <w:pPr>
              <w:jc w:val="right"/>
              <w:ind w:right="1988"/>
              <w:spacing w:after="0"/>
              <w:rPr>
                <w:sz w:val="20"/>
                <w:szCs w:val="20"/>
                <w:color w:val="auto"/>
              </w:rPr>
            </w:pPr>
            <w:r>
              <w:rPr>
                <w:rFonts w:ascii="Arial" w:cs="Arial" w:eastAsia="Arial" w:hAnsi="Arial"/>
                <w:sz w:val="15"/>
                <w:szCs w:val="15"/>
                <w:color w:val="auto"/>
              </w:rPr>
              <w:t>540,000</w:t>
            </w:r>
          </w:p>
        </w:tc>
        <w:tc>
          <w:tcPr>
            <w:tcW w:w="200" w:type="dxa"/>
            <w:vAlign w:val="bottom"/>
            <w:tcBorders>
              <w:bottom w:val="single" w:sz="8" w:color="99B5CB"/>
            </w:tcBorders>
          </w:tcPr>
          <w:p>
            <w:pPr>
              <w:spacing w:after="0"/>
              <w:rPr>
                <w:sz w:val="15"/>
                <w:szCs w:val="15"/>
                <w:color w:val="auto"/>
              </w:rPr>
            </w:pPr>
          </w:p>
        </w:tc>
        <w:tc>
          <w:tcPr>
            <w:tcW w:w="480" w:type="dxa"/>
            <w:vAlign w:val="bottom"/>
            <w:tcBorders>
              <w:bottom w:val="single" w:sz="8" w:color="99B5CB"/>
            </w:tcBorders>
          </w:tcPr>
          <w:p>
            <w:pPr>
              <w:spacing w:after="0"/>
              <w:rPr>
                <w:sz w:val="15"/>
                <w:szCs w:val="15"/>
                <w:color w:val="auto"/>
              </w:rPr>
            </w:pPr>
          </w:p>
        </w:tc>
        <w:tc>
          <w:tcPr>
            <w:tcW w:w="140" w:type="dxa"/>
            <w:vAlign w:val="bottom"/>
            <w:tcBorders>
              <w:bottom w:val="single" w:sz="8" w:color="99B5CB"/>
            </w:tcBorders>
          </w:tcPr>
          <w:p>
            <w:pPr>
              <w:spacing w:after="0"/>
              <w:rPr>
                <w:sz w:val="15"/>
                <w:szCs w:val="15"/>
                <w:color w:val="auto"/>
              </w:rPr>
            </w:pPr>
          </w:p>
        </w:tc>
        <w:tc>
          <w:tcPr>
            <w:tcW w:w="800" w:type="dxa"/>
            <w:vAlign w:val="bottom"/>
            <w:tcBorders>
              <w:bottom w:val="single" w:sz="8" w:color="99B5CB"/>
            </w:tcBorders>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1700" w:type="dxa"/>
            <w:vAlign w:val="bottom"/>
          </w:tcPr>
          <w:p>
            <w:pPr>
              <w:spacing w:after="0"/>
              <w:rPr>
                <w:sz w:val="15"/>
                <w:szCs w:val="15"/>
                <w:color w:val="auto"/>
              </w:rPr>
            </w:pPr>
          </w:p>
        </w:tc>
        <w:tc>
          <w:tcPr>
            <w:tcW w:w="1720" w:type="dxa"/>
            <w:vAlign w:val="bottom"/>
            <w:tcBorders>
              <w:bottom w:val="single" w:sz="8" w:color="99B5CB"/>
            </w:tcBorders>
          </w:tcPr>
          <w:p>
            <w:pPr>
              <w:jc w:val="center"/>
              <w:spacing w:after="0"/>
              <w:rPr>
                <w:sz w:val="20"/>
                <w:szCs w:val="20"/>
                <w:color w:val="auto"/>
              </w:rPr>
            </w:pPr>
            <w:r>
              <w:rPr>
                <w:rFonts w:ascii="Arial" w:cs="Arial" w:eastAsia="Arial" w:hAnsi="Arial"/>
                <w:sz w:val="15"/>
                <w:szCs w:val="15"/>
                <w:color w:val="auto"/>
              </w:rPr>
              <w:t>2020 Incentive Plan</w:t>
            </w:r>
          </w:p>
        </w:tc>
        <w:tc>
          <w:tcPr>
            <w:tcW w:w="840" w:type="dxa"/>
            <w:vAlign w:val="bottom"/>
            <w:tcBorders>
              <w:bottom w:val="single" w:sz="8" w:color="99B5CB"/>
            </w:tcBorders>
          </w:tcPr>
          <w:p>
            <w:pPr>
              <w:jc w:val="right"/>
              <w:spacing w:after="0"/>
              <w:rPr>
                <w:sz w:val="20"/>
                <w:szCs w:val="20"/>
                <w:color w:val="auto"/>
              </w:rPr>
            </w:pPr>
            <w:r>
              <w:rPr>
                <w:rFonts w:ascii="Arial" w:cs="Arial" w:eastAsia="Arial" w:hAnsi="Arial"/>
                <w:sz w:val="15"/>
                <w:szCs w:val="15"/>
                <w:color w:val="auto"/>
              </w:rPr>
              <w:t>3/2/2022</w:t>
            </w:r>
          </w:p>
        </w:tc>
        <w:tc>
          <w:tcPr>
            <w:tcW w:w="180" w:type="dxa"/>
            <w:vAlign w:val="bottom"/>
            <w:tcBorders>
              <w:bottom w:val="single" w:sz="8" w:color="99B5CB"/>
            </w:tcBorders>
          </w:tcPr>
          <w:p>
            <w:pPr>
              <w:spacing w:after="0"/>
              <w:rPr>
                <w:sz w:val="15"/>
                <w:szCs w:val="15"/>
                <w:color w:val="auto"/>
              </w:rPr>
            </w:pPr>
          </w:p>
        </w:tc>
        <w:tc>
          <w:tcPr>
            <w:tcW w:w="640" w:type="dxa"/>
            <w:vAlign w:val="bottom"/>
            <w:tcBorders>
              <w:bottom w:val="single" w:sz="8" w:color="99B5CB"/>
            </w:tcBorders>
          </w:tcPr>
          <w:p>
            <w:pPr>
              <w:spacing w:after="0"/>
              <w:rPr>
                <w:sz w:val="15"/>
                <w:szCs w:val="15"/>
                <w:color w:val="auto"/>
              </w:rPr>
            </w:pPr>
          </w:p>
        </w:tc>
        <w:tc>
          <w:tcPr>
            <w:tcW w:w="160" w:type="dxa"/>
            <w:vAlign w:val="bottom"/>
            <w:tcBorders>
              <w:bottom w:val="single" w:sz="8" w:color="99B5CB"/>
            </w:tcBorders>
          </w:tcPr>
          <w:p>
            <w:pPr>
              <w:spacing w:after="0"/>
              <w:rPr>
                <w:sz w:val="15"/>
                <w:szCs w:val="15"/>
                <w:color w:val="auto"/>
              </w:rPr>
            </w:pPr>
          </w:p>
        </w:tc>
        <w:tc>
          <w:tcPr>
            <w:tcW w:w="760" w:type="dxa"/>
            <w:vAlign w:val="bottom"/>
            <w:tcBorders>
              <w:bottom w:val="single" w:sz="8" w:color="99B5CB"/>
            </w:tcBorders>
          </w:tcPr>
          <w:p>
            <w:pPr>
              <w:spacing w:after="0"/>
              <w:rPr>
                <w:sz w:val="15"/>
                <w:szCs w:val="15"/>
                <w:color w:val="auto"/>
              </w:rPr>
            </w:pPr>
          </w:p>
        </w:tc>
        <w:tc>
          <w:tcPr>
            <w:tcW w:w="160" w:type="dxa"/>
            <w:vAlign w:val="bottom"/>
            <w:tcBorders>
              <w:bottom w:val="single" w:sz="8" w:color="99B5CB"/>
            </w:tcBorders>
          </w:tcPr>
          <w:p>
            <w:pPr>
              <w:spacing w:after="0"/>
              <w:rPr>
                <w:sz w:val="15"/>
                <w:szCs w:val="15"/>
                <w:color w:val="auto"/>
              </w:rPr>
            </w:pPr>
          </w:p>
        </w:tc>
        <w:tc>
          <w:tcPr>
            <w:tcW w:w="2760" w:type="dxa"/>
            <w:vAlign w:val="bottom"/>
            <w:tcBorders>
              <w:bottom w:val="single" w:sz="8" w:color="99B5CB"/>
            </w:tcBorders>
          </w:tcPr>
          <w:p>
            <w:pPr>
              <w:jc w:val="right"/>
              <w:ind w:right="1008"/>
              <w:spacing w:after="0" w:line="174" w:lineRule="exact"/>
              <w:rPr>
                <w:sz w:val="20"/>
                <w:szCs w:val="20"/>
                <w:color w:val="auto"/>
              </w:rPr>
            </w:pPr>
            <w:r>
              <w:rPr>
                <w:rFonts w:ascii="Arial" w:cs="Arial" w:eastAsia="Arial" w:hAnsi="Arial"/>
                <w:sz w:val="14"/>
                <w:szCs w:val="14"/>
                <w:color w:val="auto"/>
              </w:rPr>
              <w:t>24,962</w:t>
            </w:r>
            <w:r>
              <w:rPr>
                <w:rFonts w:ascii="Arial" w:cs="Arial" w:eastAsia="Arial" w:hAnsi="Arial"/>
                <w:sz w:val="20"/>
                <w:szCs w:val="20"/>
                <w:color w:val="auto"/>
                <w:vertAlign w:val="superscript"/>
              </w:rPr>
              <w:t>(2)</w:t>
            </w:r>
          </w:p>
        </w:tc>
        <w:tc>
          <w:tcPr>
            <w:tcW w:w="200" w:type="dxa"/>
            <w:vAlign w:val="bottom"/>
            <w:tcBorders>
              <w:bottom w:val="single" w:sz="8" w:color="99B5CB"/>
            </w:tcBorders>
          </w:tcPr>
          <w:p>
            <w:pPr>
              <w:spacing w:after="0"/>
              <w:rPr>
                <w:sz w:val="15"/>
                <w:szCs w:val="15"/>
                <w:color w:val="auto"/>
              </w:rPr>
            </w:pPr>
          </w:p>
        </w:tc>
        <w:tc>
          <w:tcPr>
            <w:tcW w:w="480" w:type="dxa"/>
            <w:vAlign w:val="bottom"/>
            <w:tcBorders>
              <w:bottom w:val="single" w:sz="8" w:color="99B5CB"/>
            </w:tcBorders>
          </w:tcPr>
          <w:p>
            <w:pPr>
              <w:spacing w:after="0"/>
              <w:rPr>
                <w:sz w:val="15"/>
                <w:szCs w:val="15"/>
                <w:color w:val="auto"/>
              </w:rPr>
            </w:pPr>
          </w:p>
        </w:tc>
        <w:tc>
          <w:tcPr>
            <w:tcW w:w="140" w:type="dxa"/>
            <w:vAlign w:val="bottom"/>
            <w:tcBorders>
              <w:bottom w:val="single" w:sz="8" w:color="99B5CB"/>
            </w:tcBorders>
          </w:tcPr>
          <w:p>
            <w:pPr>
              <w:jc w:val="right"/>
              <w:spacing w:after="0"/>
              <w:rPr>
                <w:sz w:val="20"/>
                <w:szCs w:val="20"/>
                <w:color w:val="auto"/>
              </w:rPr>
            </w:pPr>
            <w:r>
              <w:rPr>
                <w:rFonts w:ascii="Arial" w:cs="Arial" w:eastAsia="Arial" w:hAnsi="Arial"/>
                <w:sz w:val="15"/>
                <w:szCs w:val="15"/>
                <w:color w:val="auto"/>
              </w:rPr>
              <w:t>$</w:t>
            </w:r>
          </w:p>
        </w:tc>
        <w:tc>
          <w:tcPr>
            <w:tcW w:w="800" w:type="dxa"/>
            <w:vAlign w:val="bottom"/>
            <w:tcBorders>
              <w:bottom w:val="single" w:sz="8" w:color="99B5CB"/>
            </w:tcBorders>
          </w:tcPr>
          <w:p>
            <w:pPr>
              <w:jc w:val="right"/>
              <w:ind w:right="23"/>
              <w:spacing w:after="0"/>
              <w:rPr>
                <w:sz w:val="20"/>
                <w:szCs w:val="20"/>
                <w:color w:val="auto"/>
              </w:rPr>
            </w:pPr>
            <w:r>
              <w:rPr>
                <w:rFonts w:ascii="Arial" w:cs="Arial" w:eastAsia="Arial" w:hAnsi="Arial"/>
                <w:sz w:val="15"/>
                <w:szCs w:val="15"/>
                <w:color w:val="auto"/>
              </w:rPr>
              <w:t>499,989</w:t>
            </w:r>
          </w:p>
        </w:tc>
        <w:tc>
          <w:tcPr>
            <w:tcW w:w="0" w:type="dxa"/>
            <w:vAlign w:val="bottom"/>
          </w:tcPr>
          <w:p>
            <w:pPr>
              <w:spacing w:after="0"/>
              <w:rPr>
                <w:sz w:val="1"/>
                <w:szCs w:val="1"/>
                <w:color w:val="auto"/>
              </w:rPr>
            </w:pPr>
          </w:p>
        </w:tc>
      </w:tr>
      <w:tr>
        <w:trPr>
          <w:trHeight w:val="174"/>
        </w:trPr>
        <w:tc>
          <w:tcPr>
            <w:tcW w:w="1700" w:type="dxa"/>
            <w:vAlign w:val="bottom"/>
            <w:tcBorders>
              <w:bottom w:val="single" w:sz="8" w:color="99B5CB"/>
            </w:tcBorders>
          </w:tcPr>
          <w:p>
            <w:pPr>
              <w:spacing w:after="0"/>
              <w:rPr>
                <w:sz w:val="15"/>
                <w:szCs w:val="15"/>
                <w:color w:val="auto"/>
              </w:rPr>
            </w:pPr>
          </w:p>
        </w:tc>
        <w:tc>
          <w:tcPr>
            <w:tcW w:w="1720" w:type="dxa"/>
            <w:vAlign w:val="bottom"/>
            <w:tcBorders>
              <w:bottom w:val="single" w:sz="8" w:color="99B5CB"/>
            </w:tcBorders>
          </w:tcPr>
          <w:p>
            <w:pPr>
              <w:jc w:val="center"/>
              <w:spacing w:after="0"/>
              <w:rPr>
                <w:sz w:val="20"/>
                <w:szCs w:val="20"/>
                <w:color w:val="auto"/>
              </w:rPr>
            </w:pPr>
            <w:r>
              <w:rPr>
                <w:rFonts w:ascii="Arial" w:cs="Arial" w:eastAsia="Arial" w:hAnsi="Arial"/>
                <w:sz w:val="15"/>
                <w:szCs w:val="15"/>
                <w:color w:val="auto"/>
              </w:rPr>
              <w:t>2020 Incentive Plan</w:t>
            </w:r>
          </w:p>
        </w:tc>
        <w:tc>
          <w:tcPr>
            <w:tcW w:w="840" w:type="dxa"/>
            <w:vAlign w:val="bottom"/>
            <w:tcBorders>
              <w:bottom w:val="single" w:sz="8" w:color="99B5CB"/>
            </w:tcBorders>
          </w:tcPr>
          <w:p>
            <w:pPr>
              <w:jc w:val="right"/>
              <w:spacing w:after="0"/>
              <w:rPr>
                <w:sz w:val="20"/>
                <w:szCs w:val="20"/>
                <w:color w:val="auto"/>
              </w:rPr>
            </w:pPr>
            <w:r>
              <w:rPr>
                <w:rFonts w:ascii="Arial" w:cs="Arial" w:eastAsia="Arial" w:hAnsi="Arial"/>
                <w:sz w:val="15"/>
                <w:szCs w:val="15"/>
                <w:color w:val="auto"/>
              </w:rPr>
              <w:t>3/2/2022</w:t>
            </w:r>
          </w:p>
        </w:tc>
        <w:tc>
          <w:tcPr>
            <w:tcW w:w="180" w:type="dxa"/>
            <w:vAlign w:val="bottom"/>
            <w:tcBorders>
              <w:bottom w:val="single" w:sz="8" w:color="99B5CB"/>
            </w:tcBorders>
          </w:tcPr>
          <w:p>
            <w:pPr>
              <w:spacing w:after="0"/>
              <w:rPr>
                <w:sz w:val="15"/>
                <w:szCs w:val="15"/>
                <w:color w:val="auto"/>
              </w:rPr>
            </w:pPr>
          </w:p>
        </w:tc>
        <w:tc>
          <w:tcPr>
            <w:tcW w:w="640" w:type="dxa"/>
            <w:vAlign w:val="bottom"/>
            <w:tcBorders>
              <w:bottom w:val="single" w:sz="8" w:color="99B5CB"/>
            </w:tcBorders>
          </w:tcPr>
          <w:p>
            <w:pPr>
              <w:spacing w:after="0"/>
              <w:rPr>
                <w:sz w:val="15"/>
                <w:szCs w:val="15"/>
                <w:color w:val="auto"/>
              </w:rPr>
            </w:pPr>
          </w:p>
        </w:tc>
        <w:tc>
          <w:tcPr>
            <w:tcW w:w="160" w:type="dxa"/>
            <w:vAlign w:val="bottom"/>
            <w:tcBorders>
              <w:bottom w:val="single" w:sz="8" w:color="99B5CB"/>
            </w:tcBorders>
          </w:tcPr>
          <w:p>
            <w:pPr>
              <w:spacing w:after="0"/>
              <w:rPr>
                <w:sz w:val="15"/>
                <w:szCs w:val="15"/>
                <w:color w:val="auto"/>
              </w:rPr>
            </w:pPr>
          </w:p>
        </w:tc>
        <w:tc>
          <w:tcPr>
            <w:tcW w:w="760" w:type="dxa"/>
            <w:vAlign w:val="bottom"/>
            <w:tcBorders>
              <w:bottom w:val="single" w:sz="8" w:color="99B5CB"/>
            </w:tcBorders>
          </w:tcPr>
          <w:p>
            <w:pPr>
              <w:spacing w:after="0"/>
              <w:rPr>
                <w:sz w:val="15"/>
                <w:szCs w:val="15"/>
                <w:color w:val="auto"/>
              </w:rPr>
            </w:pPr>
          </w:p>
        </w:tc>
        <w:tc>
          <w:tcPr>
            <w:tcW w:w="160" w:type="dxa"/>
            <w:vAlign w:val="bottom"/>
            <w:tcBorders>
              <w:bottom w:val="single" w:sz="8" w:color="99B5CB"/>
            </w:tcBorders>
          </w:tcPr>
          <w:p>
            <w:pPr>
              <w:spacing w:after="0"/>
              <w:rPr>
                <w:sz w:val="15"/>
                <w:szCs w:val="15"/>
                <w:color w:val="auto"/>
              </w:rPr>
            </w:pPr>
          </w:p>
        </w:tc>
        <w:tc>
          <w:tcPr>
            <w:tcW w:w="2760" w:type="dxa"/>
            <w:vAlign w:val="bottom"/>
            <w:tcBorders>
              <w:bottom w:val="single" w:sz="8" w:color="99B5CB"/>
            </w:tcBorders>
          </w:tcPr>
          <w:p>
            <w:pPr>
              <w:jc w:val="right"/>
              <w:ind w:right="8"/>
              <w:spacing w:after="0" w:line="174" w:lineRule="exact"/>
              <w:rPr>
                <w:sz w:val="20"/>
                <w:szCs w:val="20"/>
                <w:color w:val="auto"/>
              </w:rPr>
            </w:pPr>
            <w:r>
              <w:rPr>
                <w:rFonts w:ascii="Arial" w:cs="Arial" w:eastAsia="Arial" w:hAnsi="Arial"/>
                <w:sz w:val="14"/>
                <w:szCs w:val="14"/>
                <w:color w:val="auto"/>
              </w:rPr>
              <w:t>63,857</w:t>
            </w:r>
            <w:r>
              <w:rPr>
                <w:rFonts w:ascii="Arial" w:cs="Arial" w:eastAsia="Arial" w:hAnsi="Arial"/>
                <w:sz w:val="20"/>
                <w:szCs w:val="20"/>
                <w:color w:val="auto"/>
                <w:vertAlign w:val="superscript"/>
              </w:rPr>
              <w:t>(3)</w:t>
            </w:r>
          </w:p>
        </w:tc>
        <w:tc>
          <w:tcPr>
            <w:tcW w:w="200" w:type="dxa"/>
            <w:vAlign w:val="bottom"/>
            <w:tcBorders>
              <w:bottom w:val="single" w:sz="8" w:color="99B5CB"/>
            </w:tcBorders>
          </w:tcPr>
          <w:p>
            <w:pPr>
              <w:jc w:val="right"/>
              <w:spacing w:after="0"/>
              <w:rPr>
                <w:sz w:val="20"/>
                <w:szCs w:val="20"/>
                <w:color w:val="auto"/>
              </w:rPr>
            </w:pPr>
            <w:r>
              <w:rPr>
                <w:rFonts w:ascii="Arial" w:cs="Arial" w:eastAsia="Arial" w:hAnsi="Arial"/>
                <w:sz w:val="15"/>
                <w:szCs w:val="15"/>
                <w:color w:val="auto"/>
              </w:rPr>
              <w:t>$</w:t>
            </w:r>
          </w:p>
        </w:tc>
        <w:tc>
          <w:tcPr>
            <w:tcW w:w="480" w:type="dxa"/>
            <w:vAlign w:val="bottom"/>
            <w:tcBorders>
              <w:bottom w:val="single" w:sz="8" w:color="99B5CB"/>
            </w:tcBorders>
          </w:tcPr>
          <w:p>
            <w:pPr>
              <w:jc w:val="right"/>
              <w:spacing w:after="0"/>
              <w:rPr>
                <w:sz w:val="20"/>
                <w:szCs w:val="20"/>
                <w:color w:val="auto"/>
              </w:rPr>
            </w:pPr>
            <w:r>
              <w:rPr>
                <w:rFonts w:ascii="Arial" w:cs="Arial" w:eastAsia="Arial" w:hAnsi="Arial"/>
                <w:sz w:val="15"/>
                <w:szCs w:val="15"/>
                <w:color w:val="auto"/>
              </w:rPr>
              <w:t>20.03</w:t>
            </w:r>
          </w:p>
        </w:tc>
        <w:tc>
          <w:tcPr>
            <w:tcW w:w="140" w:type="dxa"/>
            <w:vAlign w:val="bottom"/>
            <w:tcBorders>
              <w:bottom w:val="single" w:sz="8" w:color="99B5CB"/>
            </w:tcBorders>
          </w:tcPr>
          <w:p>
            <w:pPr>
              <w:jc w:val="right"/>
              <w:spacing w:after="0"/>
              <w:rPr>
                <w:sz w:val="20"/>
                <w:szCs w:val="20"/>
                <w:color w:val="auto"/>
              </w:rPr>
            </w:pPr>
            <w:r>
              <w:rPr>
                <w:rFonts w:ascii="Arial" w:cs="Arial" w:eastAsia="Arial" w:hAnsi="Arial"/>
                <w:sz w:val="15"/>
                <w:szCs w:val="15"/>
                <w:color w:val="auto"/>
              </w:rPr>
              <w:t>$</w:t>
            </w:r>
          </w:p>
        </w:tc>
        <w:tc>
          <w:tcPr>
            <w:tcW w:w="800" w:type="dxa"/>
            <w:vAlign w:val="bottom"/>
            <w:tcBorders>
              <w:bottom w:val="single" w:sz="8" w:color="99B5CB"/>
            </w:tcBorders>
          </w:tcPr>
          <w:p>
            <w:pPr>
              <w:jc w:val="right"/>
              <w:ind w:right="23"/>
              <w:spacing w:after="0"/>
              <w:rPr>
                <w:sz w:val="20"/>
                <w:szCs w:val="20"/>
                <w:color w:val="auto"/>
              </w:rPr>
            </w:pPr>
            <w:r>
              <w:rPr>
                <w:rFonts w:ascii="Arial" w:cs="Arial" w:eastAsia="Arial" w:hAnsi="Arial"/>
                <w:sz w:val="15"/>
                <w:szCs w:val="15"/>
                <w:color w:val="auto"/>
              </w:rPr>
              <w:t>497,220</w:t>
            </w:r>
          </w:p>
        </w:tc>
        <w:tc>
          <w:tcPr>
            <w:tcW w:w="0" w:type="dxa"/>
            <w:vAlign w:val="bottom"/>
          </w:tcPr>
          <w:p>
            <w:pPr>
              <w:spacing w:after="0"/>
              <w:rPr>
                <w:sz w:val="1"/>
                <w:szCs w:val="1"/>
                <w:color w:val="auto"/>
              </w:rPr>
            </w:pPr>
          </w:p>
        </w:tc>
      </w:tr>
      <w:tr>
        <w:trPr>
          <w:trHeight w:val="174"/>
        </w:trPr>
        <w:tc>
          <w:tcPr>
            <w:tcW w:w="1700" w:type="dxa"/>
            <w:vAlign w:val="bottom"/>
          </w:tcPr>
          <w:p>
            <w:pPr>
              <w:ind w:left="60"/>
              <w:spacing w:after="0"/>
              <w:rPr>
                <w:sz w:val="20"/>
                <w:szCs w:val="20"/>
                <w:color w:val="auto"/>
              </w:rPr>
            </w:pPr>
            <w:r>
              <w:rPr>
                <w:rFonts w:ascii="Arial" w:cs="Arial" w:eastAsia="Arial" w:hAnsi="Arial"/>
                <w:sz w:val="15"/>
                <w:szCs w:val="15"/>
                <w:color w:val="auto"/>
              </w:rPr>
              <w:t>Alexander Dimitrief</w:t>
            </w:r>
          </w:p>
        </w:tc>
        <w:tc>
          <w:tcPr>
            <w:tcW w:w="1720" w:type="dxa"/>
            <w:vAlign w:val="bottom"/>
            <w:tcBorders>
              <w:bottom w:val="single" w:sz="8" w:color="99B5CB"/>
            </w:tcBorders>
          </w:tcPr>
          <w:p>
            <w:pPr>
              <w:jc w:val="center"/>
              <w:spacing w:after="0"/>
              <w:rPr>
                <w:sz w:val="20"/>
                <w:szCs w:val="20"/>
                <w:color w:val="auto"/>
              </w:rPr>
            </w:pPr>
            <w:r>
              <w:rPr>
                <w:rFonts w:ascii="Arial" w:cs="Arial" w:eastAsia="Arial" w:hAnsi="Arial"/>
                <w:sz w:val="15"/>
                <w:szCs w:val="15"/>
                <w:color w:val="auto"/>
              </w:rPr>
              <w:t>Annual Incentive Plan</w:t>
            </w:r>
          </w:p>
        </w:tc>
        <w:tc>
          <w:tcPr>
            <w:tcW w:w="840" w:type="dxa"/>
            <w:vAlign w:val="bottom"/>
            <w:tcBorders>
              <w:bottom w:val="single" w:sz="8" w:color="99B5CB"/>
            </w:tcBorders>
          </w:tcPr>
          <w:p>
            <w:pPr>
              <w:jc w:val="right"/>
              <w:spacing w:after="0"/>
              <w:rPr>
                <w:sz w:val="20"/>
                <w:szCs w:val="20"/>
                <w:color w:val="auto"/>
              </w:rPr>
            </w:pPr>
            <w:r>
              <w:rPr>
                <w:rFonts w:ascii="Arial" w:cs="Arial" w:eastAsia="Arial" w:hAnsi="Arial"/>
                <w:sz w:val="15"/>
                <w:szCs w:val="15"/>
                <w:color w:val="auto"/>
              </w:rPr>
              <w:t>11/7/2022</w:t>
            </w:r>
          </w:p>
        </w:tc>
        <w:tc>
          <w:tcPr>
            <w:tcW w:w="180" w:type="dxa"/>
            <w:vAlign w:val="bottom"/>
            <w:tcBorders>
              <w:bottom w:val="single" w:sz="8" w:color="99B5CB"/>
            </w:tcBorders>
          </w:tcPr>
          <w:p>
            <w:pPr>
              <w:jc w:val="right"/>
              <w:spacing w:after="0"/>
              <w:rPr>
                <w:sz w:val="20"/>
                <w:szCs w:val="20"/>
                <w:color w:val="auto"/>
              </w:rPr>
            </w:pPr>
            <w:r>
              <w:rPr>
                <w:rFonts w:ascii="Arial" w:cs="Arial" w:eastAsia="Arial" w:hAnsi="Arial"/>
                <w:sz w:val="15"/>
                <w:szCs w:val="15"/>
                <w:color w:val="auto"/>
              </w:rPr>
              <w:t>$</w:t>
            </w:r>
          </w:p>
        </w:tc>
        <w:tc>
          <w:tcPr>
            <w:tcW w:w="640" w:type="dxa"/>
            <w:vAlign w:val="bottom"/>
            <w:tcBorders>
              <w:bottom w:val="single" w:sz="8" w:color="99B5CB"/>
            </w:tcBorders>
          </w:tcPr>
          <w:p>
            <w:pPr>
              <w:jc w:val="right"/>
              <w:ind w:right="3"/>
              <w:spacing w:after="0"/>
              <w:rPr>
                <w:sz w:val="20"/>
                <w:szCs w:val="20"/>
                <w:color w:val="auto"/>
              </w:rPr>
            </w:pPr>
            <w:r>
              <w:rPr>
                <w:rFonts w:ascii="Arial" w:cs="Arial" w:eastAsia="Arial" w:hAnsi="Arial"/>
                <w:sz w:val="15"/>
                <w:szCs w:val="15"/>
                <w:color w:val="auto"/>
              </w:rPr>
              <w:t>31,500</w:t>
            </w:r>
          </w:p>
        </w:tc>
        <w:tc>
          <w:tcPr>
            <w:tcW w:w="160" w:type="dxa"/>
            <w:vAlign w:val="bottom"/>
            <w:tcBorders>
              <w:bottom w:val="single" w:sz="8" w:color="99B5CB"/>
            </w:tcBorders>
          </w:tcPr>
          <w:p>
            <w:pPr>
              <w:jc w:val="right"/>
              <w:spacing w:after="0"/>
              <w:rPr>
                <w:sz w:val="20"/>
                <w:szCs w:val="20"/>
                <w:color w:val="auto"/>
              </w:rPr>
            </w:pPr>
            <w:r>
              <w:rPr>
                <w:rFonts w:ascii="Arial" w:cs="Arial" w:eastAsia="Arial" w:hAnsi="Arial"/>
                <w:sz w:val="15"/>
                <w:szCs w:val="15"/>
                <w:color w:val="auto"/>
              </w:rPr>
              <w:t>$</w:t>
            </w:r>
          </w:p>
        </w:tc>
        <w:tc>
          <w:tcPr>
            <w:tcW w:w="760" w:type="dxa"/>
            <w:vAlign w:val="bottom"/>
            <w:tcBorders>
              <w:bottom w:val="single" w:sz="8" w:color="99B5CB"/>
            </w:tcBorders>
          </w:tcPr>
          <w:p>
            <w:pPr>
              <w:jc w:val="right"/>
              <w:spacing w:after="0"/>
              <w:rPr>
                <w:sz w:val="20"/>
                <w:szCs w:val="20"/>
                <w:color w:val="auto"/>
              </w:rPr>
            </w:pPr>
            <w:r>
              <w:rPr>
                <w:rFonts w:ascii="Arial" w:cs="Arial" w:eastAsia="Arial" w:hAnsi="Arial"/>
                <w:sz w:val="15"/>
                <w:szCs w:val="15"/>
                <w:color w:val="auto"/>
              </w:rPr>
              <w:t>45,000</w:t>
            </w:r>
          </w:p>
        </w:tc>
        <w:tc>
          <w:tcPr>
            <w:tcW w:w="160" w:type="dxa"/>
            <w:vAlign w:val="bottom"/>
            <w:tcBorders>
              <w:bottom w:val="single" w:sz="8" w:color="99B5CB"/>
            </w:tcBorders>
          </w:tcPr>
          <w:p>
            <w:pPr>
              <w:jc w:val="right"/>
              <w:spacing w:after="0"/>
              <w:rPr>
                <w:sz w:val="20"/>
                <w:szCs w:val="20"/>
                <w:color w:val="auto"/>
              </w:rPr>
            </w:pPr>
            <w:r>
              <w:rPr>
                <w:rFonts w:ascii="Arial" w:cs="Arial" w:eastAsia="Arial" w:hAnsi="Arial"/>
                <w:sz w:val="15"/>
                <w:szCs w:val="15"/>
                <w:color w:val="auto"/>
              </w:rPr>
              <w:t>$</w:t>
            </w:r>
          </w:p>
        </w:tc>
        <w:tc>
          <w:tcPr>
            <w:tcW w:w="2760" w:type="dxa"/>
            <w:vAlign w:val="bottom"/>
            <w:tcBorders>
              <w:bottom w:val="single" w:sz="8" w:color="99B5CB"/>
            </w:tcBorders>
          </w:tcPr>
          <w:p>
            <w:pPr>
              <w:jc w:val="right"/>
              <w:ind w:right="1988"/>
              <w:spacing w:after="0"/>
              <w:rPr>
                <w:sz w:val="20"/>
                <w:szCs w:val="20"/>
                <w:color w:val="auto"/>
              </w:rPr>
            </w:pPr>
            <w:r>
              <w:rPr>
                <w:rFonts w:ascii="Arial" w:cs="Arial" w:eastAsia="Arial" w:hAnsi="Arial"/>
                <w:sz w:val="15"/>
                <w:szCs w:val="15"/>
                <w:color w:val="auto"/>
              </w:rPr>
              <w:t>90,000</w:t>
            </w:r>
          </w:p>
        </w:tc>
        <w:tc>
          <w:tcPr>
            <w:tcW w:w="200" w:type="dxa"/>
            <w:vAlign w:val="bottom"/>
            <w:tcBorders>
              <w:bottom w:val="single" w:sz="8" w:color="99B5CB"/>
            </w:tcBorders>
          </w:tcPr>
          <w:p>
            <w:pPr>
              <w:spacing w:after="0"/>
              <w:rPr>
                <w:sz w:val="15"/>
                <w:szCs w:val="15"/>
                <w:color w:val="auto"/>
              </w:rPr>
            </w:pPr>
          </w:p>
        </w:tc>
        <w:tc>
          <w:tcPr>
            <w:tcW w:w="480" w:type="dxa"/>
            <w:vAlign w:val="bottom"/>
            <w:tcBorders>
              <w:bottom w:val="single" w:sz="8" w:color="99B5CB"/>
            </w:tcBorders>
          </w:tcPr>
          <w:p>
            <w:pPr>
              <w:spacing w:after="0"/>
              <w:rPr>
                <w:sz w:val="15"/>
                <w:szCs w:val="15"/>
                <w:color w:val="auto"/>
              </w:rPr>
            </w:pPr>
          </w:p>
        </w:tc>
        <w:tc>
          <w:tcPr>
            <w:tcW w:w="140" w:type="dxa"/>
            <w:vAlign w:val="bottom"/>
            <w:tcBorders>
              <w:bottom w:val="single" w:sz="8" w:color="99B5CB"/>
            </w:tcBorders>
          </w:tcPr>
          <w:p>
            <w:pPr>
              <w:spacing w:after="0"/>
              <w:rPr>
                <w:sz w:val="15"/>
                <w:szCs w:val="15"/>
                <w:color w:val="auto"/>
              </w:rPr>
            </w:pPr>
          </w:p>
        </w:tc>
        <w:tc>
          <w:tcPr>
            <w:tcW w:w="800" w:type="dxa"/>
            <w:vAlign w:val="bottom"/>
            <w:tcBorders>
              <w:bottom w:val="single" w:sz="8" w:color="99B5CB"/>
            </w:tcBorders>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1700" w:type="dxa"/>
            <w:vAlign w:val="bottom"/>
          </w:tcPr>
          <w:p>
            <w:pPr>
              <w:spacing w:after="0"/>
              <w:rPr>
                <w:sz w:val="15"/>
                <w:szCs w:val="15"/>
                <w:color w:val="auto"/>
              </w:rPr>
            </w:pPr>
          </w:p>
        </w:tc>
        <w:tc>
          <w:tcPr>
            <w:tcW w:w="1720" w:type="dxa"/>
            <w:vAlign w:val="bottom"/>
            <w:tcBorders>
              <w:bottom w:val="single" w:sz="8" w:color="99B5CB"/>
            </w:tcBorders>
          </w:tcPr>
          <w:p>
            <w:pPr>
              <w:jc w:val="center"/>
              <w:spacing w:after="0"/>
              <w:rPr>
                <w:sz w:val="20"/>
                <w:szCs w:val="20"/>
                <w:color w:val="auto"/>
              </w:rPr>
            </w:pPr>
            <w:r>
              <w:rPr>
                <w:rFonts w:ascii="Arial" w:cs="Arial" w:eastAsia="Arial" w:hAnsi="Arial"/>
                <w:sz w:val="15"/>
                <w:szCs w:val="15"/>
                <w:color w:val="auto"/>
              </w:rPr>
              <w:t>2020 Incentive Plan</w:t>
            </w:r>
          </w:p>
        </w:tc>
        <w:tc>
          <w:tcPr>
            <w:tcW w:w="840" w:type="dxa"/>
            <w:vAlign w:val="bottom"/>
            <w:tcBorders>
              <w:bottom w:val="single" w:sz="8" w:color="99B5CB"/>
            </w:tcBorders>
          </w:tcPr>
          <w:p>
            <w:pPr>
              <w:jc w:val="right"/>
              <w:spacing w:after="0"/>
              <w:rPr>
                <w:sz w:val="20"/>
                <w:szCs w:val="20"/>
                <w:color w:val="auto"/>
              </w:rPr>
            </w:pPr>
            <w:r>
              <w:rPr>
                <w:rFonts w:ascii="Arial" w:cs="Arial" w:eastAsia="Arial" w:hAnsi="Arial"/>
                <w:sz w:val="15"/>
                <w:szCs w:val="15"/>
                <w:color w:val="auto"/>
              </w:rPr>
              <w:t>11/7/2022</w:t>
            </w:r>
          </w:p>
        </w:tc>
        <w:tc>
          <w:tcPr>
            <w:tcW w:w="180" w:type="dxa"/>
            <w:vAlign w:val="bottom"/>
            <w:tcBorders>
              <w:bottom w:val="single" w:sz="8" w:color="99B5CB"/>
            </w:tcBorders>
          </w:tcPr>
          <w:p>
            <w:pPr>
              <w:spacing w:after="0"/>
              <w:rPr>
                <w:sz w:val="15"/>
                <w:szCs w:val="15"/>
                <w:color w:val="auto"/>
              </w:rPr>
            </w:pPr>
          </w:p>
        </w:tc>
        <w:tc>
          <w:tcPr>
            <w:tcW w:w="640" w:type="dxa"/>
            <w:vAlign w:val="bottom"/>
            <w:tcBorders>
              <w:bottom w:val="single" w:sz="8" w:color="99B5CB"/>
            </w:tcBorders>
          </w:tcPr>
          <w:p>
            <w:pPr>
              <w:spacing w:after="0"/>
              <w:rPr>
                <w:sz w:val="15"/>
                <w:szCs w:val="15"/>
                <w:color w:val="auto"/>
              </w:rPr>
            </w:pPr>
          </w:p>
        </w:tc>
        <w:tc>
          <w:tcPr>
            <w:tcW w:w="160" w:type="dxa"/>
            <w:vAlign w:val="bottom"/>
            <w:tcBorders>
              <w:bottom w:val="single" w:sz="8" w:color="99B5CB"/>
            </w:tcBorders>
          </w:tcPr>
          <w:p>
            <w:pPr>
              <w:spacing w:after="0"/>
              <w:rPr>
                <w:sz w:val="15"/>
                <w:szCs w:val="15"/>
                <w:color w:val="auto"/>
              </w:rPr>
            </w:pPr>
          </w:p>
        </w:tc>
        <w:tc>
          <w:tcPr>
            <w:tcW w:w="760" w:type="dxa"/>
            <w:vAlign w:val="bottom"/>
            <w:tcBorders>
              <w:bottom w:val="single" w:sz="8" w:color="99B5CB"/>
            </w:tcBorders>
          </w:tcPr>
          <w:p>
            <w:pPr>
              <w:spacing w:after="0"/>
              <w:rPr>
                <w:sz w:val="15"/>
                <w:szCs w:val="15"/>
                <w:color w:val="auto"/>
              </w:rPr>
            </w:pPr>
          </w:p>
        </w:tc>
        <w:tc>
          <w:tcPr>
            <w:tcW w:w="160" w:type="dxa"/>
            <w:vAlign w:val="bottom"/>
            <w:tcBorders>
              <w:bottom w:val="single" w:sz="8" w:color="99B5CB"/>
            </w:tcBorders>
          </w:tcPr>
          <w:p>
            <w:pPr>
              <w:spacing w:after="0"/>
              <w:rPr>
                <w:sz w:val="15"/>
                <w:szCs w:val="15"/>
                <w:color w:val="auto"/>
              </w:rPr>
            </w:pPr>
          </w:p>
        </w:tc>
        <w:tc>
          <w:tcPr>
            <w:tcW w:w="2760" w:type="dxa"/>
            <w:vAlign w:val="bottom"/>
            <w:tcBorders>
              <w:bottom w:val="single" w:sz="8" w:color="99B5CB"/>
            </w:tcBorders>
          </w:tcPr>
          <w:p>
            <w:pPr>
              <w:jc w:val="right"/>
              <w:ind w:right="1008"/>
              <w:spacing w:after="0" w:line="174" w:lineRule="exact"/>
              <w:rPr>
                <w:sz w:val="20"/>
                <w:szCs w:val="20"/>
                <w:color w:val="auto"/>
              </w:rPr>
            </w:pPr>
            <w:r>
              <w:rPr>
                <w:rFonts w:ascii="Arial" w:cs="Arial" w:eastAsia="Arial" w:hAnsi="Arial"/>
                <w:sz w:val="14"/>
                <w:szCs w:val="14"/>
                <w:color w:val="auto"/>
              </w:rPr>
              <w:t>235,478</w:t>
            </w:r>
            <w:r>
              <w:rPr>
                <w:rFonts w:ascii="Arial" w:cs="Arial" w:eastAsia="Arial" w:hAnsi="Arial"/>
                <w:sz w:val="20"/>
                <w:szCs w:val="20"/>
                <w:color w:val="auto"/>
                <w:vertAlign w:val="superscript"/>
              </w:rPr>
              <w:t>(5)</w:t>
            </w:r>
          </w:p>
        </w:tc>
        <w:tc>
          <w:tcPr>
            <w:tcW w:w="200" w:type="dxa"/>
            <w:vAlign w:val="bottom"/>
            <w:tcBorders>
              <w:bottom w:val="single" w:sz="8" w:color="99B5CB"/>
            </w:tcBorders>
          </w:tcPr>
          <w:p>
            <w:pPr>
              <w:spacing w:after="0"/>
              <w:rPr>
                <w:sz w:val="15"/>
                <w:szCs w:val="15"/>
                <w:color w:val="auto"/>
              </w:rPr>
            </w:pPr>
          </w:p>
        </w:tc>
        <w:tc>
          <w:tcPr>
            <w:tcW w:w="480" w:type="dxa"/>
            <w:vAlign w:val="bottom"/>
            <w:tcBorders>
              <w:bottom w:val="single" w:sz="8" w:color="99B5CB"/>
            </w:tcBorders>
          </w:tcPr>
          <w:p>
            <w:pPr>
              <w:spacing w:after="0"/>
              <w:rPr>
                <w:sz w:val="15"/>
                <w:szCs w:val="15"/>
                <w:color w:val="auto"/>
              </w:rPr>
            </w:pPr>
          </w:p>
        </w:tc>
        <w:tc>
          <w:tcPr>
            <w:tcW w:w="140" w:type="dxa"/>
            <w:vAlign w:val="bottom"/>
            <w:tcBorders>
              <w:bottom w:val="single" w:sz="8" w:color="99B5CB"/>
            </w:tcBorders>
          </w:tcPr>
          <w:p>
            <w:pPr>
              <w:jc w:val="right"/>
              <w:spacing w:after="0"/>
              <w:rPr>
                <w:sz w:val="20"/>
                <w:szCs w:val="20"/>
                <w:color w:val="auto"/>
              </w:rPr>
            </w:pPr>
            <w:r>
              <w:rPr>
                <w:rFonts w:ascii="Arial" w:cs="Arial" w:eastAsia="Arial" w:hAnsi="Arial"/>
                <w:sz w:val="15"/>
                <w:szCs w:val="15"/>
                <w:color w:val="auto"/>
              </w:rPr>
              <w:t>$</w:t>
            </w:r>
          </w:p>
        </w:tc>
        <w:tc>
          <w:tcPr>
            <w:tcW w:w="800" w:type="dxa"/>
            <w:vAlign w:val="bottom"/>
            <w:tcBorders>
              <w:bottom w:val="single" w:sz="8" w:color="99B5CB"/>
            </w:tcBorders>
          </w:tcPr>
          <w:p>
            <w:pPr>
              <w:jc w:val="right"/>
              <w:ind w:right="23"/>
              <w:spacing w:after="0"/>
              <w:rPr>
                <w:sz w:val="20"/>
                <w:szCs w:val="20"/>
                <w:color w:val="auto"/>
              </w:rPr>
            </w:pPr>
            <w:r>
              <w:rPr>
                <w:rFonts w:ascii="Arial" w:cs="Arial" w:eastAsia="Arial" w:hAnsi="Arial"/>
                <w:sz w:val="15"/>
                <w:szCs w:val="15"/>
                <w:color w:val="auto"/>
              </w:rPr>
              <w:t>1,499,995</w:t>
            </w:r>
          </w:p>
        </w:tc>
        <w:tc>
          <w:tcPr>
            <w:tcW w:w="0" w:type="dxa"/>
            <w:vAlign w:val="bottom"/>
          </w:tcPr>
          <w:p>
            <w:pPr>
              <w:spacing w:after="0"/>
              <w:rPr>
                <w:sz w:val="1"/>
                <w:szCs w:val="1"/>
                <w:color w:val="auto"/>
              </w:rPr>
            </w:pPr>
          </w:p>
        </w:tc>
      </w:tr>
      <w:tr>
        <w:trPr>
          <w:trHeight w:val="174"/>
        </w:trPr>
        <w:tc>
          <w:tcPr>
            <w:tcW w:w="1700" w:type="dxa"/>
            <w:vAlign w:val="bottom"/>
            <w:tcBorders>
              <w:bottom w:val="single" w:sz="8" w:color="99B5CB"/>
            </w:tcBorders>
          </w:tcPr>
          <w:p>
            <w:pPr>
              <w:spacing w:after="0"/>
              <w:rPr>
                <w:sz w:val="15"/>
                <w:szCs w:val="15"/>
                <w:color w:val="auto"/>
              </w:rPr>
            </w:pPr>
          </w:p>
        </w:tc>
        <w:tc>
          <w:tcPr>
            <w:tcW w:w="1720" w:type="dxa"/>
            <w:vAlign w:val="bottom"/>
            <w:tcBorders>
              <w:bottom w:val="single" w:sz="8" w:color="99B5CB"/>
            </w:tcBorders>
          </w:tcPr>
          <w:p>
            <w:pPr>
              <w:jc w:val="center"/>
              <w:spacing w:after="0"/>
              <w:rPr>
                <w:sz w:val="20"/>
                <w:szCs w:val="20"/>
                <w:color w:val="auto"/>
              </w:rPr>
            </w:pPr>
            <w:r>
              <w:rPr>
                <w:rFonts w:ascii="Arial" w:cs="Arial" w:eastAsia="Arial" w:hAnsi="Arial"/>
                <w:sz w:val="15"/>
                <w:szCs w:val="15"/>
                <w:color w:val="auto"/>
              </w:rPr>
              <w:t>2020 Incentive Plan</w:t>
            </w:r>
          </w:p>
        </w:tc>
        <w:tc>
          <w:tcPr>
            <w:tcW w:w="840" w:type="dxa"/>
            <w:vAlign w:val="bottom"/>
            <w:tcBorders>
              <w:bottom w:val="single" w:sz="8" w:color="99B5CB"/>
            </w:tcBorders>
          </w:tcPr>
          <w:p>
            <w:pPr>
              <w:jc w:val="right"/>
              <w:spacing w:after="0"/>
              <w:rPr>
                <w:sz w:val="20"/>
                <w:szCs w:val="20"/>
                <w:color w:val="auto"/>
              </w:rPr>
            </w:pPr>
            <w:r>
              <w:rPr>
                <w:rFonts w:ascii="Arial" w:cs="Arial" w:eastAsia="Arial" w:hAnsi="Arial"/>
                <w:sz w:val="15"/>
                <w:szCs w:val="15"/>
                <w:color w:val="auto"/>
              </w:rPr>
              <w:t>11/7/2022</w:t>
            </w:r>
          </w:p>
        </w:tc>
        <w:tc>
          <w:tcPr>
            <w:tcW w:w="180" w:type="dxa"/>
            <w:vAlign w:val="bottom"/>
            <w:tcBorders>
              <w:bottom w:val="single" w:sz="8" w:color="99B5CB"/>
            </w:tcBorders>
          </w:tcPr>
          <w:p>
            <w:pPr>
              <w:spacing w:after="0"/>
              <w:rPr>
                <w:sz w:val="15"/>
                <w:szCs w:val="15"/>
                <w:color w:val="auto"/>
              </w:rPr>
            </w:pPr>
          </w:p>
        </w:tc>
        <w:tc>
          <w:tcPr>
            <w:tcW w:w="640" w:type="dxa"/>
            <w:vAlign w:val="bottom"/>
            <w:tcBorders>
              <w:bottom w:val="single" w:sz="8" w:color="99B5CB"/>
            </w:tcBorders>
          </w:tcPr>
          <w:p>
            <w:pPr>
              <w:spacing w:after="0"/>
              <w:rPr>
                <w:sz w:val="15"/>
                <w:szCs w:val="15"/>
                <w:color w:val="auto"/>
              </w:rPr>
            </w:pPr>
          </w:p>
        </w:tc>
        <w:tc>
          <w:tcPr>
            <w:tcW w:w="160" w:type="dxa"/>
            <w:vAlign w:val="bottom"/>
            <w:tcBorders>
              <w:bottom w:val="single" w:sz="8" w:color="99B5CB"/>
            </w:tcBorders>
          </w:tcPr>
          <w:p>
            <w:pPr>
              <w:spacing w:after="0"/>
              <w:rPr>
                <w:sz w:val="15"/>
                <w:szCs w:val="15"/>
                <w:color w:val="auto"/>
              </w:rPr>
            </w:pPr>
          </w:p>
        </w:tc>
        <w:tc>
          <w:tcPr>
            <w:tcW w:w="760" w:type="dxa"/>
            <w:vAlign w:val="bottom"/>
            <w:tcBorders>
              <w:bottom w:val="single" w:sz="8" w:color="99B5CB"/>
            </w:tcBorders>
          </w:tcPr>
          <w:p>
            <w:pPr>
              <w:spacing w:after="0"/>
              <w:rPr>
                <w:sz w:val="15"/>
                <w:szCs w:val="15"/>
                <w:color w:val="auto"/>
              </w:rPr>
            </w:pPr>
          </w:p>
        </w:tc>
        <w:tc>
          <w:tcPr>
            <w:tcW w:w="160" w:type="dxa"/>
            <w:vAlign w:val="bottom"/>
            <w:tcBorders>
              <w:bottom w:val="single" w:sz="8" w:color="99B5CB"/>
            </w:tcBorders>
          </w:tcPr>
          <w:p>
            <w:pPr>
              <w:spacing w:after="0"/>
              <w:rPr>
                <w:sz w:val="15"/>
                <w:szCs w:val="15"/>
                <w:color w:val="auto"/>
              </w:rPr>
            </w:pPr>
          </w:p>
        </w:tc>
        <w:tc>
          <w:tcPr>
            <w:tcW w:w="2760" w:type="dxa"/>
            <w:vAlign w:val="bottom"/>
            <w:tcBorders>
              <w:bottom w:val="single" w:sz="8" w:color="99B5CB"/>
            </w:tcBorders>
          </w:tcPr>
          <w:p>
            <w:pPr>
              <w:jc w:val="right"/>
              <w:ind w:right="8"/>
              <w:spacing w:after="0" w:line="174" w:lineRule="exact"/>
              <w:rPr>
                <w:sz w:val="20"/>
                <w:szCs w:val="20"/>
                <w:color w:val="auto"/>
              </w:rPr>
            </w:pPr>
            <w:r>
              <w:rPr>
                <w:rFonts w:ascii="Arial" w:cs="Arial" w:eastAsia="Arial" w:hAnsi="Arial"/>
                <w:sz w:val="14"/>
                <w:szCs w:val="14"/>
                <w:color w:val="auto"/>
              </w:rPr>
              <w:t>602,387</w:t>
            </w:r>
            <w:r>
              <w:rPr>
                <w:rFonts w:ascii="Arial" w:cs="Arial" w:eastAsia="Arial" w:hAnsi="Arial"/>
                <w:sz w:val="20"/>
                <w:szCs w:val="20"/>
                <w:color w:val="auto"/>
                <w:vertAlign w:val="superscript"/>
              </w:rPr>
              <w:t>(6)</w:t>
            </w:r>
          </w:p>
        </w:tc>
        <w:tc>
          <w:tcPr>
            <w:tcW w:w="200" w:type="dxa"/>
            <w:vAlign w:val="bottom"/>
            <w:tcBorders>
              <w:bottom w:val="single" w:sz="8" w:color="99B5CB"/>
            </w:tcBorders>
          </w:tcPr>
          <w:p>
            <w:pPr>
              <w:jc w:val="right"/>
              <w:spacing w:after="0"/>
              <w:rPr>
                <w:sz w:val="20"/>
                <w:szCs w:val="20"/>
                <w:color w:val="auto"/>
              </w:rPr>
            </w:pPr>
            <w:r>
              <w:rPr>
                <w:rFonts w:ascii="Arial" w:cs="Arial" w:eastAsia="Arial" w:hAnsi="Arial"/>
                <w:sz w:val="15"/>
                <w:szCs w:val="15"/>
                <w:color w:val="auto"/>
              </w:rPr>
              <w:t>$</w:t>
            </w:r>
          </w:p>
        </w:tc>
        <w:tc>
          <w:tcPr>
            <w:tcW w:w="480" w:type="dxa"/>
            <w:vAlign w:val="bottom"/>
            <w:tcBorders>
              <w:bottom w:val="single" w:sz="8" w:color="99B5CB"/>
            </w:tcBorders>
          </w:tcPr>
          <w:p>
            <w:pPr>
              <w:jc w:val="right"/>
              <w:spacing w:after="0"/>
              <w:rPr>
                <w:sz w:val="20"/>
                <w:szCs w:val="20"/>
                <w:color w:val="auto"/>
              </w:rPr>
            </w:pPr>
            <w:r>
              <w:rPr>
                <w:rFonts w:ascii="Arial" w:cs="Arial" w:eastAsia="Arial" w:hAnsi="Arial"/>
                <w:sz w:val="15"/>
                <w:szCs w:val="15"/>
                <w:color w:val="auto"/>
              </w:rPr>
              <w:t>6.37</w:t>
            </w:r>
          </w:p>
        </w:tc>
        <w:tc>
          <w:tcPr>
            <w:tcW w:w="140" w:type="dxa"/>
            <w:vAlign w:val="bottom"/>
            <w:tcBorders>
              <w:bottom w:val="single" w:sz="8" w:color="99B5CB"/>
            </w:tcBorders>
          </w:tcPr>
          <w:p>
            <w:pPr>
              <w:jc w:val="right"/>
              <w:spacing w:after="0"/>
              <w:rPr>
                <w:sz w:val="20"/>
                <w:szCs w:val="20"/>
                <w:color w:val="auto"/>
              </w:rPr>
            </w:pPr>
            <w:r>
              <w:rPr>
                <w:rFonts w:ascii="Arial" w:cs="Arial" w:eastAsia="Arial" w:hAnsi="Arial"/>
                <w:sz w:val="15"/>
                <w:szCs w:val="15"/>
                <w:color w:val="auto"/>
              </w:rPr>
              <w:t>$</w:t>
            </w:r>
          </w:p>
        </w:tc>
        <w:tc>
          <w:tcPr>
            <w:tcW w:w="800" w:type="dxa"/>
            <w:vAlign w:val="bottom"/>
            <w:tcBorders>
              <w:bottom w:val="single" w:sz="8" w:color="99B5CB"/>
            </w:tcBorders>
          </w:tcPr>
          <w:p>
            <w:pPr>
              <w:jc w:val="right"/>
              <w:ind w:right="23"/>
              <w:spacing w:after="0"/>
              <w:rPr>
                <w:sz w:val="20"/>
                <w:szCs w:val="20"/>
                <w:color w:val="auto"/>
              </w:rPr>
            </w:pPr>
            <w:r>
              <w:rPr>
                <w:rFonts w:ascii="Arial" w:cs="Arial" w:eastAsia="Arial" w:hAnsi="Arial"/>
                <w:sz w:val="15"/>
                <w:szCs w:val="15"/>
                <w:color w:val="auto"/>
              </w:rPr>
              <w:t>1,991,351</w:t>
            </w:r>
          </w:p>
        </w:tc>
        <w:tc>
          <w:tcPr>
            <w:tcW w:w="0" w:type="dxa"/>
            <w:vAlign w:val="bottom"/>
          </w:tcPr>
          <w:p>
            <w:pPr>
              <w:spacing w:after="0"/>
              <w:rPr>
                <w:sz w:val="1"/>
                <w:szCs w:val="1"/>
                <w:color w:val="auto"/>
              </w:rPr>
            </w:pPr>
          </w:p>
        </w:tc>
      </w:tr>
      <w:tr>
        <w:trPr>
          <w:trHeight w:val="174"/>
        </w:trPr>
        <w:tc>
          <w:tcPr>
            <w:tcW w:w="1700" w:type="dxa"/>
            <w:vAlign w:val="bottom"/>
          </w:tcPr>
          <w:p>
            <w:pPr>
              <w:ind w:left="60"/>
              <w:spacing w:after="0"/>
              <w:rPr>
                <w:sz w:val="20"/>
                <w:szCs w:val="20"/>
                <w:color w:val="auto"/>
              </w:rPr>
            </w:pPr>
            <w:r>
              <w:rPr>
                <w:rFonts w:ascii="Arial" w:cs="Arial" w:eastAsia="Arial" w:hAnsi="Arial"/>
                <w:sz w:val="15"/>
                <w:szCs w:val="15"/>
                <w:color w:val="auto"/>
              </w:rPr>
              <w:t>Matthew J. Klaben</w:t>
            </w:r>
          </w:p>
        </w:tc>
        <w:tc>
          <w:tcPr>
            <w:tcW w:w="1720" w:type="dxa"/>
            <w:vAlign w:val="bottom"/>
            <w:tcBorders>
              <w:bottom w:val="single" w:sz="8" w:color="99B5CB"/>
            </w:tcBorders>
          </w:tcPr>
          <w:p>
            <w:pPr>
              <w:jc w:val="center"/>
              <w:spacing w:after="0"/>
              <w:rPr>
                <w:sz w:val="20"/>
                <w:szCs w:val="20"/>
                <w:color w:val="auto"/>
              </w:rPr>
            </w:pPr>
            <w:r>
              <w:rPr>
                <w:rFonts w:ascii="Arial" w:cs="Arial" w:eastAsia="Arial" w:hAnsi="Arial"/>
                <w:sz w:val="15"/>
                <w:szCs w:val="15"/>
                <w:color w:val="auto"/>
              </w:rPr>
              <w:t>Annual Incentive Plan</w:t>
            </w:r>
          </w:p>
        </w:tc>
        <w:tc>
          <w:tcPr>
            <w:tcW w:w="840" w:type="dxa"/>
            <w:vAlign w:val="bottom"/>
            <w:tcBorders>
              <w:bottom w:val="single" w:sz="8" w:color="99B5CB"/>
            </w:tcBorders>
          </w:tcPr>
          <w:p>
            <w:pPr>
              <w:jc w:val="right"/>
              <w:spacing w:after="0"/>
              <w:rPr>
                <w:sz w:val="20"/>
                <w:szCs w:val="20"/>
                <w:color w:val="auto"/>
              </w:rPr>
            </w:pPr>
            <w:r>
              <w:rPr>
                <w:rFonts w:ascii="Arial" w:cs="Arial" w:eastAsia="Arial" w:hAnsi="Arial"/>
                <w:sz w:val="15"/>
                <w:szCs w:val="15"/>
                <w:color w:val="auto"/>
              </w:rPr>
              <w:t>3/2/2022</w:t>
            </w:r>
          </w:p>
        </w:tc>
        <w:tc>
          <w:tcPr>
            <w:tcW w:w="180" w:type="dxa"/>
            <w:vAlign w:val="bottom"/>
            <w:tcBorders>
              <w:bottom w:val="single" w:sz="8" w:color="99B5CB"/>
            </w:tcBorders>
          </w:tcPr>
          <w:p>
            <w:pPr>
              <w:jc w:val="right"/>
              <w:spacing w:after="0"/>
              <w:rPr>
                <w:sz w:val="20"/>
                <w:szCs w:val="20"/>
                <w:color w:val="auto"/>
              </w:rPr>
            </w:pPr>
            <w:r>
              <w:rPr>
                <w:rFonts w:ascii="Arial" w:cs="Arial" w:eastAsia="Arial" w:hAnsi="Arial"/>
                <w:sz w:val="15"/>
                <w:szCs w:val="15"/>
                <w:color w:val="auto"/>
              </w:rPr>
              <w:t>$</w:t>
            </w:r>
          </w:p>
        </w:tc>
        <w:tc>
          <w:tcPr>
            <w:tcW w:w="640" w:type="dxa"/>
            <w:vAlign w:val="bottom"/>
            <w:tcBorders>
              <w:bottom w:val="single" w:sz="8" w:color="99B5CB"/>
            </w:tcBorders>
          </w:tcPr>
          <w:p>
            <w:pPr>
              <w:jc w:val="right"/>
              <w:ind w:right="3"/>
              <w:spacing w:after="0"/>
              <w:rPr>
                <w:sz w:val="20"/>
                <w:szCs w:val="20"/>
                <w:color w:val="auto"/>
              </w:rPr>
            </w:pPr>
            <w:r>
              <w:rPr>
                <w:rFonts w:ascii="Arial" w:cs="Arial" w:eastAsia="Arial" w:hAnsi="Arial"/>
                <w:sz w:val="15"/>
                <w:szCs w:val="15"/>
                <w:color w:val="auto"/>
              </w:rPr>
              <w:t>73,912</w:t>
            </w:r>
          </w:p>
        </w:tc>
        <w:tc>
          <w:tcPr>
            <w:tcW w:w="160" w:type="dxa"/>
            <w:vAlign w:val="bottom"/>
            <w:tcBorders>
              <w:bottom w:val="single" w:sz="8" w:color="99B5CB"/>
            </w:tcBorders>
          </w:tcPr>
          <w:p>
            <w:pPr>
              <w:jc w:val="right"/>
              <w:spacing w:after="0"/>
              <w:rPr>
                <w:sz w:val="20"/>
                <w:szCs w:val="20"/>
                <w:color w:val="auto"/>
              </w:rPr>
            </w:pPr>
            <w:r>
              <w:rPr>
                <w:rFonts w:ascii="Arial" w:cs="Arial" w:eastAsia="Arial" w:hAnsi="Arial"/>
                <w:sz w:val="15"/>
                <w:szCs w:val="15"/>
                <w:color w:val="auto"/>
              </w:rPr>
              <w:t>$</w:t>
            </w:r>
          </w:p>
        </w:tc>
        <w:tc>
          <w:tcPr>
            <w:tcW w:w="760" w:type="dxa"/>
            <w:vAlign w:val="bottom"/>
            <w:tcBorders>
              <w:bottom w:val="single" w:sz="8" w:color="99B5CB"/>
            </w:tcBorders>
          </w:tcPr>
          <w:p>
            <w:pPr>
              <w:jc w:val="right"/>
              <w:spacing w:after="0"/>
              <w:rPr>
                <w:sz w:val="20"/>
                <w:szCs w:val="20"/>
                <w:color w:val="auto"/>
              </w:rPr>
            </w:pPr>
            <w:r>
              <w:rPr>
                <w:rFonts w:ascii="Arial" w:cs="Arial" w:eastAsia="Arial" w:hAnsi="Arial"/>
                <w:sz w:val="15"/>
                <w:szCs w:val="15"/>
                <w:color w:val="auto"/>
              </w:rPr>
              <w:t>105,588</w:t>
            </w:r>
          </w:p>
        </w:tc>
        <w:tc>
          <w:tcPr>
            <w:tcW w:w="160" w:type="dxa"/>
            <w:vAlign w:val="bottom"/>
            <w:tcBorders>
              <w:bottom w:val="single" w:sz="8" w:color="99B5CB"/>
            </w:tcBorders>
          </w:tcPr>
          <w:p>
            <w:pPr>
              <w:jc w:val="right"/>
              <w:spacing w:after="0"/>
              <w:rPr>
                <w:sz w:val="20"/>
                <w:szCs w:val="20"/>
                <w:color w:val="auto"/>
              </w:rPr>
            </w:pPr>
            <w:r>
              <w:rPr>
                <w:rFonts w:ascii="Arial" w:cs="Arial" w:eastAsia="Arial" w:hAnsi="Arial"/>
                <w:sz w:val="15"/>
                <w:szCs w:val="15"/>
                <w:color w:val="auto"/>
              </w:rPr>
              <w:t>$</w:t>
            </w:r>
          </w:p>
        </w:tc>
        <w:tc>
          <w:tcPr>
            <w:tcW w:w="2760" w:type="dxa"/>
            <w:vAlign w:val="bottom"/>
            <w:tcBorders>
              <w:bottom w:val="single" w:sz="8" w:color="99B5CB"/>
            </w:tcBorders>
          </w:tcPr>
          <w:p>
            <w:pPr>
              <w:jc w:val="right"/>
              <w:ind w:right="1988"/>
              <w:spacing w:after="0"/>
              <w:rPr>
                <w:sz w:val="20"/>
                <w:szCs w:val="20"/>
                <w:color w:val="auto"/>
              </w:rPr>
            </w:pPr>
            <w:r>
              <w:rPr>
                <w:rFonts w:ascii="Arial" w:cs="Arial" w:eastAsia="Arial" w:hAnsi="Arial"/>
                <w:sz w:val="15"/>
                <w:szCs w:val="15"/>
                <w:color w:val="auto"/>
              </w:rPr>
              <w:t>211,177</w:t>
            </w:r>
          </w:p>
        </w:tc>
        <w:tc>
          <w:tcPr>
            <w:tcW w:w="200" w:type="dxa"/>
            <w:vAlign w:val="bottom"/>
            <w:tcBorders>
              <w:bottom w:val="single" w:sz="8" w:color="99B5CB"/>
            </w:tcBorders>
          </w:tcPr>
          <w:p>
            <w:pPr>
              <w:spacing w:after="0"/>
              <w:rPr>
                <w:sz w:val="15"/>
                <w:szCs w:val="15"/>
                <w:color w:val="auto"/>
              </w:rPr>
            </w:pPr>
          </w:p>
        </w:tc>
        <w:tc>
          <w:tcPr>
            <w:tcW w:w="480" w:type="dxa"/>
            <w:vAlign w:val="bottom"/>
            <w:tcBorders>
              <w:bottom w:val="single" w:sz="8" w:color="99B5CB"/>
            </w:tcBorders>
          </w:tcPr>
          <w:p>
            <w:pPr>
              <w:spacing w:after="0"/>
              <w:rPr>
                <w:sz w:val="15"/>
                <w:szCs w:val="15"/>
                <w:color w:val="auto"/>
              </w:rPr>
            </w:pPr>
          </w:p>
        </w:tc>
        <w:tc>
          <w:tcPr>
            <w:tcW w:w="140" w:type="dxa"/>
            <w:vAlign w:val="bottom"/>
            <w:tcBorders>
              <w:bottom w:val="single" w:sz="8" w:color="99B5CB"/>
            </w:tcBorders>
          </w:tcPr>
          <w:p>
            <w:pPr>
              <w:spacing w:after="0"/>
              <w:rPr>
                <w:sz w:val="15"/>
                <w:szCs w:val="15"/>
                <w:color w:val="auto"/>
              </w:rPr>
            </w:pPr>
          </w:p>
        </w:tc>
        <w:tc>
          <w:tcPr>
            <w:tcW w:w="800" w:type="dxa"/>
            <w:vAlign w:val="bottom"/>
            <w:tcBorders>
              <w:bottom w:val="single" w:sz="8" w:color="99B5CB"/>
            </w:tcBorders>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1700" w:type="dxa"/>
            <w:vAlign w:val="bottom"/>
          </w:tcPr>
          <w:p>
            <w:pPr>
              <w:spacing w:after="0"/>
              <w:rPr>
                <w:sz w:val="15"/>
                <w:szCs w:val="15"/>
                <w:color w:val="auto"/>
              </w:rPr>
            </w:pPr>
          </w:p>
        </w:tc>
        <w:tc>
          <w:tcPr>
            <w:tcW w:w="1720" w:type="dxa"/>
            <w:vAlign w:val="bottom"/>
            <w:tcBorders>
              <w:bottom w:val="single" w:sz="8" w:color="99B5CB"/>
            </w:tcBorders>
          </w:tcPr>
          <w:p>
            <w:pPr>
              <w:jc w:val="center"/>
              <w:spacing w:after="0"/>
              <w:rPr>
                <w:sz w:val="20"/>
                <w:szCs w:val="20"/>
                <w:color w:val="auto"/>
              </w:rPr>
            </w:pPr>
            <w:r>
              <w:rPr>
                <w:rFonts w:ascii="Arial" w:cs="Arial" w:eastAsia="Arial" w:hAnsi="Arial"/>
                <w:sz w:val="15"/>
                <w:szCs w:val="15"/>
                <w:color w:val="auto"/>
              </w:rPr>
              <w:t>2020 Incentive Plan</w:t>
            </w:r>
          </w:p>
        </w:tc>
        <w:tc>
          <w:tcPr>
            <w:tcW w:w="840" w:type="dxa"/>
            <w:vAlign w:val="bottom"/>
            <w:tcBorders>
              <w:bottom w:val="single" w:sz="8" w:color="99B5CB"/>
            </w:tcBorders>
          </w:tcPr>
          <w:p>
            <w:pPr>
              <w:jc w:val="right"/>
              <w:spacing w:after="0"/>
              <w:rPr>
                <w:sz w:val="20"/>
                <w:szCs w:val="20"/>
                <w:color w:val="auto"/>
              </w:rPr>
            </w:pPr>
            <w:r>
              <w:rPr>
                <w:rFonts w:ascii="Arial" w:cs="Arial" w:eastAsia="Arial" w:hAnsi="Arial"/>
                <w:sz w:val="15"/>
                <w:szCs w:val="15"/>
                <w:color w:val="auto"/>
              </w:rPr>
              <w:t>3/2/2022</w:t>
            </w:r>
          </w:p>
        </w:tc>
        <w:tc>
          <w:tcPr>
            <w:tcW w:w="180" w:type="dxa"/>
            <w:vAlign w:val="bottom"/>
            <w:tcBorders>
              <w:bottom w:val="single" w:sz="8" w:color="99B5CB"/>
            </w:tcBorders>
          </w:tcPr>
          <w:p>
            <w:pPr>
              <w:spacing w:after="0"/>
              <w:rPr>
                <w:sz w:val="15"/>
                <w:szCs w:val="15"/>
                <w:color w:val="auto"/>
              </w:rPr>
            </w:pPr>
          </w:p>
        </w:tc>
        <w:tc>
          <w:tcPr>
            <w:tcW w:w="640" w:type="dxa"/>
            <w:vAlign w:val="bottom"/>
            <w:tcBorders>
              <w:bottom w:val="single" w:sz="8" w:color="99B5CB"/>
            </w:tcBorders>
          </w:tcPr>
          <w:p>
            <w:pPr>
              <w:spacing w:after="0"/>
              <w:rPr>
                <w:sz w:val="15"/>
                <w:szCs w:val="15"/>
                <w:color w:val="auto"/>
              </w:rPr>
            </w:pPr>
          </w:p>
        </w:tc>
        <w:tc>
          <w:tcPr>
            <w:tcW w:w="160" w:type="dxa"/>
            <w:vAlign w:val="bottom"/>
            <w:tcBorders>
              <w:bottom w:val="single" w:sz="8" w:color="99B5CB"/>
            </w:tcBorders>
          </w:tcPr>
          <w:p>
            <w:pPr>
              <w:spacing w:after="0"/>
              <w:rPr>
                <w:sz w:val="15"/>
                <w:szCs w:val="15"/>
                <w:color w:val="auto"/>
              </w:rPr>
            </w:pPr>
          </w:p>
        </w:tc>
        <w:tc>
          <w:tcPr>
            <w:tcW w:w="760" w:type="dxa"/>
            <w:vAlign w:val="bottom"/>
            <w:tcBorders>
              <w:bottom w:val="single" w:sz="8" w:color="99B5CB"/>
            </w:tcBorders>
          </w:tcPr>
          <w:p>
            <w:pPr>
              <w:spacing w:after="0"/>
              <w:rPr>
                <w:sz w:val="15"/>
                <w:szCs w:val="15"/>
                <w:color w:val="auto"/>
              </w:rPr>
            </w:pPr>
          </w:p>
        </w:tc>
        <w:tc>
          <w:tcPr>
            <w:tcW w:w="160" w:type="dxa"/>
            <w:vAlign w:val="bottom"/>
            <w:tcBorders>
              <w:bottom w:val="single" w:sz="8" w:color="99B5CB"/>
            </w:tcBorders>
          </w:tcPr>
          <w:p>
            <w:pPr>
              <w:spacing w:after="0"/>
              <w:rPr>
                <w:sz w:val="15"/>
                <w:szCs w:val="15"/>
                <w:color w:val="auto"/>
              </w:rPr>
            </w:pPr>
          </w:p>
        </w:tc>
        <w:tc>
          <w:tcPr>
            <w:tcW w:w="2760" w:type="dxa"/>
            <w:vAlign w:val="bottom"/>
            <w:tcBorders>
              <w:bottom w:val="single" w:sz="8" w:color="99B5CB"/>
            </w:tcBorders>
          </w:tcPr>
          <w:p>
            <w:pPr>
              <w:jc w:val="right"/>
              <w:ind w:right="1008"/>
              <w:spacing w:after="0" w:line="174" w:lineRule="exact"/>
              <w:rPr>
                <w:sz w:val="20"/>
                <w:szCs w:val="20"/>
                <w:color w:val="auto"/>
              </w:rPr>
            </w:pPr>
            <w:r>
              <w:rPr>
                <w:rFonts w:ascii="Arial" w:cs="Arial" w:eastAsia="Arial" w:hAnsi="Arial"/>
                <w:sz w:val="14"/>
                <w:szCs w:val="14"/>
                <w:color w:val="auto"/>
              </w:rPr>
              <w:t>8,736</w:t>
            </w:r>
            <w:r>
              <w:rPr>
                <w:rFonts w:ascii="Arial" w:cs="Arial" w:eastAsia="Arial" w:hAnsi="Arial"/>
                <w:sz w:val="20"/>
                <w:szCs w:val="20"/>
                <w:color w:val="auto"/>
                <w:vertAlign w:val="superscript"/>
              </w:rPr>
              <w:t>(2)</w:t>
            </w:r>
          </w:p>
        </w:tc>
        <w:tc>
          <w:tcPr>
            <w:tcW w:w="200" w:type="dxa"/>
            <w:vAlign w:val="bottom"/>
            <w:tcBorders>
              <w:bottom w:val="single" w:sz="8" w:color="99B5CB"/>
            </w:tcBorders>
          </w:tcPr>
          <w:p>
            <w:pPr>
              <w:spacing w:after="0"/>
              <w:rPr>
                <w:sz w:val="15"/>
                <w:szCs w:val="15"/>
                <w:color w:val="auto"/>
              </w:rPr>
            </w:pPr>
          </w:p>
        </w:tc>
        <w:tc>
          <w:tcPr>
            <w:tcW w:w="480" w:type="dxa"/>
            <w:vAlign w:val="bottom"/>
            <w:tcBorders>
              <w:bottom w:val="single" w:sz="8" w:color="99B5CB"/>
            </w:tcBorders>
          </w:tcPr>
          <w:p>
            <w:pPr>
              <w:spacing w:after="0"/>
              <w:rPr>
                <w:sz w:val="15"/>
                <w:szCs w:val="15"/>
                <w:color w:val="auto"/>
              </w:rPr>
            </w:pPr>
          </w:p>
        </w:tc>
        <w:tc>
          <w:tcPr>
            <w:tcW w:w="140" w:type="dxa"/>
            <w:vAlign w:val="bottom"/>
            <w:tcBorders>
              <w:bottom w:val="single" w:sz="8" w:color="99B5CB"/>
            </w:tcBorders>
          </w:tcPr>
          <w:p>
            <w:pPr>
              <w:jc w:val="right"/>
              <w:spacing w:after="0"/>
              <w:rPr>
                <w:sz w:val="20"/>
                <w:szCs w:val="20"/>
                <w:color w:val="auto"/>
              </w:rPr>
            </w:pPr>
            <w:r>
              <w:rPr>
                <w:rFonts w:ascii="Arial" w:cs="Arial" w:eastAsia="Arial" w:hAnsi="Arial"/>
                <w:sz w:val="15"/>
                <w:szCs w:val="15"/>
                <w:color w:val="auto"/>
              </w:rPr>
              <w:t>$</w:t>
            </w:r>
          </w:p>
        </w:tc>
        <w:tc>
          <w:tcPr>
            <w:tcW w:w="800" w:type="dxa"/>
            <w:vAlign w:val="bottom"/>
            <w:tcBorders>
              <w:bottom w:val="single" w:sz="8" w:color="99B5CB"/>
            </w:tcBorders>
          </w:tcPr>
          <w:p>
            <w:pPr>
              <w:jc w:val="right"/>
              <w:ind w:right="23"/>
              <w:spacing w:after="0"/>
              <w:rPr>
                <w:sz w:val="20"/>
                <w:szCs w:val="20"/>
                <w:color w:val="auto"/>
              </w:rPr>
            </w:pPr>
            <w:r>
              <w:rPr>
                <w:rFonts w:ascii="Arial" w:cs="Arial" w:eastAsia="Arial" w:hAnsi="Arial"/>
                <w:sz w:val="15"/>
                <w:szCs w:val="15"/>
                <w:color w:val="auto"/>
              </w:rPr>
              <w:t>174,982</w:t>
            </w:r>
          </w:p>
        </w:tc>
        <w:tc>
          <w:tcPr>
            <w:tcW w:w="0" w:type="dxa"/>
            <w:vAlign w:val="bottom"/>
          </w:tcPr>
          <w:p>
            <w:pPr>
              <w:spacing w:after="0"/>
              <w:rPr>
                <w:sz w:val="1"/>
                <w:szCs w:val="1"/>
                <w:color w:val="auto"/>
              </w:rPr>
            </w:pPr>
          </w:p>
        </w:tc>
      </w:tr>
      <w:tr>
        <w:trPr>
          <w:trHeight w:val="174"/>
        </w:trPr>
        <w:tc>
          <w:tcPr>
            <w:tcW w:w="1700" w:type="dxa"/>
            <w:vAlign w:val="bottom"/>
          </w:tcPr>
          <w:p>
            <w:pPr>
              <w:spacing w:after="0"/>
              <w:rPr>
                <w:sz w:val="15"/>
                <w:szCs w:val="15"/>
                <w:color w:val="auto"/>
              </w:rPr>
            </w:pPr>
          </w:p>
        </w:tc>
        <w:tc>
          <w:tcPr>
            <w:tcW w:w="1720" w:type="dxa"/>
            <w:vAlign w:val="bottom"/>
            <w:tcBorders>
              <w:bottom w:val="single" w:sz="8" w:color="99B5CB"/>
            </w:tcBorders>
          </w:tcPr>
          <w:p>
            <w:pPr>
              <w:jc w:val="center"/>
              <w:spacing w:after="0"/>
              <w:rPr>
                <w:sz w:val="20"/>
                <w:szCs w:val="20"/>
                <w:color w:val="auto"/>
              </w:rPr>
            </w:pPr>
            <w:r>
              <w:rPr>
                <w:rFonts w:ascii="Arial" w:cs="Arial" w:eastAsia="Arial" w:hAnsi="Arial"/>
                <w:sz w:val="15"/>
                <w:szCs w:val="15"/>
                <w:color w:val="auto"/>
              </w:rPr>
              <w:t>2020 Incentive Plan</w:t>
            </w:r>
          </w:p>
        </w:tc>
        <w:tc>
          <w:tcPr>
            <w:tcW w:w="840" w:type="dxa"/>
            <w:vAlign w:val="bottom"/>
            <w:tcBorders>
              <w:bottom w:val="single" w:sz="8" w:color="99B5CB"/>
            </w:tcBorders>
          </w:tcPr>
          <w:p>
            <w:pPr>
              <w:jc w:val="right"/>
              <w:spacing w:after="0"/>
              <w:rPr>
                <w:sz w:val="20"/>
                <w:szCs w:val="20"/>
                <w:color w:val="auto"/>
              </w:rPr>
            </w:pPr>
            <w:r>
              <w:rPr>
                <w:rFonts w:ascii="Arial" w:cs="Arial" w:eastAsia="Arial" w:hAnsi="Arial"/>
                <w:sz w:val="15"/>
                <w:szCs w:val="15"/>
                <w:color w:val="auto"/>
              </w:rPr>
              <w:t>3/2/2022</w:t>
            </w:r>
          </w:p>
        </w:tc>
        <w:tc>
          <w:tcPr>
            <w:tcW w:w="180" w:type="dxa"/>
            <w:vAlign w:val="bottom"/>
            <w:tcBorders>
              <w:bottom w:val="single" w:sz="8" w:color="99B5CB"/>
            </w:tcBorders>
          </w:tcPr>
          <w:p>
            <w:pPr>
              <w:spacing w:after="0"/>
              <w:rPr>
                <w:sz w:val="15"/>
                <w:szCs w:val="15"/>
                <w:color w:val="auto"/>
              </w:rPr>
            </w:pPr>
          </w:p>
        </w:tc>
        <w:tc>
          <w:tcPr>
            <w:tcW w:w="640" w:type="dxa"/>
            <w:vAlign w:val="bottom"/>
            <w:tcBorders>
              <w:bottom w:val="single" w:sz="8" w:color="99B5CB"/>
            </w:tcBorders>
          </w:tcPr>
          <w:p>
            <w:pPr>
              <w:spacing w:after="0"/>
              <w:rPr>
                <w:sz w:val="15"/>
                <w:szCs w:val="15"/>
                <w:color w:val="auto"/>
              </w:rPr>
            </w:pPr>
          </w:p>
        </w:tc>
        <w:tc>
          <w:tcPr>
            <w:tcW w:w="160" w:type="dxa"/>
            <w:vAlign w:val="bottom"/>
            <w:tcBorders>
              <w:bottom w:val="single" w:sz="8" w:color="99B5CB"/>
            </w:tcBorders>
          </w:tcPr>
          <w:p>
            <w:pPr>
              <w:spacing w:after="0"/>
              <w:rPr>
                <w:sz w:val="15"/>
                <w:szCs w:val="15"/>
                <w:color w:val="auto"/>
              </w:rPr>
            </w:pPr>
          </w:p>
        </w:tc>
        <w:tc>
          <w:tcPr>
            <w:tcW w:w="760" w:type="dxa"/>
            <w:vAlign w:val="bottom"/>
            <w:tcBorders>
              <w:bottom w:val="single" w:sz="8" w:color="99B5CB"/>
            </w:tcBorders>
          </w:tcPr>
          <w:p>
            <w:pPr>
              <w:spacing w:after="0"/>
              <w:rPr>
                <w:sz w:val="15"/>
                <w:szCs w:val="15"/>
                <w:color w:val="auto"/>
              </w:rPr>
            </w:pPr>
          </w:p>
        </w:tc>
        <w:tc>
          <w:tcPr>
            <w:tcW w:w="160" w:type="dxa"/>
            <w:vAlign w:val="bottom"/>
            <w:tcBorders>
              <w:bottom w:val="single" w:sz="8" w:color="99B5CB"/>
            </w:tcBorders>
          </w:tcPr>
          <w:p>
            <w:pPr>
              <w:spacing w:after="0"/>
              <w:rPr>
                <w:sz w:val="15"/>
                <w:szCs w:val="15"/>
                <w:color w:val="auto"/>
              </w:rPr>
            </w:pPr>
          </w:p>
        </w:tc>
        <w:tc>
          <w:tcPr>
            <w:tcW w:w="2760" w:type="dxa"/>
            <w:vAlign w:val="bottom"/>
            <w:tcBorders>
              <w:bottom w:val="single" w:sz="8" w:color="99B5CB"/>
            </w:tcBorders>
          </w:tcPr>
          <w:p>
            <w:pPr>
              <w:jc w:val="right"/>
              <w:ind w:right="8"/>
              <w:spacing w:after="0" w:line="174" w:lineRule="exact"/>
              <w:rPr>
                <w:sz w:val="20"/>
                <w:szCs w:val="20"/>
                <w:color w:val="auto"/>
              </w:rPr>
            </w:pPr>
            <w:r>
              <w:rPr>
                <w:rFonts w:ascii="Arial" w:cs="Arial" w:eastAsia="Arial" w:hAnsi="Arial"/>
                <w:sz w:val="14"/>
                <w:szCs w:val="14"/>
                <w:color w:val="auto"/>
              </w:rPr>
              <w:t>22,350</w:t>
            </w:r>
            <w:r>
              <w:rPr>
                <w:rFonts w:ascii="Arial" w:cs="Arial" w:eastAsia="Arial" w:hAnsi="Arial"/>
                <w:sz w:val="20"/>
                <w:szCs w:val="20"/>
                <w:color w:val="auto"/>
                <w:vertAlign w:val="superscript"/>
              </w:rPr>
              <w:t>(3)</w:t>
            </w:r>
          </w:p>
        </w:tc>
        <w:tc>
          <w:tcPr>
            <w:tcW w:w="200" w:type="dxa"/>
            <w:vAlign w:val="bottom"/>
            <w:tcBorders>
              <w:bottom w:val="single" w:sz="8" w:color="99B5CB"/>
            </w:tcBorders>
          </w:tcPr>
          <w:p>
            <w:pPr>
              <w:jc w:val="right"/>
              <w:spacing w:after="0"/>
              <w:rPr>
                <w:sz w:val="20"/>
                <w:szCs w:val="20"/>
                <w:color w:val="auto"/>
              </w:rPr>
            </w:pPr>
            <w:r>
              <w:rPr>
                <w:rFonts w:ascii="Arial" w:cs="Arial" w:eastAsia="Arial" w:hAnsi="Arial"/>
                <w:sz w:val="15"/>
                <w:szCs w:val="15"/>
                <w:color w:val="auto"/>
              </w:rPr>
              <w:t>$</w:t>
            </w:r>
          </w:p>
        </w:tc>
        <w:tc>
          <w:tcPr>
            <w:tcW w:w="480" w:type="dxa"/>
            <w:vAlign w:val="bottom"/>
            <w:tcBorders>
              <w:bottom w:val="single" w:sz="8" w:color="99B5CB"/>
            </w:tcBorders>
          </w:tcPr>
          <w:p>
            <w:pPr>
              <w:jc w:val="right"/>
              <w:spacing w:after="0"/>
              <w:rPr>
                <w:sz w:val="20"/>
                <w:szCs w:val="20"/>
                <w:color w:val="auto"/>
              </w:rPr>
            </w:pPr>
            <w:r>
              <w:rPr>
                <w:rFonts w:ascii="Arial" w:cs="Arial" w:eastAsia="Arial" w:hAnsi="Arial"/>
                <w:sz w:val="15"/>
                <w:szCs w:val="15"/>
                <w:color w:val="auto"/>
              </w:rPr>
              <w:t>20.03</w:t>
            </w:r>
          </w:p>
        </w:tc>
        <w:tc>
          <w:tcPr>
            <w:tcW w:w="140" w:type="dxa"/>
            <w:vAlign w:val="bottom"/>
            <w:tcBorders>
              <w:bottom w:val="single" w:sz="8" w:color="99B5CB"/>
            </w:tcBorders>
          </w:tcPr>
          <w:p>
            <w:pPr>
              <w:jc w:val="right"/>
              <w:spacing w:after="0"/>
              <w:rPr>
                <w:sz w:val="20"/>
                <w:szCs w:val="20"/>
                <w:color w:val="auto"/>
              </w:rPr>
            </w:pPr>
            <w:r>
              <w:rPr>
                <w:rFonts w:ascii="Arial" w:cs="Arial" w:eastAsia="Arial" w:hAnsi="Arial"/>
                <w:sz w:val="15"/>
                <w:szCs w:val="15"/>
                <w:color w:val="auto"/>
              </w:rPr>
              <w:t>$</w:t>
            </w:r>
          </w:p>
        </w:tc>
        <w:tc>
          <w:tcPr>
            <w:tcW w:w="800" w:type="dxa"/>
            <w:vAlign w:val="bottom"/>
            <w:tcBorders>
              <w:bottom w:val="single" w:sz="8" w:color="99B5CB"/>
            </w:tcBorders>
          </w:tcPr>
          <w:p>
            <w:pPr>
              <w:jc w:val="right"/>
              <w:ind w:right="23"/>
              <w:spacing w:after="0"/>
              <w:rPr>
                <w:sz w:val="20"/>
                <w:szCs w:val="20"/>
                <w:color w:val="auto"/>
              </w:rPr>
            </w:pPr>
            <w:r>
              <w:rPr>
                <w:rFonts w:ascii="Arial" w:cs="Arial" w:eastAsia="Arial" w:hAnsi="Arial"/>
                <w:sz w:val="15"/>
                <w:szCs w:val="15"/>
                <w:color w:val="auto"/>
              </w:rPr>
              <w:t>174,027</w:t>
            </w:r>
          </w:p>
        </w:tc>
        <w:tc>
          <w:tcPr>
            <w:tcW w:w="0" w:type="dxa"/>
            <w:vAlign w:val="bottom"/>
          </w:tcPr>
          <w:p>
            <w:pPr>
              <w:spacing w:after="0"/>
              <w:rPr>
                <w:sz w:val="1"/>
                <w:szCs w:val="1"/>
                <w:color w:val="auto"/>
              </w:rPr>
            </w:pPr>
          </w:p>
        </w:tc>
      </w:tr>
      <w:tr>
        <w:trPr>
          <w:trHeight w:val="174"/>
        </w:trPr>
        <w:tc>
          <w:tcPr>
            <w:tcW w:w="1700" w:type="dxa"/>
            <w:vAlign w:val="bottom"/>
            <w:tcBorders>
              <w:bottom w:val="single" w:sz="8" w:color="99B5CB"/>
            </w:tcBorders>
          </w:tcPr>
          <w:p>
            <w:pPr>
              <w:spacing w:after="0"/>
              <w:rPr>
                <w:sz w:val="15"/>
                <w:szCs w:val="15"/>
                <w:color w:val="auto"/>
              </w:rPr>
            </w:pPr>
          </w:p>
        </w:tc>
        <w:tc>
          <w:tcPr>
            <w:tcW w:w="1720" w:type="dxa"/>
            <w:vAlign w:val="bottom"/>
            <w:tcBorders>
              <w:bottom w:val="single" w:sz="8" w:color="99B5CB"/>
            </w:tcBorders>
          </w:tcPr>
          <w:p>
            <w:pPr>
              <w:jc w:val="center"/>
              <w:spacing w:after="0"/>
              <w:rPr>
                <w:sz w:val="20"/>
                <w:szCs w:val="20"/>
                <w:color w:val="auto"/>
              </w:rPr>
            </w:pPr>
            <w:r>
              <w:rPr>
                <w:rFonts w:ascii="Arial" w:cs="Arial" w:eastAsia="Arial" w:hAnsi="Arial"/>
                <w:sz w:val="15"/>
                <w:szCs w:val="15"/>
                <w:color w:val="auto"/>
              </w:rPr>
              <w:t>2020 Incentive Plan</w:t>
            </w:r>
          </w:p>
        </w:tc>
        <w:tc>
          <w:tcPr>
            <w:tcW w:w="840" w:type="dxa"/>
            <w:vAlign w:val="bottom"/>
            <w:tcBorders>
              <w:bottom w:val="single" w:sz="8" w:color="99B5CB"/>
            </w:tcBorders>
          </w:tcPr>
          <w:p>
            <w:pPr>
              <w:jc w:val="right"/>
              <w:spacing w:after="0"/>
              <w:rPr>
                <w:sz w:val="20"/>
                <w:szCs w:val="20"/>
                <w:color w:val="auto"/>
              </w:rPr>
            </w:pPr>
            <w:r>
              <w:rPr>
                <w:rFonts w:ascii="Arial" w:cs="Arial" w:eastAsia="Arial" w:hAnsi="Arial"/>
                <w:sz w:val="15"/>
                <w:szCs w:val="15"/>
                <w:color w:val="auto"/>
              </w:rPr>
              <w:t>11/7/2022</w:t>
            </w:r>
          </w:p>
        </w:tc>
        <w:tc>
          <w:tcPr>
            <w:tcW w:w="180" w:type="dxa"/>
            <w:vAlign w:val="bottom"/>
            <w:tcBorders>
              <w:bottom w:val="single" w:sz="8" w:color="99B5CB"/>
            </w:tcBorders>
          </w:tcPr>
          <w:p>
            <w:pPr>
              <w:spacing w:after="0"/>
              <w:rPr>
                <w:sz w:val="15"/>
                <w:szCs w:val="15"/>
                <w:color w:val="auto"/>
              </w:rPr>
            </w:pPr>
          </w:p>
        </w:tc>
        <w:tc>
          <w:tcPr>
            <w:tcW w:w="640" w:type="dxa"/>
            <w:vAlign w:val="bottom"/>
            <w:tcBorders>
              <w:bottom w:val="single" w:sz="8" w:color="99B5CB"/>
            </w:tcBorders>
          </w:tcPr>
          <w:p>
            <w:pPr>
              <w:spacing w:after="0"/>
              <w:rPr>
                <w:sz w:val="15"/>
                <w:szCs w:val="15"/>
                <w:color w:val="auto"/>
              </w:rPr>
            </w:pPr>
          </w:p>
        </w:tc>
        <w:tc>
          <w:tcPr>
            <w:tcW w:w="160" w:type="dxa"/>
            <w:vAlign w:val="bottom"/>
            <w:tcBorders>
              <w:bottom w:val="single" w:sz="8" w:color="99B5CB"/>
            </w:tcBorders>
          </w:tcPr>
          <w:p>
            <w:pPr>
              <w:spacing w:after="0"/>
              <w:rPr>
                <w:sz w:val="15"/>
                <w:szCs w:val="15"/>
                <w:color w:val="auto"/>
              </w:rPr>
            </w:pPr>
          </w:p>
        </w:tc>
        <w:tc>
          <w:tcPr>
            <w:tcW w:w="760" w:type="dxa"/>
            <w:vAlign w:val="bottom"/>
            <w:tcBorders>
              <w:bottom w:val="single" w:sz="8" w:color="99B5CB"/>
            </w:tcBorders>
          </w:tcPr>
          <w:p>
            <w:pPr>
              <w:spacing w:after="0"/>
              <w:rPr>
                <w:sz w:val="15"/>
                <w:szCs w:val="15"/>
                <w:color w:val="auto"/>
              </w:rPr>
            </w:pPr>
          </w:p>
        </w:tc>
        <w:tc>
          <w:tcPr>
            <w:tcW w:w="160" w:type="dxa"/>
            <w:vAlign w:val="bottom"/>
            <w:tcBorders>
              <w:bottom w:val="single" w:sz="8" w:color="99B5CB"/>
            </w:tcBorders>
          </w:tcPr>
          <w:p>
            <w:pPr>
              <w:spacing w:after="0"/>
              <w:rPr>
                <w:sz w:val="15"/>
                <w:szCs w:val="15"/>
                <w:color w:val="auto"/>
              </w:rPr>
            </w:pPr>
          </w:p>
        </w:tc>
        <w:tc>
          <w:tcPr>
            <w:tcW w:w="2760" w:type="dxa"/>
            <w:vAlign w:val="bottom"/>
            <w:tcBorders>
              <w:bottom w:val="single" w:sz="8" w:color="99B5CB"/>
            </w:tcBorders>
          </w:tcPr>
          <w:p>
            <w:pPr>
              <w:jc w:val="right"/>
              <w:ind w:right="1008"/>
              <w:spacing w:after="0" w:line="174" w:lineRule="exact"/>
              <w:rPr>
                <w:sz w:val="20"/>
                <w:szCs w:val="20"/>
                <w:color w:val="auto"/>
              </w:rPr>
            </w:pPr>
            <w:r>
              <w:rPr>
                <w:rFonts w:ascii="Arial" w:cs="Arial" w:eastAsia="Arial" w:hAnsi="Arial"/>
                <w:sz w:val="14"/>
                <w:szCs w:val="14"/>
                <w:color w:val="auto"/>
              </w:rPr>
              <w:t>41,208</w:t>
            </w:r>
            <w:r>
              <w:rPr>
                <w:rFonts w:ascii="Arial" w:cs="Arial" w:eastAsia="Arial" w:hAnsi="Arial"/>
                <w:sz w:val="20"/>
                <w:szCs w:val="20"/>
                <w:color w:val="auto"/>
                <w:vertAlign w:val="superscript"/>
              </w:rPr>
              <w:t>(7)</w:t>
            </w:r>
          </w:p>
        </w:tc>
        <w:tc>
          <w:tcPr>
            <w:tcW w:w="200" w:type="dxa"/>
            <w:vAlign w:val="bottom"/>
            <w:tcBorders>
              <w:bottom w:val="single" w:sz="8" w:color="99B5CB"/>
            </w:tcBorders>
          </w:tcPr>
          <w:p>
            <w:pPr>
              <w:spacing w:after="0"/>
              <w:rPr>
                <w:sz w:val="15"/>
                <w:szCs w:val="15"/>
                <w:color w:val="auto"/>
              </w:rPr>
            </w:pPr>
          </w:p>
        </w:tc>
        <w:tc>
          <w:tcPr>
            <w:tcW w:w="480" w:type="dxa"/>
            <w:vAlign w:val="bottom"/>
            <w:tcBorders>
              <w:bottom w:val="single" w:sz="8" w:color="99B5CB"/>
            </w:tcBorders>
          </w:tcPr>
          <w:p>
            <w:pPr>
              <w:spacing w:after="0"/>
              <w:rPr>
                <w:sz w:val="15"/>
                <w:szCs w:val="15"/>
                <w:color w:val="auto"/>
              </w:rPr>
            </w:pPr>
          </w:p>
        </w:tc>
        <w:tc>
          <w:tcPr>
            <w:tcW w:w="140" w:type="dxa"/>
            <w:vAlign w:val="bottom"/>
            <w:tcBorders>
              <w:bottom w:val="single" w:sz="8" w:color="99B5CB"/>
            </w:tcBorders>
          </w:tcPr>
          <w:p>
            <w:pPr>
              <w:jc w:val="right"/>
              <w:spacing w:after="0"/>
              <w:rPr>
                <w:sz w:val="20"/>
                <w:szCs w:val="20"/>
                <w:color w:val="auto"/>
              </w:rPr>
            </w:pPr>
            <w:r>
              <w:rPr>
                <w:rFonts w:ascii="Arial" w:cs="Arial" w:eastAsia="Arial" w:hAnsi="Arial"/>
                <w:sz w:val="15"/>
                <w:szCs w:val="15"/>
                <w:color w:val="auto"/>
              </w:rPr>
              <w:t>$</w:t>
            </w:r>
          </w:p>
        </w:tc>
        <w:tc>
          <w:tcPr>
            <w:tcW w:w="800" w:type="dxa"/>
            <w:vAlign w:val="bottom"/>
            <w:tcBorders>
              <w:bottom w:val="single" w:sz="8" w:color="99B5CB"/>
            </w:tcBorders>
          </w:tcPr>
          <w:p>
            <w:pPr>
              <w:jc w:val="right"/>
              <w:ind w:right="23"/>
              <w:spacing w:after="0"/>
              <w:rPr>
                <w:sz w:val="20"/>
                <w:szCs w:val="20"/>
                <w:color w:val="auto"/>
              </w:rPr>
            </w:pPr>
            <w:r>
              <w:rPr>
                <w:rFonts w:ascii="Arial" w:cs="Arial" w:eastAsia="Arial" w:hAnsi="Arial"/>
                <w:sz w:val="15"/>
                <w:szCs w:val="15"/>
                <w:color w:val="auto"/>
              </w:rPr>
              <w:t>262,500</w:t>
            </w:r>
          </w:p>
        </w:tc>
        <w:tc>
          <w:tcPr>
            <w:tcW w:w="0" w:type="dxa"/>
            <w:vAlign w:val="bottom"/>
          </w:tcPr>
          <w:p>
            <w:pPr>
              <w:spacing w:after="0"/>
              <w:rPr>
                <w:sz w:val="1"/>
                <w:szCs w:val="1"/>
                <w:color w:val="auto"/>
              </w:rPr>
            </w:pPr>
          </w:p>
        </w:tc>
      </w:tr>
      <w:tr>
        <w:trPr>
          <w:trHeight w:val="174"/>
        </w:trPr>
        <w:tc>
          <w:tcPr>
            <w:tcW w:w="1700" w:type="dxa"/>
            <w:vAlign w:val="bottom"/>
          </w:tcPr>
          <w:p>
            <w:pPr>
              <w:ind w:left="60"/>
              <w:spacing w:after="0"/>
              <w:rPr>
                <w:sz w:val="20"/>
                <w:szCs w:val="20"/>
                <w:color w:val="auto"/>
              </w:rPr>
            </w:pPr>
            <w:r>
              <w:rPr>
                <w:rFonts w:ascii="Arial" w:cs="Arial" w:eastAsia="Arial" w:hAnsi="Arial"/>
                <w:sz w:val="15"/>
                <w:szCs w:val="15"/>
                <w:color w:val="auto"/>
              </w:rPr>
              <w:t>Scott J. Leffler</w:t>
            </w:r>
          </w:p>
        </w:tc>
        <w:tc>
          <w:tcPr>
            <w:tcW w:w="1720" w:type="dxa"/>
            <w:vAlign w:val="bottom"/>
            <w:tcBorders>
              <w:bottom w:val="single" w:sz="8" w:color="99B5CB"/>
            </w:tcBorders>
          </w:tcPr>
          <w:p>
            <w:pPr>
              <w:jc w:val="center"/>
              <w:spacing w:after="0"/>
              <w:rPr>
                <w:sz w:val="20"/>
                <w:szCs w:val="20"/>
                <w:color w:val="auto"/>
              </w:rPr>
            </w:pPr>
            <w:r>
              <w:rPr>
                <w:rFonts w:ascii="Arial" w:cs="Arial" w:eastAsia="Arial" w:hAnsi="Arial"/>
                <w:sz w:val="15"/>
                <w:szCs w:val="15"/>
                <w:color w:val="auto"/>
              </w:rPr>
              <w:t>Annual Incentive Plan</w:t>
            </w:r>
          </w:p>
        </w:tc>
        <w:tc>
          <w:tcPr>
            <w:tcW w:w="840" w:type="dxa"/>
            <w:vAlign w:val="bottom"/>
            <w:tcBorders>
              <w:bottom w:val="single" w:sz="8" w:color="99B5CB"/>
            </w:tcBorders>
          </w:tcPr>
          <w:p>
            <w:pPr>
              <w:jc w:val="right"/>
              <w:spacing w:after="0"/>
              <w:rPr>
                <w:sz w:val="20"/>
                <w:szCs w:val="20"/>
                <w:color w:val="auto"/>
              </w:rPr>
            </w:pPr>
            <w:r>
              <w:rPr>
                <w:rFonts w:ascii="Arial" w:cs="Arial" w:eastAsia="Arial" w:hAnsi="Arial"/>
                <w:sz w:val="15"/>
                <w:szCs w:val="15"/>
                <w:color w:val="auto"/>
              </w:rPr>
              <w:t>3/2/2022</w:t>
            </w:r>
          </w:p>
        </w:tc>
        <w:tc>
          <w:tcPr>
            <w:tcW w:w="180" w:type="dxa"/>
            <w:vAlign w:val="bottom"/>
            <w:tcBorders>
              <w:bottom w:val="single" w:sz="8" w:color="99B5CB"/>
            </w:tcBorders>
          </w:tcPr>
          <w:p>
            <w:pPr>
              <w:jc w:val="right"/>
              <w:spacing w:after="0"/>
              <w:rPr>
                <w:sz w:val="20"/>
                <w:szCs w:val="20"/>
                <w:color w:val="auto"/>
              </w:rPr>
            </w:pPr>
            <w:r>
              <w:rPr>
                <w:rFonts w:ascii="Arial" w:cs="Arial" w:eastAsia="Arial" w:hAnsi="Arial"/>
                <w:sz w:val="15"/>
                <w:szCs w:val="15"/>
                <w:color w:val="auto"/>
              </w:rPr>
              <w:t>$</w:t>
            </w:r>
          </w:p>
        </w:tc>
        <w:tc>
          <w:tcPr>
            <w:tcW w:w="640" w:type="dxa"/>
            <w:vAlign w:val="bottom"/>
            <w:tcBorders>
              <w:bottom w:val="single" w:sz="8" w:color="99B5CB"/>
            </w:tcBorders>
          </w:tcPr>
          <w:p>
            <w:pPr>
              <w:jc w:val="right"/>
              <w:ind w:right="3"/>
              <w:spacing w:after="0"/>
              <w:rPr>
                <w:sz w:val="20"/>
                <w:szCs w:val="20"/>
                <w:color w:val="auto"/>
              </w:rPr>
            </w:pPr>
            <w:r>
              <w:rPr>
                <w:rFonts w:ascii="Arial" w:cs="Arial" w:eastAsia="Arial" w:hAnsi="Arial"/>
                <w:sz w:val="15"/>
                <w:szCs w:val="15"/>
                <w:color w:val="auto"/>
                <w:w w:val="99"/>
              </w:rPr>
              <w:t>245,000</w:t>
            </w:r>
          </w:p>
        </w:tc>
        <w:tc>
          <w:tcPr>
            <w:tcW w:w="160" w:type="dxa"/>
            <w:vAlign w:val="bottom"/>
            <w:tcBorders>
              <w:bottom w:val="single" w:sz="8" w:color="99B5CB"/>
            </w:tcBorders>
          </w:tcPr>
          <w:p>
            <w:pPr>
              <w:jc w:val="right"/>
              <w:spacing w:after="0"/>
              <w:rPr>
                <w:sz w:val="20"/>
                <w:szCs w:val="20"/>
                <w:color w:val="auto"/>
              </w:rPr>
            </w:pPr>
            <w:r>
              <w:rPr>
                <w:rFonts w:ascii="Arial" w:cs="Arial" w:eastAsia="Arial" w:hAnsi="Arial"/>
                <w:sz w:val="15"/>
                <w:szCs w:val="15"/>
                <w:color w:val="auto"/>
              </w:rPr>
              <w:t>$</w:t>
            </w:r>
          </w:p>
        </w:tc>
        <w:tc>
          <w:tcPr>
            <w:tcW w:w="760" w:type="dxa"/>
            <w:vAlign w:val="bottom"/>
            <w:tcBorders>
              <w:bottom w:val="single" w:sz="8" w:color="99B5CB"/>
            </w:tcBorders>
          </w:tcPr>
          <w:p>
            <w:pPr>
              <w:jc w:val="right"/>
              <w:spacing w:after="0"/>
              <w:rPr>
                <w:sz w:val="20"/>
                <w:szCs w:val="20"/>
                <w:color w:val="auto"/>
              </w:rPr>
            </w:pPr>
            <w:r>
              <w:rPr>
                <w:rFonts w:ascii="Arial" w:cs="Arial" w:eastAsia="Arial" w:hAnsi="Arial"/>
                <w:sz w:val="15"/>
                <w:szCs w:val="15"/>
                <w:color w:val="auto"/>
              </w:rPr>
              <w:t>350,000</w:t>
            </w:r>
          </w:p>
        </w:tc>
        <w:tc>
          <w:tcPr>
            <w:tcW w:w="160" w:type="dxa"/>
            <w:vAlign w:val="bottom"/>
            <w:tcBorders>
              <w:bottom w:val="single" w:sz="8" w:color="99B5CB"/>
            </w:tcBorders>
          </w:tcPr>
          <w:p>
            <w:pPr>
              <w:jc w:val="right"/>
              <w:spacing w:after="0"/>
              <w:rPr>
                <w:sz w:val="20"/>
                <w:szCs w:val="20"/>
                <w:color w:val="auto"/>
              </w:rPr>
            </w:pPr>
            <w:r>
              <w:rPr>
                <w:rFonts w:ascii="Arial" w:cs="Arial" w:eastAsia="Arial" w:hAnsi="Arial"/>
                <w:sz w:val="15"/>
                <w:szCs w:val="15"/>
                <w:color w:val="auto"/>
              </w:rPr>
              <w:t>$</w:t>
            </w:r>
          </w:p>
        </w:tc>
        <w:tc>
          <w:tcPr>
            <w:tcW w:w="2760" w:type="dxa"/>
            <w:vAlign w:val="bottom"/>
            <w:tcBorders>
              <w:bottom w:val="single" w:sz="8" w:color="99B5CB"/>
            </w:tcBorders>
          </w:tcPr>
          <w:p>
            <w:pPr>
              <w:jc w:val="right"/>
              <w:ind w:right="1988"/>
              <w:spacing w:after="0"/>
              <w:rPr>
                <w:sz w:val="20"/>
                <w:szCs w:val="20"/>
                <w:color w:val="auto"/>
              </w:rPr>
            </w:pPr>
            <w:r>
              <w:rPr>
                <w:rFonts w:ascii="Arial" w:cs="Arial" w:eastAsia="Arial" w:hAnsi="Arial"/>
                <w:sz w:val="15"/>
                <w:szCs w:val="15"/>
                <w:color w:val="auto"/>
              </w:rPr>
              <w:t>700,000</w:t>
            </w:r>
          </w:p>
        </w:tc>
        <w:tc>
          <w:tcPr>
            <w:tcW w:w="200" w:type="dxa"/>
            <w:vAlign w:val="bottom"/>
            <w:tcBorders>
              <w:bottom w:val="single" w:sz="8" w:color="99B5CB"/>
            </w:tcBorders>
          </w:tcPr>
          <w:p>
            <w:pPr>
              <w:spacing w:after="0"/>
              <w:rPr>
                <w:sz w:val="15"/>
                <w:szCs w:val="15"/>
                <w:color w:val="auto"/>
              </w:rPr>
            </w:pPr>
          </w:p>
        </w:tc>
        <w:tc>
          <w:tcPr>
            <w:tcW w:w="480" w:type="dxa"/>
            <w:vAlign w:val="bottom"/>
            <w:tcBorders>
              <w:bottom w:val="single" w:sz="8" w:color="99B5CB"/>
            </w:tcBorders>
          </w:tcPr>
          <w:p>
            <w:pPr>
              <w:spacing w:after="0"/>
              <w:rPr>
                <w:sz w:val="15"/>
                <w:szCs w:val="15"/>
                <w:color w:val="auto"/>
              </w:rPr>
            </w:pPr>
          </w:p>
        </w:tc>
        <w:tc>
          <w:tcPr>
            <w:tcW w:w="140" w:type="dxa"/>
            <w:vAlign w:val="bottom"/>
            <w:tcBorders>
              <w:bottom w:val="single" w:sz="8" w:color="99B5CB"/>
            </w:tcBorders>
          </w:tcPr>
          <w:p>
            <w:pPr>
              <w:spacing w:after="0"/>
              <w:rPr>
                <w:sz w:val="15"/>
                <w:szCs w:val="15"/>
                <w:color w:val="auto"/>
              </w:rPr>
            </w:pPr>
          </w:p>
        </w:tc>
        <w:tc>
          <w:tcPr>
            <w:tcW w:w="800" w:type="dxa"/>
            <w:vAlign w:val="bottom"/>
            <w:tcBorders>
              <w:bottom w:val="single" w:sz="8" w:color="99B5CB"/>
            </w:tcBorders>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1700" w:type="dxa"/>
            <w:vAlign w:val="bottom"/>
          </w:tcPr>
          <w:p>
            <w:pPr>
              <w:spacing w:after="0"/>
              <w:rPr>
                <w:sz w:val="15"/>
                <w:szCs w:val="15"/>
                <w:color w:val="auto"/>
              </w:rPr>
            </w:pPr>
          </w:p>
        </w:tc>
        <w:tc>
          <w:tcPr>
            <w:tcW w:w="1720" w:type="dxa"/>
            <w:vAlign w:val="bottom"/>
            <w:tcBorders>
              <w:bottom w:val="single" w:sz="8" w:color="99B5CB"/>
            </w:tcBorders>
          </w:tcPr>
          <w:p>
            <w:pPr>
              <w:jc w:val="center"/>
              <w:spacing w:after="0"/>
              <w:rPr>
                <w:sz w:val="20"/>
                <w:szCs w:val="20"/>
                <w:color w:val="auto"/>
              </w:rPr>
            </w:pPr>
            <w:r>
              <w:rPr>
                <w:rFonts w:ascii="Arial" w:cs="Arial" w:eastAsia="Arial" w:hAnsi="Arial"/>
                <w:sz w:val="15"/>
                <w:szCs w:val="15"/>
                <w:color w:val="auto"/>
              </w:rPr>
              <w:t>2020 Incentive Plan</w:t>
            </w:r>
          </w:p>
        </w:tc>
        <w:tc>
          <w:tcPr>
            <w:tcW w:w="840" w:type="dxa"/>
            <w:vAlign w:val="bottom"/>
            <w:tcBorders>
              <w:bottom w:val="single" w:sz="8" w:color="99B5CB"/>
            </w:tcBorders>
          </w:tcPr>
          <w:p>
            <w:pPr>
              <w:jc w:val="right"/>
              <w:spacing w:after="0"/>
              <w:rPr>
                <w:sz w:val="20"/>
                <w:szCs w:val="20"/>
                <w:color w:val="auto"/>
              </w:rPr>
            </w:pPr>
            <w:r>
              <w:rPr>
                <w:rFonts w:ascii="Arial" w:cs="Arial" w:eastAsia="Arial" w:hAnsi="Arial"/>
                <w:sz w:val="15"/>
                <w:szCs w:val="15"/>
                <w:color w:val="auto"/>
              </w:rPr>
              <w:t>3/2/2022</w:t>
            </w:r>
          </w:p>
        </w:tc>
        <w:tc>
          <w:tcPr>
            <w:tcW w:w="180" w:type="dxa"/>
            <w:vAlign w:val="bottom"/>
            <w:tcBorders>
              <w:bottom w:val="single" w:sz="8" w:color="99B5CB"/>
            </w:tcBorders>
          </w:tcPr>
          <w:p>
            <w:pPr>
              <w:spacing w:after="0"/>
              <w:rPr>
                <w:sz w:val="15"/>
                <w:szCs w:val="15"/>
                <w:color w:val="auto"/>
              </w:rPr>
            </w:pPr>
          </w:p>
        </w:tc>
        <w:tc>
          <w:tcPr>
            <w:tcW w:w="640" w:type="dxa"/>
            <w:vAlign w:val="bottom"/>
            <w:tcBorders>
              <w:bottom w:val="single" w:sz="8" w:color="99B5CB"/>
            </w:tcBorders>
          </w:tcPr>
          <w:p>
            <w:pPr>
              <w:spacing w:after="0"/>
              <w:rPr>
                <w:sz w:val="15"/>
                <w:szCs w:val="15"/>
                <w:color w:val="auto"/>
              </w:rPr>
            </w:pPr>
          </w:p>
        </w:tc>
        <w:tc>
          <w:tcPr>
            <w:tcW w:w="160" w:type="dxa"/>
            <w:vAlign w:val="bottom"/>
            <w:tcBorders>
              <w:bottom w:val="single" w:sz="8" w:color="99B5CB"/>
            </w:tcBorders>
          </w:tcPr>
          <w:p>
            <w:pPr>
              <w:spacing w:after="0"/>
              <w:rPr>
                <w:sz w:val="15"/>
                <w:szCs w:val="15"/>
                <w:color w:val="auto"/>
              </w:rPr>
            </w:pPr>
          </w:p>
        </w:tc>
        <w:tc>
          <w:tcPr>
            <w:tcW w:w="760" w:type="dxa"/>
            <w:vAlign w:val="bottom"/>
            <w:tcBorders>
              <w:bottom w:val="single" w:sz="8" w:color="99B5CB"/>
            </w:tcBorders>
          </w:tcPr>
          <w:p>
            <w:pPr>
              <w:spacing w:after="0"/>
              <w:rPr>
                <w:sz w:val="15"/>
                <w:szCs w:val="15"/>
                <w:color w:val="auto"/>
              </w:rPr>
            </w:pPr>
          </w:p>
        </w:tc>
        <w:tc>
          <w:tcPr>
            <w:tcW w:w="160" w:type="dxa"/>
            <w:vAlign w:val="bottom"/>
            <w:tcBorders>
              <w:bottom w:val="single" w:sz="8" w:color="99B5CB"/>
            </w:tcBorders>
          </w:tcPr>
          <w:p>
            <w:pPr>
              <w:spacing w:after="0"/>
              <w:rPr>
                <w:sz w:val="15"/>
                <w:szCs w:val="15"/>
                <w:color w:val="auto"/>
              </w:rPr>
            </w:pPr>
          </w:p>
        </w:tc>
        <w:tc>
          <w:tcPr>
            <w:tcW w:w="2760" w:type="dxa"/>
            <w:vAlign w:val="bottom"/>
            <w:tcBorders>
              <w:bottom w:val="single" w:sz="8" w:color="99B5CB"/>
            </w:tcBorders>
          </w:tcPr>
          <w:p>
            <w:pPr>
              <w:jc w:val="right"/>
              <w:ind w:right="1008"/>
              <w:spacing w:after="0" w:line="174" w:lineRule="exact"/>
              <w:rPr>
                <w:sz w:val="20"/>
                <w:szCs w:val="20"/>
                <w:color w:val="auto"/>
              </w:rPr>
            </w:pPr>
            <w:r>
              <w:rPr>
                <w:rFonts w:ascii="Arial" w:cs="Arial" w:eastAsia="Arial" w:hAnsi="Arial"/>
                <w:sz w:val="14"/>
                <w:szCs w:val="14"/>
                <w:color w:val="auto"/>
              </w:rPr>
              <w:t>37,443</w:t>
            </w:r>
            <w:r>
              <w:rPr>
                <w:rFonts w:ascii="Arial" w:cs="Arial" w:eastAsia="Arial" w:hAnsi="Arial"/>
                <w:sz w:val="20"/>
                <w:szCs w:val="20"/>
                <w:color w:val="auto"/>
                <w:vertAlign w:val="superscript"/>
              </w:rPr>
              <w:t>(2)</w:t>
            </w:r>
          </w:p>
        </w:tc>
        <w:tc>
          <w:tcPr>
            <w:tcW w:w="200" w:type="dxa"/>
            <w:vAlign w:val="bottom"/>
            <w:tcBorders>
              <w:bottom w:val="single" w:sz="8" w:color="99B5CB"/>
            </w:tcBorders>
          </w:tcPr>
          <w:p>
            <w:pPr>
              <w:spacing w:after="0"/>
              <w:rPr>
                <w:sz w:val="15"/>
                <w:szCs w:val="15"/>
                <w:color w:val="auto"/>
              </w:rPr>
            </w:pPr>
          </w:p>
        </w:tc>
        <w:tc>
          <w:tcPr>
            <w:tcW w:w="480" w:type="dxa"/>
            <w:vAlign w:val="bottom"/>
            <w:tcBorders>
              <w:bottom w:val="single" w:sz="8" w:color="99B5CB"/>
            </w:tcBorders>
          </w:tcPr>
          <w:p>
            <w:pPr>
              <w:spacing w:after="0"/>
              <w:rPr>
                <w:sz w:val="15"/>
                <w:szCs w:val="15"/>
                <w:color w:val="auto"/>
              </w:rPr>
            </w:pPr>
          </w:p>
        </w:tc>
        <w:tc>
          <w:tcPr>
            <w:tcW w:w="140" w:type="dxa"/>
            <w:vAlign w:val="bottom"/>
            <w:tcBorders>
              <w:bottom w:val="single" w:sz="8" w:color="99B5CB"/>
            </w:tcBorders>
          </w:tcPr>
          <w:p>
            <w:pPr>
              <w:jc w:val="right"/>
              <w:spacing w:after="0"/>
              <w:rPr>
                <w:sz w:val="20"/>
                <w:szCs w:val="20"/>
                <w:color w:val="auto"/>
              </w:rPr>
            </w:pPr>
            <w:r>
              <w:rPr>
                <w:rFonts w:ascii="Arial" w:cs="Arial" w:eastAsia="Arial" w:hAnsi="Arial"/>
                <w:sz w:val="15"/>
                <w:szCs w:val="15"/>
                <w:color w:val="auto"/>
              </w:rPr>
              <w:t>$</w:t>
            </w:r>
          </w:p>
        </w:tc>
        <w:tc>
          <w:tcPr>
            <w:tcW w:w="800" w:type="dxa"/>
            <w:vAlign w:val="bottom"/>
            <w:tcBorders>
              <w:bottom w:val="single" w:sz="8" w:color="99B5CB"/>
            </w:tcBorders>
          </w:tcPr>
          <w:p>
            <w:pPr>
              <w:jc w:val="right"/>
              <w:ind w:right="23"/>
              <w:spacing w:after="0"/>
              <w:rPr>
                <w:sz w:val="20"/>
                <w:szCs w:val="20"/>
                <w:color w:val="auto"/>
              </w:rPr>
            </w:pPr>
            <w:r>
              <w:rPr>
                <w:rFonts w:ascii="Arial" w:cs="Arial" w:eastAsia="Arial" w:hAnsi="Arial"/>
                <w:sz w:val="15"/>
                <w:szCs w:val="15"/>
                <w:color w:val="auto"/>
              </w:rPr>
              <w:t>749,983</w:t>
            </w:r>
          </w:p>
        </w:tc>
        <w:tc>
          <w:tcPr>
            <w:tcW w:w="0" w:type="dxa"/>
            <w:vAlign w:val="bottom"/>
          </w:tcPr>
          <w:p>
            <w:pPr>
              <w:spacing w:after="0"/>
              <w:rPr>
                <w:sz w:val="1"/>
                <w:szCs w:val="1"/>
                <w:color w:val="auto"/>
              </w:rPr>
            </w:pPr>
          </w:p>
        </w:tc>
      </w:tr>
      <w:tr>
        <w:trPr>
          <w:trHeight w:val="174"/>
        </w:trPr>
        <w:tc>
          <w:tcPr>
            <w:tcW w:w="1700" w:type="dxa"/>
            <w:vAlign w:val="bottom"/>
            <w:tcBorders>
              <w:bottom w:val="single" w:sz="8" w:color="99B5CB"/>
            </w:tcBorders>
          </w:tcPr>
          <w:p>
            <w:pPr>
              <w:spacing w:after="0"/>
              <w:rPr>
                <w:sz w:val="15"/>
                <w:szCs w:val="15"/>
                <w:color w:val="auto"/>
              </w:rPr>
            </w:pPr>
          </w:p>
        </w:tc>
        <w:tc>
          <w:tcPr>
            <w:tcW w:w="1720" w:type="dxa"/>
            <w:vAlign w:val="bottom"/>
            <w:tcBorders>
              <w:bottom w:val="single" w:sz="8" w:color="99B5CB"/>
            </w:tcBorders>
          </w:tcPr>
          <w:p>
            <w:pPr>
              <w:jc w:val="center"/>
              <w:spacing w:after="0"/>
              <w:rPr>
                <w:sz w:val="20"/>
                <w:szCs w:val="20"/>
                <w:color w:val="auto"/>
              </w:rPr>
            </w:pPr>
            <w:r>
              <w:rPr>
                <w:rFonts w:ascii="Arial" w:cs="Arial" w:eastAsia="Arial" w:hAnsi="Arial"/>
                <w:sz w:val="15"/>
                <w:szCs w:val="15"/>
                <w:color w:val="auto"/>
              </w:rPr>
              <w:t>2020 Incentive Plan</w:t>
            </w:r>
          </w:p>
        </w:tc>
        <w:tc>
          <w:tcPr>
            <w:tcW w:w="840" w:type="dxa"/>
            <w:vAlign w:val="bottom"/>
            <w:tcBorders>
              <w:bottom w:val="single" w:sz="8" w:color="99B5CB"/>
            </w:tcBorders>
          </w:tcPr>
          <w:p>
            <w:pPr>
              <w:jc w:val="right"/>
              <w:spacing w:after="0"/>
              <w:rPr>
                <w:sz w:val="20"/>
                <w:szCs w:val="20"/>
                <w:color w:val="auto"/>
              </w:rPr>
            </w:pPr>
            <w:r>
              <w:rPr>
                <w:rFonts w:ascii="Arial" w:cs="Arial" w:eastAsia="Arial" w:hAnsi="Arial"/>
                <w:sz w:val="15"/>
                <w:szCs w:val="15"/>
                <w:color w:val="auto"/>
              </w:rPr>
              <w:t>3/2/2022</w:t>
            </w:r>
          </w:p>
        </w:tc>
        <w:tc>
          <w:tcPr>
            <w:tcW w:w="180" w:type="dxa"/>
            <w:vAlign w:val="bottom"/>
            <w:tcBorders>
              <w:bottom w:val="single" w:sz="8" w:color="99B5CB"/>
            </w:tcBorders>
          </w:tcPr>
          <w:p>
            <w:pPr>
              <w:spacing w:after="0"/>
              <w:rPr>
                <w:sz w:val="15"/>
                <w:szCs w:val="15"/>
                <w:color w:val="auto"/>
              </w:rPr>
            </w:pPr>
          </w:p>
        </w:tc>
        <w:tc>
          <w:tcPr>
            <w:tcW w:w="640" w:type="dxa"/>
            <w:vAlign w:val="bottom"/>
            <w:tcBorders>
              <w:bottom w:val="single" w:sz="8" w:color="99B5CB"/>
            </w:tcBorders>
          </w:tcPr>
          <w:p>
            <w:pPr>
              <w:spacing w:after="0"/>
              <w:rPr>
                <w:sz w:val="15"/>
                <w:szCs w:val="15"/>
                <w:color w:val="auto"/>
              </w:rPr>
            </w:pPr>
          </w:p>
        </w:tc>
        <w:tc>
          <w:tcPr>
            <w:tcW w:w="160" w:type="dxa"/>
            <w:vAlign w:val="bottom"/>
            <w:tcBorders>
              <w:bottom w:val="single" w:sz="8" w:color="99B5CB"/>
            </w:tcBorders>
          </w:tcPr>
          <w:p>
            <w:pPr>
              <w:spacing w:after="0"/>
              <w:rPr>
                <w:sz w:val="15"/>
                <w:szCs w:val="15"/>
                <w:color w:val="auto"/>
              </w:rPr>
            </w:pPr>
          </w:p>
        </w:tc>
        <w:tc>
          <w:tcPr>
            <w:tcW w:w="760" w:type="dxa"/>
            <w:vAlign w:val="bottom"/>
            <w:tcBorders>
              <w:bottom w:val="single" w:sz="8" w:color="99B5CB"/>
            </w:tcBorders>
          </w:tcPr>
          <w:p>
            <w:pPr>
              <w:spacing w:after="0"/>
              <w:rPr>
                <w:sz w:val="15"/>
                <w:szCs w:val="15"/>
                <w:color w:val="auto"/>
              </w:rPr>
            </w:pPr>
          </w:p>
        </w:tc>
        <w:tc>
          <w:tcPr>
            <w:tcW w:w="160" w:type="dxa"/>
            <w:vAlign w:val="bottom"/>
            <w:tcBorders>
              <w:bottom w:val="single" w:sz="8" w:color="99B5CB"/>
            </w:tcBorders>
          </w:tcPr>
          <w:p>
            <w:pPr>
              <w:spacing w:after="0"/>
              <w:rPr>
                <w:sz w:val="15"/>
                <w:szCs w:val="15"/>
                <w:color w:val="auto"/>
              </w:rPr>
            </w:pPr>
          </w:p>
        </w:tc>
        <w:tc>
          <w:tcPr>
            <w:tcW w:w="2760" w:type="dxa"/>
            <w:vAlign w:val="bottom"/>
            <w:tcBorders>
              <w:bottom w:val="single" w:sz="8" w:color="99B5CB"/>
            </w:tcBorders>
          </w:tcPr>
          <w:p>
            <w:pPr>
              <w:jc w:val="right"/>
              <w:ind w:right="8"/>
              <w:spacing w:after="0" w:line="174" w:lineRule="exact"/>
              <w:rPr>
                <w:sz w:val="20"/>
                <w:szCs w:val="20"/>
                <w:color w:val="auto"/>
              </w:rPr>
            </w:pPr>
            <w:r>
              <w:rPr>
                <w:rFonts w:ascii="Arial" w:cs="Arial" w:eastAsia="Arial" w:hAnsi="Arial"/>
                <w:sz w:val="14"/>
                <w:szCs w:val="14"/>
                <w:color w:val="auto"/>
              </w:rPr>
              <w:t>95,786</w:t>
            </w:r>
            <w:r>
              <w:rPr>
                <w:rFonts w:ascii="Arial" w:cs="Arial" w:eastAsia="Arial" w:hAnsi="Arial"/>
                <w:sz w:val="20"/>
                <w:szCs w:val="20"/>
                <w:color w:val="auto"/>
                <w:vertAlign w:val="superscript"/>
              </w:rPr>
              <w:t>(3)</w:t>
            </w:r>
          </w:p>
        </w:tc>
        <w:tc>
          <w:tcPr>
            <w:tcW w:w="200" w:type="dxa"/>
            <w:vAlign w:val="bottom"/>
            <w:tcBorders>
              <w:bottom w:val="single" w:sz="8" w:color="99B5CB"/>
            </w:tcBorders>
          </w:tcPr>
          <w:p>
            <w:pPr>
              <w:jc w:val="right"/>
              <w:spacing w:after="0"/>
              <w:rPr>
                <w:sz w:val="20"/>
                <w:szCs w:val="20"/>
                <w:color w:val="auto"/>
              </w:rPr>
            </w:pPr>
            <w:r>
              <w:rPr>
                <w:rFonts w:ascii="Arial" w:cs="Arial" w:eastAsia="Arial" w:hAnsi="Arial"/>
                <w:sz w:val="15"/>
                <w:szCs w:val="15"/>
                <w:color w:val="auto"/>
              </w:rPr>
              <w:t>$</w:t>
            </w:r>
          </w:p>
        </w:tc>
        <w:tc>
          <w:tcPr>
            <w:tcW w:w="480" w:type="dxa"/>
            <w:vAlign w:val="bottom"/>
            <w:tcBorders>
              <w:bottom w:val="single" w:sz="8" w:color="99B5CB"/>
            </w:tcBorders>
          </w:tcPr>
          <w:p>
            <w:pPr>
              <w:jc w:val="right"/>
              <w:spacing w:after="0"/>
              <w:rPr>
                <w:sz w:val="20"/>
                <w:szCs w:val="20"/>
                <w:color w:val="auto"/>
              </w:rPr>
            </w:pPr>
            <w:r>
              <w:rPr>
                <w:rFonts w:ascii="Arial" w:cs="Arial" w:eastAsia="Arial" w:hAnsi="Arial"/>
                <w:sz w:val="15"/>
                <w:szCs w:val="15"/>
                <w:color w:val="auto"/>
              </w:rPr>
              <w:t>20.03</w:t>
            </w:r>
          </w:p>
        </w:tc>
        <w:tc>
          <w:tcPr>
            <w:tcW w:w="140" w:type="dxa"/>
            <w:vAlign w:val="bottom"/>
            <w:tcBorders>
              <w:bottom w:val="single" w:sz="8" w:color="99B5CB"/>
            </w:tcBorders>
          </w:tcPr>
          <w:p>
            <w:pPr>
              <w:jc w:val="right"/>
              <w:spacing w:after="0"/>
              <w:rPr>
                <w:sz w:val="20"/>
                <w:szCs w:val="20"/>
                <w:color w:val="auto"/>
              </w:rPr>
            </w:pPr>
            <w:r>
              <w:rPr>
                <w:rFonts w:ascii="Arial" w:cs="Arial" w:eastAsia="Arial" w:hAnsi="Arial"/>
                <w:sz w:val="15"/>
                <w:szCs w:val="15"/>
                <w:color w:val="auto"/>
              </w:rPr>
              <w:t>$</w:t>
            </w:r>
          </w:p>
        </w:tc>
        <w:tc>
          <w:tcPr>
            <w:tcW w:w="800" w:type="dxa"/>
            <w:vAlign w:val="bottom"/>
            <w:tcBorders>
              <w:bottom w:val="single" w:sz="8" w:color="99B5CB"/>
            </w:tcBorders>
          </w:tcPr>
          <w:p>
            <w:pPr>
              <w:jc w:val="right"/>
              <w:ind w:right="23"/>
              <w:spacing w:after="0"/>
              <w:rPr>
                <w:sz w:val="20"/>
                <w:szCs w:val="20"/>
                <w:color w:val="auto"/>
              </w:rPr>
            </w:pPr>
            <w:r>
              <w:rPr>
                <w:rFonts w:ascii="Arial" w:cs="Arial" w:eastAsia="Arial" w:hAnsi="Arial"/>
                <w:sz w:val="15"/>
                <w:szCs w:val="15"/>
                <w:color w:val="auto"/>
              </w:rPr>
              <w:t>745,834</w:t>
            </w:r>
          </w:p>
        </w:tc>
        <w:tc>
          <w:tcPr>
            <w:tcW w:w="0" w:type="dxa"/>
            <w:vAlign w:val="bottom"/>
          </w:tcPr>
          <w:p>
            <w:pPr>
              <w:spacing w:after="0"/>
              <w:rPr>
                <w:sz w:val="1"/>
                <w:szCs w:val="1"/>
                <w:color w:val="auto"/>
              </w:rPr>
            </w:pPr>
          </w:p>
        </w:tc>
      </w:tr>
      <w:tr>
        <w:trPr>
          <w:trHeight w:val="200"/>
        </w:trPr>
        <w:tc>
          <w:tcPr>
            <w:tcW w:w="1700" w:type="dxa"/>
            <w:vAlign w:val="bottom"/>
          </w:tcPr>
          <w:p>
            <w:pPr>
              <w:ind w:left="60"/>
              <w:spacing w:after="0"/>
              <w:rPr>
                <w:sz w:val="20"/>
                <w:szCs w:val="20"/>
                <w:color w:val="auto"/>
              </w:rPr>
            </w:pPr>
            <w:r>
              <w:rPr>
                <w:rFonts w:ascii="Arial" w:cs="Arial" w:eastAsia="Arial" w:hAnsi="Arial"/>
                <w:sz w:val="15"/>
                <w:szCs w:val="15"/>
                <w:color w:val="auto"/>
              </w:rPr>
              <w:t>Terrence G. Hammons,</w:t>
            </w:r>
          </w:p>
        </w:tc>
        <w:tc>
          <w:tcPr>
            <w:tcW w:w="1720" w:type="dxa"/>
            <w:vAlign w:val="bottom"/>
          </w:tcPr>
          <w:p>
            <w:pPr>
              <w:jc w:val="center"/>
              <w:spacing w:after="0"/>
              <w:rPr>
                <w:sz w:val="20"/>
                <w:szCs w:val="20"/>
                <w:color w:val="auto"/>
              </w:rPr>
            </w:pPr>
            <w:r>
              <w:rPr>
                <w:rFonts w:ascii="Arial" w:cs="Arial" w:eastAsia="Arial" w:hAnsi="Arial"/>
                <w:sz w:val="15"/>
                <w:szCs w:val="15"/>
                <w:color w:val="auto"/>
              </w:rPr>
              <w:t>Annual Incentive Plan</w:t>
            </w:r>
          </w:p>
        </w:tc>
        <w:tc>
          <w:tcPr>
            <w:tcW w:w="840" w:type="dxa"/>
            <w:vAlign w:val="bottom"/>
          </w:tcPr>
          <w:p>
            <w:pPr>
              <w:jc w:val="right"/>
              <w:spacing w:after="0"/>
              <w:rPr>
                <w:sz w:val="20"/>
                <w:szCs w:val="20"/>
                <w:color w:val="auto"/>
              </w:rPr>
            </w:pPr>
            <w:r>
              <w:rPr>
                <w:rFonts w:ascii="Arial" w:cs="Arial" w:eastAsia="Arial" w:hAnsi="Arial"/>
                <w:sz w:val="15"/>
                <w:szCs w:val="15"/>
                <w:color w:val="auto"/>
              </w:rPr>
              <w:t>3/2/2022</w:t>
            </w:r>
          </w:p>
        </w:tc>
        <w:tc>
          <w:tcPr>
            <w:tcW w:w="180" w:type="dxa"/>
            <w:vAlign w:val="bottom"/>
          </w:tcPr>
          <w:p>
            <w:pPr>
              <w:spacing w:after="0"/>
              <w:rPr>
                <w:sz w:val="17"/>
                <w:szCs w:val="17"/>
                <w:color w:val="auto"/>
              </w:rPr>
            </w:pPr>
          </w:p>
        </w:tc>
        <w:tc>
          <w:tcPr>
            <w:tcW w:w="640" w:type="dxa"/>
            <w:vAlign w:val="bottom"/>
          </w:tcPr>
          <w:p>
            <w:pPr>
              <w:jc w:val="right"/>
              <w:ind w:right="3"/>
              <w:spacing w:after="0"/>
              <w:rPr>
                <w:sz w:val="20"/>
                <w:szCs w:val="20"/>
                <w:color w:val="auto"/>
              </w:rPr>
            </w:pPr>
            <w:r>
              <w:rPr>
                <w:rFonts w:ascii="Arial" w:cs="Arial" w:eastAsia="Arial" w:hAnsi="Arial"/>
                <w:sz w:val="15"/>
                <w:szCs w:val="15"/>
                <w:color w:val="auto"/>
                <w:w w:val="99"/>
              </w:rPr>
              <w:t>154,000</w:t>
            </w:r>
          </w:p>
        </w:tc>
        <w:tc>
          <w:tcPr>
            <w:tcW w:w="160" w:type="dxa"/>
            <w:vAlign w:val="bottom"/>
          </w:tcPr>
          <w:p>
            <w:pPr>
              <w:jc w:val="right"/>
              <w:spacing w:after="0"/>
              <w:rPr>
                <w:sz w:val="20"/>
                <w:szCs w:val="20"/>
                <w:color w:val="auto"/>
              </w:rPr>
            </w:pPr>
            <w:r>
              <w:rPr>
                <w:rFonts w:ascii="Arial" w:cs="Arial" w:eastAsia="Arial" w:hAnsi="Arial"/>
                <w:sz w:val="15"/>
                <w:szCs w:val="15"/>
                <w:color w:val="auto"/>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220,000</w:t>
            </w:r>
          </w:p>
        </w:tc>
        <w:tc>
          <w:tcPr>
            <w:tcW w:w="160" w:type="dxa"/>
            <w:vAlign w:val="bottom"/>
          </w:tcPr>
          <w:p>
            <w:pPr>
              <w:jc w:val="right"/>
              <w:spacing w:after="0"/>
              <w:rPr>
                <w:sz w:val="20"/>
                <w:szCs w:val="20"/>
                <w:color w:val="auto"/>
              </w:rPr>
            </w:pPr>
            <w:r>
              <w:rPr>
                <w:rFonts w:ascii="Arial" w:cs="Arial" w:eastAsia="Arial" w:hAnsi="Arial"/>
                <w:sz w:val="15"/>
                <w:szCs w:val="15"/>
                <w:color w:val="auto"/>
              </w:rPr>
              <w:t>$</w:t>
            </w:r>
          </w:p>
        </w:tc>
        <w:tc>
          <w:tcPr>
            <w:tcW w:w="2760" w:type="dxa"/>
            <w:vAlign w:val="bottom"/>
          </w:tcPr>
          <w:p>
            <w:pPr>
              <w:jc w:val="right"/>
              <w:ind w:right="1988"/>
              <w:spacing w:after="0"/>
              <w:rPr>
                <w:sz w:val="20"/>
                <w:szCs w:val="20"/>
                <w:color w:val="auto"/>
              </w:rPr>
            </w:pPr>
            <w:r>
              <w:rPr>
                <w:rFonts w:ascii="Arial" w:cs="Arial" w:eastAsia="Arial" w:hAnsi="Arial"/>
                <w:sz w:val="15"/>
                <w:szCs w:val="15"/>
                <w:color w:val="auto"/>
              </w:rPr>
              <w:t>440,000</w:t>
            </w: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8"/>
        </w:trPr>
        <w:tc>
          <w:tcPr>
            <w:tcW w:w="1700" w:type="dxa"/>
            <w:vAlign w:val="bottom"/>
            <w:vMerge w:val="restart"/>
          </w:tcPr>
          <w:p>
            <w:pPr>
              <w:ind w:left="220"/>
              <w:spacing w:after="0"/>
              <w:rPr>
                <w:sz w:val="20"/>
                <w:szCs w:val="20"/>
                <w:color w:val="auto"/>
              </w:rPr>
            </w:pPr>
            <w:r>
              <w:rPr>
                <w:rFonts w:ascii="Arial" w:cs="Arial" w:eastAsia="Arial" w:hAnsi="Arial"/>
                <w:sz w:val="15"/>
                <w:szCs w:val="15"/>
                <w:color w:val="auto"/>
              </w:rPr>
              <w:t>Jr.</w:t>
            </w:r>
          </w:p>
        </w:tc>
        <w:tc>
          <w:tcPr>
            <w:tcW w:w="1720" w:type="dxa"/>
            <w:vAlign w:val="bottom"/>
            <w:tcBorders>
              <w:bottom w:val="single" w:sz="8" w:color="99B5CB"/>
            </w:tcBorders>
          </w:tcPr>
          <w:p>
            <w:pPr>
              <w:spacing w:after="0"/>
              <w:rPr>
                <w:sz w:val="3"/>
                <w:szCs w:val="3"/>
                <w:color w:val="auto"/>
              </w:rPr>
            </w:pPr>
          </w:p>
        </w:tc>
        <w:tc>
          <w:tcPr>
            <w:tcW w:w="840" w:type="dxa"/>
            <w:vAlign w:val="bottom"/>
            <w:tcBorders>
              <w:bottom w:val="single" w:sz="8" w:color="99B5CB"/>
            </w:tcBorders>
          </w:tcPr>
          <w:p>
            <w:pPr>
              <w:spacing w:after="0"/>
              <w:rPr>
                <w:sz w:val="3"/>
                <w:szCs w:val="3"/>
                <w:color w:val="auto"/>
              </w:rPr>
            </w:pPr>
          </w:p>
        </w:tc>
        <w:tc>
          <w:tcPr>
            <w:tcW w:w="180" w:type="dxa"/>
            <w:vAlign w:val="bottom"/>
            <w:tcBorders>
              <w:bottom w:val="single" w:sz="8" w:color="99B5CB"/>
            </w:tcBorders>
          </w:tcPr>
          <w:p>
            <w:pPr>
              <w:spacing w:after="0"/>
              <w:rPr>
                <w:sz w:val="3"/>
                <w:szCs w:val="3"/>
                <w:color w:val="auto"/>
              </w:rPr>
            </w:pPr>
          </w:p>
        </w:tc>
        <w:tc>
          <w:tcPr>
            <w:tcW w:w="640" w:type="dxa"/>
            <w:vAlign w:val="bottom"/>
            <w:tcBorders>
              <w:bottom w:val="single" w:sz="8" w:color="99B5CB"/>
            </w:tcBorders>
          </w:tcPr>
          <w:p>
            <w:pPr>
              <w:spacing w:after="0"/>
              <w:rPr>
                <w:sz w:val="3"/>
                <w:szCs w:val="3"/>
                <w:color w:val="auto"/>
              </w:rPr>
            </w:pPr>
          </w:p>
        </w:tc>
        <w:tc>
          <w:tcPr>
            <w:tcW w:w="160" w:type="dxa"/>
            <w:vAlign w:val="bottom"/>
            <w:tcBorders>
              <w:bottom w:val="single" w:sz="8" w:color="99B5CB"/>
            </w:tcBorders>
          </w:tcPr>
          <w:p>
            <w:pPr>
              <w:spacing w:after="0"/>
              <w:rPr>
                <w:sz w:val="3"/>
                <w:szCs w:val="3"/>
                <w:color w:val="auto"/>
              </w:rPr>
            </w:pPr>
          </w:p>
        </w:tc>
        <w:tc>
          <w:tcPr>
            <w:tcW w:w="760" w:type="dxa"/>
            <w:vAlign w:val="bottom"/>
            <w:tcBorders>
              <w:bottom w:val="single" w:sz="8" w:color="99B5CB"/>
            </w:tcBorders>
          </w:tcPr>
          <w:p>
            <w:pPr>
              <w:spacing w:after="0"/>
              <w:rPr>
                <w:sz w:val="3"/>
                <w:szCs w:val="3"/>
                <w:color w:val="auto"/>
              </w:rPr>
            </w:pPr>
          </w:p>
        </w:tc>
        <w:tc>
          <w:tcPr>
            <w:tcW w:w="160" w:type="dxa"/>
            <w:vAlign w:val="bottom"/>
            <w:tcBorders>
              <w:bottom w:val="single" w:sz="8" w:color="99B5CB"/>
            </w:tcBorders>
          </w:tcPr>
          <w:p>
            <w:pPr>
              <w:spacing w:after="0"/>
              <w:rPr>
                <w:sz w:val="3"/>
                <w:szCs w:val="3"/>
                <w:color w:val="auto"/>
              </w:rPr>
            </w:pPr>
          </w:p>
        </w:tc>
        <w:tc>
          <w:tcPr>
            <w:tcW w:w="2760" w:type="dxa"/>
            <w:vAlign w:val="bottom"/>
            <w:tcBorders>
              <w:bottom w:val="single" w:sz="8" w:color="99B5CB"/>
            </w:tcBorders>
          </w:tcPr>
          <w:p>
            <w:pPr>
              <w:spacing w:after="0"/>
              <w:rPr>
                <w:sz w:val="3"/>
                <w:szCs w:val="3"/>
                <w:color w:val="auto"/>
              </w:rPr>
            </w:pPr>
          </w:p>
        </w:tc>
        <w:tc>
          <w:tcPr>
            <w:tcW w:w="200" w:type="dxa"/>
            <w:vAlign w:val="bottom"/>
            <w:tcBorders>
              <w:bottom w:val="single" w:sz="8" w:color="99B5CB"/>
            </w:tcBorders>
          </w:tcPr>
          <w:p>
            <w:pPr>
              <w:spacing w:after="0"/>
              <w:rPr>
                <w:sz w:val="3"/>
                <w:szCs w:val="3"/>
                <w:color w:val="auto"/>
              </w:rPr>
            </w:pPr>
          </w:p>
        </w:tc>
        <w:tc>
          <w:tcPr>
            <w:tcW w:w="480" w:type="dxa"/>
            <w:vAlign w:val="bottom"/>
            <w:tcBorders>
              <w:bottom w:val="single" w:sz="8" w:color="99B5CB"/>
            </w:tcBorders>
          </w:tcPr>
          <w:p>
            <w:pPr>
              <w:spacing w:after="0"/>
              <w:rPr>
                <w:sz w:val="3"/>
                <w:szCs w:val="3"/>
                <w:color w:val="auto"/>
              </w:rPr>
            </w:pPr>
          </w:p>
        </w:tc>
        <w:tc>
          <w:tcPr>
            <w:tcW w:w="140" w:type="dxa"/>
            <w:vAlign w:val="bottom"/>
            <w:tcBorders>
              <w:bottom w:val="single" w:sz="8" w:color="99B5CB"/>
            </w:tcBorders>
          </w:tcPr>
          <w:p>
            <w:pPr>
              <w:spacing w:after="0"/>
              <w:rPr>
                <w:sz w:val="3"/>
                <w:szCs w:val="3"/>
                <w:color w:val="auto"/>
              </w:rPr>
            </w:pPr>
          </w:p>
        </w:tc>
        <w:tc>
          <w:tcPr>
            <w:tcW w:w="800" w:type="dxa"/>
            <w:vAlign w:val="bottom"/>
            <w:tcBorders>
              <w:bottom w:val="single" w:sz="8" w:color="99B5CB"/>
            </w:tcBorders>
          </w:tcPr>
          <w:p>
            <w:pPr>
              <w:spacing w:after="0"/>
              <w:rPr>
                <w:sz w:val="3"/>
                <w:szCs w:val="3"/>
                <w:color w:val="auto"/>
              </w:rPr>
            </w:pPr>
          </w:p>
        </w:tc>
        <w:tc>
          <w:tcPr>
            <w:tcW w:w="0" w:type="dxa"/>
            <w:vAlign w:val="bottom"/>
          </w:tcPr>
          <w:p>
            <w:pPr>
              <w:spacing w:after="0"/>
              <w:rPr>
                <w:sz w:val="1"/>
                <w:szCs w:val="1"/>
                <w:color w:val="auto"/>
              </w:rPr>
            </w:pPr>
          </w:p>
        </w:tc>
      </w:tr>
      <w:tr>
        <w:trPr>
          <w:trHeight w:val="199"/>
        </w:trPr>
        <w:tc>
          <w:tcPr>
            <w:tcW w:w="1700" w:type="dxa"/>
            <w:vAlign w:val="bottom"/>
            <w:vMerge w:val="continue"/>
          </w:tcPr>
          <w:p>
            <w:pPr>
              <w:spacing w:after="0"/>
              <w:rPr>
                <w:sz w:val="17"/>
                <w:szCs w:val="17"/>
                <w:color w:val="auto"/>
              </w:rPr>
            </w:pPr>
          </w:p>
        </w:tc>
        <w:tc>
          <w:tcPr>
            <w:tcW w:w="1720" w:type="dxa"/>
            <w:vAlign w:val="bottom"/>
            <w:tcBorders>
              <w:bottom w:val="single" w:sz="8" w:color="99B5CB"/>
            </w:tcBorders>
          </w:tcPr>
          <w:p>
            <w:pPr>
              <w:jc w:val="center"/>
              <w:spacing w:after="0"/>
              <w:rPr>
                <w:sz w:val="20"/>
                <w:szCs w:val="20"/>
                <w:color w:val="auto"/>
              </w:rPr>
            </w:pPr>
            <w:r>
              <w:rPr>
                <w:rFonts w:ascii="Arial" w:cs="Arial" w:eastAsia="Arial" w:hAnsi="Arial"/>
                <w:sz w:val="15"/>
                <w:szCs w:val="15"/>
                <w:color w:val="auto"/>
              </w:rPr>
              <w:t>2020 Incentive Plan</w:t>
            </w:r>
          </w:p>
        </w:tc>
        <w:tc>
          <w:tcPr>
            <w:tcW w:w="840" w:type="dxa"/>
            <w:vAlign w:val="bottom"/>
            <w:tcBorders>
              <w:bottom w:val="single" w:sz="8" w:color="99B5CB"/>
            </w:tcBorders>
          </w:tcPr>
          <w:p>
            <w:pPr>
              <w:jc w:val="right"/>
              <w:spacing w:after="0"/>
              <w:rPr>
                <w:sz w:val="20"/>
                <w:szCs w:val="20"/>
                <w:color w:val="auto"/>
              </w:rPr>
            </w:pPr>
            <w:r>
              <w:rPr>
                <w:rFonts w:ascii="Arial" w:cs="Arial" w:eastAsia="Arial" w:hAnsi="Arial"/>
                <w:sz w:val="15"/>
                <w:szCs w:val="15"/>
                <w:color w:val="auto"/>
              </w:rPr>
              <w:t>3/2/2022</w:t>
            </w:r>
          </w:p>
        </w:tc>
        <w:tc>
          <w:tcPr>
            <w:tcW w:w="180" w:type="dxa"/>
            <w:vAlign w:val="bottom"/>
            <w:tcBorders>
              <w:bottom w:val="single" w:sz="8" w:color="99B5CB"/>
            </w:tcBorders>
          </w:tcPr>
          <w:p>
            <w:pPr>
              <w:spacing w:after="0"/>
              <w:rPr>
                <w:sz w:val="17"/>
                <w:szCs w:val="17"/>
                <w:color w:val="auto"/>
              </w:rPr>
            </w:pPr>
          </w:p>
        </w:tc>
        <w:tc>
          <w:tcPr>
            <w:tcW w:w="640" w:type="dxa"/>
            <w:vAlign w:val="bottom"/>
            <w:tcBorders>
              <w:bottom w:val="single" w:sz="8" w:color="99B5CB"/>
            </w:tcBorders>
          </w:tcPr>
          <w:p>
            <w:pPr>
              <w:spacing w:after="0"/>
              <w:rPr>
                <w:sz w:val="17"/>
                <w:szCs w:val="17"/>
                <w:color w:val="auto"/>
              </w:rPr>
            </w:pPr>
          </w:p>
        </w:tc>
        <w:tc>
          <w:tcPr>
            <w:tcW w:w="160" w:type="dxa"/>
            <w:vAlign w:val="bottom"/>
            <w:tcBorders>
              <w:bottom w:val="single" w:sz="8" w:color="99B5CB"/>
            </w:tcBorders>
          </w:tcPr>
          <w:p>
            <w:pPr>
              <w:spacing w:after="0"/>
              <w:rPr>
                <w:sz w:val="17"/>
                <w:szCs w:val="17"/>
                <w:color w:val="auto"/>
              </w:rPr>
            </w:pPr>
          </w:p>
        </w:tc>
        <w:tc>
          <w:tcPr>
            <w:tcW w:w="760" w:type="dxa"/>
            <w:vAlign w:val="bottom"/>
            <w:tcBorders>
              <w:bottom w:val="single" w:sz="8" w:color="99B5CB"/>
            </w:tcBorders>
          </w:tcPr>
          <w:p>
            <w:pPr>
              <w:spacing w:after="0"/>
              <w:rPr>
                <w:sz w:val="17"/>
                <w:szCs w:val="17"/>
                <w:color w:val="auto"/>
              </w:rPr>
            </w:pPr>
          </w:p>
        </w:tc>
        <w:tc>
          <w:tcPr>
            <w:tcW w:w="160" w:type="dxa"/>
            <w:vAlign w:val="bottom"/>
            <w:tcBorders>
              <w:bottom w:val="single" w:sz="8" w:color="99B5CB"/>
            </w:tcBorders>
          </w:tcPr>
          <w:p>
            <w:pPr>
              <w:spacing w:after="0"/>
              <w:rPr>
                <w:sz w:val="17"/>
                <w:szCs w:val="17"/>
                <w:color w:val="auto"/>
              </w:rPr>
            </w:pPr>
          </w:p>
        </w:tc>
        <w:tc>
          <w:tcPr>
            <w:tcW w:w="2760" w:type="dxa"/>
            <w:vAlign w:val="bottom"/>
            <w:tcBorders>
              <w:bottom w:val="single" w:sz="8" w:color="99B5CB"/>
            </w:tcBorders>
          </w:tcPr>
          <w:p>
            <w:pPr>
              <w:jc w:val="right"/>
              <w:ind w:right="1008"/>
              <w:spacing w:after="0" w:line="199" w:lineRule="exact"/>
              <w:rPr>
                <w:sz w:val="20"/>
                <w:szCs w:val="20"/>
                <w:color w:val="auto"/>
              </w:rPr>
            </w:pPr>
            <w:r>
              <w:rPr>
                <w:rFonts w:ascii="Arial" w:cs="Arial" w:eastAsia="Arial" w:hAnsi="Arial"/>
                <w:sz w:val="15"/>
                <w:szCs w:val="15"/>
                <w:color w:val="auto"/>
              </w:rPr>
              <w:t>22,466</w:t>
            </w:r>
            <w:r>
              <w:rPr>
                <w:rFonts w:ascii="Arial" w:cs="Arial" w:eastAsia="Arial" w:hAnsi="Arial"/>
                <w:sz w:val="23"/>
                <w:szCs w:val="23"/>
                <w:color w:val="auto"/>
                <w:vertAlign w:val="superscript"/>
              </w:rPr>
              <w:t>(2)</w:t>
            </w:r>
          </w:p>
        </w:tc>
        <w:tc>
          <w:tcPr>
            <w:tcW w:w="200" w:type="dxa"/>
            <w:vAlign w:val="bottom"/>
            <w:tcBorders>
              <w:bottom w:val="single" w:sz="8" w:color="99B5CB"/>
            </w:tcBorders>
          </w:tcPr>
          <w:p>
            <w:pPr>
              <w:spacing w:after="0"/>
              <w:rPr>
                <w:sz w:val="17"/>
                <w:szCs w:val="17"/>
                <w:color w:val="auto"/>
              </w:rPr>
            </w:pPr>
          </w:p>
        </w:tc>
        <w:tc>
          <w:tcPr>
            <w:tcW w:w="480" w:type="dxa"/>
            <w:vAlign w:val="bottom"/>
            <w:tcBorders>
              <w:bottom w:val="single" w:sz="8" w:color="99B5CB"/>
            </w:tcBorders>
          </w:tcPr>
          <w:p>
            <w:pPr>
              <w:spacing w:after="0"/>
              <w:rPr>
                <w:sz w:val="17"/>
                <w:szCs w:val="17"/>
                <w:color w:val="auto"/>
              </w:rPr>
            </w:pPr>
          </w:p>
        </w:tc>
        <w:tc>
          <w:tcPr>
            <w:tcW w:w="140" w:type="dxa"/>
            <w:vAlign w:val="bottom"/>
            <w:tcBorders>
              <w:bottom w:val="single" w:sz="8" w:color="99B5CB"/>
            </w:tcBorders>
          </w:tcPr>
          <w:p>
            <w:pPr>
              <w:jc w:val="right"/>
              <w:spacing w:after="0"/>
              <w:rPr>
                <w:sz w:val="20"/>
                <w:szCs w:val="20"/>
                <w:color w:val="auto"/>
              </w:rPr>
            </w:pPr>
            <w:r>
              <w:rPr>
                <w:rFonts w:ascii="Arial" w:cs="Arial" w:eastAsia="Arial" w:hAnsi="Arial"/>
                <w:sz w:val="15"/>
                <w:szCs w:val="15"/>
                <w:color w:val="auto"/>
              </w:rPr>
              <w:t>$</w:t>
            </w:r>
          </w:p>
        </w:tc>
        <w:tc>
          <w:tcPr>
            <w:tcW w:w="800" w:type="dxa"/>
            <w:vAlign w:val="bottom"/>
            <w:tcBorders>
              <w:bottom w:val="single" w:sz="8" w:color="99B5CB"/>
            </w:tcBorders>
          </w:tcPr>
          <w:p>
            <w:pPr>
              <w:jc w:val="right"/>
              <w:ind w:right="23"/>
              <w:spacing w:after="0"/>
              <w:rPr>
                <w:sz w:val="20"/>
                <w:szCs w:val="20"/>
                <w:color w:val="auto"/>
              </w:rPr>
            </w:pPr>
            <w:r>
              <w:rPr>
                <w:rFonts w:ascii="Arial" w:cs="Arial" w:eastAsia="Arial" w:hAnsi="Arial"/>
                <w:sz w:val="15"/>
                <w:szCs w:val="15"/>
                <w:color w:val="auto"/>
              </w:rPr>
              <w:t>449,994</w:t>
            </w:r>
          </w:p>
        </w:tc>
        <w:tc>
          <w:tcPr>
            <w:tcW w:w="0" w:type="dxa"/>
            <w:vAlign w:val="bottom"/>
          </w:tcPr>
          <w:p>
            <w:pPr>
              <w:spacing w:after="0"/>
              <w:rPr>
                <w:sz w:val="1"/>
                <w:szCs w:val="1"/>
                <w:color w:val="auto"/>
              </w:rPr>
            </w:pPr>
          </w:p>
        </w:tc>
      </w:tr>
      <w:tr>
        <w:trPr>
          <w:trHeight w:val="199"/>
        </w:trPr>
        <w:tc>
          <w:tcPr>
            <w:tcW w:w="1700" w:type="dxa"/>
            <w:vAlign w:val="bottom"/>
            <w:tcBorders>
              <w:bottom w:val="single" w:sz="8" w:color="00467D"/>
            </w:tcBorders>
          </w:tcPr>
          <w:p>
            <w:pPr>
              <w:spacing w:after="0"/>
              <w:rPr>
                <w:sz w:val="17"/>
                <w:szCs w:val="17"/>
                <w:color w:val="auto"/>
              </w:rPr>
            </w:pPr>
          </w:p>
        </w:tc>
        <w:tc>
          <w:tcPr>
            <w:tcW w:w="1720" w:type="dxa"/>
            <w:vAlign w:val="bottom"/>
            <w:tcBorders>
              <w:bottom w:val="single" w:sz="8" w:color="00467D"/>
            </w:tcBorders>
          </w:tcPr>
          <w:p>
            <w:pPr>
              <w:jc w:val="center"/>
              <w:spacing w:after="0"/>
              <w:rPr>
                <w:sz w:val="20"/>
                <w:szCs w:val="20"/>
                <w:color w:val="auto"/>
              </w:rPr>
            </w:pPr>
            <w:r>
              <w:rPr>
                <w:rFonts w:ascii="Arial" w:cs="Arial" w:eastAsia="Arial" w:hAnsi="Arial"/>
                <w:sz w:val="15"/>
                <w:szCs w:val="15"/>
                <w:color w:val="auto"/>
              </w:rPr>
              <w:t>2020 Incentive Plan</w:t>
            </w:r>
          </w:p>
        </w:tc>
        <w:tc>
          <w:tcPr>
            <w:tcW w:w="840" w:type="dxa"/>
            <w:vAlign w:val="bottom"/>
            <w:tcBorders>
              <w:bottom w:val="single" w:sz="8" w:color="00467D"/>
            </w:tcBorders>
          </w:tcPr>
          <w:p>
            <w:pPr>
              <w:jc w:val="right"/>
              <w:spacing w:after="0"/>
              <w:rPr>
                <w:sz w:val="20"/>
                <w:szCs w:val="20"/>
                <w:color w:val="auto"/>
              </w:rPr>
            </w:pPr>
            <w:r>
              <w:rPr>
                <w:rFonts w:ascii="Arial" w:cs="Arial" w:eastAsia="Arial" w:hAnsi="Arial"/>
                <w:sz w:val="15"/>
                <w:szCs w:val="15"/>
                <w:color w:val="auto"/>
              </w:rPr>
              <w:t>3/2/2022</w:t>
            </w:r>
          </w:p>
        </w:tc>
        <w:tc>
          <w:tcPr>
            <w:tcW w:w="180" w:type="dxa"/>
            <w:vAlign w:val="bottom"/>
            <w:tcBorders>
              <w:bottom w:val="single" w:sz="8" w:color="00467D"/>
            </w:tcBorders>
          </w:tcPr>
          <w:p>
            <w:pPr>
              <w:spacing w:after="0"/>
              <w:rPr>
                <w:sz w:val="17"/>
                <w:szCs w:val="17"/>
                <w:color w:val="auto"/>
              </w:rPr>
            </w:pPr>
          </w:p>
        </w:tc>
        <w:tc>
          <w:tcPr>
            <w:tcW w:w="640" w:type="dxa"/>
            <w:vAlign w:val="bottom"/>
            <w:tcBorders>
              <w:bottom w:val="single" w:sz="8" w:color="00467D"/>
            </w:tcBorders>
          </w:tcPr>
          <w:p>
            <w:pPr>
              <w:spacing w:after="0"/>
              <w:rPr>
                <w:sz w:val="17"/>
                <w:szCs w:val="17"/>
                <w:color w:val="auto"/>
              </w:rPr>
            </w:pPr>
          </w:p>
        </w:tc>
        <w:tc>
          <w:tcPr>
            <w:tcW w:w="160" w:type="dxa"/>
            <w:vAlign w:val="bottom"/>
            <w:tcBorders>
              <w:bottom w:val="single" w:sz="8" w:color="00467D"/>
            </w:tcBorders>
          </w:tcPr>
          <w:p>
            <w:pPr>
              <w:spacing w:after="0"/>
              <w:rPr>
                <w:sz w:val="17"/>
                <w:szCs w:val="17"/>
                <w:color w:val="auto"/>
              </w:rPr>
            </w:pPr>
          </w:p>
        </w:tc>
        <w:tc>
          <w:tcPr>
            <w:tcW w:w="760" w:type="dxa"/>
            <w:vAlign w:val="bottom"/>
            <w:tcBorders>
              <w:bottom w:val="single" w:sz="8" w:color="00467D"/>
            </w:tcBorders>
          </w:tcPr>
          <w:p>
            <w:pPr>
              <w:spacing w:after="0"/>
              <w:rPr>
                <w:sz w:val="17"/>
                <w:szCs w:val="17"/>
                <w:color w:val="auto"/>
              </w:rPr>
            </w:pPr>
          </w:p>
        </w:tc>
        <w:tc>
          <w:tcPr>
            <w:tcW w:w="160" w:type="dxa"/>
            <w:vAlign w:val="bottom"/>
            <w:tcBorders>
              <w:bottom w:val="single" w:sz="8" w:color="00467D"/>
            </w:tcBorders>
          </w:tcPr>
          <w:p>
            <w:pPr>
              <w:spacing w:after="0"/>
              <w:rPr>
                <w:sz w:val="17"/>
                <w:szCs w:val="17"/>
                <w:color w:val="auto"/>
              </w:rPr>
            </w:pPr>
          </w:p>
        </w:tc>
        <w:tc>
          <w:tcPr>
            <w:tcW w:w="2760" w:type="dxa"/>
            <w:vAlign w:val="bottom"/>
            <w:tcBorders>
              <w:bottom w:val="single" w:sz="8" w:color="00467D"/>
            </w:tcBorders>
          </w:tcPr>
          <w:p>
            <w:pPr>
              <w:jc w:val="right"/>
              <w:ind w:right="8"/>
              <w:spacing w:after="0" w:line="199" w:lineRule="exact"/>
              <w:rPr>
                <w:sz w:val="20"/>
                <w:szCs w:val="20"/>
                <w:color w:val="auto"/>
              </w:rPr>
            </w:pPr>
            <w:r>
              <w:rPr>
                <w:rFonts w:ascii="Arial" w:cs="Arial" w:eastAsia="Arial" w:hAnsi="Arial"/>
                <w:sz w:val="15"/>
                <w:szCs w:val="15"/>
                <w:color w:val="auto"/>
              </w:rPr>
              <w:t>57,471</w:t>
            </w:r>
            <w:r>
              <w:rPr>
                <w:rFonts w:ascii="Arial" w:cs="Arial" w:eastAsia="Arial" w:hAnsi="Arial"/>
                <w:sz w:val="23"/>
                <w:szCs w:val="23"/>
                <w:color w:val="auto"/>
                <w:vertAlign w:val="superscript"/>
              </w:rPr>
              <w:t>(3)</w:t>
            </w:r>
          </w:p>
        </w:tc>
        <w:tc>
          <w:tcPr>
            <w:tcW w:w="200" w:type="dxa"/>
            <w:vAlign w:val="bottom"/>
            <w:tcBorders>
              <w:bottom w:val="single" w:sz="8" w:color="00467D"/>
            </w:tcBorders>
          </w:tcPr>
          <w:p>
            <w:pPr>
              <w:jc w:val="right"/>
              <w:spacing w:after="0"/>
              <w:rPr>
                <w:sz w:val="20"/>
                <w:szCs w:val="20"/>
                <w:color w:val="auto"/>
              </w:rPr>
            </w:pPr>
            <w:r>
              <w:rPr>
                <w:rFonts w:ascii="Arial" w:cs="Arial" w:eastAsia="Arial" w:hAnsi="Arial"/>
                <w:sz w:val="15"/>
                <w:szCs w:val="15"/>
                <w:color w:val="auto"/>
              </w:rPr>
              <w:t>$</w:t>
            </w:r>
          </w:p>
        </w:tc>
        <w:tc>
          <w:tcPr>
            <w:tcW w:w="480" w:type="dxa"/>
            <w:vAlign w:val="bottom"/>
            <w:tcBorders>
              <w:bottom w:val="single" w:sz="8" w:color="00467D"/>
            </w:tcBorders>
          </w:tcPr>
          <w:p>
            <w:pPr>
              <w:jc w:val="right"/>
              <w:spacing w:after="0"/>
              <w:rPr>
                <w:sz w:val="20"/>
                <w:szCs w:val="20"/>
                <w:color w:val="auto"/>
              </w:rPr>
            </w:pPr>
            <w:r>
              <w:rPr>
                <w:rFonts w:ascii="Arial" w:cs="Arial" w:eastAsia="Arial" w:hAnsi="Arial"/>
                <w:sz w:val="15"/>
                <w:szCs w:val="15"/>
                <w:color w:val="auto"/>
              </w:rPr>
              <w:t>20.03</w:t>
            </w:r>
          </w:p>
        </w:tc>
        <w:tc>
          <w:tcPr>
            <w:tcW w:w="140" w:type="dxa"/>
            <w:vAlign w:val="bottom"/>
            <w:tcBorders>
              <w:bottom w:val="single" w:sz="8" w:color="00467D"/>
            </w:tcBorders>
          </w:tcPr>
          <w:p>
            <w:pPr>
              <w:jc w:val="right"/>
              <w:spacing w:after="0"/>
              <w:rPr>
                <w:sz w:val="20"/>
                <w:szCs w:val="20"/>
                <w:color w:val="auto"/>
              </w:rPr>
            </w:pPr>
            <w:r>
              <w:rPr>
                <w:rFonts w:ascii="Arial" w:cs="Arial" w:eastAsia="Arial" w:hAnsi="Arial"/>
                <w:sz w:val="15"/>
                <w:szCs w:val="15"/>
                <w:color w:val="auto"/>
              </w:rPr>
              <w:t>$</w:t>
            </w:r>
          </w:p>
        </w:tc>
        <w:tc>
          <w:tcPr>
            <w:tcW w:w="800" w:type="dxa"/>
            <w:vAlign w:val="bottom"/>
            <w:tcBorders>
              <w:bottom w:val="single" w:sz="8" w:color="00467D"/>
            </w:tcBorders>
          </w:tcPr>
          <w:p>
            <w:pPr>
              <w:jc w:val="right"/>
              <w:ind w:right="23"/>
              <w:spacing w:after="0"/>
              <w:rPr>
                <w:sz w:val="20"/>
                <w:szCs w:val="20"/>
                <w:color w:val="auto"/>
              </w:rPr>
            </w:pPr>
            <w:r>
              <w:rPr>
                <w:rFonts w:ascii="Arial" w:cs="Arial" w:eastAsia="Arial" w:hAnsi="Arial"/>
                <w:sz w:val="15"/>
                <w:szCs w:val="15"/>
                <w:color w:val="auto"/>
              </w:rPr>
              <w:t>447,496</w:t>
            </w:r>
          </w:p>
        </w:tc>
        <w:tc>
          <w:tcPr>
            <w:tcW w:w="0" w:type="dxa"/>
            <w:vAlign w:val="bottom"/>
          </w:tcPr>
          <w:p>
            <w:pPr>
              <w:spacing w:after="0"/>
              <w:rPr>
                <w:sz w:val="1"/>
                <w:szCs w:val="1"/>
                <w:color w:val="auto"/>
              </w:rPr>
            </w:pPr>
          </w:p>
        </w:tc>
      </w:tr>
    </w:tbl>
    <w:p>
      <w:pPr>
        <w:spacing w:after="0" w:line="109" w:lineRule="exact"/>
        <w:rPr>
          <w:sz w:val="20"/>
          <w:szCs w:val="20"/>
          <w:color w:val="auto"/>
        </w:rPr>
      </w:pPr>
    </w:p>
    <w:p>
      <w:pPr>
        <w:ind w:left="780" w:right="340" w:hanging="422"/>
        <w:spacing w:after="0"/>
        <w:tabs>
          <w:tab w:leader="none" w:pos="780" w:val="left"/>
        </w:tabs>
        <w:numPr>
          <w:ilvl w:val="0"/>
          <w:numId w:val="33"/>
        </w:numPr>
        <w:rPr>
          <w:rFonts w:ascii="Arial" w:cs="Arial" w:eastAsia="Arial" w:hAnsi="Arial"/>
          <w:sz w:val="14"/>
          <w:szCs w:val="14"/>
          <w:color w:val="auto"/>
        </w:rPr>
      </w:pPr>
      <w:r>
        <w:rPr>
          <w:rFonts w:ascii="Arial" w:cs="Arial" w:eastAsia="Arial" w:hAnsi="Arial"/>
          <w:sz w:val="14"/>
          <w:szCs w:val="14"/>
          <w:color w:val="auto"/>
        </w:rPr>
        <w:t>Represents the threshold, target and maximum values for payments under the Company’s Annual Incentive Plan with respect to service in 2022. No payout is received for performance under the threshold metric. For Mr. Dimitrief, the amounts shown are prorated from the time of his joining the Company. For Mr. Klaben, amounts shown are prorated for his time as Interim Senior Vice President, General Counsel and Secretary and Deputy General Counsel. See “Compensation Elements for 2022 — Annual Incentive Plan (AIP)”.</w:t>
      </w:r>
    </w:p>
    <w:p>
      <w:pPr>
        <w:spacing w:after="0" w:line="91" w:lineRule="exact"/>
        <w:rPr>
          <w:rFonts w:ascii="Arial" w:cs="Arial" w:eastAsia="Arial" w:hAnsi="Arial"/>
          <w:sz w:val="14"/>
          <w:szCs w:val="14"/>
          <w:color w:val="auto"/>
        </w:rPr>
      </w:pPr>
    </w:p>
    <w:p>
      <w:pPr>
        <w:ind w:left="780" w:right="300" w:hanging="422"/>
        <w:spacing w:after="0" w:line="259" w:lineRule="auto"/>
        <w:tabs>
          <w:tab w:leader="none" w:pos="780" w:val="left"/>
        </w:tabs>
        <w:numPr>
          <w:ilvl w:val="0"/>
          <w:numId w:val="33"/>
        </w:numPr>
        <w:rPr>
          <w:rFonts w:ascii="Arial" w:cs="Arial" w:eastAsia="Arial" w:hAnsi="Arial"/>
          <w:sz w:val="14"/>
          <w:szCs w:val="14"/>
          <w:color w:val="auto"/>
        </w:rPr>
      </w:pPr>
      <w:r>
        <w:rPr>
          <w:rFonts w:ascii="Arial" w:cs="Arial" w:eastAsia="Arial" w:hAnsi="Arial"/>
          <w:sz w:val="14"/>
          <w:szCs w:val="14"/>
          <w:color w:val="auto"/>
        </w:rPr>
        <w:t>These RSUs were granted under our 2020 Incentive Plan and vest in substantially equal yearly installments over a three-year period beginning on March 2, 2022, subject to the NEO’s continued employment through each applicable vesting date.</w:t>
      </w:r>
    </w:p>
    <w:p>
      <w:pPr>
        <w:spacing w:after="0" w:line="78" w:lineRule="exact"/>
        <w:rPr>
          <w:rFonts w:ascii="Arial" w:cs="Arial" w:eastAsia="Arial" w:hAnsi="Arial"/>
          <w:sz w:val="14"/>
          <w:szCs w:val="14"/>
          <w:color w:val="auto"/>
        </w:rPr>
      </w:pPr>
    </w:p>
    <w:p>
      <w:pPr>
        <w:ind w:left="780" w:right="240" w:hanging="422"/>
        <w:spacing w:after="0" w:line="259" w:lineRule="auto"/>
        <w:tabs>
          <w:tab w:leader="none" w:pos="780" w:val="left"/>
        </w:tabs>
        <w:numPr>
          <w:ilvl w:val="0"/>
          <w:numId w:val="33"/>
        </w:numPr>
        <w:rPr>
          <w:rFonts w:ascii="Arial" w:cs="Arial" w:eastAsia="Arial" w:hAnsi="Arial"/>
          <w:sz w:val="14"/>
          <w:szCs w:val="14"/>
          <w:color w:val="auto"/>
        </w:rPr>
      </w:pPr>
      <w:r>
        <w:rPr>
          <w:rFonts w:ascii="Arial" w:cs="Arial" w:eastAsia="Arial" w:hAnsi="Arial"/>
          <w:sz w:val="14"/>
          <w:szCs w:val="14"/>
          <w:color w:val="auto"/>
        </w:rPr>
        <w:t>These stock options were granted under our 2020 Incentive Plan and vest in substantially equal yearly installments over a three-year period beginning on March 2, 2022, subject to the NEO’s continued employment through each applicable vesting date.</w:t>
      </w:r>
    </w:p>
    <w:p>
      <w:pPr>
        <w:spacing w:after="0" w:line="78" w:lineRule="exact"/>
        <w:rPr>
          <w:rFonts w:ascii="Arial" w:cs="Arial" w:eastAsia="Arial" w:hAnsi="Arial"/>
          <w:sz w:val="14"/>
          <w:szCs w:val="14"/>
          <w:color w:val="auto"/>
        </w:rPr>
      </w:pPr>
    </w:p>
    <w:p>
      <w:pPr>
        <w:jc w:val="both"/>
        <w:ind w:left="780" w:right="80" w:hanging="422"/>
        <w:spacing w:after="0" w:line="245" w:lineRule="auto"/>
        <w:tabs>
          <w:tab w:leader="none" w:pos="780" w:val="left"/>
        </w:tabs>
        <w:numPr>
          <w:ilvl w:val="0"/>
          <w:numId w:val="33"/>
        </w:numPr>
        <w:rPr>
          <w:rFonts w:ascii="Arial" w:cs="Arial" w:eastAsia="Arial" w:hAnsi="Arial"/>
          <w:sz w:val="14"/>
          <w:szCs w:val="14"/>
          <w:color w:val="auto"/>
        </w:rPr>
      </w:pPr>
      <w:r>
        <w:rPr>
          <w:rFonts w:ascii="Arial" w:cs="Arial" w:eastAsia="Arial" w:hAnsi="Arial"/>
          <w:sz w:val="14"/>
          <w:szCs w:val="14"/>
          <w:color w:val="auto"/>
        </w:rPr>
        <w:t>These stock options were granted under our 2020 Incentive Plan as an incentive award and vest in three installments as follows: (i) 30% will vest 12 months from the date of grant; (ii) 30% will vest 18 months from the date of grant; and (iii) 40% will vest 24 months from the date of grant, subject to Mr. Petras’ continued employment with the Company through each applicable vesting date.</w:t>
      </w:r>
    </w:p>
    <w:p>
      <w:pPr>
        <w:spacing w:after="0" w:line="87" w:lineRule="exact"/>
        <w:rPr>
          <w:rFonts w:ascii="Arial" w:cs="Arial" w:eastAsia="Arial" w:hAnsi="Arial"/>
          <w:sz w:val="14"/>
          <w:szCs w:val="14"/>
          <w:color w:val="auto"/>
        </w:rPr>
      </w:pPr>
    </w:p>
    <w:p>
      <w:pPr>
        <w:ind w:left="780" w:right="500" w:hanging="422"/>
        <w:spacing w:after="0" w:line="298" w:lineRule="auto"/>
        <w:tabs>
          <w:tab w:leader="none" w:pos="780" w:val="left"/>
        </w:tabs>
        <w:numPr>
          <w:ilvl w:val="0"/>
          <w:numId w:val="33"/>
        </w:numPr>
        <w:rPr>
          <w:rFonts w:ascii="Arial" w:cs="Arial" w:eastAsia="Arial" w:hAnsi="Arial"/>
          <w:sz w:val="13"/>
          <w:szCs w:val="13"/>
          <w:color w:val="auto"/>
        </w:rPr>
      </w:pPr>
      <w:r>
        <w:rPr>
          <w:rFonts w:ascii="Arial" w:cs="Arial" w:eastAsia="Arial" w:hAnsi="Arial"/>
          <w:sz w:val="13"/>
          <w:szCs w:val="13"/>
          <w:color w:val="auto"/>
        </w:rPr>
        <w:t>This restricted stock award was granted under our 2020 Incentive Plan in connection with the commencement of Mr. Dimitrief’s employment and vests in equal installments on each of October 31, 2023 and October 31, 2024, subject to Mr. Dimitrief’s continued employment through each applicable vesting date.</w:t>
      </w:r>
    </w:p>
    <w:p>
      <w:pPr>
        <w:spacing w:after="0" w:line="54" w:lineRule="exact"/>
        <w:rPr>
          <w:rFonts w:ascii="Arial" w:cs="Arial" w:eastAsia="Arial" w:hAnsi="Arial"/>
          <w:sz w:val="13"/>
          <w:szCs w:val="13"/>
          <w:color w:val="auto"/>
        </w:rPr>
      </w:pPr>
    </w:p>
    <w:p>
      <w:pPr>
        <w:ind w:left="780" w:right="160" w:hanging="422"/>
        <w:spacing w:after="0" w:line="259" w:lineRule="auto"/>
        <w:tabs>
          <w:tab w:leader="none" w:pos="780" w:val="left"/>
        </w:tabs>
        <w:numPr>
          <w:ilvl w:val="0"/>
          <w:numId w:val="33"/>
        </w:numPr>
        <w:rPr>
          <w:rFonts w:ascii="Arial" w:cs="Arial" w:eastAsia="Arial" w:hAnsi="Arial"/>
          <w:sz w:val="14"/>
          <w:szCs w:val="14"/>
          <w:color w:val="auto"/>
        </w:rPr>
      </w:pPr>
      <w:r>
        <w:rPr>
          <w:rFonts w:ascii="Arial" w:cs="Arial" w:eastAsia="Arial" w:hAnsi="Arial"/>
          <w:sz w:val="14"/>
          <w:szCs w:val="14"/>
          <w:color w:val="auto"/>
        </w:rPr>
        <w:t>These stock options were granted under our 2020 Incentive Plan in connection with the commencement of Mr. Dimitrief’s employment and vest in equal installments on each of October 31, 2023 and October 31, 2024, subject to Mr. Dimitrief’s continued employment through each applicable vesting date.</w:t>
      </w:r>
    </w:p>
    <w:p>
      <w:pPr>
        <w:spacing w:after="0" w:line="78" w:lineRule="exact"/>
        <w:rPr>
          <w:rFonts w:ascii="Arial" w:cs="Arial" w:eastAsia="Arial" w:hAnsi="Arial"/>
          <w:sz w:val="14"/>
          <w:szCs w:val="14"/>
          <w:color w:val="auto"/>
        </w:rPr>
      </w:pPr>
    </w:p>
    <w:p>
      <w:pPr>
        <w:ind w:left="780" w:right="100" w:hanging="422"/>
        <w:spacing w:after="0" w:line="245" w:lineRule="auto"/>
        <w:tabs>
          <w:tab w:leader="none" w:pos="780" w:val="left"/>
        </w:tabs>
        <w:numPr>
          <w:ilvl w:val="0"/>
          <w:numId w:val="33"/>
        </w:numPr>
        <w:rPr>
          <w:rFonts w:ascii="Arial" w:cs="Arial" w:eastAsia="Arial" w:hAnsi="Arial"/>
          <w:sz w:val="14"/>
          <w:szCs w:val="14"/>
          <w:color w:val="auto"/>
        </w:rPr>
      </w:pPr>
      <w:r>
        <w:rPr>
          <w:rFonts w:ascii="Arial" w:cs="Arial" w:eastAsia="Arial" w:hAnsi="Arial"/>
          <w:sz w:val="14"/>
          <w:szCs w:val="14"/>
          <w:color w:val="auto"/>
        </w:rPr>
        <w:t>These RSUs were granted under our 2020 Incentive Plan as an incentive award and vest in three installments as follows: (i) 25% will vest 12 months from the date of grant; (ii) 25% will vest 24 months from the date of grant; and (iii) 50% will vest 36 months from the date of grant, subject to Mr. Klaben’s continued employment with the Company through each applicable vesting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231775</wp:posOffset>
            </wp:positionH>
            <wp:positionV relativeFrom="paragraph">
              <wp:posOffset>93345</wp:posOffset>
            </wp:positionV>
            <wp:extent cx="6687820" cy="1651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687820" cy="16510"/>
                    </a:xfrm>
                    <a:prstGeom prst="rect">
                      <a:avLst/>
                    </a:prstGeom>
                    <a:noFill/>
                  </pic:spPr>
                </pic:pic>
              </a:graphicData>
            </a:graphic>
          </wp:anchor>
        </w:drawing>
      </w:r>
    </w:p>
    <w:p>
      <w:pPr>
        <w:spacing w:after="0" w:line="317" w:lineRule="exact"/>
        <w:rPr>
          <w:sz w:val="20"/>
          <w:szCs w:val="20"/>
          <w:color w:val="auto"/>
        </w:rPr>
      </w:pPr>
    </w:p>
    <w:tbl>
      <w:tblPr>
        <w:tblLayout w:type="fixed"/>
        <w:tblInd w:w="360" w:type="dxa"/>
        <w:tblCellMar>
          <w:top w:w="0" w:type="dxa"/>
          <w:left w:w="0" w:type="dxa"/>
          <w:bottom w:w="0" w:type="dxa"/>
          <w:right w:w="0" w:type="dxa"/>
        </w:tblCellMar>
      </w:tblPr>
      <w:tr>
        <w:trPr>
          <w:trHeight w:val="226"/>
        </w:trPr>
        <w:tc>
          <w:tcPr>
            <w:tcW w:w="3900" w:type="dxa"/>
            <w:vAlign w:val="bottom"/>
          </w:tcPr>
          <w:p>
            <w:pPr>
              <w:spacing w:after="0"/>
              <w:rPr>
                <w:sz w:val="20"/>
                <w:szCs w:val="20"/>
                <w:color w:val="auto"/>
              </w:rPr>
            </w:pPr>
            <w:r>
              <w:rPr>
                <w:rFonts w:ascii="Arial" w:cs="Arial" w:eastAsia="Arial" w:hAnsi="Arial"/>
                <w:sz w:val="17"/>
                <w:szCs w:val="17"/>
                <w:color w:val="auto"/>
              </w:rPr>
              <w:t>2023 Notice and Proxy Statement</w:t>
            </w:r>
          </w:p>
        </w:tc>
        <w:tc>
          <w:tcPr>
            <w:tcW w:w="1520" w:type="dxa"/>
            <w:vAlign w:val="bottom"/>
          </w:tcPr>
          <w:p>
            <w:pPr>
              <w:jc w:val="right"/>
              <w:spacing w:after="0"/>
              <w:rPr>
                <w:sz w:val="20"/>
                <w:szCs w:val="20"/>
                <w:color w:val="auto"/>
              </w:rPr>
            </w:pPr>
            <w:r>
              <w:rPr>
                <w:rFonts w:ascii="Arial" w:cs="Arial" w:eastAsia="Arial" w:hAnsi="Arial"/>
                <w:sz w:val="17"/>
                <w:szCs w:val="17"/>
                <w:color w:val="auto"/>
              </w:rPr>
              <w:t>46</w:t>
            </w:r>
          </w:p>
        </w:tc>
      </w:tr>
    </w:tbl>
    <w:p>
      <w:pPr>
        <w:sectPr>
          <w:pgSz w:w="11900" w:h="16838" w:orient="portrait"/>
          <w:cols w:equalWidth="0" w:num="1">
            <w:col w:w="10900"/>
          </w:cols>
          <w:pgMar w:left="320" w:top="468" w:right="679" w:bottom="1440" w:gutter="0" w:footer="0" w:header="0"/>
          <w:type w:val="continuous"/>
        </w:sectPr>
      </w:pPr>
    </w:p>
    <w:bookmarkStart w:id="55" w:name="page56"/>
    <w:bookmarkEnd w:id="5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5334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79945" cy="53340"/>
                    </a:xfrm>
                    <a:prstGeom prst="rect">
                      <a:avLst/>
                    </a:prstGeom>
                    <a:noFill/>
                  </pic:spPr>
                </pic:pic>
              </a:graphicData>
            </a:graphic>
          </wp:anchor>
        </w:drawing>
        <w:t>Table of Contents</w:t>
      </w:r>
    </w:p>
    <w:p>
      <w:pPr>
        <w:spacing w:after="0" w:line="296"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Compensation Tables</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Outstanding Equity Awards at 2022 Year-End</w:t>
      </w:r>
    </w:p>
    <w:p>
      <w:pPr>
        <w:spacing w:after="0" w:line="105" w:lineRule="exact"/>
        <w:rPr>
          <w:sz w:val="20"/>
          <w:szCs w:val="20"/>
          <w:color w:val="auto"/>
        </w:rPr>
      </w:pPr>
    </w:p>
    <w:p>
      <w:pPr>
        <w:ind w:left="360"/>
        <w:spacing w:after="0"/>
        <w:rPr>
          <w:sz w:val="20"/>
          <w:szCs w:val="20"/>
          <w:color w:val="auto"/>
        </w:rPr>
      </w:pPr>
      <w:r>
        <w:rPr>
          <w:rFonts w:ascii="Arial" w:cs="Arial" w:eastAsia="Arial" w:hAnsi="Arial"/>
          <w:sz w:val="31"/>
          <w:szCs w:val="31"/>
          <w:color w:val="00B0DB"/>
        </w:rPr>
        <w:t>Outstanding Equity Awards at 2022 Year-End</w:t>
      </w:r>
    </w:p>
    <w:p>
      <w:pPr>
        <w:spacing w:after="0" w:line="221" w:lineRule="exact"/>
        <w:rPr>
          <w:sz w:val="20"/>
          <w:szCs w:val="20"/>
          <w:color w:val="auto"/>
        </w:rPr>
      </w:pPr>
    </w:p>
    <w:p>
      <w:pPr>
        <w:ind w:left="360" w:right="300"/>
        <w:spacing w:after="0" w:line="250" w:lineRule="auto"/>
        <w:rPr>
          <w:sz w:val="20"/>
          <w:szCs w:val="20"/>
          <w:color w:val="auto"/>
        </w:rPr>
      </w:pPr>
      <w:r>
        <w:rPr>
          <w:rFonts w:ascii="Arial" w:cs="Arial" w:eastAsia="Arial" w:hAnsi="Arial"/>
          <w:sz w:val="17"/>
          <w:szCs w:val="17"/>
          <w:color w:val="auto"/>
        </w:rPr>
        <w:t>The following table sets forth information regarding outstanding equity awards held as of December 31, 2022 by each of our NEOs. Mr. Leffler departed on July 20, 2022 and Mr. Hammons departed on October 1, 2022 and neither NEO held any equity awards as of December 31, 2022. Mr. Biehl was not granted any equity incentive awards in 2022 and therefore had no equity awards outstanding on December 31, 2022.</w:t>
      </w:r>
    </w:p>
    <w:p>
      <w:pPr>
        <w:spacing w:after="0" w:line="238" w:lineRule="exact"/>
        <w:rPr>
          <w:sz w:val="20"/>
          <w:szCs w:val="20"/>
          <w:color w:val="auto"/>
        </w:rPr>
      </w:pPr>
    </w:p>
    <w:tbl>
      <w:tblPr>
        <w:tblLayout w:type="fixed"/>
        <w:tblInd w:w="360" w:type="dxa"/>
        <w:tblCellMar>
          <w:top w:w="0" w:type="dxa"/>
          <w:left w:w="0" w:type="dxa"/>
          <w:bottom w:w="0" w:type="dxa"/>
          <w:right w:w="0" w:type="dxa"/>
        </w:tblCellMar>
      </w:tblPr>
      <w:tr>
        <w:trPr>
          <w:trHeight w:val="164"/>
        </w:trPr>
        <w:tc>
          <w:tcPr>
            <w:tcW w:w="1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Borders>
              <w:bottom w:val="single" w:sz="8" w:color="00467D"/>
            </w:tcBorders>
          </w:tcPr>
          <w:p>
            <w:pPr>
              <w:spacing w:after="0"/>
              <w:rPr>
                <w:sz w:val="14"/>
                <w:szCs w:val="14"/>
                <w:color w:val="auto"/>
              </w:rPr>
            </w:pPr>
          </w:p>
        </w:tc>
        <w:tc>
          <w:tcPr>
            <w:tcW w:w="1420" w:type="dxa"/>
            <w:vAlign w:val="bottom"/>
            <w:tcBorders>
              <w:bottom w:val="single" w:sz="8" w:color="00467D"/>
            </w:tcBorders>
            <w:gridSpan w:val="2"/>
          </w:tcPr>
          <w:p>
            <w:pPr>
              <w:ind w:left="420"/>
              <w:spacing w:after="0"/>
              <w:rPr>
                <w:sz w:val="20"/>
                <w:szCs w:val="20"/>
                <w:color w:val="auto"/>
              </w:rPr>
            </w:pPr>
            <w:r>
              <w:rPr>
                <w:rFonts w:ascii="Arial" w:cs="Arial" w:eastAsia="Arial" w:hAnsi="Arial"/>
                <w:sz w:val="14"/>
                <w:szCs w:val="14"/>
                <w:b w:val="1"/>
                <w:bCs w:val="1"/>
                <w:color w:val="00467D"/>
                <w:w w:val="98"/>
              </w:rPr>
              <w:t>Option Awards</w:t>
            </w:r>
          </w:p>
        </w:tc>
        <w:tc>
          <w:tcPr>
            <w:tcW w:w="580" w:type="dxa"/>
            <w:vAlign w:val="bottom"/>
            <w:tcBorders>
              <w:bottom w:val="single" w:sz="8" w:color="00467D"/>
            </w:tcBorders>
          </w:tcPr>
          <w:p>
            <w:pPr>
              <w:spacing w:after="0"/>
              <w:rPr>
                <w:sz w:val="14"/>
                <w:szCs w:val="14"/>
                <w:color w:val="auto"/>
              </w:rPr>
            </w:pPr>
          </w:p>
        </w:tc>
        <w:tc>
          <w:tcPr>
            <w:tcW w:w="940" w:type="dxa"/>
            <w:vAlign w:val="bottom"/>
            <w:tcBorders>
              <w:bottom w:val="single" w:sz="8" w:color="00467D"/>
            </w:tcBorders>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Borders>
              <w:bottom w:val="single" w:sz="8" w:color="00467D"/>
            </w:tcBorders>
          </w:tcPr>
          <w:p>
            <w:pPr>
              <w:spacing w:after="0"/>
              <w:rPr>
                <w:sz w:val="14"/>
                <w:szCs w:val="14"/>
                <w:color w:val="auto"/>
              </w:rPr>
            </w:pPr>
          </w:p>
        </w:tc>
        <w:tc>
          <w:tcPr>
            <w:tcW w:w="180" w:type="dxa"/>
            <w:vAlign w:val="bottom"/>
            <w:tcBorders>
              <w:bottom w:val="single" w:sz="8" w:color="00467D"/>
            </w:tcBorders>
          </w:tcPr>
          <w:p>
            <w:pPr>
              <w:spacing w:after="0"/>
              <w:rPr>
                <w:sz w:val="14"/>
                <w:szCs w:val="14"/>
                <w:color w:val="auto"/>
              </w:rPr>
            </w:pPr>
          </w:p>
        </w:tc>
        <w:tc>
          <w:tcPr>
            <w:tcW w:w="2000" w:type="dxa"/>
            <w:vAlign w:val="bottom"/>
            <w:tcBorders>
              <w:bottom w:val="single" w:sz="8" w:color="00467D"/>
            </w:tcBorders>
            <w:gridSpan w:val="2"/>
          </w:tcPr>
          <w:p>
            <w:pPr>
              <w:jc w:val="right"/>
              <w:ind w:right="650"/>
              <w:spacing w:after="0"/>
              <w:rPr>
                <w:sz w:val="20"/>
                <w:szCs w:val="20"/>
                <w:color w:val="auto"/>
              </w:rPr>
            </w:pPr>
            <w:r>
              <w:rPr>
                <w:rFonts w:ascii="Arial" w:cs="Arial" w:eastAsia="Arial" w:hAnsi="Arial"/>
                <w:sz w:val="14"/>
                <w:szCs w:val="14"/>
                <w:b w:val="1"/>
                <w:bCs w:val="1"/>
                <w:color w:val="00467D"/>
              </w:rPr>
              <w:t>Stock Awards</w:t>
            </w:r>
          </w:p>
        </w:tc>
        <w:tc>
          <w:tcPr>
            <w:tcW w:w="140" w:type="dxa"/>
            <w:vAlign w:val="bottom"/>
            <w:tcBorders>
              <w:bottom w:val="single" w:sz="8" w:color="00467D"/>
            </w:tcBorders>
          </w:tcPr>
          <w:p>
            <w:pPr>
              <w:spacing w:after="0"/>
              <w:rPr>
                <w:sz w:val="14"/>
                <w:szCs w:val="14"/>
                <w:color w:val="auto"/>
              </w:rPr>
            </w:pPr>
          </w:p>
        </w:tc>
        <w:tc>
          <w:tcPr>
            <w:tcW w:w="940" w:type="dxa"/>
            <w:vAlign w:val="bottom"/>
            <w:tcBorders>
              <w:bottom w:val="single" w:sz="8" w:color="00467D"/>
            </w:tcBorders>
          </w:tcPr>
          <w:p>
            <w:pPr>
              <w:spacing w:after="0"/>
              <w:rPr>
                <w:sz w:val="14"/>
                <w:szCs w:val="14"/>
                <w:color w:val="auto"/>
              </w:rPr>
            </w:pPr>
          </w:p>
        </w:tc>
      </w:tr>
      <w:tr>
        <w:trPr>
          <w:trHeight w:val="151"/>
        </w:trPr>
        <w:tc>
          <w:tcPr>
            <w:tcW w:w="1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jc w:val="center"/>
              <w:ind w:right="90"/>
              <w:spacing w:after="0" w:line="151" w:lineRule="exact"/>
              <w:rPr>
                <w:sz w:val="20"/>
                <w:szCs w:val="20"/>
                <w:color w:val="auto"/>
              </w:rPr>
            </w:pPr>
            <w:r>
              <w:rPr>
                <w:rFonts w:ascii="Arial" w:cs="Arial" w:eastAsia="Arial" w:hAnsi="Arial"/>
                <w:sz w:val="14"/>
                <w:szCs w:val="14"/>
                <w:b w:val="1"/>
                <w:bCs w:val="1"/>
                <w:color w:val="00467D"/>
                <w:w w:val="98"/>
              </w:rPr>
              <w:t>Equity</w:t>
            </w:r>
          </w:p>
        </w:tc>
      </w:tr>
      <w:tr>
        <w:trPr>
          <w:trHeight w:val="155"/>
        </w:trPr>
        <w:tc>
          <w:tcPr>
            <w:tcW w:w="1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80" w:type="dxa"/>
            <w:vAlign w:val="bottom"/>
          </w:tcPr>
          <w:p>
            <w:pPr>
              <w:jc w:val="center"/>
              <w:spacing w:after="0" w:line="155" w:lineRule="exact"/>
              <w:rPr>
                <w:sz w:val="20"/>
                <w:szCs w:val="20"/>
                <w:color w:val="auto"/>
              </w:rPr>
            </w:pPr>
            <w:r>
              <w:rPr>
                <w:rFonts w:ascii="Arial" w:cs="Arial" w:eastAsia="Arial" w:hAnsi="Arial"/>
                <w:sz w:val="14"/>
                <w:szCs w:val="14"/>
                <w:b w:val="1"/>
                <w:bCs w:val="1"/>
                <w:color w:val="00467D"/>
                <w:w w:val="98"/>
              </w:rPr>
              <w:t>Equity</w:t>
            </w:r>
          </w:p>
        </w:tc>
        <w:tc>
          <w:tcPr>
            <w:tcW w:w="1080" w:type="dxa"/>
            <w:vAlign w:val="bottom"/>
            <w:gridSpan w:val="2"/>
          </w:tcPr>
          <w:p>
            <w:pPr>
              <w:jc w:val="center"/>
              <w:spacing w:after="0" w:line="155" w:lineRule="exact"/>
              <w:rPr>
                <w:sz w:val="20"/>
                <w:szCs w:val="20"/>
                <w:color w:val="auto"/>
              </w:rPr>
            </w:pPr>
            <w:r>
              <w:rPr>
                <w:rFonts w:ascii="Arial" w:cs="Arial" w:eastAsia="Arial" w:hAnsi="Arial"/>
                <w:sz w:val="14"/>
                <w:szCs w:val="14"/>
                <w:b w:val="1"/>
                <w:bCs w:val="1"/>
                <w:color w:val="00467D"/>
                <w:w w:val="99"/>
              </w:rPr>
              <w:t>Incentive Plan</w:t>
            </w:r>
          </w:p>
        </w:tc>
      </w:tr>
      <w:tr>
        <w:trPr>
          <w:trHeight w:val="155"/>
        </w:trPr>
        <w:tc>
          <w:tcPr>
            <w:tcW w:w="1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80" w:type="dxa"/>
            <w:vAlign w:val="bottom"/>
          </w:tcPr>
          <w:p>
            <w:pPr>
              <w:jc w:val="center"/>
              <w:spacing w:after="0" w:line="155" w:lineRule="exact"/>
              <w:rPr>
                <w:sz w:val="20"/>
                <w:szCs w:val="20"/>
                <w:color w:val="auto"/>
              </w:rPr>
            </w:pPr>
            <w:r>
              <w:rPr>
                <w:rFonts w:ascii="Arial" w:cs="Arial" w:eastAsia="Arial" w:hAnsi="Arial"/>
                <w:sz w:val="14"/>
                <w:szCs w:val="14"/>
                <w:b w:val="1"/>
                <w:bCs w:val="1"/>
                <w:color w:val="00467D"/>
                <w:w w:val="95"/>
              </w:rPr>
              <w:t>Incentive</w:t>
            </w:r>
          </w:p>
        </w:tc>
        <w:tc>
          <w:tcPr>
            <w:tcW w:w="140" w:type="dxa"/>
            <w:vAlign w:val="bottom"/>
          </w:tcPr>
          <w:p>
            <w:pPr>
              <w:spacing w:after="0"/>
              <w:rPr>
                <w:sz w:val="13"/>
                <w:szCs w:val="13"/>
                <w:color w:val="auto"/>
              </w:rPr>
            </w:pPr>
          </w:p>
        </w:tc>
        <w:tc>
          <w:tcPr>
            <w:tcW w:w="940" w:type="dxa"/>
            <w:vAlign w:val="bottom"/>
          </w:tcPr>
          <w:p>
            <w:pPr>
              <w:jc w:val="center"/>
              <w:ind w:right="90"/>
              <w:spacing w:after="0" w:line="155" w:lineRule="exact"/>
              <w:rPr>
                <w:sz w:val="20"/>
                <w:szCs w:val="20"/>
                <w:color w:val="auto"/>
              </w:rPr>
            </w:pPr>
            <w:r>
              <w:rPr>
                <w:rFonts w:ascii="Arial" w:cs="Arial" w:eastAsia="Arial" w:hAnsi="Arial"/>
                <w:sz w:val="14"/>
                <w:szCs w:val="14"/>
                <w:b w:val="1"/>
                <w:bCs w:val="1"/>
                <w:color w:val="00467D"/>
                <w:w w:val="97"/>
              </w:rPr>
              <w:t>Awards:</w:t>
            </w:r>
          </w:p>
        </w:tc>
      </w:tr>
      <w:tr>
        <w:trPr>
          <w:trHeight w:val="155"/>
        </w:trPr>
        <w:tc>
          <w:tcPr>
            <w:tcW w:w="1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80" w:type="dxa"/>
            <w:vAlign w:val="bottom"/>
          </w:tcPr>
          <w:p>
            <w:pPr>
              <w:jc w:val="center"/>
              <w:spacing w:after="0" w:line="155" w:lineRule="exact"/>
              <w:rPr>
                <w:sz w:val="20"/>
                <w:szCs w:val="20"/>
                <w:color w:val="auto"/>
              </w:rPr>
            </w:pPr>
            <w:r>
              <w:rPr>
                <w:rFonts w:ascii="Arial" w:cs="Arial" w:eastAsia="Arial" w:hAnsi="Arial"/>
                <w:sz w:val="14"/>
                <w:szCs w:val="14"/>
                <w:b w:val="1"/>
                <w:bCs w:val="1"/>
                <w:color w:val="00467D"/>
                <w:w w:val="96"/>
              </w:rPr>
              <w:t>Plan Awards:</w:t>
            </w:r>
          </w:p>
        </w:tc>
        <w:tc>
          <w:tcPr>
            <w:tcW w:w="140" w:type="dxa"/>
            <w:vAlign w:val="bottom"/>
          </w:tcPr>
          <w:p>
            <w:pPr>
              <w:spacing w:after="0"/>
              <w:rPr>
                <w:sz w:val="13"/>
                <w:szCs w:val="13"/>
                <w:color w:val="auto"/>
              </w:rPr>
            </w:pPr>
          </w:p>
        </w:tc>
        <w:tc>
          <w:tcPr>
            <w:tcW w:w="940" w:type="dxa"/>
            <w:vAlign w:val="bottom"/>
          </w:tcPr>
          <w:p>
            <w:pPr>
              <w:jc w:val="center"/>
              <w:ind w:right="90"/>
              <w:spacing w:after="0" w:line="155" w:lineRule="exact"/>
              <w:rPr>
                <w:sz w:val="20"/>
                <w:szCs w:val="20"/>
                <w:color w:val="auto"/>
              </w:rPr>
            </w:pPr>
            <w:r>
              <w:rPr>
                <w:rFonts w:ascii="Arial" w:cs="Arial" w:eastAsia="Arial" w:hAnsi="Arial"/>
                <w:sz w:val="14"/>
                <w:szCs w:val="14"/>
                <w:b w:val="1"/>
                <w:bCs w:val="1"/>
                <w:color w:val="00467D"/>
                <w:w w:val="98"/>
              </w:rPr>
              <w:t>Market or</w:t>
            </w:r>
          </w:p>
        </w:tc>
      </w:tr>
      <w:tr>
        <w:trPr>
          <w:trHeight w:val="155"/>
        </w:trPr>
        <w:tc>
          <w:tcPr>
            <w:tcW w:w="1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80" w:type="dxa"/>
            <w:vAlign w:val="bottom"/>
          </w:tcPr>
          <w:p>
            <w:pPr>
              <w:jc w:val="center"/>
              <w:spacing w:after="0" w:line="155" w:lineRule="exact"/>
              <w:rPr>
                <w:sz w:val="20"/>
                <w:szCs w:val="20"/>
                <w:color w:val="auto"/>
              </w:rPr>
            </w:pPr>
            <w:r>
              <w:rPr>
                <w:rFonts w:ascii="Arial" w:cs="Arial" w:eastAsia="Arial" w:hAnsi="Arial"/>
                <w:sz w:val="14"/>
                <w:szCs w:val="14"/>
                <w:b w:val="1"/>
                <w:bCs w:val="1"/>
                <w:color w:val="00467D"/>
                <w:w w:val="99"/>
              </w:rPr>
              <w:t>Number of</w:t>
            </w:r>
          </w:p>
        </w:tc>
        <w:tc>
          <w:tcPr>
            <w:tcW w:w="1080" w:type="dxa"/>
            <w:vAlign w:val="bottom"/>
            <w:gridSpan w:val="2"/>
          </w:tcPr>
          <w:p>
            <w:pPr>
              <w:jc w:val="center"/>
              <w:spacing w:after="0" w:line="155" w:lineRule="exact"/>
              <w:rPr>
                <w:sz w:val="20"/>
                <w:szCs w:val="20"/>
                <w:color w:val="auto"/>
              </w:rPr>
            </w:pPr>
            <w:r>
              <w:rPr>
                <w:rFonts w:ascii="Arial" w:cs="Arial" w:eastAsia="Arial" w:hAnsi="Arial"/>
                <w:sz w:val="14"/>
                <w:szCs w:val="14"/>
                <w:b w:val="1"/>
                <w:bCs w:val="1"/>
                <w:color w:val="00467D"/>
                <w:w w:val="97"/>
              </w:rPr>
              <w:t>Payout Value</w:t>
            </w:r>
          </w:p>
        </w:tc>
      </w:tr>
      <w:tr>
        <w:trPr>
          <w:trHeight w:val="155"/>
        </w:trPr>
        <w:tc>
          <w:tcPr>
            <w:tcW w:w="1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jc w:val="center"/>
              <w:ind w:right="167"/>
              <w:spacing w:after="0" w:line="155" w:lineRule="exact"/>
              <w:rPr>
                <w:sz w:val="20"/>
                <w:szCs w:val="20"/>
                <w:color w:val="auto"/>
              </w:rPr>
            </w:pPr>
            <w:r>
              <w:rPr>
                <w:rFonts w:ascii="Arial" w:cs="Arial" w:eastAsia="Arial" w:hAnsi="Arial"/>
                <w:sz w:val="14"/>
                <w:szCs w:val="14"/>
                <w:b w:val="1"/>
                <w:bCs w:val="1"/>
                <w:color w:val="00467D"/>
                <w:w w:val="99"/>
              </w:rPr>
              <w:t>Number of</w:t>
            </w:r>
          </w:p>
        </w:tc>
        <w:tc>
          <w:tcPr>
            <w:tcW w:w="1240" w:type="dxa"/>
            <w:vAlign w:val="bottom"/>
          </w:tcPr>
          <w:p>
            <w:pPr>
              <w:jc w:val="center"/>
              <w:ind w:right="87"/>
              <w:spacing w:after="0" w:line="155" w:lineRule="exact"/>
              <w:rPr>
                <w:sz w:val="20"/>
                <w:szCs w:val="20"/>
                <w:color w:val="auto"/>
              </w:rPr>
            </w:pPr>
            <w:r>
              <w:rPr>
                <w:rFonts w:ascii="Arial" w:cs="Arial" w:eastAsia="Arial" w:hAnsi="Arial"/>
                <w:sz w:val="14"/>
                <w:szCs w:val="14"/>
                <w:b w:val="1"/>
                <w:bCs w:val="1"/>
                <w:color w:val="00467D"/>
                <w:w w:val="97"/>
              </w:rPr>
              <w:t>Number of</w:t>
            </w: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80" w:type="dxa"/>
            <w:vAlign w:val="bottom"/>
          </w:tcPr>
          <w:p>
            <w:pPr>
              <w:jc w:val="center"/>
              <w:spacing w:after="0" w:line="155" w:lineRule="exact"/>
              <w:rPr>
                <w:sz w:val="20"/>
                <w:szCs w:val="20"/>
                <w:color w:val="auto"/>
              </w:rPr>
            </w:pPr>
            <w:r>
              <w:rPr>
                <w:rFonts w:ascii="Arial" w:cs="Arial" w:eastAsia="Arial" w:hAnsi="Arial"/>
                <w:sz w:val="14"/>
                <w:szCs w:val="14"/>
                <w:b w:val="1"/>
                <w:bCs w:val="1"/>
                <w:color w:val="00467D"/>
                <w:w w:val="95"/>
              </w:rPr>
              <w:t>Unearned</w:t>
            </w:r>
          </w:p>
        </w:tc>
        <w:tc>
          <w:tcPr>
            <w:tcW w:w="1080" w:type="dxa"/>
            <w:vAlign w:val="bottom"/>
            <w:gridSpan w:val="2"/>
          </w:tcPr>
          <w:p>
            <w:pPr>
              <w:jc w:val="center"/>
              <w:spacing w:after="0" w:line="155" w:lineRule="exact"/>
              <w:rPr>
                <w:sz w:val="20"/>
                <w:szCs w:val="20"/>
                <w:color w:val="auto"/>
              </w:rPr>
            </w:pPr>
            <w:r>
              <w:rPr>
                <w:rFonts w:ascii="Arial" w:cs="Arial" w:eastAsia="Arial" w:hAnsi="Arial"/>
                <w:sz w:val="14"/>
                <w:szCs w:val="14"/>
                <w:b w:val="1"/>
                <w:bCs w:val="1"/>
                <w:color w:val="00467D"/>
                <w:w w:val="97"/>
              </w:rPr>
              <w:t>of Unearned</w:t>
            </w:r>
          </w:p>
        </w:tc>
      </w:tr>
      <w:tr>
        <w:trPr>
          <w:trHeight w:val="155"/>
        </w:trPr>
        <w:tc>
          <w:tcPr>
            <w:tcW w:w="1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jc w:val="center"/>
              <w:ind w:right="167"/>
              <w:spacing w:after="0" w:line="155" w:lineRule="exact"/>
              <w:rPr>
                <w:sz w:val="20"/>
                <w:szCs w:val="20"/>
                <w:color w:val="auto"/>
              </w:rPr>
            </w:pPr>
            <w:r>
              <w:rPr>
                <w:rFonts w:ascii="Arial" w:cs="Arial" w:eastAsia="Arial" w:hAnsi="Arial"/>
                <w:sz w:val="14"/>
                <w:szCs w:val="14"/>
                <w:b w:val="1"/>
                <w:bCs w:val="1"/>
                <w:color w:val="00467D"/>
                <w:w w:val="98"/>
              </w:rPr>
              <w:t>Securities</w:t>
            </w:r>
          </w:p>
        </w:tc>
        <w:tc>
          <w:tcPr>
            <w:tcW w:w="1240" w:type="dxa"/>
            <w:vAlign w:val="bottom"/>
          </w:tcPr>
          <w:p>
            <w:pPr>
              <w:jc w:val="center"/>
              <w:ind w:right="67"/>
              <w:spacing w:after="0" w:line="155" w:lineRule="exact"/>
              <w:rPr>
                <w:sz w:val="20"/>
                <w:szCs w:val="20"/>
                <w:color w:val="auto"/>
              </w:rPr>
            </w:pPr>
            <w:r>
              <w:rPr>
                <w:rFonts w:ascii="Arial" w:cs="Arial" w:eastAsia="Arial" w:hAnsi="Arial"/>
                <w:sz w:val="14"/>
                <w:szCs w:val="14"/>
                <w:b w:val="1"/>
                <w:bCs w:val="1"/>
                <w:color w:val="00467D"/>
                <w:w w:val="98"/>
              </w:rPr>
              <w:t>Securities</w:t>
            </w: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jc w:val="center"/>
              <w:ind w:right="171"/>
              <w:spacing w:after="0" w:line="155" w:lineRule="exact"/>
              <w:rPr>
                <w:sz w:val="20"/>
                <w:szCs w:val="20"/>
                <w:color w:val="auto"/>
              </w:rPr>
            </w:pPr>
            <w:r>
              <w:rPr>
                <w:rFonts w:ascii="Arial" w:cs="Arial" w:eastAsia="Arial" w:hAnsi="Arial"/>
                <w:sz w:val="14"/>
                <w:szCs w:val="14"/>
                <w:b w:val="1"/>
                <w:bCs w:val="1"/>
                <w:color w:val="00467D"/>
                <w:w w:val="97"/>
              </w:rPr>
              <w:t>Number of</w:t>
            </w:r>
          </w:p>
        </w:tc>
        <w:tc>
          <w:tcPr>
            <w:tcW w:w="1100" w:type="dxa"/>
            <w:vAlign w:val="bottom"/>
            <w:gridSpan w:val="2"/>
          </w:tcPr>
          <w:p>
            <w:pPr>
              <w:jc w:val="center"/>
              <w:spacing w:after="0" w:line="155" w:lineRule="exact"/>
              <w:rPr>
                <w:sz w:val="20"/>
                <w:szCs w:val="20"/>
                <w:color w:val="auto"/>
              </w:rPr>
            </w:pPr>
            <w:r>
              <w:rPr>
                <w:rFonts w:ascii="Arial" w:cs="Arial" w:eastAsia="Arial" w:hAnsi="Arial"/>
                <w:sz w:val="14"/>
                <w:szCs w:val="14"/>
                <w:b w:val="1"/>
                <w:bCs w:val="1"/>
                <w:color w:val="00467D"/>
                <w:w w:val="97"/>
              </w:rPr>
              <w:t>Market Value</w:t>
            </w:r>
          </w:p>
        </w:tc>
        <w:tc>
          <w:tcPr>
            <w:tcW w:w="1080" w:type="dxa"/>
            <w:vAlign w:val="bottom"/>
          </w:tcPr>
          <w:p>
            <w:pPr>
              <w:jc w:val="center"/>
              <w:spacing w:after="0" w:line="155" w:lineRule="exact"/>
              <w:rPr>
                <w:sz w:val="20"/>
                <w:szCs w:val="20"/>
                <w:color w:val="auto"/>
              </w:rPr>
            </w:pPr>
            <w:r>
              <w:rPr>
                <w:rFonts w:ascii="Arial" w:cs="Arial" w:eastAsia="Arial" w:hAnsi="Arial"/>
                <w:sz w:val="14"/>
                <w:szCs w:val="14"/>
                <w:b w:val="1"/>
                <w:bCs w:val="1"/>
                <w:color w:val="00467D"/>
                <w:w w:val="98"/>
              </w:rPr>
              <w:t>Shares,</w:t>
            </w:r>
          </w:p>
        </w:tc>
        <w:tc>
          <w:tcPr>
            <w:tcW w:w="1080" w:type="dxa"/>
            <w:vAlign w:val="bottom"/>
            <w:gridSpan w:val="2"/>
          </w:tcPr>
          <w:p>
            <w:pPr>
              <w:jc w:val="center"/>
              <w:spacing w:after="0" w:line="155" w:lineRule="exact"/>
              <w:rPr>
                <w:sz w:val="20"/>
                <w:szCs w:val="20"/>
                <w:color w:val="auto"/>
              </w:rPr>
            </w:pPr>
            <w:r>
              <w:rPr>
                <w:rFonts w:ascii="Arial" w:cs="Arial" w:eastAsia="Arial" w:hAnsi="Arial"/>
                <w:sz w:val="14"/>
                <w:szCs w:val="14"/>
                <w:b w:val="1"/>
                <w:bCs w:val="1"/>
                <w:color w:val="00467D"/>
                <w:w w:val="98"/>
              </w:rPr>
              <w:t>Shares, Units</w:t>
            </w:r>
          </w:p>
        </w:tc>
      </w:tr>
      <w:tr>
        <w:trPr>
          <w:trHeight w:val="155"/>
        </w:trPr>
        <w:tc>
          <w:tcPr>
            <w:tcW w:w="1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jc w:val="center"/>
              <w:ind w:right="147"/>
              <w:spacing w:after="0" w:line="155" w:lineRule="exact"/>
              <w:rPr>
                <w:sz w:val="20"/>
                <w:szCs w:val="20"/>
                <w:color w:val="auto"/>
              </w:rPr>
            </w:pPr>
            <w:r>
              <w:rPr>
                <w:rFonts w:ascii="Arial" w:cs="Arial" w:eastAsia="Arial" w:hAnsi="Arial"/>
                <w:sz w:val="14"/>
                <w:szCs w:val="14"/>
                <w:b w:val="1"/>
                <w:bCs w:val="1"/>
                <w:color w:val="00467D"/>
                <w:w w:val="98"/>
              </w:rPr>
              <w:t>Underlying</w:t>
            </w:r>
          </w:p>
        </w:tc>
        <w:tc>
          <w:tcPr>
            <w:tcW w:w="1240" w:type="dxa"/>
            <w:vAlign w:val="bottom"/>
          </w:tcPr>
          <w:p>
            <w:pPr>
              <w:jc w:val="center"/>
              <w:ind w:right="87"/>
              <w:spacing w:after="0" w:line="155" w:lineRule="exact"/>
              <w:rPr>
                <w:sz w:val="20"/>
                <w:szCs w:val="20"/>
                <w:color w:val="auto"/>
              </w:rPr>
            </w:pPr>
            <w:r>
              <w:rPr>
                <w:rFonts w:ascii="Arial" w:cs="Arial" w:eastAsia="Arial" w:hAnsi="Arial"/>
                <w:sz w:val="14"/>
                <w:szCs w:val="14"/>
                <w:b w:val="1"/>
                <w:bCs w:val="1"/>
                <w:color w:val="00467D"/>
                <w:w w:val="98"/>
              </w:rPr>
              <w:t>Underlying</w:t>
            </w: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jc w:val="center"/>
              <w:ind w:right="171"/>
              <w:spacing w:after="0" w:line="155" w:lineRule="exact"/>
              <w:rPr>
                <w:sz w:val="20"/>
                <w:szCs w:val="20"/>
                <w:color w:val="auto"/>
              </w:rPr>
            </w:pPr>
            <w:r>
              <w:rPr>
                <w:rFonts w:ascii="Arial" w:cs="Arial" w:eastAsia="Arial" w:hAnsi="Arial"/>
                <w:sz w:val="14"/>
                <w:szCs w:val="14"/>
                <w:b w:val="1"/>
                <w:bCs w:val="1"/>
                <w:color w:val="00467D"/>
                <w:w w:val="99"/>
              </w:rPr>
              <w:t>Shares or</w:t>
            </w:r>
          </w:p>
        </w:tc>
        <w:tc>
          <w:tcPr>
            <w:tcW w:w="1100" w:type="dxa"/>
            <w:vAlign w:val="bottom"/>
            <w:gridSpan w:val="2"/>
          </w:tcPr>
          <w:p>
            <w:pPr>
              <w:jc w:val="center"/>
              <w:spacing w:after="0" w:line="155" w:lineRule="exact"/>
              <w:rPr>
                <w:sz w:val="20"/>
                <w:szCs w:val="20"/>
                <w:color w:val="auto"/>
              </w:rPr>
            </w:pPr>
            <w:r>
              <w:rPr>
                <w:rFonts w:ascii="Arial" w:cs="Arial" w:eastAsia="Arial" w:hAnsi="Arial"/>
                <w:sz w:val="14"/>
                <w:szCs w:val="14"/>
                <w:b w:val="1"/>
                <w:bCs w:val="1"/>
                <w:color w:val="00467D"/>
                <w:w w:val="97"/>
              </w:rPr>
              <w:t>of Shares or</w:t>
            </w:r>
          </w:p>
        </w:tc>
        <w:tc>
          <w:tcPr>
            <w:tcW w:w="1080" w:type="dxa"/>
            <w:vAlign w:val="bottom"/>
          </w:tcPr>
          <w:p>
            <w:pPr>
              <w:jc w:val="center"/>
              <w:spacing w:after="0" w:line="155" w:lineRule="exact"/>
              <w:rPr>
                <w:sz w:val="20"/>
                <w:szCs w:val="20"/>
                <w:color w:val="auto"/>
              </w:rPr>
            </w:pPr>
            <w:r>
              <w:rPr>
                <w:rFonts w:ascii="Arial" w:cs="Arial" w:eastAsia="Arial" w:hAnsi="Arial"/>
                <w:sz w:val="14"/>
                <w:szCs w:val="14"/>
                <w:b w:val="1"/>
                <w:bCs w:val="1"/>
                <w:color w:val="00467D"/>
                <w:w w:val="98"/>
              </w:rPr>
              <w:t>Units or</w:t>
            </w:r>
          </w:p>
        </w:tc>
        <w:tc>
          <w:tcPr>
            <w:tcW w:w="140" w:type="dxa"/>
            <w:vAlign w:val="bottom"/>
          </w:tcPr>
          <w:p>
            <w:pPr>
              <w:spacing w:after="0"/>
              <w:rPr>
                <w:sz w:val="13"/>
                <w:szCs w:val="13"/>
                <w:color w:val="auto"/>
              </w:rPr>
            </w:pPr>
          </w:p>
        </w:tc>
        <w:tc>
          <w:tcPr>
            <w:tcW w:w="940" w:type="dxa"/>
            <w:vAlign w:val="bottom"/>
          </w:tcPr>
          <w:p>
            <w:pPr>
              <w:jc w:val="center"/>
              <w:ind w:right="90"/>
              <w:spacing w:after="0" w:line="155" w:lineRule="exact"/>
              <w:rPr>
                <w:sz w:val="20"/>
                <w:szCs w:val="20"/>
                <w:color w:val="auto"/>
              </w:rPr>
            </w:pPr>
            <w:r>
              <w:rPr>
                <w:rFonts w:ascii="Arial" w:cs="Arial" w:eastAsia="Arial" w:hAnsi="Arial"/>
                <w:sz w:val="14"/>
                <w:szCs w:val="14"/>
                <w:b w:val="1"/>
                <w:bCs w:val="1"/>
                <w:color w:val="00467D"/>
                <w:w w:val="97"/>
              </w:rPr>
              <w:t>or Other</w:t>
            </w:r>
          </w:p>
        </w:tc>
      </w:tr>
      <w:tr>
        <w:trPr>
          <w:trHeight w:val="155"/>
        </w:trPr>
        <w:tc>
          <w:tcPr>
            <w:tcW w:w="1880" w:type="dxa"/>
            <w:vAlign w:val="bottom"/>
          </w:tcPr>
          <w:p>
            <w:pPr>
              <w:spacing w:after="0"/>
              <w:rPr>
                <w:sz w:val="13"/>
                <w:szCs w:val="13"/>
                <w:color w:val="auto"/>
              </w:rPr>
            </w:pPr>
          </w:p>
        </w:tc>
        <w:tc>
          <w:tcPr>
            <w:tcW w:w="1180" w:type="dxa"/>
            <w:vAlign w:val="bottom"/>
            <w:gridSpan w:val="2"/>
          </w:tcPr>
          <w:p>
            <w:pPr>
              <w:jc w:val="center"/>
              <w:ind w:right="47"/>
              <w:spacing w:after="0" w:line="155" w:lineRule="exact"/>
              <w:rPr>
                <w:sz w:val="20"/>
                <w:szCs w:val="20"/>
                <w:color w:val="auto"/>
              </w:rPr>
            </w:pPr>
            <w:r>
              <w:rPr>
                <w:rFonts w:ascii="Arial" w:cs="Arial" w:eastAsia="Arial" w:hAnsi="Arial"/>
                <w:sz w:val="14"/>
                <w:szCs w:val="14"/>
                <w:b w:val="1"/>
                <w:bCs w:val="1"/>
                <w:color w:val="00467D"/>
                <w:w w:val="98"/>
              </w:rPr>
              <w:t>Unexercised</w:t>
            </w:r>
          </w:p>
        </w:tc>
        <w:tc>
          <w:tcPr>
            <w:tcW w:w="1240" w:type="dxa"/>
            <w:vAlign w:val="bottom"/>
          </w:tcPr>
          <w:p>
            <w:pPr>
              <w:jc w:val="center"/>
              <w:ind w:right="67"/>
              <w:spacing w:after="0" w:line="155" w:lineRule="exact"/>
              <w:rPr>
                <w:sz w:val="20"/>
                <w:szCs w:val="20"/>
                <w:color w:val="auto"/>
              </w:rPr>
            </w:pPr>
            <w:r>
              <w:rPr>
                <w:rFonts w:ascii="Arial" w:cs="Arial" w:eastAsia="Arial" w:hAnsi="Arial"/>
                <w:sz w:val="14"/>
                <w:szCs w:val="14"/>
                <w:b w:val="1"/>
                <w:bCs w:val="1"/>
                <w:color w:val="00467D"/>
                <w:w w:val="98"/>
              </w:rPr>
              <w:t>Unexercised</w:t>
            </w:r>
          </w:p>
        </w:tc>
        <w:tc>
          <w:tcPr>
            <w:tcW w:w="760" w:type="dxa"/>
            <w:vAlign w:val="bottom"/>
            <w:gridSpan w:val="2"/>
          </w:tcPr>
          <w:p>
            <w:pPr>
              <w:ind w:left="140"/>
              <w:spacing w:after="0" w:line="155" w:lineRule="exact"/>
              <w:rPr>
                <w:sz w:val="20"/>
                <w:szCs w:val="20"/>
                <w:color w:val="auto"/>
              </w:rPr>
            </w:pPr>
            <w:r>
              <w:rPr>
                <w:rFonts w:ascii="Arial" w:cs="Arial" w:eastAsia="Arial" w:hAnsi="Arial"/>
                <w:sz w:val="14"/>
                <w:szCs w:val="14"/>
                <w:b w:val="1"/>
                <w:bCs w:val="1"/>
                <w:color w:val="00467D"/>
              </w:rPr>
              <w:t>Option</w:t>
            </w:r>
          </w:p>
        </w:tc>
        <w:tc>
          <w:tcPr>
            <w:tcW w:w="940" w:type="dxa"/>
            <w:vAlign w:val="bottom"/>
          </w:tcPr>
          <w:p>
            <w:pPr>
              <w:jc w:val="center"/>
              <w:spacing w:after="0" w:line="155" w:lineRule="exact"/>
              <w:rPr>
                <w:sz w:val="20"/>
                <w:szCs w:val="20"/>
                <w:color w:val="auto"/>
              </w:rPr>
            </w:pPr>
            <w:r>
              <w:rPr>
                <w:rFonts w:ascii="Arial" w:cs="Arial" w:eastAsia="Arial" w:hAnsi="Arial"/>
                <w:sz w:val="14"/>
                <w:szCs w:val="14"/>
                <w:b w:val="1"/>
                <w:bCs w:val="1"/>
                <w:color w:val="00467D"/>
                <w:w w:val="97"/>
              </w:rPr>
              <w:t>Option</w:t>
            </w:r>
          </w:p>
        </w:tc>
        <w:tc>
          <w:tcPr>
            <w:tcW w:w="1280" w:type="dxa"/>
            <w:vAlign w:val="bottom"/>
            <w:gridSpan w:val="2"/>
          </w:tcPr>
          <w:p>
            <w:pPr>
              <w:jc w:val="center"/>
              <w:ind w:right="51"/>
              <w:spacing w:after="0" w:line="155" w:lineRule="exact"/>
              <w:rPr>
                <w:sz w:val="20"/>
                <w:szCs w:val="20"/>
                <w:color w:val="auto"/>
              </w:rPr>
            </w:pPr>
            <w:r>
              <w:rPr>
                <w:rFonts w:ascii="Arial" w:cs="Arial" w:eastAsia="Arial" w:hAnsi="Arial"/>
                <w:sz w:val="14"/>
                <w:szCs w:val="14"/>
                <w:b w:val="1"/>
                <w:bCs w:val="1"/>
                <w:color w:val="00467D"/>
                <w:w w:val="97"/>
              </w:rPr>
              <w:t>Units of Stock</w:t>
            </w:r>
          </w:p>
        </w:tc>
        <w:tc>
          <w:tcPr>
            <w:tcW w:w="1100" w:type="dxa"/>
            <w:vAlign w:val="bottom"/>
            <w:gridSpan w:val="2"/>
          </w:tcPr>
          <w:p>
            <w:pPr>
              <w:ind w:left="80"/>
              <w:spacing w:after="0" w:line="155" w:lineRule="exact"/>
              <w:rPr>
                <w:sz w:val="20"/>
                <w:szCs w:val="20"/>
                <w:color w:val="auto"/>
              </w:rPr>
            </w:pPr>
            <w:r>
              <w:rPr>
                <w:rFonts w:ascii="Arial" w:cs="Arial" w:eastAsia="Arial" w:hAnsi="Arial"/>
                <w:sz w:val="14"/>
                <w:szCs w:val="14"/>
                <w:b w:val="1"/>
                <w:bCs w:val="1"/>
                <w:color w:val="00467D"/>
              </w:rPr>
              <w:t>Units of Stock</w:t>
            </w:r>
          </w:p>
        </w:tc>
        <w:tc>
          <w:tcPr>
            <w:tcW w:w="1080" w:type="dxa"/>
            <w:vAlign w:val="bottom"/>
          </w:tcPr>
          <w:p>
            <w:pPr>
              <w:jc w:val="center"/>
              <w:spacing w:after="0" w:line="155" w:lineRule="exact"/>
              <w:rPr>
                <w:sz w:val="20"/>
                <w:szCs w:val="20"/>
                <w:color w:val="auto"/>
              </w:rPr>
            </w:pPr>
            <w:r>
              <w:rPr>
                <w:rFonts w:ascii="Arial" w:cs="Arial" w:eastAsia="Arial" w:hAnsi="Arial"/>
                <w:sz w:val="14"/>
                <w:szCs w:val="14"/>
                <w:b w:val="1"/>
                <w:bCs w:val="1"/>
                <w:color w:val="00467D"/>
                <w:w w:val="96"/>
              </w:rPr>
              <w:t>Other Rights</w:t>
            </w:r>
          </w:p>
        </w:tc>
        <w:tc>
          <w:tcPr>
            <w:tcW w:w="140" w:type="dxa"/>
            <w:vAlign w:val="bottom"/>
          </w:tcPr>
          <w:p>
            <w:pPr>
              <w:spacing w:after="0"/>
              <w:rPr>
                <w:sz w:val="13"/>
                <w:szCs w:val="13"/>
                <w:color w:val="auto"/>
              </w:rPr>
            </w:pPr>
          </w:p>
        </w:tc>
        <w:tc>
          <w:tcPr>
            <w:tcW w:w="940" w:type="dxa"/>
            <w:vAlign w:val="bottom"/>
          </w:tcPr>
          <w:p>
            <w:pPr>
              <w:jc w:val="center"/>
              <w:ind w:right="110"/>
              <w:spacing w:after="0" w:line="155" w:lineRule="exact"/>
              <w:rPr>
                <w:sz w:val="20"/>
                <w:szCs w:val="20"/>
                <w:color w:val="auto"/>
              </w:rPr>
            </w:pPr>
            <w:r>
              <w:rPr>
                <w:rFonts w:ascii="Arial" w:cs="Arial" w:eastAsia="Arial" w:hAnsi="Arial"/>
                <w:sz w:val="14"/>
                <w:szCs w:val="14"/>
                <w:b w:val="1"/>
                <w:bCs w:val="1"/>
                <w:color w:val="00467D"/>
                <w:w w:val="98"/>
              </w:rPr>
              <w:t>Rights That</w:t>
            </w:r>
          </w:p>
        </w:tc>
      </w:tr>
      <w:tr>
        <w:trPr>
          <w:trHeight w:val="151"/>
        </w:trPr>
        <w:tc>
          <w:tcPr>
            <w:tcW w:w="1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jc w:val="center"/>
              <w:ind w:right="147"/>
              <w:spacing w:after="0" w:line="151" w:lineRule="exact"/>
              <w:rPr>
                <w:sz w:val="20"/>
                <w:szCs w:val="20"/>
                <w:color w:val="auto"/>
              </w:rPr>
            </w:pPr>
            <w:r>
              <w:rPr>
                <w:rFonts w:ascii="Arial" w:cs="Arial" w:eastAsia="Arial" w:hAnsi="Arial"/>
                <w:sz w:val="14"/>
                <w:szCs w:val="14"/>
                <w:b w:val="1"/>
                <w:bCs w:val="1"/>
                <w:color w:val="00467D"/>
                <w:w w:val="98"/>
              </w:rPr>
              <w:t>Options</w:t>
            </w:r>
          </w:p>
        </w:tc>
        <w:tc>
          <w:tcPr>
            <w:tcW w:w="1240" w:type="dxa"/>
            <w:vAlign w:val="bottom"/>
          </w:tcPr>
          <w:p>
            <w:pPr>
              <w:jc w:val="center"/>
              <w:ind w:right="87"/>
              <w:spacing w:after="0" w:line="151" w:lineRule="exact"/>
              <w:rPr>
                <w:sz w:val="20"/>
                <w:szCs w:val="20"/>
                <w:color w:val="auto"/>
              </w:rPr>
            </w:pPr>
            <w:r>
              <w:rPr>
                <w:rFonts w:ascii="Arial" w:cs="Arial" w:eastAsia="Arial" w:hAnsi="Arial"/>
                <w:sz w:val="14"/>
                <w:szCs w:val="14"/>
                <w:b w:val="1"/>
                <w:bCs w:val="1"/>
                <w:color w:val="00467D"/>
                <w:w w:val="98"/>
              </w:rPr>
              <w:t>Options</w:t>
            </w:r>
          </w:p>
        </w:tc>
        <w:tc>
          <w:tcPr>
            <w:tcW w:w="760" w:type="dxa"/>
            <w:vAlign w:val="bottom"/>
            <w:gridSpan w:val="2"/>
          </w:tcPr>
          <w:p>
            <w:pPr>
              <w:ind w:left="80"/>
              <w:spacing w:after="0" w:line="151" w:lineRule="exact"/>
              <w:rPr>
                <w:sz w:val="20"/>
                <w:szCs w:val="20"/>
                <w:color w:val="auto"/>
              </w:rPr>
            </w:pPr>
            <w:r>
              <w:rPr>
                <w:rFonts w:ascii="Arial" w:cs="Arial" w:eastAsia="Arial" w:hAnsi="Arial"/>
                <w:sz w:val="14"/>
                <w:szCs w:val="14"/>
                <w:b w:val="1"/>
                <w:bCs w:val="1"/>
                <w:color w:val="00467D"/>
              </w:rPr>
              <w:t>Exercise</w:t>
            </w:r>
          </w:p>
        </w:tc>
        <w:tc>
          <w:tcPr>
            <w:tcW w:w="940" w:type="dxa"/>
            <w:vAlign w:val="bottom"/>
          </w:tcPr>
          <w:p>
            <w:pPr>
              <w:jc w:val="center"/>
              <w:spacing w:after="0" w:line="151" w:lineRule="exact"/>
              <w:rPr>
                <w:sz w:val="20"/>
                <w:szCs w:val="20"/>
                <w:color w:val="auto"/>
              </w:rPr>
            </w:pPr>
            <w:r>
              <w:rPr>
                <w:rFonts w:ascii="Arial" w:cs="Arial" w:eastAsia="Arial" w:hAnsi="Arial"/>
                <w:sz w:val="14"/>
                <w:szCs w:val="14"/>
                <w:b w:val="1"/>
                <w:bCs w:val="1"/>
                <w:color w:val="00467D"/>
                <w:w w:val="99"/>
              </w:rPr>
              <w:t>Expiration</w:t>
            </w:r>
          </w:p>
        </w:tc>
        <w:tc>
          <w:tcPr>
            <w:tcW w:w="120" w:type="dxa"/>
            <w:vAlign w:val="bottom"/>
          </w:tcPr>
          <w:p>
            <w:pPr>
              <w:spacing w:after="0"/>
              <w:rPr>
                <w:sz w:val="13"/>
                <w:szCs w:val="13"/>
                <w:color w:val="auto"/>
              </w:rPr>
            </w:pPr>
          </w:p>
        </w:tc>
        <w:tc>
          <w:tcPr>
            <w:tcW w:w="1160" w:type="dxa"/>
            <w:vAlign w:val="bottom"/>
          </w:tcPr>
          <w:p>
            <w:pPr>
              <w:jc w:val="center"/>
              <w:ind w:right="171"/>
              <w:spacing w:after="0" w:line="151" w:lineRule="exact"/>
              <w:rPr>
                <w:sz w:val="20"/>
                <w:szCs w:val="20"/>
                <w:color w:val="auto"/>
              </w:rPr>
            </w:pPr>
            <w:r>
              <w:rPr>
                <w:rFonts w:ascii="Arial" w:cs="Arial" w:eastAsia="Arial" w:hAnsi="Arial"/>
                <w:sz w:val="14"/>
                <w:szCs w:val="14"/>
                <w:b w:val="1"/>
                <w:bCs w:val="1"/>
                <w:color w:val="00467D"/>
                <w:w w:val="95"/>
              </w:rPr>
              <w:t>That Have</w:t>
            </w:r>
          </w:p>
        </w:tc>
        <w:tc>
          <w:tcPr>
            <w:tcW w:w="180" w:type="dxa"/>
            <w:vAlign w:val="bottom"/>
          </w:tcPr>
          <w:p>
            <w:pPr>
              <w:spacing w:after="0"/>
              <w:rPr>
                <w:sz w:val="13"/>
                <w:szCs w:val="13"/>
                <w:color w:val="auto"/>
              </w:rPr>
            </w:pPr>
          </w:p>
        </w:tc>
        <w:tc>
          <w:tcPr>
            <w:tcW w:w="920" w:type="dxa"/>
            <w:vAlign w:val="bottom"/>
          </w:tcPr>
          <w:p>
            <w:pPr>
              <w:jc w:val="center"/>
              <w:ind w:right="104"/>
              <w:spacing w:after="0" w:line="151" w:lineRule="exact"/>
              <w:rPr>
                <w:sz w:val="20"/>
                <w:szCs w:val="20"/>
                <w:color w:val="auto"/>
              </w:rPr>
            </w:pPr>
            <w:r>
              <w:rPr>
                <w:rFonts w:ascii="Arial" w:cs="Arial" w:eastAsia="Arial" w:hAnsi="Arial"/>
                <w:sz w:val="14"/>
                <w:szCs w:val="14"/>
                <w:b w:val="1"/>
                <w:bCs w:val="1"/>
                <w:color w:val="00467D"/>
                <w:w w:val="98"/>
              </w:rPr>
              <w:t>That Have</w:t>
            </w:r>
          </w:p>
        </w:tc>
        <w:tc>
          <w:tcPr>
            <w:tcW w:w="1080" w:type="dxa"/>
            <w:vAlign w:val="bottom"/>
          </w:tcPr>
          <w:p>
            <w:pPr>
              <w:jc w:val="center"/>
              <w:spacing w:after="0" w:line="151" w:lineRule="exact"/>
              <w:rPr>
                <w:sz w:val="20"/>
                <w:szCs w:val="20"/>
                <w:color w:val="auto"/>
              </w:rPr>
            </w:pPr>
            <w:r>
              <w:rPr>
                <w:rFonts w:ascii="Arial" w:cs="Arial" w:eastAsia="Arial" w:hAnsi="Arial"/>
                <w:sz w:val="14"/>
                <w:szCs w:val="14"/>
                <w:b w:val="1"/>
                <w:bCs w:val="1"/>
                <w:color w:val="00467D"/>
                <w:w w:val="98"/>
              </w:rPr>
              <w:t>That Have</w:t>
            </w:r>
          </w:p>
        </w:tc>
        <w:tc>
          <w:tcPr>
            <w:tcW w:w="140" w:type="dxa"/>
            <w:vAlign w:val="bottom"/>
          </w:tcPr>
          <w:p>
            <w:pPr>
              <w:spacing w:after="0"/>
              <w:rPr>
                <w:sz w:val="13"/>
                <w:szCs w:val="13"/>
                <w:color w:val="auto"/>
              </w:rPr>
            </w:pPr>
          </w:p>
        </w:tc>
        <w:tc>
          <w:tcPr>
            <w:tcW w:w="940" w:type="dxa"/>
            <w:vAlign w:val="bottom"/>
          </w:tcPr>
          <w:p>
            <w:pPr>
              <w:jc w:val="center"/>
              <w:ind w:right="110"/>
              <w:spacing w:after="0" w:line="151" w:lineRule="exact"/>
              <w:rPr>
                <w:sz w:val="20"/>
                <w:szCs w:val="20"/>
                <w:color w:val="auto"/>
              </w:rPr>
            </w:pPr>
            <w:r>
              <w:rPr>
                <w:rFonts w:ascii="Arial" w:cs="Arial" w:eastAsia="Arial" w:hAnsi="Arial"/>
                <w:sz w:val="14"/>
                <w:szCs w:val="14"/>
                <w:b w:val="1"/>
                <w:bCs w:val="1"/>
                <w:color w:val="00467D"/>
                <w:w w:val="98"/>
              </w:rPr>
              <w:t>Have Not</w:t>
            </w:r>
          </w:p>
        </w:tc>
      </w:tr>
      <w:tr>
        <w:trPr>
          <w:trHeight w:val="207"/>
        </w:trPr>
        <w:tc>
          <w:tcPr>
            <w:tcW w:w="1880" w:type="dxa"/>
            <w:vAlign w:val="bottom"/>
            <w:tcBorders>
              <w:bottom w:val="single" w:sz="8" w:color="00467D"/>
            </w:tcBorders>
          </w:tcPr>
          <w:p>
            <w:pPr>
              <w:ind w:left="60"/>
              <w:spacing w:after="0"/>
              <w:rPr>
                <w:sz w:val="20"/>
                <w:szCs w:val="20"/>
                <w:color w:val="auto"/>
              </w:rPr>
            </w:pPr>
            <w:r>
              <w:rPr>
                <w:rFonts w:ascii="Arial" w:cs="Arial" w:eastAsia="Arial" w:hAnsi="Arial"/>
                <w:sz w:val="14"/>
                <w:szCs w:val="14"/>
                <w:b w:val="1"/>
                <w:bCs w:val="1"/>
                <w:color w:val="00467D"/>
              </w:rPr>
              <w:t>Name</w:t>
            </w:r>
          </w:p>
        </w:tc>
        <w:tc>
          <w:tcPr>
            <w:tcW w:w="120" w:type="dxa"/>
            <w:vAlign w:val="bottom"/>
            <w:tcBorders>
              <w:bottom w:val="single" w:sz="8" w:color="00467D"/>
            </w:tcBorders>
          </w:tcPr>
          <w:p>
            <w:pPr>
              <w:spacing w:after="0"/>
              <w:rPr>
                <w:sz w:val="17"/>
                <w:szCs w:val="17"/>
                <w:color w:val="auto"/>
              </w:rPr>
            </w:pPr>
          </w:p>
        </w:tc>
        <w:tc>
          <w:tcPr>
            <w:tcW w:w="1060" w:type="dxa"/>
            <w:vAlign w:val="bottom"/>
            <w:tcBorders>
              <w:bottom w:val="single" w:sz="8" w:color="00467D"/>
            </w:tcBorders>
          </w:tcPr>
          <w:p>
            <w:pPr>
              <w:jc w:val="center"/>
              <w:ind w:right="167"/>
              <w:spacing w:after="0"/>
              <w:rPr>
                <w:sz w:val="20"/>
                <w:szCs w:val="20"/>
                <w:color w:val="auto"/>
              </w:rPr>
            </w:pPr>
            <w:r>
              <w:rPr>
                <w:rFonts w:ascii="Arial" w:cs="Arial" w:eastAsia="Arial" w:hAnsi="Arial"/>
                <w:sz w:val="14"/>
                <w:szCs w:val="14"/>
                <w:b w:val="1"/>
                <w:bCs w:val="1"/>
                <w:color w:val="00467D"/>
              </w:rPr>
              <w:t>Exercisable</w:t>
            </w:r>
          </w:p>
        </w:tc>
        <w:tc>
          <w:tcPr>
            <w:tcW w:w="1240" w:type="dxa"/>
            <w:vAlign w:val="bottom"/>
            <w:tcBorders>
              <w:bottom w:val="single" w:sz="8" w:color="00467D"/>
            </w:tcBorders>
          </w:tcPr>
          <w:p>
            <w:pPr>
              <w:jc w:val="center"/>
              <w:ind w:right="67"/>
              <w:spacing w:after="0"/>
              <w:rPr>
                <w:sz w:val="20"/>
                <w:szCs w:val="20"/>
                <w:color w:val="auto"/>
              </w:rPr>
            </w:pPr>
            <w:r>
              <w:rPr>
                <w:rFonts w:ascii="Arial" w:cs="Arial" w:eastAsia="Arial" w:hAnsi="Arial"/>
                <w:sz w:val="14"/>
                <w:szCs w:val="14"/>
                <w:b w:val="1"/>
                <w:bCs w:val="1"/>
                <w:color w:val="00467D"/>
                <w:w w:val="98"/>
              </w:rPr>
              <w:t>Unexercisable</w:t>
            </w:r>
          </w:p>
        </w:tc>
        <w:tc>
          <w:tcPr>
            <w:tcW w:w="180" w:type="dxa"/>
            <w:vAlign w:val="bottom"/>
            <w:tcBorders>
              <w:bottom w:val="single" w:sz="8" w:color="00467D"/>
            </w:tcBorders>
          </w:tcPr>
          <w:p>
            <w:pPr>
              <w:spacing w:after="0"/>
              <w:rPr>
                <w:sz w:val="17"/>
                <w:szCs w:val="17"/>
                <w:color w:val="auto"/>
              </w:rPr>
            </w:pPr>
          </w:p>
        </w:tc>
        <w:tc>
          <w:tcPr>
            <w:tcW w:w="580" w:type="dxa"/>
            <w:vAlign w:val="bottom"/>
            <w:tcBorders>
              <w:bottom w:val="single" w:sz="8" w:color="00467D"/>
            </w:tcBorders>
          </w:tcPr>
          <w:p>
            <w:pPr>
              <w:jc w:val="right"/>
              <w:ind w:right="144"/>
              <w:spacing w:after="0"/>
              <w:rPr>
                <w:sz w:val="20"/>
                <w:szCs w:val="20"/>
                <w:color w:val="auto"/>
              </w:rPr>
            </w:pPr>
            <w:r>
              <w:rPr>
                <w:rFonts w:ascii="Arial" w:cs="Arial" w:eastAsia="Arial" w:hAnsi="Arial"/>
                <w:sz w:val="14"/>
                <w:szCs w:val="14"/>
                <w:b w:val="1"/>
                <w:bCs w:val="1"/>
                <w:color w:val="00467D"/>
                <w:w w:val="99"/>
              </w:rPr>
              <w:t>Price</w:t>
            </w:r>
          </w:p>
        </w:tc>
        <w:tc>
          <w:tcPr>
            <w:tcW w:w="940" w:type="dxa"/>
            <w:vAlign w:val="bottom"/>
            <w:tcBorders>
              <w:bottom w:val="single" w:sz="8" w:color="00467D"/>
            </w:tcBorders>
          </w:tcPr>
          <w:p>
            <w:pPr>
              <w:jc w:val="center"/>
              <w:spacing w:after="0"/>
              <w:rPr>
                <w:sz w:val="20"/>
                <w:szCs w:val="20"/>
                <w:color w:val="auto"/>
              </w:rPr>
            </w:pPr>
            <w:r>
              <w:rPr>
                <w:rFonts w:ascii="Arial" w:cs="Arial" w:eastAsia="Arial" w:hAnsi="Arial"/>
                <w:sz w:val="14"/>
                <w:szCs w:val="14"/>
                <w:b w:val="1"/>
                <w:bCs w:val="1"/>
                <w:color w:val="00467D"/>
                <w:w w:val="98"/>
              </w:rPr>
              <w:t>Date</w:t>
            </w:r>
          </w:p>
        </w:tc>
        <w:tc>
          <w:tcPr>
            <w:tcW w:w="120" w:type="dxa"/>
            <w:vAlign w:val="bottom"/>
            <w:tcBorders>
              <w:bottom w:val="single" w:sz="8" w:color="00467D"/>
            </w:tcBorders>
          </w:tcPr>
          <w:p>
            <w:pPr>
              <w:spacing w:after="0"/>
              <w:rPr>
                <w:sz w:val="17"/>
                <w:szCs w:val="17"/>
                <w:color w:val="auto"/>
              </w:rPr>
            </w:pPr>
          </w:p>
        </w:tc>
        <w:tc>
          <w:tcPr>
            <w:tcW w:w="1160" w:type="dxa"/>
            <w:vAlign w:val="bottom"/>
            <w:tcBorders>
              <w:bottom w:val="single" w:sz="8" w:color="00467D"/>
            </w:tcBorders>
          </w:tcPr>
          <w:p>
            <w:pPr>
              <w:jc w:val="center"/>
              <w:ind w:right="171"/>
              <w:spacing w:after="0"/>
              <w:rPr>
                <w:sz w:val="20"/>
                <w:szCs w:val="20"/>
                <w:color w:val="auto"/>
              </w:rPr>
            </w:pPr>
            <w:r>
              <w:rPr>
                <w:rFonts w:ascii="Arial" w:cs="Arial" w:eastAsia="Arial" w:hAnsi="Arial"/>
                <w:sz w:val="14"/>
                <w:szCs w:val="14"/>
                <w:b w:val="1"/>
                <w:bCs w:val="1"/>
                <w:color w:val="00467D"/>
                <w:w w:val="98"/>
              </w:rPr>
              <w:t>Not Vested</w:t>
            </w:r>
          </w:p>
        </w:tc>
        <w:tc>
          <w:tcPr>
            <w:tcW w:w="1100" w:type="dxa"/>
            <w:vAlign w:val="bottom"/>
            <w:tcBorders>
              <w:bottom w:val="single" w:sz="8" w:color="00467D"/>
            </w:tcBorders>
            <w:gridSpan w:val="2"/>
          </w:tcPr>
          <w:p>
            <w:pPr>
              <w:ind w:left="80"/>
              <w:spacing w:after="0" w:line="207" w:lineRule="exact"/>
              <w:rPr>
                <w:sz w:val="20"/>
                <w:szCs w:val="20"/>
                <w:color w:val="auto"/>
              </w:rPr>
            </w:pPr>
            <w:r>
              <w:rPr>
                <w:rFonts w:ascii="Arial" w:cs="Arial" w:eastAsia="Arial" w:hAnsi="Arial"/>
                <w:sz w:val="14"/>
                <w:szCs w:val="14"/>
                <w:b w:val="1"/>
                <w:bCs w:val="1"/>
                <w:color w:val="00467D"/>
                <w:w w:val="99"/>
              </w:rPr>
              <w:t xml:space="preserve">Not Vested </w:t>
            </w:r>
            <w:r>
              <w:rPr>
                <w:rFonts w:ascii="Arial" w:cs="Arial" w:eastAsia="Arial" w:hAnsi="Arial"/>
                <w:sz w:val="20"/>
                <w:szCs w:val="20"/>
                <w:b w:val="1"/>
                <w:bCs w:val="1"/>
                <w:color w:val="00467D"/>
                <w:w w:val="99"/>
                <w:vertAlign w:val="superscript"/>
              </w:rPr>
              <w:t>(10)</w:t>
            </w:r>
          </w:p>
        </w:tc>
        <w:tc>
          <w:tcPr>
            <w:tcW w:w="1080" w:type="dxa"/>
            <w:vAlign w:val="bottom"/>
            <w:tcBorders>
              <w:bottom w:val="single" w:sz="8" w:color="00467D"/>
            </w:tcBorders>
          </w:tcPr>
          <w:p>
            <w:pPr>
              <w:jc w:val="center"/>
              <w:spacing w:after="0" w:line="207" w:lineRule="exact"/>
              <w:rPr>
                <w:sz w:val="20"/>
                <w:szCs w:val="20"/>
                <w:color w:val="auto"/>
              </w:rPr>
            </w:pPr>
            <w:r>
              <w:rPr>
                <w:rFonts w:ascii="Arial" w:cs="Arial" w:eastAsia="Arial" w:hAnsi="Arial"/>
                <w:sz w:val="14"/>
                <w:szCs w:val="14"/>
                <w:b w:val="1"/>
                <w:bCs w:val="1"/>
                <w:color w:val="00467D"/>
                <w:w w:val="93"/>
              </w:rPr>
              <w:t xml:space="preserve">Not Vested </w:t>
            </w:r>
            <w:r>
              <w:rPr>
                <w:rFonts w:ascii="Arial" w:cs="Arial" w:eastAsia="Arial" w:hAnsi="Arial"/>
                <w:sz w:val="20"/>
                <w:szCs w:val="20"/>
                <w:b w:val="1"/>
                <w:bCs w:val="1"/>
                <w:color w:val="00467D"/>
                <w:w w:val="93"/>
                <w:vertAlign w:val="superscript"/>
              </w:rPr>
              <w:t>(11)</w:t>
            </w:r>
          </w:p>
        </w:tc>
        <w:tc>
          <w:tcPr>
            <w:tcW w:w="140" w:type="dxa"/>
            <w:vAlign w:val="bottom"/>
            <w:tcBorders>
              <w:bottom w:val="single" w:sz="8" w:color="00467D"/>
            </w:tcBorders>
          </w:tcPr>
          <w:p>
            <w:pPr>
              <w:spacing w:after="0"/>
              <w:rPr>
                <w:sz w:val="17"/>
                <w:szCs w:val="17"/>
                <w:color w:val="auto"/>
              </w:rPr>
            </w:pPr>
          </w:p>
        </w:tc>
        <w:tc>
          <w:tcPr>
            <w:tcW w:w="940" w:type="dxa"/>
            <w:vAlign w:val="bottom"/>
            <w:tcBorders>
              <w:bottom w:val="single" w:sz="8" w:color="00467D"/>
            </w:tcBorders>
          </w:tcPr>
          <w:p>
            <w:pPr>
              <w:jc w:val="center"/>
              <w:ind w:right="90"/>
              <w:spacing w:after="0" w:line="207" w:lineRule="exact"/>
              <w:rPr>
                <w:sz w:val="20"/>
                <w:szCs w:val="20"/>
                <w:color w:val="auto"/>
              </w:rPr>
            </w:pPr>
            <w:r>
              <w:rPr>
                <w:rFonts w:ascii="Arial" w:cs="Arial" w:eastAsia="Arial" w:hAnsi="Arial"/>
                <w:sz w:val="14"/>
                <w:szCs w:val="14"/>
                <w:b w:val="1"/>
                <w:bCs w:val="1"/>
                <w:color w:val="00467D"/>
                <w:w w:val="89"/>
              </w:rPr>
              <w:t xml:space="preserve">Vested </w:t>
            </w:r>
            <w:r>
              <w:rPr>
                <w:rFonts w:ascii="Arial" w:cs="Arial" w:eastAsia="Arial" w:hAnsi="Arial"/>
                <w:sz w:val="20"/>
                <w:szCs w:val="20"/>
                <w:b w:val="1"/>
                <w:bCs w:val="1"/>
                <w:color w:val="00467D"/>
                <w:w w:val="89"/>
                <w:vertAlign w:val="superscript"/>
              </w:rPr>
              <w:t>(12)</w:t>
            </w:r>
          </w:p>
        </w:tc>
      </w:tr>
      <w:tr>
        <w:trPr>
          <w:trHeight w:val="238"/>
        </w:trPr>
        <w:tc>
          <w:tcPr>
            <w:tcW w:w="1880" w:type="dxa"/>
            <w:vAlign w:val="bottom"/>
          </w:tcPr>
          <w:p>
            <w:pPr>
              <w:ind w:left="60"/>
              <w:spacing w:after="0"/>
              <w:rPr>
                <w:sz w:val="20"/>
                <w:szCs w:val="20"/>
                <w:color w:val="auto"/>
              </w:rPr>
            </w:pPr>
            <w:r>
              <w:rPr>
                <w:rFonts w:ascii="Arial" w:cs="Arial" w:eastAsia="Arial" w:hAnsi="Arial"/>
                <w:sz w:val="15"/>
                <w:szCs w:val="15"/>
                <w:color w:val="auto"/>
              </w:rPr>
              <w:t>Michael B. Petras, Jr.</w:t>
            </w:r>
          </w:p>
        </w:tc>
        <w:tc>
          <w:tcPr>
            <w:tcW w:w="1180" w:type="dxa"/>
            <w:vAlign w:val="bottom"/>
            <w:tcBorders>
              <w:bottom w:val="single" w:sz="8" w:color="99B5CB"/>
            </w:tcBorders>
            <w:gridSpan w:val="2"/>
          </w:tcPr>
          <w:p>
            <w:pPr>
              <w:jc w:val="right"/>
              <w:ind w:right="27"/>
              <w:spacing w:after="0" w:line="239" w:lineRule="exact"/>
              <w:rPr>
                <w:sz w:val="20"/>
                <w:szCs w:val="20"/>
                <w:color w:val="auto"/>
              </w:rPr>
            </w:pPr>
            <w:r>
              <w:rPr>
                <w:rFonts w:ascii="Arial" w:cs="Arial" w:eastAsia="Arial" w:hAnsi="Arial"/>
                <w:sz w:val="15"/>
                <w:szCs w:val="15"/>
                <w:color w:val="auto"/>
              </w:rPr>
              <w:t>559,006</w:t>
            </w:r>
            <w:r>
              <w:rPr>
                <w:rFonts w:ascii="Arial" w:cs="Arial" w:eastAsia="Arial" w:hAnsi="Arial"/>
                <w:sz w:val="23"/>
                <w:szCs w:val="23"/>
                <w:color w:val="auto"/>
                <w:vertAlign w:val="superscript"/>
              </w:rPr>
              <w:t>(1)</w:t>
            </w:r>
          </w:p>
        </w:tc>
        <w:tc>
          <w:tcPr>
            <w:tcW w:w="1240" w:type="dxa"/>
            <w:vAlign w:val="bottom"/>
            <w:tcBorders>
              <w:bottom w:val="single" w:sz="8" w:color="99B5CB"/>
            </w:tcBorders>
          </w:tcPr>
          <w:p>
            <w:pPr>
              <w:jc w:val="right"/>
              <w:ind w:right="7"/>
              <w:spacing w:after="0" w:line="239" w:lineRule="exact"/>
              <w:rPr>
                <w:sz w:val="20"/>
                <w:szCs w:val="20"/>
                <w:color w:val="auto"/>
              </w:rPr>
            </w:pPr>
            <w:r>
              <w:rPr>
                <w:rFonts w:ascii="Arial" w:cs="Arial" w:eastAsia="Arial" w:hAnsi="Arial"/>
                <w:sz w:val="15"/>
                <w:szCs w:val="15"/>
                <w:color w:val="auto"/>
              </w:rPr>
              <w:t>559,006</w:t>
            </w:r>
            <w:r>
              <w:rPr>
                <w:rFonts w:ascii="Arial" w:cs="Arial" w:eastAsia="Arial" w:hAnsi="Arial"/>
                <w:sz w:val="23"/>
                <w:szCs w:val="23"/>
                <w:color w:val="auto"/>
                <w:vertAlign w:val="superscript"/>
              </w:rPr>
              <w:t>(1)</w:t>
            </w:r>
          </w:p>
        </w:tc>
        <w:tc>
          <w:tcPr>
            <w:tcW w:w="180" w:type="dxa"/>
            <w:vAlign w:val="bottom"/>
            <w:tcBorders>
              <w:bottom w:val="single" w:sz="8" w:color="99B5CB"/>
            </w:tcBorders>
          </w:tcPr>
          <w:p>
            <w:pPr>
              <w:ind w:left="80"/>
              <w:spacing w:after="0"/>
              <w:rPr>
                <w:sz w:val="20"/>
                <w:szCs w:val="20"/>
                <w:color w:val="auto"/>
              </w:rPr>
            </w:pPr>
            <w:r>
              <w:rPr>
                <w:rFonts w:ascii="Arial" w:cs="Arial" w:eastAsia="Arial" w:hAnsi="Arial"/>
                <w:sz w:val="15"/>
                <w:szCs w:val="15"/>
                <w:color w:val="auto"/>
                <w:w w:val="95"/>
              </w:rPr>
              <w:t>$</w:t>
            </w:r>
          </w:p>
        </w:tc>
        <w:tc>
          <w:tcPr>
            <w:tcW w:w="580" w:type="dxa"/>
            <w:vAlign w:val="bottom"/>
            <w:tcBorders>
              <w:bottom w:val="single" w:sz="8" w:color="99B5CB"/>
            </w:tcBorders>
          </w:tcPr>
          <w:p>
            <w:pPr>
              <w:jc w:val="right"/>
              <w:ind w:right="24"/>
              <w:spacing w:after="0"/>
              <w:rPr>
                <w:sz w:val="20"/>
                <w:szCs w:val="20"/>
                <w:color w:val="auto"/>
              </w:rPr>
            </w:pPr>
            <w:r>
              <w:rPr>
                <w:rFonts w:ascii="Arial" w:cs="Arial" w:eastAsia="Arial" w:hAnsi="Arial"/>
                <w:sz w:val="15"/>
                <w:szCs w:val="15"/>
                <w:color w:val="auto"/>
              </w:rPr>
              <w:t>23.00</w:t>
            </w:r>
          </w:p>
        </w:tc>
        <w:tc>
          <w:tcPr>
            <w:tcW w:w="940" w:type="dxa"/>
            <w:vAlign w:val="bottom"/>
            <w:tcBorders>
              <w:bottom w:val="single" w:sz="8" w:color="99B5CB"/>
            </w:tcBorders>
          </w:tcPr>
          <w:p>
            <w:pPr>
              <w:jc w:val="right"/>
              <w:spacing w:after="0"/>
              <w:rPr>
                <w:sz w:val="20"/>
                <w:szCs w:val="20"/>
                <w:color w:val="auto"/>
              </w:rPr>
            </w:pPr>
            <w:r>
              <w:rPr>
                <w:rFonts w:ascii="Arial" w:cs="Arial" w:eastAsia="Arial" w:hAnsi="Arial"/>
                <w:sz w:val="15"/>
                <w:szCs w:val="15"/>
                <w:color w:val="auto"/>
              </w:rPr>
              <w:t>11/20/2030</w:t>
            </w:r>
          </w:p>
        </w:tc>
        <w:tc>
          <w:tcPr>
            <w:tcW w:w="120" w:type="dxa"/>
            <w:vAlign w:val="bottom"/>
            <w:tcBorders>
              <w:bottom w:val="single" w:sz="8" w:color="99B5CB"/>
            </w:tcBorders>
          </w:tcPr>
          <w:p>
            <w:pPr>
              <w:spacing w:after="0"/>
              <w:rPr>
                <w:sz w:val="20"/>
                <w:szCs w:val="20"/>
                <w:color w:val="auto"/>
              </w:rPr>
            </w:pPr>
          </w:p>
        </w:tc>
        <w:tc>
          <w:tcPr>
            <w:tcW w:w="1160" w:type="dxa"/>
            <w:vAlign w:val="bottom"/>
            <w:tcBorders>
              <w:bottom w:val="single" w:sz="8" w:color="99B5CB"/>
            </w:tcBorders>
          </w:tcPr>
          <w:p>
            <w:pPr>
              <w:spacing w:after="0"/>
              <w:rPr>
                <w:sz w:val="20"/>
                <w:szCs w:val="20"/>
                <w:color w:val="auto"/>
              </w:rPr>
            </w:pPr>
          </w:p>
        </w:tc>
        <w:tc>
          <w:tcPr>
            <w:tcW w:w="180" w:type="dxa"/>
            <w:vAlign w:val="bottom"/>
            <w:tcBorders>
              <w:bottom w:val="single" w:sz="8" w:color="99B5CB"/>
            </w:tcBorders>
          </w:tcPr>
          <w:p>
            <w:pPr>
              <w:spacing w:after="0"/>
              <w:rPr>
                <w:sz w:val="20"/>
                <w:szCs w:val="20"/>
                <w:color w:val="auto"/>
              </w:rPr>
            </w:pPr>
          </w:p>
        </w:tc>
        <w:tc>
          <w:tcPr>
            <w:tcW w:w="920" w:type="dxa"/>
            <w:vAlign w:val="bottom"/>
            <w:tcBorders>
              <w:bottom w:val="single" w:sz="8" w:color="99B5CB"/>
            </w:tcBorders>
          </w:tcPr>
          <w:p>
            <w:pPr>
              <w:spacing w:after="0"/>
              <w:rPr>
                <w:sz w:val="20"/>
                <w:szCs w:val="20"/>
                <w:color w:val="auto"/>
              </w:rPr>
            </w:pPr>
          </w:p>
        </w:tc>
        <w:tc>
          <w:tcPr>
            <w:tcW w:w="1080" w:type="dxa"/>
            <w:vAlign w:val="bottom"/>
            <w:tcBorders>
              <w:bottom w:val="single" w:sz="8" w:color="99B5CB"/>
            </w:tcBorders>
          </w:tcPr>
          <w:p>
            <w:pPr>
              <w:spacing w:after="0"/>
              <w:rPr>
                <w:sz w:val="20"/>
                <w:szCs w:val="20"/>
                <w:color w:val="auto"/>
              </w:rPr>
            </w:pPr>
          </w:p>
        </w:tc>
        <w:tc>
          <w:tcPr>
            <w:tcW w:w="140" w:type="dxa"/>
            <w:vAlign w:val="bottom"/>
            <w:tcBorders>
              <w:bottom w:val="single" w:sz="8" w:color="99B5CB"/>
            </w:tcBorders>
          </w:tcPr>
          <w:p>
            <w:pPr>
              <w:spacing w:after="0"/>
              <w:rPr>
                <w:sz w:val="20"/>
                <w:szCs w:val="20"/>
                <w:color w:val="auto"/>
              </w:rPr>
            </w:pPr>
          </w:p>
        </w:tc>
        <w:tc>
          <w:tcPr>
            <w:tcW w:w="940" w:type="dxa"/>
            <w:vAlign w:val="bottom"/>
            <w:tcBorders>
              <w:bottom w:val="single" w:sz="8" w:color="99B5CB"/>
            </w:tcBorders>
          </w:tcPr>
          <w:p>
            <w:pPr>
              <w:spacing w:after="0"/>
              <w:rPr>
                <w:sz w:val="20"/>
                <w:szCs w:val="20"/>
                <w:color w:val="auto"/>
              </w:rPr>
            </w:pPr>
          </w:p>
        </w:tc>
      </w:tr>
      <w:tr>
        <w:trPr>
          <w:trHeight w:val="199"/>
        </w:trPr>
        <w:tc>
          <w:tcPr>
            <w:tcW w:w="1880" w:type="dxa"/>
            <w:vAlign w:val="bottom"/>
          </w:tcPr>
          <w:p>
            <w:pPr>
              <w:spacing w:after="0"/>
              <w:rPr>
                <w:sz w:val="17"/>
                <w:szCs w:val="17"/>
                <w:color w:val="auto"/>
              </w:rPr>
            </w:pPr>
          </w:p>
        </w:tc>
        <w:tc>
          <w:tcPr>
            <w:tcW w:w="120" w:type="dxa"/>
            <w:vAlign w:val="bottom"/>
            <w:tcBorders>
              <w:bottom w:val="single" w:sz="8" w:color="99B5CB"/>
            </w:tcBorders>
          </w:tcPr>
          <w:p>
            <w:pPr>
              <w:spacing w:after="0"/>
              <w:rPr>
                <w:sz w:val="17"/>
                <w:szCs w:val="17"/>
                <w:color w:val="auto"/>
              </w:rPr>
            </w:pPr>
          </w:p>
        </w:tc>
        <w:tc>
          <w:tcPr>
            <w:tcW w:w="1060" w:type="dxa"/>
            <w:vAlign w:val="bottom"/>
            <w:tcBorders>
              <w:bottom w:val="single" w:sz="8" w:color="99B5CB"/>
            </w:tcBorders>
          </w:tcPr>
          <w:p>
            <w:pPr>
              <w:jc w:val="right"/>
              <w:ind w:right="167"/>
              <w:spacing w:after="0"/>
              <w:rPr>
                <w:sz w:val="20"/>
                <w:szCs w:val="20"/>
                <w:color w:val="auto"/>
              </w:rPr>
            </w:pPr>
            <w:r>
              <w:rPr>
                <w:rFonts w:ascii="Arial" w:cs="Arial" w:eastAsia="Arial" w:hAnsi="Arial"/>
                <w:sz w:val="15"/>
                <w:szCs w:val="15"/>
                <w:color w:val="auto"/>
              </w:rPr>
              <w:t>—</w:t>
            </w:r>
          </w:p>
        </w:tc>
        <w:tc>
          <w:tcPr>
            <w:tcW w:w="1240" w:type="dxa"/>
            <w:vAlign w:val="bottom"/>
            <w:tcBorders>
              <w:bottom w:val="single" w:sz="8" w:color="99B5CB"/>
            </w:tcBorders>
          </w:tcPr>
          <w:p>
            <w:pPr>
              <w:jc w:val="right"/>
              <w:ind w:right="7"/>
              <w:spacing w:after="0" w:line="199" w:lineRule="exact"/>
              <w:rPr>
                <w:sz w:val="20"/>
                <w:szCs w:val="20"/>
                <w:color w:val="auto"/>
              </w:rPr>
            </w:pPr>
            <w:r>
              <w:rPr>
                <w:rFonts w:ascii="Arial" w:cs="Arial" w:eastAsia="Arial" w:hAnsi="Arial"/>
                <w:sz w:val="15"/>
                <w:szCs w:val="15"/>
                <w:color w:val="auto"/>
              </w:rPr>
              <w:t>478,932</w:t>
            </w:r>
            <w:r>
              <w:rPr>
                <w:rFonts w:ascii="Arial" w:cs="Arial" w:eastAsia="Arial" w:hAnsi="Arial"/>
                <w:sz w:val="23"/>
                <w:szCs w:val="23"/>
                <w:color w:val="auto"/>
                <w:vertAlign w:val="superscript"/>
              </w:rPr>
              <w:t>(2)</w:t>
            </w:r>
          </w:p>
        </w:tc>
        <w:tc>
          <w:tcPr>
            <w:tcW w:w="180" w:type="dxa"/>
            <w:vAlign w:val="bottom"/>
            <w:tcBorders>
              <w:bottom w:val="single" w:sz="8" w:color="99B5CB"/>
            </w:tcBorders>
          </w:tcPr>
          <w:p>
            <w:pPr>
              <w:ind w:left="80"/>
              <w:spacing w:after="0"/>
              <w:rPr>
                <w:sz w:val="20"/>
                <w:szCs w:val="20"/>
                <w:color w:val="auto"/>
              </w:rPr>
            </w:pPr>
            <w:r>
              <w:rPr>
                <w:rFonts w:ascii="Arial" w:cs="Arial" w:eastAsia="Arial" w:hAnsi="Arial"/>
                <w:sz w:val="15"/>
                <w:szCs w:val="15"/>
                <w:color w:val="auto"/>
                <w:w w:val="95"/>
              </w:rPr>
              <w:t>$</w:t>
            </w:r>
          </w:p>
        </w:tc>
        <w:tc>
          <w:tcPr>
            <w:tcW w:w="580" w:type="dxa"/>
            <w:vAlign w:val="bottom"/>
            <w:tcBorders>
              <w:bottom w:val="single" w:sz="8" w:color="99B5CB"/>
            </w:tcBorders>
          </w:tcPr>
          <w:p>
            <w:pPr>
              <w:jc w:val="right"/>
              <w:ind w:right="24"/>
              <w:spacing w:after="0"/>
              <w:rPr>
                <w:sz w:val="20"/>
                <w:szCs w:val="20"/>
                <w:color w:val="auto"/>
              </w:rPr>
            </w:pPr>
            <w:r>
              <w:rPr>
                <w:rFonts w:ascii="Arial" w:cs="Arial" w:eastAsia="Arial" w:hAnsi="Arial"/>
                <w:sz w:val="15"/>
                <w:szCs w:val="15"/>
                <w:color w:val="auto"/>
              </w:rPr>
              <w:t>20.03</w:t>
            </w:r>
          </w:p>
        </w:tc>
        <w:tc>
          <w:tcPr>
            <w:tcW w:w="940" w:type="dxa"/>
            <w:vAlign w:val="bottom"/>
            <w:tcBorders>
              <w:bottom w:val="single" w:sz="8" w:color="99B5CB"/>
            </w:tcBorders>
          </w:tcPr>
          <w:p>
            <w:pPr>
              <w:jc w:val="right"/>
              <w:spacing w:after="0"/>
              <w:rPr>
                <w:sz w:val="20"/>
                <w:szCs w:val="20"/>
                <w:color w:val="auto"/>
              </w:rPr>
            </w:pPr>
            <w:r>
              <w:rPr>
                <w:rFonts w:ascii="Arial" w:cs="Arial" w:eastAsia="Arial" w:hAnsi="Arial"/>
                <w:sz w:val="15"/>
                <w:szCs w:val="15"/>
                <w:color w:val="auto"/>
              </w:rPr>
              <w:t>3/2/2032</w:t>
            </w:r>
          </w:p>
        </w:tc>
        <w:tc>
          <w:tcPr>
            <w:tcW w:w="120" w:type="dxa"/>
            <w:vAlign w:val="bottom"/>
            <w:tcBorders>
              <w:bottom w:val="single" w:sz="8" w:color="99B5CB"/>
            </w:tcBorders>
          </w:tcPr>
          <w:p>
            <w:pPr>
              <w:spacing w:after="0"/>
              <w:rPr>
                <w:sz w:val="17"/>
                <w:szCs w:val="17"/>
                <w:color w:val="auto"/>
              </w:rPr>
            </w:pPr>
          </w:p>
        </w:tc>
        <w:tc>
          <w:tcPr>
            <w:tcW w:w="1160" w:type="dxa"/>
            <w:vAlign w:val="bottom"/>
            <w:tcBorders>
              <w:bottom w:val="single" w:sz="8" w:color="99B5CB"/>
            </w:tcBorders>
          </w:tcPr>
          <w:p>
            <w:pPr>
              <w:spacing w:after="0"/>
              <w:rPr>
                <w:sz w:val="17"/>
                <w:szCs w:val="17"/>
                <w:color w:val="auto"/>
              </w:rPr>
            </w:pPr>
          </w:p>
        </w:tc>
        <w:tc>
          <w:tcPr>
            <w:tcW w:w="180" w:type="dxa"/>
            <w:vAlign w:val="bottom"/>
            <w:tcBorders>
              <w:bottom w:val="single" w:sz="8" w:color="99B5CB"/>
            </w:tcBorders>
          </w:tcPr>
          <w:p>
            <w:pPr>
              <w:spacing w:after="0"/>
              <w:rPr>
                <w:sz w:val="17"/>
                <w:szCs w:val="17"/>
                <w:color w:val="auto"/>
              </w:rPr>
            </w:pPr>
          </w:p>
        </w:tc>
        <w:tc>
          <w:tcPr>
            <w:tcW w:w="920" w:type="dxa"/>
            <w:vAlign w:val="bottom"/>
            <w:tcBorders>
              <w:bottom w:val="single" w:sz="8" w:color="99B5CB"/>
            </w:tcBorders>
          </w:tcPr>
          <w:p>
            <w:pPr>
              <w:spacing w:after="0"/>
              <w:rPr>
                <w:sz w:val="17"/>
                <w:szCs w:val="17"/>
                <w:color w:val="auto"/>
              </w:rPr>
            </w:pPr>
          </w:p>
        </w:tc>
        <w:tc>
          <w:tcPr>
            <w:tcW w:w="1080" w:type="dxa"/>
            <w:vAlign w:val="bottom"/>
            <w:tcBorders>
              <w:bottom w:val="single" w:sz="8" w:color="99B5CB"/>
            </w:tcBorders>
          </w:tcPr>
          <w:p>
            <w:pPr>
              <w:spacing w:after="0"/>
              <w:rPr>
                <w:sz w:val="17"/>
                <w:szCs w:val="17"/>
                <w:color w:val="auto"/>
              </w:rPr>
            </w:pPr>
          </w:p>
        </w:tc>
        <w:tc>
          <w:tcPr>
            <w:tcW w:w="140" w:type="dxa"/>
            <w:vAlign w:val="bottom"/>
            <w:tcBorders>
              <w:bottom w:val="single" w:sz="8" w:color="99B5CB"/>
            </w:tcBorders>
          </w:tcPr>
          <w:p>
            <w:pPr>
              <w:spacing w:after="0"/>
              <w:rPr>
                <w:sz w:val="17"/>
                <w:szCs w:val="17"/>
                <w:color w:val="auto"/>
              </w:rPr>
            </w:pPr>
          </w:p>
        </w:tc>
        <w:tc>
          <w:tcPr>
            <w:tcW w:w="940" w:type="dxa"/>
            <w:vAlign w:val="bottom"/>
            <w:tcBorders>
              <w:bottom w:val="single" w:sz="8" w:color="99B5CB"/>
            </w:tcBorders>
          </w:tcPr>
          <w:p>
            <w:pPr>
              <w:spacing w:after="0"/>
              <w:rPr>
                <w:sz w:val="17"/>
                <w:szCs w:val="17"/>
                <w:color w:val="auto"/>
              </w:rPr>
            </w:pPr>
          </w:p>
        </w:tc>
      </w:tr>
      <w:tr>
        <w:trPr>
          <w:trHeight w:val="199"/>
        </w:trPr>
        <w:tc>
          <w:tcPr>
            <w:tcW w:w="1880" w:type="dxa"/>
            <w:vAlign w:val="bottom"/>
          </w:tcPr>
          <w:p>
            <w:pPr>
              <w:spacing w:after="0"/>
              <w:rPr>
                <w:sz w:val="17"/>
                <w:szCs w:val="17"/>
                <w:color w:val="auto"/>
              </w:rPr>
            </w:pPr>
          </w:p>
        </w:tc>
        <w:tc>
          <w:tcPr>
            <w:tcW w:w="120" w:type="dxa"/>
            <w:vAlign w:val="bottom"/>
            <w:tcBorders>
              <w:bottom w:val="single" w:sz="8" w:color="99B5CB"/>
            </w:tcBorders>
          </w:tcPr>
          <w:p>
            <w:pPr>
              <w:spacing w:after="0"/>
              <w:rPr>
                <w:sz w:val="17"/>
                <w:szCs w:val="17"/>
                <w:color w:val="auto"/>
              </w:rPr>
            </w:pPr>
          </w:p>
        </w:tc>
        <w:tc>
          <w:tcPr>
            <w:tcW w:w="1060" w:type="dxa"/>
            <w:vAlign w:val="bottom"/>
            <w:tcBorders>
              <w:bottom w:val="single" w:sz="8" w:color="99B5CB"/>
            </w:tcBorders>
          </w:tcPr>
          <w:p>
            <w:pPr>
              <w:jc w:val="right"/>
              <w:ind w:right="167"/>
              <w:spacing w:after="0"/>
              <w:rPr>
                <w:sz w:val="20"/>
                <w:szCs w:val="20"/>
                <w:color w:val="auto"/>
              </w:rPr>
            </w:pPr>
            <w:r>
              <w:rPr>
                <w:rFonts w:ascii="Arial" w:cs="Arial" w:eastAsia="Arial" w:hAnsi="Arial"/>
                <w:sz w:val="15"/>
                <w:szCs w:val="15"/>
                <w:color w:val="auto"/>
              </w:rPr>
              <w:t>—</w:t>
            </w:r>
          </w:p>
        </w:tc>
        <w:tc>
          <w:tcPr>
            <w:tcW w:w="1240" w:type="dxa"/>
            <w:vAlign w:val="bottom"/>
            <w:tcBorders>
              <w:bottom w:val="single" w:sz="8" w:color="99B5CB"/>
            </w:tcBorders>
          </w:tcPr>
          <w:p>
            <w:pPr>
              <w:jc w:val="right"/>
              <w:ind w:right="7"/>
              <w:spacing w:after="0" w:line="199" w:lineRule="exact"/>
              <w:rPr>
                <w:sz w:val="20"/>
                <w:szCs w:val="20"/>
                <w:color w:val="auto"/>
              </w:rPr>
            </w:pPr>
            <w:r>
              <w:rPr>
                <w:rFonts w:ascii="Arial" w:cs="Arial" w:eastAsia="Arial" w:hAnsi="Arial"/>
                <w:sz w:val="15"/>
                <w:szCs w:val="15"/>
                <w:color w:val="auto"/>
              </w:rPr>
              <w:t>2,108,356</w:t>
            </w:r>
            <w:r>
              <w:rPr>
                <w:rFonts w:ascii="Arial" w:cs="Arial" w:eastAsia="Arial" w:hAnsi="Arial"/>
                <w:sz w:val="23"/>
                <w:szCs w:val="23"/>
                <w:color w:val="auto"/>
                <w:vertAlign w:val="superscript"/>
              </w:rPr>
              <w:t>(3)</w:t>
            </w:r>
          </w:p>
        </w:tc>
        <w:tc>
          <w:tcPr>
            <w:tcW w:w="180" w:type="dxa"/>
            <w:vAlign w:val="bottom"/>
            <w:tcBorders>
              <w:bottom w:val="single" w:sz="8" w:color="99B5CB"/>
            </w:tcBorders>
          </w:tcPr>
          <w:p>
            <w:pPr>
              <w:ind w:left="80"/>
              <w:spacing w:after="0"/>
              <w:rPr>
                <w:sz w:val="20"/>
                <w:szCs w:val="20"/>
                <w:color w:val="auto"/>
              </w:rPr>
            </w:pPr>
            <w:r>
              <w:rPr>
                <w:rFonts w:ascii="Arial" w:cs="Arial" w:eastAsia="Arial" w:hAnsi="Arial"/>
                <w:sz w:val="15"/>
                <w:szCs w:val="15"/>
                <w:color w:val="auto"/>
                <w:w w:val="95"/>
              </w:rPr>
              <w:t>$</w:t>
            </w:r>
          </w:p>
        </w:tc>
        <w:tc>
          <w:tcPr>
            <w:tcW w:w="580" w:type="dxa"/>
            <w:vAlign w:val="bottom"/>
            <w:tcBorders>
              <w:bottom w:val="single" w:sz="8" w:color="99B5CB"/>
            </w:tcBorders>
          </w:tcPr>
          <w:p>
            <w:pPr>
              <w:jc w:val="right"/>
              <w:ind w:right="24"/>
              <w:spacing w:after="0"/>
              <w:rPr>
                <w:sz w:val="20"/>
                <w:szCs w:val="20"/>
                <w:color w:val="auto"/>
              </w:rPr>
            </w:pPr>
            <w:r>
              <w:rPr>
                <w:rFonts w:ascii="Arial" w:cs="Arial" w:eastAsia="Arial" w:hAnsi="Arial"/>
                <w:sz w:val="15"/>
                <w:szCs w:val="15"/>
                <w:color w:val="auto"/>
              </w:rPr>
              <w:t>6.37</w:t>
            </w:r>
          </w:p>
        </w:tc>
        <w:tc>
          <w:tcPr>
            <w:tcW w:w="940" w:type="dxa"/>
            <w:vAlign w:val="bottom"/>
            <w:tcBorders>
              <w:bottom w:val="single" w:sz="8" w:color="99B5CB"/>
            </w:tcBorders>
          </w:tcPr>
          <w:p>
            <w:pPr>
              <w:jc w:val="right"/>
              <w:spacing w:after="0"/>
              <w:rPr>
                <w:sz w:val="20"/>
                <w:szCs w:val="20"/>
                <w:color w:val="auto"/>
              </w:rPr>
            </w:pPr>
            <w:r>
              <w:rPr>
                <w:rFonts w:ascii="Arial" w:cs="Arial" w:eastAsia="Arial" w:hAnsi="Arial"/>
                <w:sz w:val="15"/>
                <w:szCs w:val="15"/>
                <w:color w:val="auto"/>
              </w:rPr>
              <w:t>11/7/2032</w:t>
            </w:r>
          </w:p>
        </w:tc>
        <w:tc>
          <w:tcPr>
            <w:tcW w:w="120" w:type="dxa"/>
            <w:vAlign w:val="bottom"/>
            <w:tcBorders>
              <w:bottom w:val="single" w:sz="8" w:color="99B5CB"/>
            </w:tcBorders>
          </w:tcPr>
          <w:p>
            <w:pPr>
              <w:spacing w:after="0"/>
              <w:rPr>
                <w:sz w:val="17"/>
                <w:szCs w:val="17"/>
                <w:color w:val="auto"/>
              </w:rPr>
            </w:pPr>
          </w:p>
        </w:tc>
        <w:tc>
          <w:tcPr>
            <w:tcW w:w="1160" w:type="dxa"/>
            <w:vAlign w:val="bottom"/>
            <w:tcBorders>
              <w:bottom w:val="single" w:sz="8" w:color="99B5CB"/>
            </w:tcBorders>
          </w:tcPr>
          <w:p>
            <w:pPr>
              <w:spacing w:after="0"/>
              <w:rPr>
                <w:sz w:val="17"/>
                <w:szCs w:val="17"/>
                <w:color w:val="auto"/>
              </w:rPr>
            </w:pPr>
          </w:p>
        </w:tc>
        <w:tc>
          <w:tcPr>
            <w:tcW w:w="180" w:type="dxa"/>
            <w:vAlign w:val="bottom"/>
            <w:tcBorders>
              <w:bottom w:val="single" w:sz="8" w:color="99B5CB"/>
            </w:tcBorders>
          </w:tcPr>
          <w:p>
            <w:pPr>
              <w:spacing w:after="0"/>
              <w:rPr>
                <w:sz w:val="17"/>
                <w:szCs w:val="17"/>
                <w:color w:val="auto"/>
              </w:rPr>
            </w:pPr>
          </w:p>
        </w:tc>
        <w:tc>
          <w:tcPr>
            <w:tcW w:w="920" w:type="dxa"/>
            <w:vAlign w:val="bottom"/>
            <w:tcBorders>
              <w:bottom w:val="single" w:sz="8" w:color="99B5CB"/>
            </w:tcBorders>
          </w:tcPr>
          <w:p>
            <w:pPr>
              <w:spacing w:after="0"/>
              <w:rPr>
                <w:sz w:val="17"/>
                <w:szCs w:val="17"/>
                <w:color w:val="auto"/>
              </w:rPr>
            </w:pPr>
          </w:p>
        </w:tc>
        <w:tc>
          <w:tcPr>
            <w:tcW w:w="1080" w:type="dxa"/>
            <w:vAlign w:val="bottom"/>
            <w:tcBorders>
              <w:bottom w:val="single" w:sz="8" w:color="99B5CB"/>
            </w:tcBorders>
          </w:tcPr>
          <w:p>
            <w:pPr>
              <w:spacing w:after="0"/>
              <w:rPr>
                <w:sz w:val="17"/>
                <w:szCs w:val="17"/>
                <w:color w:val="auto"/>
              </w:rPr>
            </w:pPr>
          </w:p>
        </w:tc>
        <w:tc>
          <w:tcPr>
            <w:tcW w:w="140" w:type="dxa"/>
            <w:vAlign w:val="bottom"/>
            <w:tcBorders>
              <w:bottom w:val="single" w:sz="8" w:color="99B5CB"/>
            </w:tcBorders>
          </w:tcPr>
          <w:p>
            <w:pPr>
              <w:spacing w:after="0"/>
              <w:rPr>
                <w:sz w:val="17"/>
                <w:szCs w:val="17"/>
                <w:color w:val="auto"/>
              </w:rPr>
            </w:pPr>
          </w:p>
        </w:tc>
        <w:tc>
          <w:tcPr>
            <w:tcW w:w="940" w:type="dxa"/>
            <w:vAlign w:val="bottom"/>
            <w:tcBorders>
              <w:bottom w:val="single" w:sz="8" w:color="99B5CB"/>
            </w:tcBorders>
          </w:tcPr>
          <w:p>
            <w:pPr>
              <w:spacing w:after="0"/>
              <w:rPr>
                <w:sz w:val="17"/>
                <w:szCs w:val="17"/>
                <w:color w:val="auto"/>
              </w:rPr>
            </w:pPr>
          </w:p>
        </w:tc>
      </w:tr>
      <w:tr>
        <w:trPr>
          <w:trHeight w:val="199"/>
        </w:trPr>
        <w:tc>
          <w:tcPr>
            <w:tcW w:w="1880" w:type="dxa"/>
            <w:vAlign w:val="bottom"/>
          </w:tcPr>
          <w:p>
            <w:pPr>
              <w:spacing w:after="0"/>
              <w:rPr>
                <w:sz w:val="17"/>
                <w:szCs w:val="17"/>
                <w:color w:val="auto"/>
              </w:rPr>
            </w:pPr>
          </w:p>
        </w:tc>
        <w:tc>
          <w:tcPr>
            <w:tcW w:w="120" w:type="dxa"/>
            <w:vAlign w:val="bottom"/>
            <w:tcBorders>
              <w:bottom w:val="single" w:sz="8" w:color="99B5CB"/>
            </w:tcBorders>
          </w:tcPr>
          <w:p>
            <w:pPr>
              <w:spacing w:after="0"/>
              <w:rPr>
                <w:sz w:val="17"/>
                <w:szCs w:val="17"/>
                <w:color w:val="auto"/>
              </w:rPr>
            </w:pPr>
          </w:p>
        </w:tc>
        <w:tc>
          <w:tcPr>
            <w:tcW w:w="1060" w:type="dxa"/>
            <w:vAlign w:val="bottom"/>
            <w:tcBorders>
              <w:bottom w:val="single" w:sz="8" w:color="99B5CB"/>
            </w:tcBorders>
          </w:tcPr>
          <w:p>
            <w:pPr>
              <w:spacing w:after="0"/>
              <w:rPr>
                <w:sz w:val="17"/>
                <w:szCs w:val="17"/>
                <w:color w:val="auto"/>
              </w:rPr>
            </w:pPr>
          </w:p>
        </w:tc>
        <w:tc>
          <w:tcPr>
            <w:tcW w:w="1240" w:type="dxa"/>
            <w:vAlign w:val="bottom"/>
            <w:tcBorders>
              <w:bottom w:val="single" w:sz="8" w:color="99B5CB"/>
            </w:tcBorders>
          </w:tcPr>
          <w:p>
            <w:pPr>
              <w:spacing w:after="0"/>
              <w:rPr>
                <w:sz w:val="17"/>
                <w:szCs w:val="17"/>
                <w:color w:val="auto"/>
              </w:rPr>
            </w:pPr>
          </w:p>
        </w:tc>
        <w:tc>
          <w:tcPr>
            <w:tcW w:w="180" w:type="dxa"/>
            <w:vAlign w:val="bottom"/>
            <w:tcBorders>
              <w:bottom w:val="single" w:sz="8" w:color="99B5CB"/>
            </w:tcBorders>
          </w:tcPr>
          <w:p>
            <w:pPr>
              <w:spacing w:after="0"/>
              <w:rPr>
                <w:sz w:val="17"/>
                <w:szCs w:val="17"/>
                <w:color w:val="auto"/>
              </w:rPr>
            </w:pPr>
          </w:p>
        </w:tc>
        <w:tc>
          <w:tcPr>
            <w:tcW w:w="580" w:type="dxa"/>
            <w:vAlign w:val="bottom"/>
            <w:tcBorders>
              <w:bottom w:val="single" w:sz="8" w:color="99B5CB"/>
            </w:tcBorders>
          </w:tcPr>
          <w:p>
            <w:pPr>
              <w:spacing w:after="0"/>
              <w:rPr>
                <w:sz w:val="17"/>
                <w:szCs w:val="17"/>
                <w:color w:val="auto"/>
              </w:rPr>
            </w:pPr>
          </w:p>
        </w:tc>
        <w:tc>
          <w:tcPr>
            <w:tcW w:w="940" w:type="dxa"/>
            <w:vAlign w:val="bottom"/>
            <w:tcBorders>
              <w:bottom w:val="single" w:sz="8" w:color="99B5CB"/>
            </w:tcBorders>
          </w:tcPr>
          <w:p>
            <w:pPr>
              <w:spacing w:after="0"/>
              <w:rPr>
                <w:sz w:val="17"/>
                <w:szCs w:val="17"/>
                <w:color w:val="auto"/>
              </w:rPr>
            </w:pPr>
          </w:p>
        </w:tc>
        <w:tc>
          <w:tcPr>
            <w:tcW w:w="1280" w:type="dxa"/>
            <w:vAlign w:val="bottom"/>
            <w:tcBorders>
              <w:bottom w:val="single" w:sz="8" w:color="99B5CB"/>
            </w:tcBorders>
            <w:gridSpan w:val="2"/>
          </w:tcPr>
          <w:p>
            <w:pPr>
              <w:jc w:val="right"/>
              <w:ind w:right="31"/>
              <w:spacing w:after="0" w:line="199" w:lineRule="exact"/>
              <w:rPr>
                <w:sz w:val="20"/>
                <w:szCs w:val="20"/>
                <w:color w:val="auto"/>
              </w:rPr>
            </w:pPr>
            <w:r>
              <w:rPr>
                <w:rFonts w:ascii="Arial" w:cs="Arial" w:eastAsia="Arial" w:hAnsi="Arial"/>
                <w:sz w:val="15"/>
                <w:szCs w:val="15"/>
                <w:color w:val="auto"/>
              </w:rPr>
              <w:t>130,434</w:t>
            </w:r>
            <w:r>
              <w:rPr>
                <w:rFonts w:ascii="Arial" w:cs="Arial" w:eastAsia="Arial" w:hAnsi="Arial"/>
                <w:sz w:val="23"/>
                <w:szCs w:val="23"/>
                <w:color w:val="auto"/>
                <w:vertAlign w:val="superscript"/>
              </w:rPr>
              <w:t>(4)</w:t>
            </w:r>
          </w:p>
        </w:tc>
        <w:tc>
          <w:tcPr>
            <w:tcW w:w="180" w:type="dxa"/>
            <w:vAlign w:val="bottom"/>
            <w:tcBorders>
              <w:bottom w:val="single" w:sz="8" w:color="99B5CB"/>
            </w:tcBorders>
          </w:tcPr>
          <w:p>
            <w:pPr>
              <w:ind w:left="80"/>
              <w:spacing w:after="0"/>
              <w:rPr>
                <w:sz w:val="20"/>
                <w:szCs w:val="20"/>
                <w:color w:val="auto"/>
              </w:rPr>
            </w:pPr>
            <w:r>
              <w:rPr>
                <w:rFonts w:ascii="Arial" w:cs="Arial" w:eastAsia="Arial" w:hAnsi="Arial"/>
                <w:sz w:val="15"/>
                <w:szCs w:val="15"/>
                <w:color w:val="auto"/>
                <w:w w:val="95"/>
              </w:rPr>
              <w:t>$</w:t>
            </w:r>
          </w:p>
        </w:tc>
        <w:tc>
          <w:tcPr>
            <w:tcW w:w="920" w:type="dxa"/>
            <w:vAlign w:val="bottom"/>
            <w:tcBorders>
              <w:bottom w:val="single" w:sz="8" w:color="99B5CB"/>
            </w:tcBorders>
          </w:tcPr>
          <w:p>
            <w:pPr>
              <w:jc w:val="right"/>
              <w:ind w:right="4"/>
              <w:spacing w:after="0"/>
              <w:rPr>
                <w:sz w:val="20"/>
                <w:szCs w:val="20"/>
                <w:color w:val="auto"/>
              </w:rPr>
            </w:pPr>
            <w:r>
              <w:rPr>
                <w:rFonts w:ascii="Arial" w:cs="Arial" w:eastAsia="Arial" w:hAnsi="Arial"/>
                <w:sz w:val="15"/>
                <w:szCs w:val="15"/>
                <w:color w:val="auto"/>
              </w:rPr>
              <w:t>1,806,515</w:t>
            </w:r>
          </w:p>
        </w:tc>
        <w:tc>
          <w:tcPr>
            <w:tcW w:w="1080" w:type="dxa"/>
            <w:vAlign w:val="bottom"/>
            <w:tcBorders>
              <w:bottom w:val="single" w:sz="8" w:color="99B5CB"/>
            </w:tcBorders>
          </w:tcPr>
          <w:p>
            <w:pPr>
              <w:spacing w:after="0"/>
              <w:rPr>
                <w:sz w:val="17"/>
                <w:szCs w:val="17"/>
                <w:color w:val="auto"/>
              </w:rPr>
            </w:pPr>
          </w:p>
        </w:tc>
        <w:tc>
          <w:tcPr>
            <w:tcW w:w="140" w:type="dxa"/>
            <w:vAlign w:val="bottom"/>
            <w:tcBorders>
              <w:bottom w:val="single" w:sz="8" w:color="99B5CB"/>
            </w:tcBorders>
          </w:tcPr>
          <w:p>
            <w:pPr>
              <w:spacing w:after="0"/>
              <w:rPr>
                <w:sz w:val="17"/>
                <w:szCs w:val="17"/>
                <w:color w:val="auto"/>
              </w:rPr>
            </w:pPr>
          </w:p>
        </w:tc>
        <w:tc>
          <w:tcPr>
            <w:tcW w:w="940" w:type="dxa"/>
            <w:vAlign w:val="bottom"/>
            <w:tcBorders>
              <w:bottom w:val="single" w:sz="8" w:color="99B5CB"/>
            </w:tcBorders>
          </w:tcPr>
          <w:p>
            <w:pPr>
              <w:spacing w:after="0"/>
              <w:rPr>
                <w:sz w:val="17"/>
                <w:szCs w:val="17"/>
                <w:color w:val="auto"/>
              </w:rPr>
            </w:pPr>
          </w:p>
        </w:tc>
      </w:tr>
      <w:tr>
        <w:trPr>
          <w:trHeight w:val="199"/>
        </w:trPr>
        <w:tc>
          <w:tcPr>
            <w:tcW w:w="1880" w:type="dxa"/>
            <w:vAlign w:val="bottom"/>
            <w:tcBorders>
              <w:bottom w:val="single" w:sz="8" w:color="99B5CB"/>
            </w:tcBorders>
          </w:tcPr>
          <w:p>
            <w:pPr>
              <w:spacing w:after="0"/>
              <w:rPr>
                <w:sz w:val="17"/>
                <w:szCs w:val="17"/>
                <w:color w:val="auto"/>
              </w:rPr>
            </w:pPr>
          </w:p>
        </w:tc>
        <w:tc>
          <w:tcPr>
            <w:tcW w:w="120" w:type="dxa"/>
            <w:vAlign w:val="bottom"/>
            <w:tcBorders>
              <w:bottom w:val="single" w:sz="8" w:color="99B5CB"/>
            </w:tcBorders>
          </w:tcPr>
          <w:p>
            <w:pPr>
              <w:spacing w:after="0"/>
              <w:rPr>
                <w:sz w:val="17"/>
                <w:szCs w:val="17"/>
                <w:color w:val="auto"/>
              </w:rPr>
            </w:pPr>
          </w:p>
        </w:tc>
        <w:tc>
          <w:tcPr>
            <w:tcW w:w="1060" w:type="dxa"/>
            <w:vAlign w:val="bottom"/>
            <w:tcBorders>
              <w:bottom w:val="single" w:sz="8" w:color="99B5CB"/>
            </w:tcBorders>
          </w:tcPr>
          <w:p>
            <w:pPr>
              <w:spacing w:after="0"/>
              <w:rPr>
                <w:sz w:val="17"/>
                <w:szCs w:val="17"/>
                <w:color w:val="auto"/>
              </w:rPr>
            </w:pPr>
          </w:p>
        </w:tc>
        <w:tc>
          <w:tcPr>
            <w:tcW w:w="1240" w:type="dxa"/>
            <w:vAlign w:val="bottom"/>
            <w:tcBorders>
              <w:bottom w:val="single" w:sz="8" w:color="99B5CB"/>
            </w:tcBorders>
          </w:tcPr>
          <w:p>
            <w:pPr>
              <w:spacing w:after="0"/>
              <w:rPr>
                <w:sz w:val="17"/>
                <w:szCs w:val="17"/>
                <w:color w:val="auto"/>
              </w:rPr>
            </w:pPr>
          </w:p>
        </w:tc>
        <w:tc>
          <w:tcPr>
            <w:tcW w:w="180" w:type="dxa"/>
            <w:vAlign w:val="bottom"/>
            <w:tcBorders>
              <w:bottom w:val="single" w:sz="8" w:color="99B5CB"/>
            </w:tcBorders>
          </w:tcPr>
          <w:p>
            <w:pPr>
              <w:spacing w:after="0"/>
              <w:rPr>
                <w:sz w:val="17"/>
                <w:szCs w:val="17"/>
                <w:color w:val="auto"/>
              </w:rPr>
            </w:pPr>
          </w:p>
        </w:tc>
        <w:tc>
          <w:tcPr>
            <w:tcW w:w="580" w:type="dxa"/>
            <w:vAlign w:val="bottom"/>
            <w:tcBorders>
              <w:bottom w:val="single" w:sz="8" w:color="99B5CB"/>
            </w:tcBorders>
          </w:tcPr>
          <w:p>
            <w:pPr>
              <w:spacing w:after="0"/>
              <w:rPr>
                <w:sz w:val="17"/>
                <w:szCs w:val="17"/>
                <w:color w:val="auto"/>
              </w:rPr>
            </w:pPr>
          </w:p>
        </w:tc>
        <w:tc>
          <w:tcPr>
            <w:tcW w:w="940" w:type="dxa"/>
            <w:vAlign w:val="bottom"/>
            <w:tcBorders>
              <w:bottom w:val="single" w:sz="8" w:color="99B5CB"/>
            </w:tcBorders>
          </w:tcPr>
          <w:p>
            <w:pPr>
              <w:spacing w:after="0"/>
              <w:rPr>
                <w:sz w:val="17"/>
                <w:szCs w:val="17"/>
                <w:color w:val="auto"/>
              </w:rPr>
            </w:pPr>
          </w:p>
        </w:tc>
        <w:tc>
          <w:tcPr>
            <w:tcW w:w="1280" w:type="dxa"/>
            <w:vAlign w:val="bottom"/>
            <w:tcBorders>
              <w:bottom w:val="single" w:sz="8" w:color="99B5CB"/>
            </w:tcBorders>
            <w:gridSpan w:val="2"/>
          </w:tcPr>
          <w:p>
            <w:pPr>
              <w:jc w:val="right"/>
              <w:ind w:right="31"/>
              <w:spacing w:after="0" w:line="199" w:lineRule="exact"/>
              <w:rPr>
                <w:sz w:val="20"/>
                <w:szCs w:val="20"/>
                <w:color w:val="auto"/>
              </w:rPr>
            </w:pPr>
            <w:r>
              <w:rPr>
                <w:rFonts w:ascii="Arial" w:cs="Arial" w:eastAsia="Arial" w:hAnsi="Arial"/>
                <w:sz w:val="15"/>
                <w:szCs w:val="15"/>
                <w:color w:val="auto"/>
              </w:rPr>
              <w:t>187,219</w:t>
            </w:r>
            <w:r>
              <w:rPr>
                <w:rFonts w:ascii="Arial" w:cs="Arial" w:eastAsia="Arial" w:hAnsi="Arial"/>
                <w:sz w:val="23"/>
                <w:szCs w:val="23"/>
                <w:color w:val="auto"/>
                <w:vertAlign w:val="superscript"/>
              </w:rPr>
              <w:t>(5)</w:t>
            </w:r>
          </w:p>
        </w:tc>
        <w:tc>
          <w:tcPr>
            <w:tcW w:w="180" w:type="dxa"/>
            <w:vAlign w:val="bottom"/>
            <w:tcBorders>
              <w:bottom w:val="single" w:sz="8" w:color="99B5CB"/>
            </w:tcBorders>
          </w:tcPr>
          <w:p>
            <w:pPr>
              <w:ind w:left="80"/>
              <w:spacing w:after="0"/>
              <w:rPr>
                <w:sz w:val="20"/>
                <w:szCs w:val="20"/>
                <w:color w:val="auto"/>
              </w:rPr>
            </w:pPr>
            <w:r>
              <w:rPr>
                <w:rFonts w:ascii="Arial" w:cs="Arial" w:eastAsia="Arial" w:hAnsi="Arial"/>
                <w:sz w:val="15"/>
                <w:szCs w:val="15"/>
                <w:color w:val="auto"/>
                <w:w w:val="95"/>
              </w:rPr>
              <w:t>$</w:t>
            </w:r>
          </w:p>
        </w:tc>
        <w:tc>
          <w:tcPr>
            <w:tcW w:w="920" w:type="dxa"/>
            <w:vAlign w:val="bottom"/>
            <w:tcBorders>
              <w:bottom w:val="single" w:sz="8" w:color="99B5CB"/>
            </w:tcBorders>
          </w:tcPr>
          <w:p>
            <w:pPr>
              <w:jc w:val="right"/>
              <w:ind w:right="4"/>
              <w:spacing w:after="0"/>
              <w:rPr>
                <w:sz w:val="20"/>
                <w:szCs w:val="20"/>
                <w:color w:val="auto"/>
              </w:rPr>
            </w:pPr>
            <w:r>
              <w:rPr>
                <w:rFonts w:ascii="Arial" w:cs="Arial" w:eastAsia="Arial" w:hAnsi="Arial"/>
                <w:sz w:val="15"/>
                <w:szCs w:val="15"/>
                <w:color w:val="auto"/>
              </w:rPr>
              <w:t>1,559,534</w:t>
            </w:r>
          </w:p>
        </w:tc>
        <w:tc>
          <w:tcPr>
            <w:tcW w:w="1080" w:type="dxa"/>
            <w:vAlign w:val="bottom"/>
            <w:tcBorders>
              <w:bottom w:val="single" w:sz="8" w:color="99B5CB"/>
            </w:tcBorders>
          </w:tcPr>
          <w:p>
            <w:pPr>
              <w:spacing w:after="0"/>
              <w:rPr>
                <w:sz w:val="17"/>
                <w:szCs w:val="17"/>
                <w:color w:val="auto"/>
              </w:rPr>
            </w:pPr>
          </w:p>
        </w:tc>
        <w:tc>
          <w:tcPr>
            <w:tcW w:w="140" w:type="dxa"/>
            <w:vAlign w:val="bottom"/>
            <w:tcBorders>
              <w:bottom w:val="single" w:sz="8" w:color="99B5CB"/>
            </w:tcBorders>
          </w:tcPr>
          <w:p>
            <w:pPr>
              <w:spacing w:after="0"/>
              <w:rPr>
                <w:sz w:val="17"/>
                <w:szCs w:val="17"/>
                <w:color w:val="auto"/>
              </w:rPr>
            </w:pPr>
          </w:p>
        </w:tc>
        <w:tc>
          <w:tcPr>
            <w:tcW w:w="940" w:type="dxa"/>
            <w:vAlign w:val="bottom"/>
            <w:tcBorders>
              <w:bottom w:val="single" w:sz="8" w:color="99B5CB"/>
            </w:tcBorders>
          </w:tcPr>
          <w:p>
            <w:pPr>
              <w:spacing w:after="0"/>
              <w:rPr>
                <w:sz w:val="17"/>
                <w:szCs w:val="17"/>
                <w:color w:val="auto"/>
              </w:rPr>
            </w:pPr>
          </w:p>
        </w:tc>
      </w:tr>
      <w:tr>
        <w:trPr>
          <w:trHeight w:val="238"/>
        </w:trPr>
        <w:tc>
          <w:tcPr>
            <w:tcW w:w="1880" w:type="dxa"/>
            <w:vAlign w:val="bottom"/>
          </w:tcPr>
          <w:p>
            <w:pPr>
              <w:ind w:left="60"/>
              <w:spacing w:after="0"/>
              <w:rPr>
                <w:sz w:val="20"/>
                <w:szCs w:val="20"/>
                <w:color w:val="auto"/>
              </w:rPr>
            </w:pPr>
            <w:r>
              <w:rPr>
                <w:rFonts w:ascii="Arial" w:cs="Arial" w:eastAsia="Arial" w:hAnsi="Arial"/>
                <w:sz w:val="15"/>
                <w:szCs w:val="15"/>
                <w:color w:val="auto"/>
              </w:rPr>
              <w:t>Michael P. Rutz</w:t>
            </w:r>
          </w:p>
        </w:tc>
        <w:tc>
          <w:tcPr>
            <w:tcW w:w="1180" w:type="dxa"/>
            <w:vAlign w:val="bottom"/>
            <w:tcBorders>
              <w:bottom w:val="single" w:sz="8" w:color="99B5CB"/>
            </w:tcBorders>
            <w:gridSpan w:val="2"/>
          </w:tcPr>
          <w:p>
            <w:pPr>
              <w:jc w:val="right"/>
              <w:ind w:right="27"/>
              <w:spacing w:after="0" w:line="239" w:lineRule="exact"/>
              <w:rPr>
                <w:sz w:val="20"/>
                <w:szCs w:val="20"/>
                <w:color w:val="auto"/>
              </w:rPr>
            </w:pPr>
            <w:r>
              <w:rPr>
                <w:rFonts w:ascii="Arial" w:cs="Arial" w:eastAsia="Arial" w:hAnsi="Arial"/>
                <w:sz w:val="15"/>
                <w:szCs w:val="15"/>
                <w:color w:val="auto"/>
              </w:rPr>
              <w:t>55,901</w:t>
            </w:r>
            <w:r>
              <w:rPr>
                <w:rFonts w:ascii="Arial" w:cs="Arial" w:eastAsia="Arial" w:hAnsi="Arial"/>
                <w:sz w:val="23"/>
                <w:szCs w:val="23"/>
                <w:color w:val="auto"/>
                <w:vertAlign w:val="superscript"/>
              </w:rPr>
              <w:t>(1)</w:t>
            </w:r>
          </w:p>
        </w:tc>
        <w:tc>
          <w:tcPr>
            <w:tcW w:w="1240" w:type="dxa"/>
            <w:vAlign w:val="bottom"/>
            <w:tcBorders>
              <w:bottom w:val="single" w:sz="8" w:color="99B5CB"/>
            </w:tcBorders>
          </w:tcPr>
          <w:p>
            <w:pPr>
              <w:jc w:val="right"/>
              <w:ind w:right="7"/>
              <w:spacing w:after="0" w:line="239" w:lineRule="exact"/>
              <w:rPr>
                <w:sz w:val="20"/>
                <w:szCs w:val="20"/>
                <w:color w:val="auto"/>
              </w:rPr>
            </w:pPr>
            <w:r>
              <w:rPr>
                <w:rFonts w:ascii="Arial" w:cs="Arial" w:eastAsia="Arial" w:hAnsi="Arial"/>
                <w:sz w:val="15"/>
                <w:szCs w:val="15"/>
                <w:color w:val="auto"/>
              </w:rPr>
              <w:t>55,900</w:t>
            </w:r>
            <w:r>
              <w:rPr>
                <w:rFonts w:ascii="Arial" w:cs="Arial" w:eastAsia="Arial" w:hAnsi="Arial"/>
                <w:sz w:val="23"/>
                <w:szCs w:val="23"/>
                <w:color w:val="auto"/>
                <w:vertAlign w:val="superscript"/>
              </w:rPr>
              <w:t>(1)</w:t>
            </w:r>
          </w:p>
        </w:tc>
        <w:tc>
          <w:tcPr>
            <w:tcW w:w="180" w:type="dxa"/>
            <w:vAlign w:val="bottom"/>
            <w:tcBorders>
              <w:bottom w:val="single" w:sz="8" w:color="99B5CB"/>
            </w:tcBorders>
          </w:tcPr>
          <w:p>
            <w:pPr>
              <w:ind w:left="80"/>
              <w:spacing w:after="0"/>
              <w:rPr>
                <w:sz w:val="20"/>
                <w:szCs w:val="20"/>
                <w:color w:val="auto"/>
              </w:rPr>
            </w:pPr>
            <w:r>
              <w:rPr>
                <w:rFonts w:ascii="Arial" w:cs="Arial" w:eastAsia="Arial" w:hAnsi="Arial"/>
                <w:sz w:val="15"/>
                <w:szCs w:val="15"/>
                <w:color w:val="auto"/>
                <w:w w:val="95"/>
              </w:rPr>
              <w:t>$</w:t>
            </w:r>
          </w:p>
        </w:tc>
        <w:tc>
          <w:tcPr>
            <w:tcW w:w="580" w:type="dxa"/>
            <w:vAlign w:val="bottom"/>
            <w:tcBorders>
              <w:bottom w:val="single" w:sz="8" w:color="99B5CB"/>
            </w:tcBorders>
          </w:tcPr>
          <w:p>
            <w:pPr>
              <w:jc w:val="right"/>
              <w:ind w:right="24"/>
              <w:spacing w:after="0"/>
              <w:rPr>
                <w:sz w:val="20"/>
                <w:szCs w:val="20"/>
                <w:color w:val="auto"/>
              </w:rPr>
            </w:pPr>
            <w:r>
              <w:rPr>
                <w:rFonts w:ascii="Arial" w:cs="Arial" w:eastAsia="Arial" w:hAnsi="Arial"/>
                <w:sz w:val="15"/>
                <w:szCs w:val="15"/>
                <w:color w:val="auto"/>
              </w:rPr>
              <w:t>23.00</w:t>
            </w:r>
          </w:p>
        </w:tc>
        <w:tc>
          <w:tcPr>
            <w:tcW w:w="940" w:type="dxa"/>
            <w:vAlign w:val="bottom"/>
            <w:tcBorders>
              <w:bottom w:val="single" w:sz="8" w:color="99B5CB"/>
            </w:tcBorders>
          </w:tcPr>
          <w:p>
            <w:pPr>
              <w:jc w:val="right"/>
              <w:spacing w:after="0"/>
              <w:rPr>
                <w:sz w:val="20"/>
                <w:szCs w:val="20"/>
                <w:color w:val="auto"/>
              </w:rPr>
            </w:pPr>
            <w:r>
              <w:rPr>
                <w:rFonts w:ascii="Arial" w:cs="Arial" w:eastAsia="Arial" w:hAnsi="Arial"/>
                <w:sz w:val="15"/>
                <w:szCs w:val="15"/>
                <w:color w:val="auto"/>
              </w:rPr>
              <w:t>11/20/2030</w:t>
            </w:r>
          </w:p>
        </w:tc>
        <w:tc>
          <w:tcPr>
            <w:tcW w:w="120" w:type="dxa"/>
            <w:vAlign w:val="bottom"/>
            <w:tcBorders>
              <w:bottom w:val="single" w:sz="8" w:color="99B5CB"/>
            </w:tcBorders>
          </w:tcPr>
          <w:p>
            <w:pPr>
              <w:spacing w:after="0"/>
              <w:rPr>
                <w:sz w:val="20"/>
                <w:szCs w:val="20"/>
                <w:color w:val="auto"/>
              </w:rPr>
            </w:pPr>
          </w:p>
        </w:tc>
        <w:tc>
          <w:tcPr>
            <w:tcW w:w="1160" w:type="dxa"/>
            <w:vAlign w:val="bottom"/>
            <w:tcBorders>
              <w:bottom w:val="single" w:sz="8" w:color="99B5CB"/>
            </w:tcBorders>
          </w:tcPr>
          <w:p>
            <w:pPr>
              <w:spacing w:after="0"/>
              <w:rPr>
                <w:sz w:val="20"/>
                <w:szCs w:val="20"/>
                <w:color w:val="auto"/>
              </w:rPr>
            </w:pPr>
          </w:p>
        </w:tc>
        <w:tc>
          <w:tcPr>
            <w:tcW w:w="180" w:type="dxa"/>
            <w:vAlign w:val="bottom"/>
            <w:tcBorders>
              <w:bottom w:val="single" w:sz="8" w:color="99B5CB"/>
            </w:tcBorders>
          </w:tcPr>
          <w:p>
            <w:pPr>
              <w:spacing w:after="0"/>
              <w:rPr>
                <w:sz w:val="20"/>
                <w:szCs w:val="20"/>
                <w:color w:val="auto"/>
              </w:rPr>
            </w:pPr>
          </w:p>
        </w:tc>
        <w:tc>
          <w:tcPr>
            <w:tcW w:w="920" w:type="dxa"/>
            <w:vAlign w:val="bottom"/>
            <w:tcBorders>
              <w:bottom w:val="single" w:sz="8" w:color="99B5CB"/>
            </w:tcBorders>
          </w:tcPr>
          <w:p>
            <w:pPr>
              <w:spacing w:after="0"/>
              <w:rPr>
                <w:sz w:val="20"/>
                <w:szCs w:val="20"/>
                <w:color w:val="auto"/>
              </w:rPr>
            </w:pPr>
          </w:p>
        </w:tc>
        <w:tc>
          <w:tcPr>
            <w:tcW w:w="1080" w:type="dxa"/>
            <w:vAlign w:val="bottom"/>
            <w:tcBorders>
              <w:bottom w:val="single" w:sz="8" w:color="99B5CB"/>
            </w:tcBorders>
          </w:tcPr>
          <w:p>
            <w:pPr>
              <w:spacing w:after="0"/>
              <w:rPr>
                <w:sz w:val="20"/>
                <w:szCs w:val="20"/>
                <w:color w:val="auto"/>
              </w:rPr>
            </w:pPr>
          </w:p>
        </w:tc>
        <w:tc>
          <w:tcPr>
            <w:tcW w:w="140" w:type="dxa"/>
            <w:vAlign w:val="bottom"/>
            <w:tcBorders>
              <w:bottom w:val="single" w:sz="8" w:color="99B5CB"/>
            </w:tcBorders>
          </w:tcPr>
          <w:p>
            <w:pPr>
              <w:spacing w:after="0"/>
              <w:rPr>
                <w:sz w:val="20"/>
                <w:szCs w:val="20"/>
                <w:color w:val="auto"/>
              </w:rPr>
            </w:pPr>
          </w:p>
        </w:tc>
        <w:tc>
          <w:tcPr>
            <w:tcW w:w="940" w:type="dxa"/>
            <w:vAlign w:val="bottom"/>
            <w:tcBorders>
              <w:bottom w:val="single" w:sz="8" w:color="99B5CB"/>
            </w:tcBorders>
          </w:tcPr>
          <w:p>
            <w:pPr>
              <w:spacing w:after="0"/>
              <w:rPr>
                <w:sz w:val="20"/>
                <w:szCs w:val="20"/>
                <w:color w:val="auto"/>
              </w:rPr>
            </w:pPr>
          </w:p>
        </w:tc>
      </w:tr>
      <w:tr>
        <w:trPr>
          <w:trHeight w:val="199"/>
        </w:trPr>
        <w:tc>
          <w:tcPr>
            <w:tcW w:w="1880" w:type="dxa"/>
            <w:vAlign w:val="bottom"/>
          </w:tcPr>
          <w:p>
            <w:pPr>
              <w:spacing w:after="0"/>
              <w:rPr>
                <w:sz w:val="17"/>
                <w:szCs w:val="17"/>
                <w:color w:val="auto"/>
              </w:rPr>
            </w:pPr>
          </w:p>
        </w:tc>
        <w:tc>
          <w:tcPr>
            <w:tcW w:w="120" w:type="dxa"/>
            <w:vAlign w:val="bottom"/>
            <w:tcBorders>
              <w:bottom w:val="single" w:sz="8" w:color="99B5CB"/>
            </w:tcBorders>
          </w:tcPr>
          <w:p>
            <w:pPr>
              <w:spacing w:after="0"/>
              <w:rPr>
                <w:sz w:val="17"/>
                <w:szCs w:val="17"/>
                <w:color w:val="auto"/>
              </w:rPr>
            </w:pPr>
          </w:p>
        </w:tc>
        <w:tc>
          <w:tcPr>
            <w:tcW w:w="1060" w:type="dxa"/>
            <w:vAlign w:val="bottom"/>
            <w:tcBorders>
              <w:bottom w:val="single" w:sz="8" w:color="99B5CB"/>
            </w:tcBorders>
          </w:tcPr>
          <w:p>
            <w:pPr>
              <w:jc w:val="right"/>
              <w:ind w:right="167"/>
              <w:spacing w:after="0"/>
              <w:rPr>
                <w:sz w:val="20"/>
                <w:szCs w:val="20"/>
                <w:color w:val="auto"/>
              </w:rPr>
            </w:pPr>
            <w:r>
              <w:rPr>
                <w:rFonts w:ascii="Arial" w:cs="Arial" w:eastAsia="Arial" w:hAnsi="Arial"/>
                <w:sz w:val="15"/>
                <w:szCs w:val="15"/>
                <w:color w:val="auto"/>
              </w:rPr>
              <w:t>—</w:t>
            </w:r>
          </w:p>
        </w:tc>
        <w:tc>
          <w:tcPr>
            <w:tcW w:w="1240" w:type="dxa"/>
            <w:vAlign w:val="bottom"/>
            <w:tcBorders>
              <w:bottom w:val="single" w:sz="8" w:color="99B5CB"/>
            </w:tcBorders>
          </w:tcPr>
          <w:p>
            <w:pPr>
              <w:jc w:val="right"/>
              <w:ind w:right="7"/>
              <w:spacing w:after="0" w:line="199" w:lineRule="exact"/>
              <w:rPr>
                <w:sz w:val="20"/>
                <w:szCs w:val="20"/>
                <w:color w:val="auto"/>
              </w:rPr>
            </w:pPr>
            <w:r>
              <w:rPr>
                <w:rFonts w:ascii="Arial" w:cs="Arial" w:eastAsia="Arial" w:hAnsi="Arial"/>
                <w:sz w:val="15"/>
                <w:szCs w:val="15"/>
                <w:color w:val="auto"/>
              </w:rPr>
              <w:t>63,857</w:t>
            </w:r>
            <w:r>
              <w:rPr>
                <w:rFonts w:ascii="Arial" w:cs="Arial" w:eastAsia="Arial" w:hAnsi="Arial"/>
                <w:sz w:val="23"/>
                <w:szCs w:val="23"/>
                <w:color w:val="auto"/>
                <w:vertAlign w:val="superscript"/>
              </w:rPr>
              <w:t>(2)</w:t>
            </w:r>
          </w:p>
        </w:tc>
        <w:tc>
          <w:tcPr>
            <w:tcW w:w="180" w:type="dxa"/>
            <w:vAlign w:val="bottom"/>
            <w:tcBorders>
              <w:bottom w:val="single" w:sz="8" w:color="99B5CB"/>
            </w:tcBorders>
          </w:tcPr>
          <w:p>
            <w:pPr>
              <w:ind w:left="80"/>
              <w:spacing w:after="0"/>
              <w:rPr>
                <w:sz w:val="20"/>
                <w:szCs w:val="20"/>
                <w:color w:val="auto"/>
              </w:rPr>
            </w:pPr>
            <w:r>
              <w:rPr>
                <w:rFonts w:ascii="Arial" w:cs="Arial" w:eastAsia="Arial" w:hAnsi="Arial"/>
                <w:sz w:val="15"/>
                <w:szCs w:val="15"/>
                <w:color w:val="auto"/>
                <w:w w:val="95"/>
              </w:rPr>
              <w:t>$</w:t>
            </w:r>
          </w:p>
        </w:tc>
        <w:tc>
          <w:tcPr>
            <w:tcW w:w="580" w:type="dxa"/>
            <w:vAlign w:val="bottom"/>
            <w:tcBorders>
              <w:bottom w:val="single" w:sz="8" w:color="99B5CB"/>
            </w:tcBorders>
          </w:tcPr>
          <w:p>
            <w:pPr>
              <w:jc w:val="right"/>
              <w:ind w:right="24"/>
              <w:spacing w:after="0"/>
              <w:rPr>
                <w:sz w:val="20"/>
                <w:szCs w:val="20"/>
                <w:color w:val="auto"/>
              </w:rPr>
            </w:pPr>
            <w:r>
              <w:rPr>
                <w:rFonts w:ascii="Arial" w:cs="Arial" w:eastAsia="Arial" w:hAnsi="Arial"/>
                <w:sz w:val="15"/>
                <w:szCs w:val="15"/>
                <w:color w:val="auto"/>
              </w:rPr>
              <w:t>20.03</w:t>
            </w:r>
          </w:p>
        </w:tc>
        <w:tc>
          <w:tcPr>
            <w:tcW w:w="940" w:type="dxa"/>
            <w:vAlign w:val="bottom"/>
            <w:tcBorders>
              <w:bottom w:val="single" w:sz="8" w:color="99B5CB"/>
            </w:tcBorders>
          </w:tcPr>
          <w:p>
            <w:pPr>
              <w:jc w:val="right"/>
              <w:spacing w:after="0"/>
              <w:rPr>
                <w:sz w:val="20"/>
                <w:szCs w:val="20"/>
                <w:color w:val="auto"/>
              </w:rPr>
            </w:pPr>
            <w:r>
              <w:rPr>
                <w:rFonts w:ascii="Arial" w:cs="Arial" w:eastAsia="Arial" w:hAnsi="Arial"/>
                <w:sz w:val="15"/>
                <w:szCs w:val="15"/>
                <w:color w:val="auto"/>
              </w:rPr>
              <w:t>3/2/2032</w:t>
            </w:r>
          </w:p>
        </w:tc>
        <w:tc>
          <w:tcPr>
            <w:tcW w:w="120" w:type="dxa"/>
            <w:vAlign w:val="bottom"/>
            <w:tcBorders>
              <w:bottom w:val="single" w:sz="8" w:color="99B5CB"/>
            </w:tcBorders>
          </w:tcPr>
          <w:p>
            <w:pPr>
              <w:spacing w:after="0"/>
              <w:rPr>
                <w:sz w:val="17"/>
                <w:szCs w:val="17"/>
                <w:color w:val="auto"/>
              </w:rPr>
            </w:pPr>
          </w:p>
        </w:tc>
        <w:tc>
          <w:tcPr>
            <w:tcW w:w="1160" w:type="dxa"/>
            <w:vAlign w:val="bottom"/>
            <w:tcBorders>
              <w:bottom w:val="single" w:sz="8" w:color="99B5CB"/>
            </w:tcBorders>
          </w:tcPr>
          <w:p>
            <w:pPr>
              <w:spacing w:after="0"/>
              <w:rPr>
                <w:sz w:val="17"/>
                <w:szCs w:val="17"/>
                <w:color w:val="auto"/>
              </w:rPr>
            </w:pPr>
          </w:p>
        </w:tc>
        <w:tc>
          <w:tcPr>
            <w:tcW w:w="180" w:type="dxa"/>
            <w:vAlign w:val="bottom"/>
            <w:tcBorders>
              <w:bottom w:val="single" w:sz="8" w:color="99B5CB"/>
            </w:tcBorders>
          </w:tcPr>
          <w:p>
            <w:pPr>
              <w:spacing w:after="0"/>
              <w:rPr>
                <w:sz w:val="17"/>
                <w:szCs w:val="17"/>
                <w:color w:val="auto"/>
              </w:rPr>
            </w:pPr>
          </w:p>
        </w:tc>
        <w:tc>
          <w:tcPr>
            <w:tcW w:w="920" w:type="dxa"/>
            <w:vAlign w:val="bottom"/>
            <w:tcBorders>
              <w:bottom w:val="single" w:sz="8" w:color="99B5CB"/>
            </w:tcBorders>
          </w:tcPr>
          <w:p>
            <w:pPr>
              <w:spacing w:after="0"/>
              <w:rPr>
                <w:sz w:val="17"/>
                <w:szCs w:val="17"/>
                <w:color w:val="auto"/>
              </w:rPr>
            </w:pPr>
          </w:p>
        </w:tc>
        <w:tc>
          <w:tcPr>
            <w:tcW w:w="1080" w:type="dxa"/>
            <w:vAlign w:val="bottom"/>
            <w:tcBorders>
              <w:bottom w:val="single" w:sz="8" w:color="99B5CB"/>
            </w:tcBorders>
          </w:tcPr>
          <w:p>
            <w:pPr>
              <w:spacing w:after="0"/>
              <w:rPr>
                <w:sz w:val="17"/>
                <w:szCs w:val="17"/>
                <w:color w:val="auto"/>
              </w:rPr>
            </w:pPr>
          </w:p>
        </w:tc>
        <w:tc>
          <w:tcPr>
            <w:tcW w:w="140" w:type="dxa"/>
            <w:vAlign w:val="bottom"/>
            <w:tcBorders>
              <w:bottom w:val="single" w:sz="8" w:color="99B5CB"/>
            </w:tcBorders>
          </w:tcPr>
          <w:p>
            <w:pPr>
              <w:spacing w:after="0"/>
              <w:rPr>
                <w:sz w:val="17"/>
                <w:szCs w:val="17"/>
                <w:color w:val="auto"/>
              </w:rPr>
            </w:pPr>
          </w:p>
        </w:tc>
        <w:tc>
          <w:tcPr>
            <w:tcW w:w="940" w:type="dxa"/>
            <w:vAlign w:val="bottom"/>
            <w:tcBorders>
              <w:bottom w:val="single" w:sz="8" w:color="99B5CB"/>
            </w:tcBorders>
          </w:tcPr>
          <w:p>
            <w:pPr>
              <w:spacing w:after="0"/>
              <w:rPr>
                <w:sz w:val="17"/>
                <w:szCs w:val="17"/>
                <w:color w:val="auto"/>
              </w:rPr>
            </w:pPr>
          </w:p>
        </w:tc>
      </w:tr>
      <w:tr>
        <w:trPr>
          <w:trHeight w:val="199"/>
        </w:trPr>
        <w:tc>
          <w:tcPr>
            <w:tcW w:w="1880" w:type="dxa"/>
            <w:vAlign w:val="bottom"/>
          </w:tcPr>
          <w:p>
            <w:pPr>
              <w:spacing w:after="0"/>
              <w:rPr>
                <w:sz w:val="17"/>
                <w:szCs w:val="17"/>
                <w:color w:val="auto"/>
              </w:rPr>
            </w:pPr>
          </w:p>
        </w:tc>
        <w:tc>
          <w:tcPr>
            <w:tcW w:w="120" w:type="dxa"/>
            <w:vAlign w:val="bottom"/>
            <w:tcBorders>
              <w:bottom w:val="single" w:sz="8" w:color="99B5CB"/>
            </w:tcBorders>
          </w:tcPr>
          <w:p>
            <w:pPr>
              <w:spacing w:after="0"/>
              <w:rPr>
                <w:sz w:val="17"/>
                <w:szCs w:val="17"/>
                <w:color w:val="auto"/>
              </w:rPr>
            </w:pPr>
          </w:p>
        </w:tc>
        <w:tc>
          <w:tcPr>
            <w:tcW w:w="1060" w:type="dxa"/>
            <w:vAlign w:val="bottom"/>
            <w:tcBorders>
              <w:bottom w:val="single" w:sz="8" w:color="99B5CB"/>
            </w:tcBorders>
          </w:tcPr>
          <w:p>
            <w:pPr>
              <w:spacing w:after="0"/>
              <w:rPr>
                <w:sz w:val="17"/>
                <w:szCs w:val="17"/>
                <w:color w:val="auto"/>
              </w:rPr>
            </w:pPr>
          </w:p>
        </w:tc>
        <w:tc>
          <w:tcPr>
            <w:tcW w:w="1240" w:type="dxa"/>
            <w:vAlign w:val="bottom"/>
            <w:tcBorders>
              <w:bottom w:val="single" w:sz="8" w:color="99B5CB"/>
            </w:tcBorders>
          </w:tcPr>
          <w:p>
            <w:pPr>
              <w:spacing w:after="0"/>
              <w:rPr>
                <w:sz w:val="17"/>
                <w:szCs w:val="17"/>
                <w:color w:val="auto"/>
              </w:rPr>
            </w:pPr>
          </w:p>
        </w:tc>
        <w:tc>
          <w:tcPr>
            <w:tcW w:w="180" w:type="dxa"/>
            <w:vAlign w:val="bottom"/>
            <w:tcBorders>
              <w:bottom w:val="single" w:sz="8" w:color="99B5CB"/>
            </w:tcBorders>
          </w:tcPr>
          <w:p>
            <w:pPr>
              <w:spacing w:after="0"/>
              <w:rPr>
                <w:sz w:val="17"/>
                <w:szCs w:val="17"/>
                <w:color w:val="auto"/>
              </w:rPr>
            </w:pPr>
          </w:p>
        </w:tc>
        <w:tc>
          <w:tcPr>
            <w:tcW w:w="580" w:type="dxa"/>
            <w:vAlign w:val="bottom"/>
            <w:tcBorders>
              <w:bottom w:val="single" w:sz="8" w:color="99B5CB"/>
            </w:tcBorders>
          </w:tcPr>
          <w:p>
            <w:pPr>
              <w:spacing w:after="0"/>
              <w:rPr>
                <w:sz w:val="17"/>
                <w:szCs w:val="17"/>
                <w:color w:val="auto"/>
              </w:rPr>
            </w:pPr>
          </w:p>
        </w:tc>
        <w:tc>
          <w:tcPr>
            <w:tcW w:w="940" w:type="dxa"/>
            <w:vAlign w:val="bottom"/>
            <w:tcBorders>
              <w:bottom w:val="single" w:sz="8" w:color="99B5CB"/>
            </w:tcBorders>
          </w:tcPr>
          <w:p>
            <w:pPr>
              <w:spacing w:after="0"/>
              <w:rPr>
                <w:sz w:val="17"/>
                <w:szCs w:val="17"/>
                <w:color w:val="auto"/>
              </w:rPr>
            </w:pPr>
          </w:p>
        </w:tc>
        <w:tc>
          <w:tcPr>
            <w:tcW w:w="1280" w:type="dxa"/>
            <w:vAlign w:val="bottom"/>
            <w:tcBorders>
              <w:bottom w:val="single" w:sz="8" w:color="99B5CB"/>
            </w:tcBorders>
            <w:gridSpan w:val="2"/>
          </w:tcPr>
          <w:p>
            <w:pPr>
              <w:jc w:val="right"/>
              <w:ind w:right="31"/>
              <w:spacing w:after="0" w:line="199" w:lineRule="exact"/>
              <w:rPr>
                <w:sz w:val="20"/>
                <w:szCs w:val="20"/>
                <w:color w:val="auto"/>
              </w:rPr>
            </w:pPr>
            <w:r>
              <w:rPr>
                <w:rFonts w:ascii="Arial" w:cs="Arial" w:eastAsia="Arial" w:hAnsi="Arial"/>
                <w:sz w:val="15"/>
                <w:szCs w:val="15"/>
                <w:color w:val="auto"/>
              </w:rPr>
              <w:t>13,043</w:t>
            </w:r>
            <w:r>
              <w:rPr>
                <w:rFonts w:ascii="Arial" w:cs="Arial" w:eastAsia="Arial" w:hAnsi="Arial"/>
                <w:sz w:val="23"/>
                <w:szCs w:val="23"/>
                <w:color w:val="auto"/>
                <w:vertAlign w:val="superscript"/>
              </w:rPr>
              <w:t>(4)</w:t>
            </w:r>
          </w:p>
        </w:tc>
        <w:tc>
          <w:tcPr>
            <w:tcW w:w="180" w:type="dxa"/>
            <w:vAlign w:val="bottom"/>
            <w:tcBorders>
              <w:bottom w:val="single" w:sz="8" w:color="99B5CB"/>
            </w:tcBorders>
          </w:tcPr>
          <w:p>
            <w:pPr>
              <w:ind w:left="80"/>
              <w:spacing w:after="0"/>
              <w:rPr>
                <w:sz w:val="20"/>
                <w:szCs w:val="20"/>
                <w:color w:val="auto"/>
              </w:rPr>
            </w:pPr>
            <w:r>
              <w:rPr>
                <w:rFonts w:ascii="Arial" w:cs="Arial" w:eastAsia="Arial" w:hAnsi="Arial"/>
                <w:sz w:val="15"/>
                <w:szCs w:val="15"/>
                <w:color w:val="auto"/>
                <w:w w:val="95"/>
              </w:rPr>
              <w:t>$</w:t>
            </w:r>
          </w:p>
        </w:tc>
        <w:tc>
          <w:tcPr>
            <w:tcW w:w="920" w:type="dxa"/>
            <w:vAlign w:val="bottom"/>
            <w:tcBorders>
              <w:bottom w:val="single" w:sz="8" w:color="99B5CB"/>
            </w:tcBorders>
          </w:tcPr>
          <w:p>
            <w:pPr>
              <w:jc w:val="right"/>
              <w:ind w:right="4"/>
              <w:spacing w:after="0"/>
              <w:rPr>
                <w:sz w:val="20"/>
                <w:szCs w:val="20"/>
                <w:color w:val="auto"/>
              </w:rPr>
            </w:pPr>
            <w:r>
              <w:rPr>
                <w:rFonts w:ascii="Arial" w:cs="Arial" w:eastAsia="Arial" w:hAnsi="Arial"/>
                <w:sz w:val="15"/>
                <w:szCs w:val="15"/>
                <w:color w:val="auto"/>
              </w:rPr>
              <w:t>108,648</w:t>
            </w:r>
          </w:p>
        </w:tc>
        <w:tc>
          <w:tcPr>
            <w:tcW w:w="1080" w:type="dxa"/>
            <w:vAlign w:val="bottom"/>
            <w:tcBorders>
              <w:bottom w:val="single" w:sz="8" w:color="99B5CB"/>
            </w:tcBorders>
          </w:tcPr>
          <w:p>
            <w:pPr>
              <w:spacing w:after="0"/>
              <w:rPr>
                <w:sz w:val="17"/>
                <w:szCs w:val="17"/>
                <w:color w:val="auto"/>
              </w:rPr>
            </w:pPr>
          </w:p>
        </w:tc>
        <w:tc>
          <w:tcPr>
            <w:tcW w:w="140" w:type="dxa"/>
            <w:vAlign w:val="bottom"/>
            <w:tcBorders>
              <w:bottom w:val="single" w:sz="8" w:color="99B5CB"/>
            </w:tcBorders>
          </w:tcPr>
          <w:p>
            <w:pPr>
              <w:spacing w:after="0"/>
              <w:rPr>
                <w:sz w:val="17"/>
                <w:szCs w:val="17"/>
                <w:color w:val="auto"/>
              </w:rPr>
            </w:pPr>
          </w:p>
        </w:tc>
        <w:tc>
          <w:tcPr>
            <w:tcW w:w="940" w:type="dxa"/>
            <w:vAlign w:val="bottom"/>
            <w:tcBorders>
              <w:bottom w:val="single" w:sz="8" w:color="99B5CB"/>
            </w:tcBorders>
          </w:tcPr>
          <w:p>
            <w:pPr>
              <w:spacing w:after="0"/>
              <w:rPr>
                <w:sz w:val="17"/>
                <w:szCs w:val="17"/>
                <w:color w:val="auto"/>
              </w:rPr>
            </w:pPr>
          </w:p>
        </w:tc>
      </w:tr>
      <w:tr>
        <w:trPr>
          <w:trHeight w:val="199"/>
        </w:trPr>
        <w:tc>
          <w:tcPr>
            <w:tcW w:w="1880" w:type="dxa"/>
            <w:vAlign w:val="bottom"/>
          </w:tcPr>
          <w:p>
            <w:pPr>
              <w:spacing w:after="0"/>
              <w:rPr>
                <w:sz w:val="17"/>
                <w:szCs w:val="17"/>
                <w:color w:val="auto"/>
              </w:rPr>
            </w:pPr>
          </w:p>
        </w:tc>
        <w:tc>
          <w:tcPr>
            <w:tcW w:w="120" w:type="dxa"/>
            <w:vAlign w:val="bottom"/>
            <w:tcBorders>
              <w:bottom w:val="single" w:sz="8" w:color="99B5CB"/>
            </w:tcBorders>
          </w:tcPr>
          <w:p>
            <w:pPr>
              <w:spacing w:after="0"/>
              <w:rPr>
                <w:sz w:val="17"/>
                <w:szCs w:val="17"/>
                <w:color w:val="auto"/>
              </w:rPr>
            </w:pPr>
          </w:p>
        </w:tc>
        <w:tc>
          <w:tcPr>
            <w:tcW w:w="1060" w:type="dxa"/>
            <w:vAlign w:val="bottom"/>
            <w:tcBorders>
              <w:bottom w:val="single" w:sz="8" w:color="99B5CB"/>
            </w:tcBorders>
          </w:tcPr>
          <w:p>
            <w:pPr>
              <w:spacing w:after="0"/>
              <w:rPr>
                <w:sz w:val="17"/>
                <w:szCs w:val="17"/>
                <w:color w:val="auto"/>
              </w:rPr>
            </w:pPr>
          </w:p>
        </w:tc>
        <w:tc>
          <w:tcPr>
            <w:tcW w:w="1240" w:type="dxa"/>
            <w:vAlign w:val="bottom"/>
            <w:tcBorders>
              <w:bottom w:val="single" w:sz="8" w:color="99B5CB"/>
            </w:tcBorders>
          </w:tcPr>
          <w:p>
            <w:pPr>
              <w:spacing w:after="0"/>
              <w:rPr>
                <w:sz w:val="17"/>
                <w:szCs w:val="17"/>
                <w:color w:val="auto"/>
              </w:rPr>
            </w:pPr>
          </w:p>
        </w:tc>
        <w:tc>
          <w:tcPr>
            <w:tcW w:w="180" w:type="dxa"/>
            <w:vAlign w:val="bottom"/>
            <w:tcBorders>
              <w:bottom w:val="single" w:sz="8" w:color="99B5CB"/>
            </w:tcBorders>
          </w:tcPr>
          <w:p>
            <w:pPr>
              <w:spacing w:after="0"/>
              <w:rPr>
                <w:sz w:val="17"/>
                <w:szCs w:val="17"/>
                <w:color w:val="auto"/>
              </w:rPr>
            </w:pPr>
          </w:p>
        </w:tc>
        <w:tc>
          <w:tcPr>
            <w:tcW w:w="580" w:type="dxa"/>
            <w:vAlign w:val="bottom"/>
            <w:tcBorders>
              <w:bottom w:val="single" w:sz="8" w:color="99B5CB"/>
            </w:tcBorders>
          </w:tcPr>
          <w:p>
            <w:pPr>
              <w:spacing w:after="0"/>
              <w:rPr>
                <w:sz w:val="17"/>
                <w:szCs w:val="17"/>
                <w:color w:val="auto"/>
              </w:rPr>
            </w:pPr>
          </w:p>
        </w:tc>
        <w:tc>
          <w:tcPr>
            <w:tcW w:w="940" w:type="dxa"/>
            <w:vAlign w:val="bottom"/>
            <w:tcBorders>
              <w:bottom w:val="single" w:sz="8" w:color="99B5CB"/>
            </w:tcBorders>
          </w:tcPr>
          <w:p>
            <w:pPr>
              <w:spacing w:after="0"/>
              <w:rPr>
                <w:sz w:val="17"/>
                <w:szCs w:val="17"/>
                <w:color w:val="auto"/>
              </w:rPr>
            </w:pPr>
          </w:p>
        </w:tc>
        <w:tc>
          <w:tcPr>
            <w:tcW w:w="1280" w:type="dxa"/>
            <w:vAlign w:val="bottom"/>
            <w:tcBorders>
              <w:bottom w:val="single" w:sz="8" w:color="99B5CB"/>
            </w:tcBorders>
            <w:gridSpan w:val="2"/>
          </w:tcPr>
          <w:p>
            <w:pPr>
              <w:jc w:val="right"/>
              <w:ind w:right="31"/>
              <w:spacing w:after="0" w:line="199" w:lineRule="exact"/>
              <w:rPr>
                <w:sz w:val="20"/>
                <w:szCs w:val="20"/>
                <w:color w:val="auto"/>
              </w:rPr>
            </w:pPr>
            <w:r>
              <w:rPr>
                <w:rFonts w:ascii="Arial" w:cs="Arial" w:eastAsia="Arial" w:hAnsi="Arial"/>
                <w:sz w:val="15"/>
                <w:szCs w:val="15"/>
                <w:color w:val="auto"/>
              </w:rPr>
              <w:t>273,681</w:t>
            </w:r>
            <w:r>
              <w:rPr>
                <w:rFonts w:ascii="Arial" w:cs="Arial" w:eastAsia="Arial" w:hAnsi="Arial"/>
                <w:sz w:val="23"/>
                <w:szCs w:val="23"/>
                <w:color w:val="auto"/>
                <w:vertAlign w:val="superscript"/>
              </w:rPr>
              <w:t>(6)</w:t>
            </w:r>
          </w:p>
        </w:tc>
        <w:tc>
          <w:tcPr>
            <w:tcW w:w="180" w:type="dxa"/>
            <w:vAlign w:val="bottom"/>
            <w:tcBorders>
              <w:bottom w:val="single" w:sz="8" w:color="99B5CB"/>
            </w:tcBorders>
          </w:tcPr>
          <w:p>
            <w:pPr>
              <w:ind w:left="80"/>
              <w:spacing w:after="0"/>
              <w:rPr>
                <w:sz w:val="20"/>
                <w:szCs w:val="20"/>
                <w:color w:val="auto"/>
              </w:rPr>
            </w:pPr>
            <w:r>
              <w:rPr>
                <w:rFonts w:ascii="Arial" w:cs="Arial" w:eastAsia="Arial" w:hAnsi="Arial"/>
                <w:sz w:val="15"/>
                <w:szCs w:val="15"/>
                <w:color w:val="auto"/>
                <w:w w:val="95"/>
              </w:rPr>
              <w:t>$</w:t>
            </w:r>
          </w:p>
        </w:tc>
        <w:tc>
          <w:tcPr>
            <w:tcW w:w="920" w:type="dxa"/>
            <w:vAlign w:val="bottom"/>
            <w:tcBorders>
              <w:bottom w:val="single" w:sz="8" w:color="99B5CB"/>
            </w:tcBorders>
          </w:tcPr>
          <w:p>
            <w:pPr>
              <w:jc w:val="right"/>
              <w:ind w:right="4"/>
              <w:spacing w:after="0"/>
              <w:rPr>
                <w:sz w:val="20"/>
                <w:szCs w:val="20"/>
                <w:color w:val="auto"/>
              </w:rPr>
            </w:pPr>
            <w:r>
              <w:rPr>
                <w:rFonts w:ascii="Arial" w:cs="Arial" w:eastAsia="Arial" w:hAnsi="Arial"/>
                <w:sz w:val="15"/>
                <w:szCs w:val="15"/>
                <w:color w:val="auto"/>
              </w:rPr>
              <w:t>2,297,763</w:t>
            </w:r>
          </w:p>
        </w:tc>
        <w:tc>
          <w:tcPr>
            <w:tcW w:w="1080" w:type="dxa"/>
            <w:vAlign w:val="bottom"/>
            <w:tcBorders>
              <w:bottom w:val="single" w:sz="8" w:color="99B5CB"/>
            </w:tcBorders>
          </w:tcPr>
          <w:p>
            <w:pPr>
              <w:spacing w:after="0"/>
              <w:rPr>
                <w:sz w:val="17"/>
                <w:szCs w:val="17"/>
                <w:color w:val="auto"/>
              </w:rPr>
            </w:pPr>
          </w:p>
        </w:tc>
        <w:tc>
          <w:tcPr>
            <w:tcW w:w="140" w:type="dxa"/>
            <w:vAlign w:val="bottom"/>
            <w:tcBorders>
              <w:bottom w:val="single" w:sz="8" w:color="99B5CB"/>
            </w:tcBorders>
          </w:tcPr>
          <w:p>
            <w:pPr>
              <w:spacing w:after="0"/>
              <w:rPr>
                <w:sz w:val="17"/>
                <w:szCs w:val="17"/>
                <w:color w:val="auto"/>
              </w:rPr>
            </w:pPr>
          </w:p>
        </w:tc>
        <w:tc>
          <w:tcPr>
            <w:tcW w:w="940" w:type="dxa"/>
            <w:vAlign w:val="bottom"/>
            <w:tcBorders>
              <w:bottom w:val="single" w:sz="8" w:color="99B5CB"/>
            </w:tcBorders>
          </w:tcPr>
          <w:p>
            <w:pPr>
              <w:spacing w:after="0"/>
              <w:rPr>
                <w:sz w:val="17"/>
                <w:szCs w:val="17"/>
                <w:color w:val="auto"/>
              </w:rPr>
            </w:pPr>
          </w:p>
        </w:tc>
      </w:tr>
      <w:tr>
        <w:trPr>
          <w:trHeight w:val="199"/>
        </w:trPr>
        <w:tc>
          <w:tcPr>
            <w:tcW w:w="1880" w:type="dxa"/>
            <w:vAlign w:val="bottom"/>
            <w:tcBorders>
              <w:bottom w:val="single" w:sz="8" w:color="99B5CB"/>
            </w:tcBorders>
          </w:tcPr>
          <w:p>
            <w:pPr>
              <w:spacing w:after="0"/>
              <w:rPr>
                <w:sz w:val="17"/>
                <w:szCs w:val="17"/>
                <w:color w:val="auto"/>
              </w:rPr>
            </w:pPr>
          </w:p>
        </w:tc>
        <w:tc>
          <w:tcPr>
            <w:tcW w:w="120" w:type="dxa"/>
            <w:vAlign w:val="bottom"/>
            <w:tcBorders>
              <w:bottom w:val="single" w:sz="8" w:color="99B5CB"/>
            </w:tcBorders>
          </w:tcPr>
          <w:p>
            <w:pPr>
              <w:spacing w:after="0"/>
              <w:rPr>
                <w:sz w:val="17"/>
                <w:szCs w:val="17"/>
                <w:color w:val="auto"/>
              </w:rPr>
            </w:pPr>
          </w:p>
        </w:tc>
        <w:tc>
          <w:tcPr>
            <w:tcW w:w="1060" w:type="dxa"/>
            <w:vAlign w:val="bottom"/>
            <w:tcBorders>
              <w:bottom w:val="single" w:sz="8" w:color="99B5CB"/>
            </w:tcBorders>
          </w:tcPr>
          <w:p>
            <w:pPr>
              <w:spacing w:after="0"/>
              <w:rPr>
                <w:sz w:val="17"/>
                <w:szCs w:val="17"/>
                <w:color w:val="auto"/>
              </w:rPr>
            </w:pPr>
          </w:p>
        </w:tc>
        <w:tc>
          <w:tcPr>
            <w:tcW w:w="1240" w:type="dxa"/>
            <w:vAlign w:val="bottom"/>
            <w:tcBorders>
              <w:bottom w:val="single" w:sz="8" w:color="99B5CB"/>
            </w:tcBorders>
          </w:tcPr>
          <w:p>
            <w:pPr>
              <w:spacing w:after="0"/>
              <w:rPr>
                <w:sz w:val="17"/>
                <w:szCs w:val="17"/>
                <w:color w:val="auto"/>
              </w:rPr>
            </w:pPr>
          </w:p>
        </w:tc>
        <w:tc>
          <w:tcPr>
            <w:tcW w:w="180" w:type="dxa"/>
            <w:vAlign w:val="bottom"/>
            <w:tcBorders>
              <w:bottom w:val="single" w:sz="8" w:color="99B5CB"/>
            </w:tcBorders>
          </w:tcPr>
          <w:p>
            <w:pPr>
              <w:spacing w:after="0"/>
              <w:rPr>
                <w:sz w:val="17"/>
                <w:szCs w:val="17"/>
                <w:color w:val="auto"/>
              </w:rPr>
            </w:pPr>
          </w:p>
        </w:tc>
        <w:tc>
          <w:tcPr>
            <w:tcW w:w="580" w:type="dxa"/>
            <w:vAlign w:val="bottom"/>
            <w:tcBorders>
              <w:bottom w:val="single" w:sz="8" w:color="99B5CB"/>
            </w:tcBorders>
          </w:tcPr>
          <w:p>
            <w:pPr>
              <w:spacing w:after="0"/>
              <w:rPr>
                <w:sz w:val="17"/>
                <w:szCs w:val="17"/>
                <w:color w:val="auto"/>
              </w:rPr>
            </w:pPr>
          </w:p>
        </w:tc>
        <w:tc>
          <w:tcPr>
            <w:tcW w:w="940" w:type="dxa"/>
            <w:vAlign w:val="bottom"/>
            <w:tcBorders>
              <w:bottom w:val="single" w:sz="8" w:color="99B5CB"/>
            </w:tcBorders>
          </w:tcPr>
          <w:p>
            <w:pPr>
              <w:spacing w:after="0"/>
              <w:rPr>
                <w:sz w:val="17"/>
                <w:szCs w:val="17"/>
                <w:color w:val="auto"/>
              </w:rPr>
            </w:pPr>
          </w:p>
        </w:tc>
        <w:tc>
          <w:tcPr>
            <w:tcW w:w="1280" w:type="dxa"/>
            <w:vAlign w:val="bottom"/>
            <w:tcBorders>
              <w:bottom w:val="single" w:sz="8" w:color="99B5CB"/>
            </w:tcBorders>
            <w:gridSpan w:val="2"/>
          </w:tcPr>
          <w:p>
            <w:pPr>
              <w:jc w:val="right"/>
              <w:ind w:right="31"/>
              <w:spacing w:after="0" w:line="199" w:lineRule="exact"/>
              <w:rPr>
                <w:sz w:val="20"/>
                <w:szCs w:val="20"/>
                <w:color w:val="auto"/>
              </w:rPr>
            </w:pPr>
            <w:r>
              <w:rPr>
                <w:rFonts w:ascii="Arial" w:cs="Arial" w:eastAsia="Arial" w:hAnsi="Arial"/>
                <w:sz w:val="15"/>
                <w:szCs w:val="15"/>
                <w:color w:val="auto"/>
              </w:rPr>
              <w:t>24,962</w:t>
            </w:r>
            <w:r>
              <w:rPr>
                <w:rFonts w:ascii="Arial" w:cs="Arial" w:eastAsia="Arial" w:hAnsi="Arial"/>
                <w:sz w:val="23"/>
                <w:szCs w:val="23"/>
                <w:color w:val="auto"/>
                <w:vertAlign w:val="superscript"/>
              </w:rPr>
              <w:t>(5)</w:t>
            </w:r>
          </w:p>
        </w:tc>
        <w:tc>
          <w:tcPr>
            <w:tcW w:w="180" w:type="dxa"/>
            <w:vAlign w:val="bottom"/>
            <w:tcBorders>
              <w:bottom w:val="single" w:sz="8" w:color="99B5CB"/>
            </w:tcBorders>
          </w:tcPr>
          <w:p>
            <w:pPr>
              <w:ind w:left="80"/>
              <w:spacing w:after="0"/>
              <w:rPr>
                <w:sz w:val="20"/>
                <w:szCs w:val="20"/>
                <w:color w:val="auto"/>
              </w:rPr>
            </w:pPr>
            <w:r>
              <w:rPr>
                <w:rFonts w:ascii="Arial" w:cs="Arial" w:eastAsia="Arial" w:hAnsi="Arial"/>
                <w:sz w:val="15"/>
                <w:szCs w:val="15"/>
                <w:color w:val="auto"/>
                <w:w w:val="95"/>
              </w:rPr>
              <w:t>$</w:t>
            </w:r>
          </w:p>
        </w:tc>
        <w:tc>
          <w:tcPr>
            <w:tcW w:w="920" w:type="dxa"/>
            <w:vAlign w:val="bottom"/>
            <w:tcBorders>
              <w:bottom w:val="single" w:sz="8" w:color="99B5CB"/>
            </w:tcBorders>
          </w:tcPr>
          <w:p>
            <w:pPr>
              <w:jc w:val="right"/>
              <w:ind w:right="4"/>
              <w:spacing w:after="0"/>
              <w:rPr>
                <w:sz w:val="20"/>
                <w:szCs w:val="20"/>
                <w:color w:val="auto"/>
              </w:rPr>
            </w:pPr>
            <w:r>
              <w:rPr>
                <w:rFonts w:ascii="Arial" w:cs="Arial" w:eastAsia="Arial" w:hAnsi="Arial"/>
                <w:sz w:val="15"/>
                <w:szCs w:val="15"/>
                <w:color w:val="auto"/>
              </w:rPr>
              <w:t>207,933</w:t>
            </w:r>
          </w:p>
        </w:tc>
        <w:tc>
          <w:tcPr>
            <w:tcW w:w="1080" w:type="dxa"/>
            <w:vAlign w:val="bottom"/>
            <w:tcBorders>
              <w:bottom w:val="single" w:sz="8" w:color="99B5CB"/>
            </w:tcBorders>
          </w:tcPr>
          <w:p>
            <w:pPr>
              <w:spacing w:after="0"/>
              <w:rPr>
                <w:sz w:val="17"/>
                <w:szCs w:val="17"/>
                <w:color w:val="auto"/>
              </w:rPr>
            </w:pPr>
          </w:p>
        </w:tc>
        <w:tc>
          <w:tcPr>
            <w:tcW w:w="140" w:type="dxa"/>
            <w:vAlign w:val="bottom"/>
            <w:tcBorders>
              <w:bottom w:val="single" w:sz="8" w:color="99B5CB"/>
            </w:tcBorders>
          </w:tcPr>
          <w:p>
            <w:pPr>
              <w:spacing w:after="0"/>
              <w:rPr>
                <w:sz w:val="17"/>
                <w:szCs w:val="17"/>
                <w:color w:val="auto"/>
              </w:rPr>
            </w:pPr>
          </w:p>
        </w:tc>
        <w:tc>
          <w:tcPr>
            <w:tcW w:w="940" w:type="dxa"/>
            <w:vAlign w:val="bottom"/>
            <w:tcBorders>
              <w:bottom w:val="single" w:sz="8" w:color="99B5CB"/>
            </w:tcBorders>
          </w:tcPr>
          <w:p>
            <w:pPr>
              <w:spacing w:after="0"/>
              <w:rPr>
                <w:sz w:val="17"/>
                <w:szCs w:val="17"/>
                <w:color w:val="auto"/>
              </w:rPr>
            </w:pPr>
          </w:p>
        </w:tc>
      </w:tr>
      <w:tr>
        <w:trPr>
          <w:trHeight w:val="238"/>
        </w:trPr>
        <w:tc>
          <w:tcPr>
            <w:tcW w:w="1880" w:type="dxa"/>
            <w:vAlign w:val="bottom"/>
          </w:tcPr>
          <w:p>
            <w:pPr>
              <w:ind w:left="60"/>
              <w:spacing w:after="0"/>
              <w:rPr>
                <w:sz w:val="20"/>
                <w:szCs w:val="20"/>
                <w:color w:val="auto"/>
              </w:rPr>
            </w:pPr>
            <w:r>
              <w:rPr>
                <w:rFonts w:ascii="Arial" w:cs="Arial" w:eastAsia="Arial" w:hAnsi="Arial"/>
                <w:sz w:val="15"/>
                <w:szCs w:val="15"/>
                <w:color w:val="auto"/>
              </w:rPr>
              <w:t>Alexander Dimitrief</w:t>
            </w:r>
          </w:p>
        </w:tc>
        <w:tc>
          <w:tcPr>
            <w:tcW w:w="120" w:type="dxa"/>
            <w:vAlign w:val="bottom"/>
            <w:tcBorders>
              <w:bottom w:val="single" w:sz="8" w:color="99B5CB"/>
            </w:tcBorders>
          </w:tcPr>
          <w:p>
            <w:pPr>
              <w:spacing w:after="0"/>
              <w:rPr>
                <w:sz w:val="20"/>
                <w:szCs w:val="20"/>
                <w:color w:val="auto"/>
              </w:rPr>
            </w:pPr>
          </w:p>
        </w:tc>
        <w:tc>
          <w:tcPr>
            <w:tcW w:w="1060" w:type="dxa"/>
            <w:vAlign w:val="bottom"/>
            <w:tcBorders>
              <w:bottom w:val="single" w:sz="8" w:color="99B5CB"/>
            </w:tcBorders>
          </w:tcPr>
          <w:p>
            <w:pPr>
              <w:jc w:val="right"/>
              <w:ind w:right="167"/>
              <w:spacing w:after="0"/>
              <w:rPr>
                <w:sz w:val="20"/>
                <w:szCs w:val="20"/>
                <w:color w:val="auto"/>
              </w:rPr>
            </w:pPr>
            <w:r>
              <w:rPr>
                <w:rFonts w:ascii="Arial" w:cs="Arial" w:eastAsia="Arial" w:hAnsi="Arial"/>
                <w:sz w:val="15"/>
                <w:szCs w:val="15"/>
                <w:color w:val="auto"/>
              </w:rPr>
              <w:t>—</w:t>
            </w:r>
          </w:p>
        </w:tc>
        <w:tc>
          <w:tcPr>
            <w:tcW w:w="1240" w:type="dxa"/>
            <w:vAlign w:val="bottom"/>
            <w:tcBorders>
              <w:bottom w:val="single" w:sz="8" w:color="99B5CB"/>
            </w:tcBorders>
          </w:tcPr>
          <w:p>
            <w:pPr>
              <w:jc w:val="right"/>
              <w:ind w:right="7"/>
              <w:spacing w:after="0" w:line="239" w:lineRule="exact"/>
              <w:rPr>
                <w:sz w:val="20"/>
                <w:szCs w:val="20"/>
                <w:color w:val="auto"/>
              </w:rPr>
            </w:pPr>
            <w:r>
              <w:rPr>
                <w:rFonts w:ascii="Arial" w:cs="Arial" w:eastAsia="Arial" w:hAnsi="Arial"/>
                <w:sz w:val="15"/>
                <w:szCs w:val="15"/>
                <w:color w:val="auto"/>
              </w:rPr>
              <w:t>602,387</w:t>
            </w:r>
            <w:r>
              <w:rPr>
                <w:rFonts w:ascii="Arial" w:cs="Arial" w:eastAsia="Arial" w:hAnsi="Arial"/>
                <w:sz w:val="23"/>
                <w:szCs w:val="23"/>
                <w:color w:val="auto"/>
                <w:vertAlign w:val="superscript"/>
              </w:rPr>
              <w:t>(7)</w:t>
            </w:r>
          </w:p>
        </w:tc>
        <w:tc>
          <w:tcPr>
            <w:tcW w:w="180" w:type="dxa"/>
            <w:vAlign w:val="bottom"/>
            <w:tcBorders>
              <w:bottom w:val="single" w:sz="8" w:color="99B5CB"/>
            </w:tcBorders>
          </w:tcPr>
          <w:p>
            <w:pPr>
              <w:ind w:left="80"/>
              <w:spacing w:after="0"/>
              <w:rPr>
                <w:sz w:val="20"/>
                <w:szCs w:val="20"/>
                <w:color w:val="auto"/>
              </w:rPr>
            </w:pPr>
            <w:r>
              <w:rPr>
                <w:rFonts w:ascii="Arial" w:cs="Arial" w:eastAsia="Arial" w:hAnsi="Arial"/>
                <w:sz w:val="15"/>
                <w:szCs w:val="15"/>
                <w:color w:val="auto"/>
                <w:w w:val="95"/>
              </w:rPr>
              <w:t>$</w:t>
            </w:r>
          </w:p>
        </w:tc>
        <w:tc>
          <w:tcPr>
            <w:tcW w:w="580" w:type="dxa"/>
            <w:vAlign w:val="bottom"/>
            <w:tcBorders>
              <w:bottom w:val="single" w:sz="8" w:color="99B5CB"/>
            </w:tcBorders>
          </w:tcPr>
          <w:p>
            <w:pPr>
              <w:jc w:val="right"/>
              <w:ind w:right="24"/>
              <w:spacing w:after="0"/>
              <w:rPr>
                <w:sz w:val="20"/>
                <w:szCs w:val="20"/>
                <w:color w:val="auto"/>
              </w:rPr>
            </w:pPr>
            <w:r>
              <w:rPr>
                <w:rFonts w:ascii="Arial" w:cs="Arial" w:eastAsia="Arial" w:hAnsi="Arial"/>
                <w:sz w:val="15"/>
                <w:szCs w:val="15"/>
                <w:color w:val="auto"/>
              </w:rPr>
              <w:t>6.37</w:t>
            </w:r>
          </w:p>
        </w:tc>
        <w:tc>
          <w:tcPr>
            <w:tcW w:w="940" w:type="dxa"/>
            <w:vAlign w:val="bottom"/>
            <w:tcBorders>
              <w:bottom w:val="single" w:sz="8" w:color="99B5CB"/>
            </w:tcBorders>
          </w:tcPr>
          <w:p>
            <w:pPr>
              <w:jc w:val="right"/>
              <w:spacing w:after="0"/>
              <w:rPr>
                <w:sz w:val="20"/>
                <w:szCs w:val="20"/>
                <w:color w:val="auto"/>
              </w:rPr>
            </w:pPr>
            <w:r>
              <w:rPr>
                <w:rFonts w:ascii="Arial" w:cs="Arial" w:eastAsia="Arial" w:hAnsi="Arial"/>
                <w:sz w:val="15"/>
                <w:szCs w:val="15"/>
                <w:color w:val="auto"/>
              </w:rPr>
              <w:t>11/7/2032</w:t>
            </w:r>
          </w:p>
        </w:tc>
        <w:tc>
          <w:tcPr>
            <w:tcW w:w="120" w:type="dxa"/>
            <w:vAlign w:val="bottom"/>
            <w:tcBorders>
              <w:bottom w:val="single" w:sz="8" w:color="99B5CB"/>
            </w:tcBorders>
          </w:tcPr>
          <w:p>
            <w:pPr>
              <w:spacing w:after="0"/>
              <w:rPr>
                <w:sz w:val="20"/>
                <w:szCs w:val="20"/>
                <w:color w:val="auto"/>
              </w:rPr>
            </w:pPr>
          </w:p>
        </w:tc>
        <w:tc>
          <w:tcPr>
            <w:tcW w:w="1160" w:type="dxa"/>
            <w:vAlign w:val="bottom"/>
            <w:tcBorders>
              <w:bottom w:val="single" w:sz="8" w:color="99B5CB"/>
            </w:tcBorders>
          </w:tcPr>
          <w:p>
            <w:pPr>
              <w:spacing w:after="0"/>
              <w:rPr>
                <w:sz w:val="20"/>
                <w:szCs w:val="20"/>
                <w:color w:val="auto"/>
              </w:rPr>
            </w:pPr>
          </w:p>
        </w:tc>
        <w:tc>
          <w:tcPr>
            <w:tcW w:w="180" w:type="dxa"/>
            <w:vAlign w:val="bottom"/>
            <w:tcBorders>
              <w:bottom w:val="single" w:sz="8" w:color="99B5CB"/>
            </w:tcBorders>
          </w:tcPr>
          <w:p>
            <w:pPr>
              <w:spacing w:after="0"/>
              <w:rPr>
                <w:sz w:val="20"/>
                <w:szCs w:val="20"/>
                <w:color w:val="auto"/>
              </w:rPr>
            </w:pPr>
          </w:p>
        </w:tc>
        <w:tc>
          <w:tcPr>
            <w:tcW w:w="920" w:type="dxa"/>
            <w:vAlign w:val="bottom"/>
            <w:tcBorders>
              <w:bottom w:val="single" w:sz="8" w:color="99B5CB"/>
            </w:tcBorders>
          </w:tcPr>
          <w:p>
            <w:pPr>
              <w:spacing w:after="0"/>
              <w:rPr>
                <w:sz w:val="20"/>
                <w:szCs w:val="20"/>
                <w:color w:val="auto"/>
              </w:rPr>
            </w:pPr>
          </w:p>
        </w:tc>
        <w:tc>
          <w:tcPr>
            <w:tcW w:w="1080" w:type="dxa"/>
            <w:vAlign w:val="bottom"/>
            <w:tcBorders>
              <w:bottom w:val="single" w:sz="8" w:color="99B5CB"/>
            </w:tcBorders>
          </w:tcPr>
          <w:p>
            <w:pPr>
              <w:spacing w:after="0"/>
              <w:rPr>
                <w:sz w:val="20"/>
                <w:szCs w:val="20"/>
                <w:color w:val="auto"/>
              </w:rPr>
            </w:pPr>
          </w:p>
        </w:tc>
        <w:tc>
          <w:tcPr>
            <w:tcW w:w="140" w:type="dxa"/>
            <w:vAlign w:val="bottom"/>
            <w:tcBorders>
              <w:bottom w:val="single" w:sz="8" w:color="99B5CB"/>
            </w:tcBorders>
          </w:tcPr>
          <w:p>
            <w:pPr>
              <w:spacing w:after="0"/>
              <w:rPr>
                <w:sz w:val="20"/>
                <w:szCs w:val="20"/>
                <w:color w:val="auto"/>
              </w:rPr>
            </w:pPr>
          </w:p>
        </w:tc>
        <w:tc>
          <w:tcPr>
            <w:tcW w:w="940" w:type="dxa"/>
            <w:vAlign w:val="bottom"/>
            <w:tcBorders>
              <w:bottom w:val="single" w:sz="8" w:color="99B5CB"/>
            </w:tcBorders>
          </w:tcPr>
          <w:p>
            <w:pPr>
              <w:spacing w:after="0"/>
              <w:rPr>
                <w:sz w:val="20"/>
                <w:szCs w:val="20"/>
                <w:color w:val="auto"/>
              </w:rPr>
            </w:pPr>
          </w:p>
        </w:tc>
      </w:tr>
      <w:tr>
        <w:trPr>
          <w:trHeight w:val="199"/>
        </w:trPr>
        <w:tc>
          <w:tcPr>
            <w:tcW w:w="1880" w:type="dxa"/>
            <w:vAlign w:val="bottom"/>
            <w:tcBorders>
              <w:bottom w:val="single" w:sz="8" w:color="99B5CB"/>
            </w:tcBorders>
          </w:tcPr>
          <w:p>
            <w:pPr>
              <w:spacing w:after="0"/>
              <w:rPr>
                <w:sz w:val="17"/>
                <w:szCs w:val="17"/>
                <w:color w:val="auto"/>
              </w:rPr>
            </w:pPr>
          </w:p>
        </w:tc>
        <w:tc>
          <w:tcPr>
            <w:tcW w:w="120" w:type="dxa"/>
            <w:vAlign w:val="bottom"/>
            <w:tcBorders>
              <w:bottom w:val="single" w:sz="8" w:color="99B5CB"/>
            </w:tcBorders>
          </w:tcPr>
          <w:p>
            <w:pPr>
              <w:spacing w:after="0"/>
              <w:rPr>
                <w:sz w:val="17"/>
                <w:szCs w:val="17"/>
                <w:color w:val="auto"/>
              </w:rPr>
            </w:pPr>
          </w:p>
        </w:tc>
        <w:tc>
          <w:tcPr>
            <w:tcW w:w="1060" w:type="dxa"/>
            <w:vAlign w:val="bottom"/>
            <w:tcBorders>
              <w:bottom w:val="single" w:sz="8" w:color="99B5CB"/>
            </w:tcBorders>
          </w:tcPr>
          <w:p>
            <w:pPr>
              <w:spacing w:after="0"/>
              <w:rPr>
                <w:sz w:val="17"/>
                <w:szCs w:val="17"/>
                <w:color w:val="auto"/>
              </w:rPr>
            </w:pPr>
          </w:p>
        </w:tc>
        <w:tc>
          <w:tcPr>
            <w:tcW w:w="1240" w:type="dxa"/>
            <w:vAlign w:val="bottom"/>
            <w:tcBorders>
              <w:bottom w:val="single" w:sz="8" w:color="99B5CB"/>
            </w:tcBorders>
          </w:tcPr>
          <w:p>
            <w:pPr>
              <w:spacing w:after="0"/>
              <w:rPr>
                <w:sz w:val="17"/>
                <w:szCs w:val="17"/>
                <w:color w:val="auto"/>
              </w:rPr>
            </w:pPr>
          </w:p>
        </w:tc>
        <w:tc>
          <w:tcPr>
            <w:tcW w:w="180" w:type="dxa"/>
            <w:vAlign w:val="bottom"/>
            <w:tcBorders>
              <w:bottom w:val="single" w:sz="8" w:color="99B5CB"/>
            </w:tcBorders>
          </w:tcPr>
          <w:p>
            <w:pPr>
              <w:spacing w:after="0"/>
              <w:rPr>
                <w:sz w:val="17"/>
                <w:szCs w:val="17"/>
                <w:color w:val="auto"/>
              </w:rPr>
            </w:pPr>
          </w:p>
        </w:tc>
        <w:tc>
          <w:tcPr>
            <w:tcW w:w="580" w:type="dxa"/>
            <w:vAlign w:val="bottom"/>
            <w:tcBorders>
              <w:bottom w:val="single" w:sz="8" w:color="99B5CB"/>
            </w:tcBorders>
          </w:tcPr>
          <w:p>
            <w:pPr>
              <w:spacing w:after="0"/>
              <w:rPr>
                <w:sz w:val="17"/>
                <w:szCs w:val="17"/>
                <w:color w:val="auto"/>
              </w:rPr>
            </w:pPr>
          </w:p>
        </w:tc>
        <w:tc>
          <w:tcPr>
            <w:tcW w:w="940" w:type="dxa"/>
            <w:vAlign w:val="bottom"/>
            <w:tcBorders>
              <w:bottom w:val="single" w:sz="8" w:color="99B5CB"/>
            </w:tcBorders>
          </w:tcPr>
          <w:p>
            <w:pPr>
              <w:spacing w:after="0"/>
              <w:rPr>
                <w:sz w:val="17"/>
                <w:szCs w:val="17"/>
                <w:color w:val="auto"/>
              </w:rPr>
            </w:pPr>
          </w:p>
        </w:tc>
        <w:tc>
          <w:tcPr>
            <w:tcW w:w="1280" w:type="dxa"/>
            <w:vAlign w:val="bottom"/>
            <w:tcBorders>
              <w:bottom w:val="single" w:sz="8" w:color="99B5CB"/>
            </w:tcBorders>
            <w:gridSpan w:val="2"/>
          </w:tcPr>
          <w:p>
            <w:pPr>
              <w:jc w:val="right"/>
              <w:ind w:right="31"/>
              <w:spacing w:after="0" w:line="199" w:lineRule="exact"/>
              <w:rPr>
                <w:sz w:val="20"/>
                <w:szCs w:val="20"/>
                <w:color w:val="auto"/>
              </w:rPr>
            </w:pPr>
            <w:r>
              <w:rPr>
                <w:rFonts w:ascii="Arial" w:cs="Arial" w:eastAsia="Arial" w:hAnsi="Arial"/>
                <w:sz w:val="15"/>
                <w:szCs w:val="15"/>
                <w:color w:val="auto"/>
              </w:rPr>
              <w:t>235,478</w:t>
            </w:r>
            <w:r>
              <w:rPr>
                <w:rFonts w:ascii="Arial" w:cs="Arial" w:eastAsia="Arial" w:hAnsi="Arial"/>
                <w:sz w:val="23"/>
                <w:szCs w:val="23"/>
                <w:color w:val="auto"/>
                <w:vertAlign w:val="superscript"/>
              </w:rPr>
              <w:t>(8)</w:t>
            </w:r>
          </w:p>
        </w:tc>
        <w:tc>
          <w:tcPr>
            <w:tcW w:w="180" w:type="dxa"/>
            <w:vAlign w:val="bottom"/>
            <w:tcBorders>
              <w:bottom w:val="single" w:sz="8" w:color="99B5CB"/>
            </w:tcBorders>
          </w:tcPr>
          <w:p>
            <w:pPr>
              <w:ind w:left="80"/>
              <w:spacing w:after="0"/>
              <w:rPr>
                <w:sz w:val="20"/>
                <w:szCs w:val="20"/>
                <w:color w:val="auto"/>
              </w:rPr>
            </w:pPr>
            <w:r>
              <w:rPr>
                <w:rFonts w:ascii="Arial" w:cs="Arial" w:eastAsia="Arial" w:hAnsi="Arial"/>
                <w:sz w:val="15"/>
                <w:szCs w:val="15"/>
                <w:color w:val="auto"/>
                <w:w w:val="95"/>
              </w:rPr>
              <w:t>$</w:t>
            </w:r>
          </w:p>
        </w:tc>
        <w:tc>
          <w:tcPr>
            <w:tcW w:w="920" w:type="dxa"/>
            <w:vAlign w:val="bottom"/>
            <w:tcBorders>
              <w:bottom w:val="single" w:sz="8" w:color="99B5CB"/>
            </w:tcBorders>
          </w:tcPr>
          <w:p>
            <w:pPr>
              <w:jc w:val="right"/>
              <w:ind w:right="4"/>
              <w:spacing w:after="0"/>
              <w:rPr>
                <w:sz w:val="20"/>
                <w:szCs w:val="20"/>
                <w:color w:val="auto"/>
              </w:rPr>
            </w:pPr>
            <w:r>
              <w:rPr>
                <w:rFonts w:ascii="Arial" w:cs="Arial" w:eastAsia="Arial" w:hAnsi="Arial"/>
                <w:sz w:val="15"/>
                <w:szCs w:val="15"/>
                <w:color w:val="auto"/>
              </w:rPr>
              <w:t>1,961,532</w:t>
            </w:r>
          </w:p>
        </w:tc>
        <w:tc>
          <w:tcPr>
            <w:tcW w:w="1080" w:type="dxa"/>
            <w:vAlign w:val="bottom"/>
            <w:tcBorders>
              <w:bottom w:val="single" w:sz="8" w:color="99B5CB"/>
            </w:tcBorders>
          </w:tcPr>
          <w:p>
            <w:pPr>
              <w:spacing w:after="0"/>
              <w:rPr>
                <w:sz w:val="17"/>
                <w:szCs w:val="17"/>
                <w:color w:val="auto"/>
              </w:rPr>
            </w:pPr>
          </w:p>
        </w:tc>
        <w:tc>
          <w:tcPr>
            <w:tcW w:w="140" w:type="dxa"/>
            <w:vAlign w:val="bottom"/>
            <w:tcBorders>
              <w:bottom w:val="single" w:sz="8" w:color="99B5CB"/>
            </w:tcBorders>
          </w:tcPr>
          <w:p>
            <w:pPr>
              <w:spacing w:after="0"/>
              <w:rPr>
                <w:sz w:val="17"/>
                <w:szCs w:val="17"/>
                <w:color w:val="auto"/>
              </w:rPr>
            </w:pPr>
          </w:p>
        </w:tc>
        <w:tc>
          <w:tcPr>
            <w:tcW w:w="940" w:type="dxa"/>
            <w:vAlign w:val="bottom"/>
            <w:tcBorders>
              <w:bottom w:val="single" w:sz="8" w:color="99B5CB"/>
            </w:tcBorders>
          </w:tcPr>
          <w:p>
            <w:pPr>
              <w:spacing w:after="0"/>
              <w:rPr>
                <w:sz w:val="17"/>
                <w:szCs w:val="17"/>
                <w:color w:val="auto"/>
              </w:rPr>
            </w:pPr>
          </w:p>
        </w:tc>
      </w:tr>
      <w:tr>
        <w:trPr>
          <w:trHeight w:val="238"/>
        </w:trPr>
        <w:tc>
          <w:tcPr>
            <w:tcW w:w="1880" w:type="dxa"/>
            <w:vAlign w:val="bottom"/>
          </w:tcPr>
          <w:p>
            <w:pPr>
              <w:ind w:left="60"/>
              <w:spacing w:after="0"/>
              <w:rPr>
                <w:sz w:val="20"/>
                <w:szCs w:val="20"/>
                <w:color w:val="auto"/>
              </w:rPr>
            </w:pPr>
            <w:r>
              <w:rPr>
                <w:rFonts w:ascii="Arial" w:cs="Arial" w:eastAsia="Arial" w:hAnsi="Arial"/>
                <w:sz w:val="15"/>
                <w:szCs w:val="15"/>
                <w:color w:val="auto"/>
              </w:rPr>
              <w:t>Matthew J. Klaben</w:t>
            </w:r>
          </w:p>
        </w:tc>
        <w:tc>
          <w:tcPr>
            <w:tcW w:w="1180" w:type="dxa"/>
            <w:vAlign w:val="bottom"/>
            <w:tcBorders>
              <w:bottom w:val="single" w:sz="8" w:color="99B5CB"/>
            </w:tcBorders>
            <w:gridSpan w:val="2"/>
          </w:tcPr>
          <w:p>
            <w:pPr>
              <w:jc w:val="right"/>
              <w:ind w:right="27"/>
              <w:spacing w:after="0" w:line="239" w:lineRule="exact"/>
              <w:rPr>
                <w:sz w:val="20"/>
                <w:szCs w:val="20"/>
                <w:color w:val="auto"/>
              </w:rPr>
            </w:pPr>
            <w:r>
              <w:rPr>
                <w:rFonts w:ascii="Arial" w:cs="Arial" w:eastAsia="Arial" w:hAnsi="Arial"/>
                <w:sz w:val="15"/>
                <w:szCs w:val="15"/>
                <w:color w:val="auto"/>
              </w:rPr>
              <w:t>67,080</w:t>
            </w:r>
            <w:r>
              <w:rPr>
                <w:rFonts w:ascii="Arial" w:cs="Arial" w:eastAsia="Arial" w:hAnsi="Arial"/>
                <w:sz w:val="23"/>
                <w:szCs w:val="23"/>
                <w:color w:val="auto"/>
                <w:vertAlign w:val="superscript"/>
              </w:rPr>
              <w:t>(1)</w:t>
            </w:r>
          </w:p>
        </w:tc>
        <w:tc>
          <w:tcPr>
            <w:tcW w:w="1240" w:type="dxa"/>
            <w:vAlign w:val="bottom"/>
            <w:tcBorders>
              <w:bottom w:val="single" w:sz="8" w:color="99B5CB"/>
            </w:tcBorders>
          </w:tcPr>
          <w:p>
            <w:pPr>
              <w:jc w:val="right"/>
              <w:ind w:right="7"/>
              <w:spacing w:after="0" w:line="239" w:lineRule="exact"/>
              <w:rPr>
                <w:sz w:val="20"/>
                <w:szCs w:val="20"/>
                <w:color w:val="auto"/>
              </w:rPr>
            </w:pPr>
            <w:r>
              <w:rPr>
                <w:rFonts w:ascii="Arial" w:cs="Arial" w:eastAsia="Arial" w:hAnsi="Arial"/>
                <w:sz w:val="15"/>
                <w:szCs w:val="15"/>
                <w:color w:val="auto"/>
              </w:rPr>
              <w:t>67,081</w:t>
            </w:r>
            <w:r>
              <w:rPr>
                <w:rFonts w:ascii="Arial" w:cs="Arial" w:eastAsia="Arial" w:hAnsi="Arial"/>
                <w:sz w:val="23"/>
                <w:szCs w:val="23"/>
                <w:color w:val="auto"/>
                <w:vertAlign w:val="superscript"/>
              </w:rPr>
              <w:t>(1)</w:t>
            </w:r>
          </w:p>
        </w:tc>
        <w:tc>
          <w:tcPr>
            <w:tcW w:w="180" w:type="dxa"/>
            <w:vAlign w:val="bottom"/>
            <w:tcBorders>
              <w:bottom w:val="single" w:sz="8" w:color="99B5CB"/>
            </w:tcBorders>
          </w:tcPr>
          <w:p>
            <w:pPr>
              <w:ind w:left="80"/>
              <w:spacing w:after="0"/>
              <w:rPr>
                <w:sz w:val="20"/>
                <w:szCs w:val="20"/>
                <w:color w:val="auto"/>
              </w:rPr>
            </w:pPr>
            <w:r>
              <w:rPr>
                <w:rFonts w:ascii="Arial" w:cs="Arial" w:eastAsia="Arial" w:hAnsi="Arial"/>
                <w:sz w:val="15"/>
                <w:szCs w:val="15"/>
                <w:color w:val="auto"/>
                <w:w w:val="95"/>
              </w:rPr>
              <w:t>$</w:t>
            </w:r>
          </w:p>
        </w:tc>
        <w:tc>
          <w:tcPr>
            <w:tcW w:w="580" w:type="dxa"/>
            <w:vAlign w:val="bottom"/>
            <w:tcBorders>
              <w:bottom w:val="single" w:sz="8" w:color="99B5CB"/>
            </w:tcBorders>
          </w:tcPr>
          <w:p>
            <w:pPr>
              <w:jc w:val="right"/>
              <w:ind w:right="24"/>
              <w:spacing w:after="0"/>
              <w:rPr>
                <w:sz w:val="20"/>
                <w:szCs w:val="20"/>
                <w:color w:val="auto"/>
              </w:rPr>
            </w:pPr>
            <w:r>
              <w:rPr>
                <w:rFonts w:ascii="Arial" w:cs="Arial" w:eastAsia="Arial" w:hAnsi="Arial"/>
                <w:sz w:val="15"/>
                <w:szCs w:val="15"/>
                <w:color w:val="auto"/>
              </w:rPr>
              <w:t>23.00</w:t>
            </w:r>
          </w:p>
        </w:tc>
        <w:tc>
          <w:tcPr>
            <w:tcW w:w="940" w:type="dxa"/>
            <w:vAlign w:val="bottom"/>
            <w:tcBorders>
              <w:bottom w:val="single" w:sz="8" w:color="99B5CB"/>
            </w:tcBorders>
          </w:tcPr>
          <w:p>
            <w:pPr>
              <w:jc w:val="right"/>
              <w:spacing w:after="0"/>
              <w:rPr>
                <w:sz w:val="20"/>
                <w:szCs w:val="20"/>
                <w:color w:val="auto"/>
              </w:rPr>
            </w:pPr>
            <w:r>
              <w:rPr>
                <w:rFonts w:ascii="Arial" w:cs="Arial" w:eastAsia="Arial" w:hAnsi="Arial"/>
                <w:sz w:val="15"/>
                <w:szCs w:val="15"/>
                <w:color w:val="auto"/>
              </w:rPr>
              <w:t>11/20/2030</w:t>
            </w:r>
          </w:p>
        </w:tc>
        <w:tc>
          <w:tcPr>
            <w:tcW w:w="120" w:type="dxa"/>
            <w:vAlign w:val="bottom"/>
            <w:tcBorders>
              <w:bottom w:val="single" w:sz="8" w:color="99B5CB"/>
            </w:tcBorders>
          </w:tcPr>
          <w:p>
            <w:pPr>
              <w:spacing w:after="0"/>
              <w:rPr>
                <w:sz w:val="20"/>
                <w:szCs w:val="20"/>
                <w:color w:val="auto"/>
              </w:rPr>
            </w:pPr>
          </w:p>
        </w:tc>
        <w:tc>
          <w:tcPr>
            <w:tcW w:w="1160" w:type="dxa"/>
            <w:vAlign w:val="bottom"/>
            <w:tcBorders>
              <w:bottom w:val="single" w:sz="8" w:color="99B5CB"/>
            </w:tcBorders>
          </w:tcPr>
          <w:p>
            <w:pPr>
              <w:spacing w:after="0"/>
              <w:rPr>
                <w:sz w:val="20"/>
                <w:szCs w:val="20"/>
                <w:color w:val="auto"/>
              </w:rPr>
            </w:pPr>
          </w:p>
        </w:tc>
        <w:tc>
          <w:tcPr>
            <w:tcW w:w="180" w:type="dxa"/>
            <w:vAlign w:val="bottom"/>
            <w:tcBorders>
              <w:bottom w:val="single" w:sz="8" w:color="99B5CB"/>
            </w:tcBorders>
          </w:tcPr>
          <w:p>
            <w:pPr>
              <w:spacing w:after="0"/>
              <w:rPr>
                <w:sz w:val="20"/>
                <w:szCs w:val="20"/>
                <w:color w:val="auto"/>
              </w:rPr>
            </w:pPr>
          </w:p>
        </w:tc>
        <w:tc>
          <w:tcPr>
            <w:tcW w:w="920" w:type="dxa"/>
            <w:vAlign w:val="bottom"/>
            <w:tcBorders>
              <w:bottom w:val="single" w:sz="8" w:color="99B5CB"/>
            </w:tcBorders>
          </w:tcPr>
          <w:p>
            <w:pPr>
              <w:spacing w:after="0"/>
              <w:rPr>
                <w:sz w:val="20"/>
                <w:szCs w:val="20"/>
                <w:color w:val="auto"/>
              </w:rPr>
            </w:pPr>
          </w:p>
        </w:tc>
        <w:tc>
          <w:tcPr>
            <w:tcW w:w="1080" w:type="dxa"/>
            <w:vAlign w:val="bottom"/>
            <w:tcBorders>
              <w:bottom w:val="single" w:sz="8" w:color="99B5CB"/>
            </w:tcBorders>
          </w:tcPr>
          <w:p>
            <w:pPr>
              <w:spacing w:after="0"/>
              <w:rPr>
                <w:sz w:val="20"/>
                <w:szCs w:val="20"/>
                <w:color w:val="auto"/>
              </w:rPr>
            </w:pPr>
          </w:p>
        </w:tc>
        <w:tc>
          <w:tcPr>
            <w:tcW w:w="140" w:type="dxa"/>
            <w:vAlign w:val="bottom"/>
            <w:tcBorders>
              <w:bottom w:val="single" w:sz="8" w:color="99B5CB"/>
            </w:tcBorders>
          </w:tcPr>
          <w:p>
            <w:pPr>
              <w:spacing w:after="0"/>
              <w:rPr>
                <w:sz w:val="20"/>
                <w:szCs w:val="20"/>
                <w:color w:val="auto"/>
              </w:rPr>
            </w:pPr>
          </w:p>
        </w:tc>
        <w:tc>
          <w:tcPr>
            <w:tcW w:w="940" w:type="dxa"/>
            <w:vAlign w:val="bottom"/>
            <w:tcBorders>
              <w:bottom w:val="single" w:sz="8" w:color="99B5CB"/>
            </w:tcBorders>
          </w:tcPr>
          <w:p>
            <w:pPr>
              <w:spacing w:after="0"/>
              <w:rPr>
                <w:sz w:val="20"/>
                <w:szCs w:val="20"/>
                <w:color w:val="auto"/>
              </w:rPr>
            </w:pPr>
          </w:p>
        </w:tc>
      </w:tr>
      <w:tr>
        <w:trPr>
          <w:trHeight w:val="199"/>
        </w:trPr>
        <w:tc>
          <w:tcPr>
            <w:tcW w:w="1880" w:type="dxa"/>
            <w:vAlign w:val="bottom"/>
          </w:tcPr>
          <w:p>
            <w:pPr>
              <w:spacing w:after="0"/>
              <w:rPr>
                <w:sz w:val="17"/>
                <w:szCs w:val="17"/>
                <w:color w:val="auto"/>
              </w:rPr>
            </w:pPr>
          </w:p>
        </w:tc>
        <w:tc>
          <w:tcPr>
            <w:tcW w:w="120" w:type="dxa"/>
            <w:vAlign w:val="bottom"/>
            <w:tcBorders>
              <w:bottom w:val="single" w:sz="8" w:color="99B5CB"/>
            </w:tcBorders>
          </w:tcPr>
          <w:p>
            <w:pPr>
              <w:spacing w:after="0"/>
              <w:rPr>
                <w:sz w:val="17"/>
                <w:szCs w:val="17"/>
                <w:color w:val="auto"/>
              </w:rPr>
            </w:pPr>
          </w:p>
        </w:tc>
        <w:tc>
          <w:tcPr>
            <w:tcW w:w="1060" w:type="dxa"/>
            <w:vAlign w:val="bottom"/>
            <w:tcBorders>
              <w:bottom w:val="single" w:sz="8" w:color="99B5CB"/>
            </w:tcBorders>
          </w:tcPr>
          <w:p>
            <w:pPr>
              <w:jc w:val="right"/>
              <w:ind w:right="167"/>
              <w:spacing w:after="0"/>
              <w:rPr>
                <w:sz w:val="20"/>
                <w:szCs w:val="20"/>
                <w:color w:val="auto"/>
              </w:rPr>
            </w:pPr>
            <w:r>
              <w:rPr>
                <w:rFonts w:ascii="Arial" w:cs="Arial" w:eastAsia="Arial" w:hAnsi="Arial"/>
                <w:sz w:val="15"/>
                <w:szCs w:val="15"/>
                <w:color w:val="auto"/>
              </w:rPr>
              <w:t>—</w:t>
            </w:r>
          </w:p>
        </w:tc>
        <w:tc>
          <w:tcPr>
            <w:tcW w:w="1240" w:type="dxa"/>
            <w:vAlign w:val="bottom"/>
            <w:tcBorders>
              <w:bottom w:val="single" w:sz="8" w:color="99B5CB"/>
            </w:tcBorders>
          </w:tcPr>
          <w:p>
            <w:pPr>
              <w:jc w:val="right"/>
              <w:ind w:right="7"/>
              <w:spacing w:after="0" w:line="199" w:lineRule="exact"/>
              <w:rPr>
                <w:sz w:val="20"/>
                <w:szCs w:val="20"/>
                <w:color w:val="auto"/>
              </w:rPr>
            </w:pPr>
            <w:r>
              <w:rPr>
                <w:rFonts w:ascii="Arial" w:cs="Arial" w:eastAsia="Arial" w:hAnsi="Arial"/>
                <w:sz w:val="15"/>
                <w:szCs w:val="15"/>
                <w:color w:val="auto"/>
              </w:rPr>
              <w:t>22,350</w:t>
            </w:r>
            <w:r>
              <w:rPr>
                <w:rFonts w:ascii="Arial" w:cs="Arial" w:eastAsia="Arial" w:hAnsi="Arial"/>
                <w:sz w:val="23"/>
                <w:szCs w:val="23"/>
                <w:color w:val="auto"/>
                <w:vertAlign w:val="superscript"/>
              </w:rPr>
              <w:t>(2)</w:t>
            </w:r>
          </w:p>
        </w:tc>
        <w:tc>
          <w:tcPr>
            <w:tcW w:w="180" w:type="dxa"/>
            <w:vAlign w:val="bottom"/>
            <w:tcBorders>
              <w:bottom w:val="single" w:sz="8" w:color="99B5CB"/>
            </w:tcBorders>
          </w:tcPr>
          <w:p>
            <w:pPr>
              <w:ind w:left="80"/>
              <w:spacing w:after="0"/>
              <w:rPr>
                <w:sz w:val="20"/>
                <w:szCs w:val="20"/>
                <w:color w:val="auto"/>
              </w:rPr>
            </w:pPr>
            <w:r>
              <w:rPr>
                <w:rFonts w:ascii="Arial" w:cs="Arial" w:eastAsia="Arial" w:hAnsi="Arial"/>
                <w:sz w:val="15"/>
                <w:szCs w:val="15"/>
                <w:color w:val="auto"/>
                <w:w w:val="95"/>
              </w:rPr>
              <w:t>$</w:t>
            </w:r>
          </w:p>
        </w:tc>
        <w:tc>
          <w:tcPr>
            <w:tcW w:w="580" w:type="dxa"/>
            <w:vAlign w:val="bottom"/>
            <w:tcBorders>
              <w:bottom w:val="single" w:sz="8" w:color="99B5CB"/>
            </w:tcBorders>
          </w:tcPr>
          <w:p>
            <w:pPr>
              <w:jc w:val="right"/>
              <w:ind w:right="24"/>
              <w:spacing w:after="0"/>
              <w:rPr>
                <w:sz w:val="20"/>
                <w:szCs w:val="20"/>
                <w:color w:val="auto"/>
              </w:rPr>
            </w:pPr>
            <w:r>
              <w:rPr>
                <w:rFonts w:ascii="Arial" w:cs="Arial" w:eastAsia="Arial" w:hAnsi="Arial"/>
                <w:sz w:val="15"/>
                <w:szCs w:val="15"/>
                <w:color w:val="auto"/>
              </w:rPr>
              <w:t>20.03</w:t>
            </w:r>
          </w:p>
        </w:tc>
        <w:tc>
          <w:tcPr>
            <w:tcW w:w="940" w:type="dxa"/>
            <w:vAlign w:val="bottom"/>
            <w:tcBorders>
              <w:bottom w:val="single" w:sz="8" w:color="99B5CB"/>
            </w:tcBorders>
          </w:tcPr>
          <w:p>
            <w:pPr>
              <w:jc w:val="right"/>
              <w:spacing w:after="0"/>
              <w:rPr>
                <w:sz w:val="20"/>
                <w:szCs w:val="20"/>
                <w:color w:val="auto"/>
              </w:rPr>
            </w:pPr>
            <w:r>
              <w:rPr>
                <w:rFonts w:ascii="Arial" w:cs="Arial" w:eastAsia="Arial" w:hAnsi="Arial"/>
                <w:sz w:val="15"/>
                <w:szCs w:val="15"/>
                <w:color w:val="auto"/>
              </w:rPr>
              <w:t>3/2/2032</w:t>
            </w:r>
          </w:p>
        </w:tc>
        <w:tc>
          <w:tcPr>
            <w:tcW w:w="120" w:type="dxa"/>
            <w:vAlign w:val="bottom"/>
            <w:tcBorders>
              <w:bottom w:val="single" w:sz="8" w:color="99B5CB"/>
            </w:tcBorders>
          </w:tcPr>
          <w:p>
            <w:pPr>
              <w:spacing w:after="0"/>
              <w:rPr>
                <w:sz w:val="17"/>
                <w:szCs w:val="17"/>
                <w:color w:val="auto"/>
              </w:rPr>
            </w:pPr>
          </w:p>
        </w:tc>
        <w:tc>
          <w:tcPr>
            <w:tcW w:w="1160" w:type="dxa"/>
            <w:vAlign w:val="bottom"/>
            <w:tcBorders>
              <w:bottom w:val="single" w:sz="8" w:color="99B5CB"/>
            </w:tcBorders>
          </w:tcPr>
          <w:p>
            <w:pPr>
              <w:spacing w:after="0"/>
              <w:rPr>
                <w:sz w:val="17"/>
                <w:szCs w:val="17"/>
                <w:color w:val="auto"/>
              </w:rPr>
            </w:pPr>
          </w:p>
        </w:tc>
        <w:tc>
          <w:tcPr>
            <w:tcW w:w="180" w:type="dxa"/>
            <w:vAlign w:val="bottom"/>
            <w:tcBorders>
              <w:bottom w:val="single" w:sz="8" w:color="99B5CB"/>
            </w:tcBorders>
          </w:tcPr>
          <w:p>
            <w:pPr>
              <w:spacing w:after="0"/>
              <w:rPr>
                <w:sz w:val="17"/>
                <w:szCs w:val="17"/>
                <w:color w:val="auto"/>
              </w:rPr>
            </w:pPr>
          </w:p>
        </w:tc>
        <w:tc>
          <w:tcPr>
            <w:tcW w:w="920" w:type="dxa"/>
            <w:vAlign w:val="bottom"/>
            <w:tcBorders>
              <w:bottom w:val="single" w:sz="8" w:color="99B5CB"/>
            </w:tcBorders>
          </w:tcPr>
          <w:p>
            <w:pPr>
              <w:spacing w:after="0"/>
              <w:rPr>
                <w:sz w:val="17"/>
                <w:szCs w:val="17"/>
                <w:color w:val="auto"/>
              </w:rPr>
            </w:pPr>
          </w:p>
        </w:tc>
        <w:tc>
          <w:tcPr>
            <w:tcW w:w="1080" w:type="dxa"/>
            <w:vAlign w:val="bottom"/>
            <w:tcBorders>
              <w:bottom w:val="single" w:sz="8" w:color="99B5CB"/>
            </w:tcBorders>
          </w:tcPr>
          <w:p>
            <w:pPr>
              <w:spacing w:after="0"/>
              <w:rPr>
                <w:sz w:val="17"/>
                <w:szCs w:val="17"/>
                <w:color w:val="auto"/>
              </w:rPr>
            </w:pPr>
          </w:p>
        </w:tc>
        <w:tc>
          <w:tcPr>
            <w:tcW w:w="140" w:type="dxa"/>
            <w:vAlign w:val="bottom"/>
            <w:tcBorders>
              <w:bottom w:val="single" w:sz="8" w:color="99B5CB"/>
            </w:tcBorders>
          </w:tcPr>
          <w:p>
            <w:pPr>
              <w:spacing w:after="0"/>
              <w:rPr>
                <w:sz w:val="17"/>
                <w:szCs w:val="17"/>
                <w:color w:val="auto"/>
              </w:rPr>
            </w:pPr>
          </w:p>
        </w:tc>
        <w:tc>
          <w:tcPr>
            <w:tcW w:w="940" w:type="dxa"/>
            <w:vAlign w:val="bottom"/>
            <w:tcBorders>
              <w:bottom w:val="single" w:sz="8" w:color="99B5CB"/>
            </w:tcBorders>
          </w:tcPr>
          <w:p>
            <w:pPr>
              <w:spacing w:after="0"/>
              <w:rPr>
                <w:sz w:val="17"/>
                <w:szCs w:val="17"/>
                <w:color w:val="auto"/>
              </w:rPr>
            </w:pPr>
          </w:p>
        </w:tc>
      </w:tr>
      <w:tr>
        <w:trPr>
          <w:trHeight w:val="199"/>
        </w:trPr>
        <w:tc>
          <w:tcPr>
            <w:tcW w:w="1880" w:type="dxa"/>
            <w:vAlign w:val="bottom"/>
          </w:tcPr>
          <w:p>
            <w:pPr>
              <w:spacing w:after="0"/>
              <w:rPr>
                <w:sz w:val="17"/>
                <w:szCs w:val="17"/>
                <w:color w:val="auto"/>
              </w:rPr>
            </w:pPr>
          </w:p>
        </w:tc>
        <w:tc>
          <w:tcPr>
            <w:tcW w:w="120" w:type="dxa"/>
            <w:vAlign w:val="bottom"/>
            <w:tcBorders>
              <w:bottom w:val="single" w:sz="8" w:color="99B5CB"/>
            </w:tcBorders>
          </w:tcPr>
          <w:p>
            <w:pPr>
              <w:spacing w:after="0"/>
              <w:rPr>
                <w:sz w:val="17"/>
                <w:szCs w:val="17"/>
                <w:color w:val="auto"/>
              </w:rPr>
            </w:pPr>
          </w:p>
        </w:tc>
        <w:tc>
          <w:tcPr>
            <w:tcW w:w="1060" w:type="dxa"/>
            <w:vAlign w:val="bottom"/>
            <w:tcBorders>
              <w:bottom w:val="single" w:sz="8" w:color="99B5CB"/>
            </w:tcBorders>
          </w:tcPr>
          <w:p>
            <w:pPr>
              <w:spacing w:after="0"/>
              <w:rPr>
                <w:sz w:val="17"/>
                <w:szCs w:val="17"/>
                <w:color w:val="auto"/>
              </w:rPr>
            </w:pPr>
          </w:p>
        </w:tc>
        <w:tc>
          <w:tcPr>
            <w:tcW w:w="1240" w:type="dxa"/>
            <w:vAlign w:val="bottom"/>
            <w:tcBorders>
              <w:bottom w:val="single" w:sz="8" w:color="99B5CB"/>
            </w:tcBorders>
          </w:tcPr>
          <w:p>
            <w:pPr>
              <w:spacing w:after="0"/>
              <w:rPr>
                <w:sz w:val="17"/>
                <w:szCs w:val="17"/>
                <w:color w:val="auto"/>
              </w:rPr>
            </w:pPr>
          </w:p>
        </w:tc>
        <w:tc>
          <w:tcPr>
            <w:tcW w:w="180" w:type="dxa"/>
            <w:vAlign w:val="bottom"/>
            <w:tcBorders>
              <w:bottom w:val="single" w:sz="8" w:color="99B5CB"/>
            </w:tcBorders>
          </w:tcPr>
          <w:p>
            <w:pPr>
              <w:spacing w:after="0"/>
              <w:rPr>
                <w:sz w:val="17"/>
                <w:szCs w:val="17"/>
                <w:color w:val="auto"/>
              </w:rPr>
            </w:pPr>
          </w:p>
        </w:tc>
        <w:tc>
          <w:tcPr>
            <w:tcW w:w="580" w:type="dxa"/>
            <w:vAlign w:val="bottom"/>
            <w:tcBorders>
              <w:bottom w:val="single" w:sz="8" w:color="99B5CB"/>
            </w:tcBorders>
          </w:tcPr>
          <w:p>
            <w:pPr>
              <w:spacing w:after="0"/>
              <w:rPr>
                <w:sz w:val="17"/>
                <w:szCs w:val="17"/>
                <w:color w:val="auto"/>
              </w:rPr>
            </w:pPr>
          </w:p>
        </w:tc>
        <w:tc>
          <w:tcPr>
            <w:tcW w:w="940" w:type="dxa"/>
            <w:vAlign w:val="bottom"/>
            <w:tcBorders>
              <w:bottom w:val="single" w:sz="8" w:color="99B5CB"/>
            </w:tcBorders>
          </w:tcPr>
          <w:p>
            <w:pPr>
              <w:spacing w:after="0"/>
              <w:rPr>
                <w:sz w:val="17"/>
                <w:szCs w:val="17"/>
                <w:color w:val="auto"/>
              </w:rPr>
            </w:pPr>
          </w:p>
        </w:tc>
        <w:tc>
          <w:tcPr>
            <w:tcW w:w="1280" w:type="dxa"/>
            <w:vAlign w:val="bottom"/>
            <w:tcBorders>
              <w:bottom w:val="single" w:sz="8" w:color="99B5CB"/>
            </w:tcBorders>
            <w:gridSpan w:val="2"/>
          </w:tcPr>
          <w:p>
            <w:pPr>
              <w:jc w:val="right"/>
              <w:ind w:right="31"/>
              <w:spacing w:after="0" w:line="199" w:lineRule="exact"/>
              <w:rPr>
                <w:sz w:val="20"/>
                <w:szCs w:val="20"/>
                <w:color w:val="auto"/>
              </w:rPr>
            </w:pPr>
            <w:r>
              <w:rPr>
                <w:rFonts w:ascii="Arial" w:cs="Arial" w:eastAsia="Arial" w:hAnsi="Arial"/>
                <w:sz w:val="15"/>
                <w:szCs w:val="15"/>
                <w:color w:val="auto"/>
              </w:rPr>
              <w:t>15,652</w:t>
            </w:r>
            <w:r>
              <w:rPr>
                <w:rFonts w:ascii="Arial" w:cs="Arial" w:eastAsia="Arial" w:hAnsi="Arial"/>
                <w:sz w:val="23"/>
                <w:szCs w:val="23"/>
                <w:color w:val="auto"/>
                <w:vertAlign w:val="superscript"/>
              </w:rPr>
              <w:t>(4)</w:t>
            </w:r>
          </w:p>
        </w:tc>
        <w:tc>
          <w:tcPr>
            <w:tcW w:w="180" w:type="dxa"/>
            <w:vAlign w:val="bottom"/>
            <w:tcBorders>
              <w:bottom w:val="single" w:sz="8" w:color="99B5CB"/>
            </w:tcBorders>
          </w:tcPr>
          <w:p>
            <w:pPr>
              <w:ind w:left="80"/>
              <w:spacing w:after="0"/>
              <w:rPr>
                <w:sz w:val="20"/>
                <w:szCs w:val="20"/>
                <w:color w:val="auto"/>
              </w:rPr>
            </w:pPr>
            <w:r>
              <w:rPr>
                <w:rFonts w:ascii="Arial" w:cs="Arial" w:eastAsia="Arial" w:hAnsi="Arial"/>
                <w:sz w:val="15"/>
                <w:szCs w:val="15"/>
                <w:color w:val="auto"/>
                <w:w w:val="95"/>
              </w:rPr>
              <w:t>$</w:t>
            </w:r>
          </w:p>
        </w:tc>
        <w:tc>
          <w:tcPr>
            <w:tcW w:w="920" w:type="dxa"/>
            <w:vAlign w:val="bottom"/>
            <w:tcBorders>
              <w:bottom w:val="single" w:sz="8" w:color="99B5CB"/>
            </w:tcBorders>
          </w:tcPr>
          <w:p>
            <w:pPr>
              <w:jc w:val="right"/>
              <w:ind w:right="4"/>
              <w:spacing w:after="0"/>
              <w:rPr>
                <w:sz w:val="20"/>
                <w:szCs w:val="20"/>
                <w:color w:val="auto"/>
              </w:rPr>
            </w:pPr>
            <w:r>
              <w:rPr>
                <w:rFonts w:ascii="Arial" w:cs="Arial" w:eastAsia="Arial" w:hAnsi="Arial"/>
                <w:sz w:val="15"/>
                <w:szCs w:val="15"/>
                <w:color w:val="auto"/>
              </w:rPr>
              <w:t>130,381</w:t>
            </w:r>
          </w:p>
        </w:tc>
        <w:tc>
          <w:tcPr>
            <w:tcW w:w="1080" w:type="dxa"/>
            <w:vAlign w:val="bottom"/>
            <w:tcBorders>
              <w:bottom w:val="single" w:sz="8" w:color="99B5CB"/>
            </w:tcBorders>
          </w:tcPr>
          <w:p>
            <w:pPr>
              <w:spacing w:after="0"/>
              <w:rPr>
                <w:sz w:val="17"/>
                <w:szCs w:val="17"/>
                <w:color w:val="auto"/>
              </w:rPr>
            </w:pPr>
          </w:p>
        </w:tc>
        <w:tc>
          <w:tcPr>
            <w:tcW w:w="140" w:type="dxa"/>
            <w:vAlign w:val="bottom"/>
            <w:tcBorders>
              <w:bottom w:val="single" w:sz="8" w:color="99B5CB"/>
            </w:tcBorders>
          </w:tcPr>
          <w:p>
            <w:pPr>
              <w:spacing w:after="0"/>
              <w:rPr>
                <w:sz w:val="17"/>
                <w:szCs w:val="17"/>
                <w:color w:val="auto"/>
              </w:rPr>
            </w:pPr>
          </w:p>
        </w:tc>
        <w:tc>
          <w:tcPr>
            <w:tcW w:w="940" w:type="dxa"/>
            <w:vAlign w:val="bottom"/>
            <w:tcBorders>
              <w:bottom w:val="single" w:sz="8" w:color="99B5CB"/>
            </w:tcBorders>
          </w:tcPr>
          <w:p>
            <w:pPr>
              <w:spacing w:after="0"/>
              <w:rPr>
                <w:sz w:val="17"/>
                <w:szCs w:val="17"/>
                <w:color w:val="auto"/>
              </w:rPr>
            </w:pPr>
          </w:p>
        </w:tc>
      </w:tr>
      <w:tr>
        <w:trPr>
          <w:trHeight w:val="199"/>
        </w:trPr>
        <w:tc>
          <w:tcPr>
            <w:tcW w:w="1880" w:type="dxa"/>
            <w:vAlign w:val="bottom"/>
          </w:tcPr>
          <w:p>
            <w:pPr>
              <w:spacing w:after="0"/>
              <w:rPr>
                <w:sz w:val="17"/>
                <w:szCs w:val="17"/>
                <w:color w:val="auto"/>
              </w:rPr>
            </w:pPr>
          </w:p>
        </w:tc>
        <w:tc>
          <w:tcPr>
            <w:tcW w:w="120" w:type="dxa"/>
            <w:vAlign w:val="bottom"/>
            <w:tcBorders>
              <w:bottom w:val="single" w:sz="8" w:color="99B5CB"/>
            </w:tcBorders>
          </w:tcPr>
          <w:p>
            <w:pPr>
              <w:spacing w:after="0"/>
              <w:rPr>
                <w:sz w:val="17"/>
                <w:szCs w:val="17"/>
                <w:color w:val="auto"/>
              </w:rPr>
            </w:pPr>
          </w:p>
        </w:tc>
        <w:tc>
          <w:tcPr>
            <w:tcW w:w="1060" w:type="dxa"/>
            <w:vAlign w:val="bottom"/>
            <w:tcBorders>
              <w:bottom w:val="single" w:sz="8" w:color="99B5CB"/>
            </w:tcBorders>
          </w:tcPr>
          <w:p>
            <w:pPr>
              <w:spacing w:after="0"/>
              <w:rPr>
                <w:sz w:val="17"/>
                <w:szCs w:val="17"/>
                <w:color w:val="auto"/>
              </w:rPr>
            </w:pPr>
          </w:p>
        </w:tc>
        <w:tc>
          <w:tcPr>
            <w:tcW w:w="1240" w:type="dxa"/>
            <w:vAlign w:val="bottom"/>
            <w:tcBorders>
              <w:bottom w:val="single" w:sz="8" w:color="99B5CB"/>
            </w:tcBorders>
          </w:tcPr>
          <w:p>
            <w:pPr>
              <w:spacing w:after="0"/>
              <w:rPr>
                <w:sz w:val="17"/>
                <w:szCs w:val="17"/>
                <w:color w:val="auto"/>
              </w:rPr>
            </w:pPr>
          </w:p>
        </w:tc>
        <w:tc>
          <w:tcPr>
            <w:tcW w:w="180" w:type="dxa"/>
            <w:vAlign w:val="bottom"/>
            <w:tcBorders>
              <w:bottom w:val="single" w:sz="8" w:color="99B5CB"/>
            </w:tcBorders>
          </w:tcPr>
          <w:p>
            <w:pPr>
              <w:spacing w:after="0"/>
              <w:rPr>
                <w:sz w:val="17"/>
                <w:szCs w:val="17"/>
                <w:color w:val="auto"/>
              </w:rPr>
            </w:pPr>
          </w:p>
        </w:tc>
        <w:tc>
          <w:tcPr>
            <w:tcW w:w="580" w:type="dxa"/>
            <w:vAlign w:val="bottom"/>
            <w:tcBorders>
              <w:bottom w:val="single" w:sz="8" w:color="99B5CB"/>
            </w:tcBorders>
          </w:tcPr>
          <w:p>
            <w:pPr>
              <w:spacing w:after="0"/>
              <w:rPr>
                <w:sz w:val="17"/>
                <w:szCs w:val="17"/>
                <w:color w:val="auto"/>
              </w:rPr>
            </w:pPr>
          </w:p>
        </w:tc>
        <w:tc>
          <w:tcPr>
            <w:tcW w:w="940" w:type="dxa"/>
            <w:vAlign w:val="bottom"/>
            <w:tcBorders>
              <w:bottom w:val="single" w:sz="8" w:color="99B5CB"/>
            </w:tcBorders>
          </w:tcPr>
          <w:p>
            <w:pPr>
              <w:spacing w:after="0"/>
              <w:rPr>
                <w:sz w:val="17"/>
                <w:szCs w:val="17"/>
                <w:color w:val="auto"/>
              </w:rPr>
            </w:pPr>
          </w:p>
        </w:tc>
        <w:tc>
          <w:tcPr>
            <w:tcW w:w="1280" w:type="dxa"/>
            <w:vAlign w:val="bottom"/>
            <w:tcBorders>
              <w:bottom w:val="single" w:sz="8" w:color="99B5CB"/>
            </w:tcBorders>
            <w:gridSpan w:val="2"/>
          </w:tcPr>
          <w:p>
            <w:pPr>
              <w:jc w:val="right"/>
              <w:ind w:right="31"/>
              <w:spacing w:after="0" w:line="199" w:lineRule="exact"/>
              <w:rPr>
                <w:sz w:val="20"/>
                <w:szCs w:val="20"/>
                <w:color w:val="auto"/>
              </w:rPr>
            </w:pPr>
            <w:r>
              <w:rPr>
                <w:rFonts w:ascii="Arial" w:cs="Arial" w:eastAsia="Arial" w:hAnsi="Arial"/>
                <w:sz w:val="15"/>
                <w:szCs w:val="15"/>
                <w:color w:val="auto"/>
              </w:rPr>
              <w:t>8,736</w:t>
            </w:r>
            <w:r>
              <w:rPr>
                <w:rFonts w:ascii="Arial" w:cs="Arial" w:eastAsia="Arial" w:hAnsi="Arial"/>
                <w:sz w:val="23"/>
                <w:szCs w:val="23"/>
                <w:color w:val="auto"/>
                <w:vertAlign w:val="superscript"/>
              </w:rPr>
              <w:t>(5)</w:t>
            </w:r>
          </w:p>
        </w:tc>
        <w:tc>
          <w:tcPr>
            <w:tcW w:w="180" w:type="dxa"/>
            <w:vAlign w:val="bottom"/>
            <w:tcBorders>
              <w:bottom w:val="single" w:sz="8" w:color="99B5CB"/>
            </w:tcBorders>
          </w:tcPr>
          <w:p>
            <w:pPr>
              <w:ind w:left="80"/>
              <w:spacing w:after="0"/>
              <w:rPr>
                <w:sz w:val="20"/>
                <w:szCs w:val="20"/>
                <w:color w:val="auto"/>
              </w:rPr>
            </w:pPr>
            <w:r>
              <w:rPr>
                <w:rFonts w:ascii="Arial" w:cs="Arial" w:eastAsia="Arial" w:hAnsi="Arial"/>
                <w:sz w:val="15"/>
                <w:szCs w:val="15"/>
                <w:color w:val="auto"/>
                <w:w w:val="95"/>
              </w:rPr>
              <w:t>$</w:t>
            </w:r>
          </w:p>
        </w:tc>
        <w:tc>
          <w:tcPr>
            <w:tcW w:w="920" w:type="dxa"/>
            <w:vAlign w:val="bottom"/>
            <w:tcBorders>
              <w:bottom w:val="single" w:sz="8" w:color="99B5CB"/>
            </w:tcBorders>
          </w:tcPr>
          <w:p>
            <w:pPr>
              <w:jc w:val="right"/>
              <w:ind w:right="4"/>
              <w:spacing w:after="0"/>
              <w:rPr>
                <w:sz w:val="20"/>
                <w:szCs w:val="20"/>
                <w:color w:val="auto"/>
              </w:rPr>
            </w:pPr>
            <w:r>
              <w:rPr>
                <w:rFonts w:ascii="Arial" w:cs="Arial" w:eastAsia="Arial" w:hAnsi="Arial"/>
                <w:sz w:val="15"/>
                <w:szCs w:val="15"/>
                <w:color w:val="auto"/>
              </w:rPr>
              <w:t>72,771</w:t>
            </w:r>
          </w:p>
        </w:tc>
        <w:tc>
          <w:tcPr>
            <w:tcW w:w="1080" w:type="dxa"/>
            <w:vAlign w:val="bottom"/>
            <w:tcBorders>
              <w:bottom w:val="single" w:sz="8" w:color="99B5CB"/>
            </w:tcBorders>
          </w:tcPr>
          <w:p>
            <w:pPr>
              <w:spacing w:after="0"/>
              <w:rPr>
                <w:sz w:val="17"/>
                <w:szCs w:val="17"/>
                <w:color w:val="auto"/>
              </w:rPr>
            </w:pPr>
          </w:p>
        </w:tc>
        <w:tc>
          <w:tcPr>
            <w:tcW w:w="140" w:type="dxa"/>
            <w:vAlign w:val="bottom"/>
            <w:tcBorders>
              <w:bottom w:val="single" w:sz="8" w:color="99B5CB"/>
            </w:tcBorders>
          </w:tcPr>
          <w:p>
            <w:pPr>
              <w:spacing w:after="0"/>
              <w:rPr>
                <w:sz w:val="17"/>
                <w:szCs w:val="17"/>
                <w:color w:val="auto"/>
              </w:rPr>
            </w:pPr>
          </w:p>
        </w:tc>
        <w:tc>
          <w:tcPr>
            <w:tcW w:w="940" w:type="dxa"/>
            <w:vAlign w:val="bottom"/>
            <w:tcBorders>
              <w:bottom w:val="single" w:sz="8" w:color="99B5CB"/>
            </w:tcBorders>
          </w:tcPr>
          <w:p>
            <w:pPr>
              <w:spacing w:after="0"/>
              <w:rPr>
                <w:sz w:val="17"/>
                <w:szCs w:val="17"/>
                <w:color w:val="auto"/>
              </w:rPr>
            </w:pPr>
          </w:p>
        </w:tc>
      </w:tr>
      <w:tr>
        <w:trPr>
          <w:trHeight w:val="199"/>
        </w:trPr>
        <w:tc>
          <w:tcPr>
            <w:tcW w:w="1880" w:type="dxa"/>
            <w:vAlign w:val="bottom"/>
          </w:tcPr>
          <w:p>
            <w:pPr>
              <w:spacing w:after="0"/>
              <w:rPr>
                <w:sz w:val="17"/>
                <w:szCs w:val="17"/>
                <w:color w:val="auto"/>
              </w:rPr>
            </w:pPr>
          </w:p>
        </w:tc>
        <w:tc>
          <w:tcPr>
            <w:tcW w:w="120" w:type="dxa"/>
            <w:vAlign w:val="bottom"/>
            <w:tcBorders>
              <w:bottom w:val="single" w:sz="8" w:color="99B5CB"/>
            </w:tcBorders>
          </w:tcPr>
          <w:p>
            <w:pPr>
              <w:spacing w:after="0"/>
              <w:rPr>
                <w:sz w:val="17"/>
                <w:szCs w:val="17"/>
                <w:color w:val="auto"/>
              </w:rPr>
            </w:pPr>
          </w:p>
        </w:tc>
        <w:tc>
          <w:tcPr>
            <w:tcW w:w="1060" w:type="dxa"/>
            <w:vAlign w:val="bottom"/>
            <w:tcBorders>
              <w:bottom w:val="single" w:sz="8" w:color="99B5CB"/>
            </w:tcBorders>
          </w:tcPr>
          <w:p>
            <w:pPr>
              <w:spacing w:after="0"/>
              <w:rPr>
                <w:sz w:val="17"/>
                <w:szCs w:val="17"/>
                <w:color w:val="auto"/>
              </w:rPr>
            </w:pPr>
          </w:p>
        </w:tc>
        <w:tc>
          <w:tcPr>
            <w:tcW w:w="1240" w:type="dxa"/>
            <w:vAlign w:val="bottom"/>
            <w:tcBorders>
              <w:bottom w:val="single" w:sz="8" w:color="99B5CB"/>
            </w:tcBorders>
          </w:tcPr>
          <w:p>
            <w:pPr>
              <w:spacing w:after="0"/>
              <w:rPr>
                <w:sz w:val="17"/>
                <w:szCs w:val="17"/>
                <w:color w:val="auto"/>
              </w:rPr>
            </w:pPr>
          </w:p>
        </w:tc>
        <w:tc>
          <w:tcPr>
            <w:tcW w:w="180" w:type="dxa"/>
            <w:vAlign w:val="bottom"/>
            <w:tcBorders>
              <w:bottom w:val="single" w:sz="8" w:color="99B5CB"/>
            </w:tcBorders>
          </w:tcPr>
          <w:p>
            <w:pPr>
              <w:spacing w:after="0"/>
              <w:rPr>
                <w:sz w:val="17"/>
                <w:szCs w:val="17"/>
                <w:color w:val="auto"/>
              </w:rPr>
            </w:pPr>
          </w:p>
        </w:tc>
        <w:tc>
          <w:tcPr>
            <w:tcW w:w="580" w:type="dxa"/>
            <w:vAlign w:val="bottom"/>
            <w:tcBorders>
              <w:bottom w:val="single" w:sz="8" w:color="99B5CB"/>
            </w:tcBorders>
          </w:tcPr>
          <w:p>
            <w:pPr>
              <w:spacing w:after="0"/>
              <w:rPr>
                <w:sz w:val="17"/>
                <w:szCs w:val="17"/>
                <w:color w:val="auto"/>
              </w:rPr>
            </w:pPr>
          </w:p>
        </w:tc>
        <w:tc>
          <w:tcPr>
            <w:tcW w:w="940" w:type="dxa"/>
            <w:vAlign w:val="bottom"/>
            <w:tcBorders>
              <w:bottom w:val="single" w:sz="8" w:color="99B5CB"/>
            </w:tcBorders>
          </w:tcPr>
          <w:p>
            <w:pPr>
              <w:spacing w:after="0"/>
              <w:rPr>
                <w:sz w:val="17"/>
                <w:szCs w:val="17"/>
                <w:color w:val="auto"/>
              </w:rPr>
            </w:pPr>
          </w:p>
        </w:tc>
        <w:tc>
          <w:tcPr>
            <w:tcW w:w="1280" w:type="dxa"/>
            <w:vAlign w:val="bottom"/>
            <w:tcBorders>
              <w:bottom w:val="single" w:sz="8" w:color="99B5CB"/>
            </w:tcBorders>
            <w:gridSpan w:val="2"/>
          </w:tcPr>
          <w:p>
            <w:pPr>
              <w:jc w:val="right"/>
              <w:ind w:right="31"/>
              <w:spacing w:after="0" w:line="199" w:lineRule="exact"/>
              <w:rPr>
                <w:sz w:val="20"/>
                <w:szCs w:val="20"/>
                <w:color w:val="auto"/>
              </w:rPr>
            </w:pPr>
            <w:r>
              <w:rPr>
                <w:rFonts w:ascii="Arial" w:cs="Arial" w:eastAsia="Arial" w:hAnsi="Arial"/>
                <w:sz w:val="15"/>
                <w:szCs w:val="15"/>
                <w:color w:val="auto"/>
              </w:rPr>
              <w:t>41,208</w:t>
            </w:r>
            <w:r>
              <w:rPr>
                <w:rFonts w:ascii="Arial" w:cs="Arial" w:eastAsia="Arial" w:hAnsi="Arial"/>
                <w:sz w:val="23"/>
                <w:szCs w:val="23"/>
                <w:color w:val="auto"/>
                <w:vertAlign w:val="superscript"/>
              </w:rPr>
              <w:t>(9)</w:t>
            </w:r>
          </w:p>
        </w:tc>
        <w:tc>
          <w:tcPr>
            <w:tcW w:w="180" w:type="dxa"/>
            <w:vAlign w:val="bottom"/>
            <w:tcBorders>
              <w:bottom w:val="single" w:sz="8" w:color="99B5CB"/>
            </w:tcBorders>
          </w:tcPr>
          <w:p>
            <w:pPr>
              <w:ind w:left="80"/>
              <w:spacing w:after="0"/>
              <w:rPr>
                <w:sz w:val="20"/>
                <w:szCs w:val="20"/>
                <w:color w:val="auto"/>
              </w:rPr>
            </w:pPr>
            <w:r>
              <w:rPr>
                <w:rFonts w:ascii="Arial" w:cs="Arial" w:eastAsia="Arial" w:hAnsi="Arial"/>
                <w:sz w:val="15"/>
                <w:szCs w:val="15"/>
                <w:color w:val="auto"/>
                <w:w w:val="95"/>
              </w:rPr>
              <w:t>$</w:t>
            </w:r>
          </w:p>
        </w:tc>
        <w:tc>
          <w:tcPr>
            <w:tcW w:w="920" w:type="dxa"/>
            <w:vAlign w:val="bottom"/>
            <w:tcBorders>
              <w:bottom w:val="single" w:sz="8" w:color="99B5CB"/>
            </w:tcBorders>
          </w:tcPr>
          <w:p>
            <w:pPr>
              <w:jc w:val="right"/>
              <w:ind w:right="4"/>
              <w:spacing w:after="0"/>
              <w:rPr>
                <w:sz w:val="20"/>
                <w:szCs w:val="20"/>
                <w:color w:val="auto"/>
              </w:rPr>
            </w:pPr>
            <w:r>
              <w:rPr>
                <w:rFonts w:ascii="Arial" w:cs="Arial" w:eastAsia="Arial" w:hAnsi="Arial"/>
                <w:sz w:val="15"/>
                <w:szCs w:val="15"/>
                <w:color w:val="auto"/>
              </w:rPr>
              <w:t>343,263</w:t>
            </w:r>
          </w:p>
        </w:tc>
        <w:tc>
          <w:tcPr>
            <w:tcW w:w="1080" w:type="dxa"/>
            <w:vAlign w:val="bottom"/>
            <w:tcBorders>
              <w:bottom w:val="single" w:sz="8" w:color="99B5CB"/>
            </w:tcBorders>
          </w:tcPr>
          <w:p>
            <w:pPr>
              <w:spacing w:after="0"/>
              <w:rPr>
                <w:sz w:val="17"/>
                <w:szCs w:val="17"/>
                <w:color w:val="auto"/>
              </w:rPr>
            </w:pPr>
          </w:p>
        </w:tc>
        <w:tc>
          <w:tcPr>
            <w:tcW w:w="140" w:type="dxa"/>
            <w:vAlign w:val="bottom"/>
            <w:tcBorders>
              <w:bottom w:val="single" w:sz="8" w:color="99B5CB"/>
            </w:tcBorders>
          </w:tcPr>
          <w:p>
            <w:pPr>
              <w:spacing w:after="0"/>
              <w:rPr>
                <w:sz w:val="17"/>
                <w:szCs w:val="17"/>
                <w:color w:val="auto"/>
              </w:rPr>
            </w:pPr>
          </w:p>
        </w:tc>
        <w:tc>
          <w:tcPr>
            <w:tcW w:w="940" w:type="dxa"/>
            <w:vAlign w:val="bottom"/>
            <w:tcBorders>
              <w:bottom w:val="single" w:sz="8" w:color="99B5CB"/>
            </w:tcBorders>
          </w:tcPr>
          <w:p>
            <w:pPr>
              <w:spacing w:after="0"/>
              <w:rPr>
                <w:sz w:val="17"/>
                <w:szCs w:val="17"/>
                <w:color w:val="auto"/>
              </w:rPr>
            </w:pPr>
          </w:p>
        </w:tc>
      </w:tr>
      <w:tr>
        <w:trPr>
          <w:trHeight w:val="198"/>
        </w:trPr>
        <w:tc>
          <w:tcPr>
            <w:tcW w:w="1880" w:type="dxa"/>
            <w:vAlign w:val="bottom"/>
            <w:tcBorders>
              <w:bottom w:val="single" w:sz="8" w:color="00467D"/>
            </w:tcBorders>
          </w:tcPr>
          <w:p>
            <w:pPr>
              <w:spacing w:after="0"/>
              <w:rPr>
                <w:sz w:val="17"/>
                <w:szCs w:val="17"/>
                <w:color w:val="auto"/>
              </w:rPr>
            </w:pPr>
          </w:p>
        </w:tc>
        <w:tc>
          <w:tcPr>
            <w:tcW w:w="120" w:type="dxa"/>
            <w:vAlign w:val="bottom"/>
            <w:tcBorders>
              <w:bottom w:val="single" w:sz="8" w:color="00467D"/>
            </w:tcBorders>
          </w:tcPr>
          <w:p>
            <w:pPr>
              <w:spacing w:after="0"/>
              <w:rPr>
                <w:sz w:val="17"/>
                <w:szCs w:val="17"/>
                <w:color w:val="auto"/>
              </w:rPr>
            </w:pPr>
          </w:p>
        </w:tc>
        <w:tc>
          <w:tcPr>
            <w:tcW w:w="1060" w:type="dxa"/>
            <w:vAlign w:val="bottom"/>
            <w:tcBorders>
              <w:bottom w:val="single" w:sz="8" w:color="00467D"/>
            </w:tcBorders>
          </w:tcPr>
          <w:p>
            <w:pPr>
              <w:spacing w:after="0"/>
              <w:rPr>
                <w:sz w:val="17"/>
                <w:szCs w:val="17"/>
                <w:color w:val="auto"/>
              </w:rPr>
            </w:pPr>
          </w:p>
        </w:tc>
        <w:tc>
          <w:tcPr>
            <w:tcW w:w="1240" w:type="dxa"/>
            <w:vAlign w:val="bottom"/>
            <w:tcBorders>
              <w:bottom w:val="single" w:sz="8" w:color="00467D"/>
            </w:tcBorders>
          </w:tcPr>
          <w:p>
            <w:pPr>
              <w:spacing w:after="0"/>
              <w:rPr>
                <w:sz w:val="17"/>
                <w:szCs w:val="17"/>
                <w:color w:val="auto"/>
              </w:rPr>
            </w:pPr>
          </w:p>
        </w:tc>
        <w:tc>
          <w:tcPr>
            <w:tcW w:w="180" w:type="dxa"/>
            <w:vAlign w:val="bottom"/>
            <w:tcBorders>
              <w:bottom w:val="single" w:sz="8" w:color="00467D"/>
            </w:tcBorders>
          </w:tcPr>
          <w:p>
            <w:pPr>
              <w:spacing w:after="0"/>
              <w:rPr>
                <w:sz w:val="17"/>
                <w:szCs w:val="17"/>
                <w:color w:val="auto"/>
              </w:rPr>
            </w:pPr>
          </w:p>
        </w:tc>
        <w:tc>
          <w:tcPr>
            <w:tcW w:w="580" w:type="dxa"/>
            <w:vAlign w:val="bottom"/>
            <w:tcBorders>
              <w:bottom w:val="single" w:sz="8" w:color="00467D"/>
            </w:tcBorders>
          </w:tcPr>
          <w:p>
            <w:pPr>
              <w:spacing w:after="0"/>
              <w:rPr>
                <w:sz w:val="17"/>
                <w:szCs w:val="17"/>
                <w:color w:val="auto"/>
              </w:rPr>
            </w:pPr>
          </w:p>
        </w:tc>
        <w:tc>
          <w:tcPr>
            <w:tcW w:w="940" w:type="dxa"/>
            <w:vAlign w:val="bottom"/>
            <w:tcBorders>
              <w:bottom w:val="single" w:sz="8" w:color="00467D"/>
            </w:tcBorders>
          </w:tcPr>
          <w:p>
            <w:pPr>
              <w:spacing w:after="0"/>
              <w:rPr>
                <w:sz w:val="17"/>
                <w:szCs w:val="17"/>
                <w:color w:val="auto"/>
              </w:rPr>
            </w:pPr>
          </w:p>
        </w:tc>
        <w:tc>
          <w:tcPr>
            <w:tcW w:w="120" w:type="dxa"/>
            <w:vAlign w:val="bottom"/>
            <w:tcBorders>
              <w:bottom w:val="single" w:sz="8" w:color="00467D"/>
            </w:tcBorders>
          </w:tcPr>
          <w:p>
            <w:pPr>
              <w:spacing w:after="0"/>
              <w:rPr>
                <w:sz w:val="17"/>
                <w:szCs w:val="17"/>
                <w:color w:val="auto"/>
              </w:rPr>
            </w:pPr>
          </w:p>
        </w:tc>
        <w:tc>
          <w:tcPr>
            <w:tcW w:w="1160" w:type="dxa"/>
            <w:vAlign w:val="bottom"/>
            <w:tcBorders>
              <w:bottom w:val="single" w:sz="8" w:color="00467D"/>
            </w:tcBorders>
          </w:tcPr>
          <w:p>
            <w:pPr>
              <w:spacing w:after="0"/>
              <w:rPr>
                <w:sz w:val="17"/>
                <w:szCs w:val="17"/>
                <w:color w:val="auto"/>
              </w:rPr>
            </w:pPr>
          </w:p>
        </w:tc>
        <w:tc>
          <w:tcPr>
            <w:tcW w:w="180" w:type="dxa"/>
            <w:vAlign w:val="bottom"/>
            <w:tcBorders>
              <w:bottom w:val="single" w:sz="8" w:color="00467D"/>
            </w:tcBorders>
          </w:tcPr>
          <w:p>
            <w:pPr>
              <w:spacing w:after="0"/>
              <w:rPr>
                <w:sz w:val="17"/>
                <w:szCs w:val="17"/>
                <w:color w:val="auto"/>
              </w:rPr>
            </w:pPr>
          </w:p>
        </w:tc>
        <w:tc>
          <w:tcPr>
            <w:tcW w:w="920" w:type="dxa"/>
            <w:vAlign w:val="bottom"/>
            <w:tcBorders>
              <w:bottom w:val="single" w:sz="8" w:color="00467D"/>
            </w:tcBorders>
          </w:tcPr>
          <w:p>
            <w:pPr>
              <w:spacing w:after="0"/>
              <w:rPr>
                <w:sz w:val="17"/>
                <w:szCs w:val="17"/>
                <w:color w:val="auto"/>
              </w:rPr>
            </w:pPr>
          </w:p>
        </w:tc>
        <w:tc>
          <w:tcPr>
            <w:tcW w:w="1080" w:type="dxa"/>
            <w:vAlign w:val="bottom"/>
            <w:tcBorders>
              <w:bottom w:val="single" w:sz="8" w:color="00467D"/>
            </w:tcBorders>
          </w:tcPr>
          <w:p>
            <w:pPr>
              <w:jc w:val="right"/>
              <w:spacing w:after="0"/>
              <w:rPr>
                <w:sz w:val="20"/>
                <w:szCs w:val="20"/>
                <w:color w:val="auto"/>
              </w:rPr>
            </w:pPr>
            <w:r>
              <w:rPr>
                <w:rFonts w:ascii="Arial" w:cs="Arial" w:eastAsia="Arial" w:hAnsi="Arial"/>
                <w:sz w:val="15"/>
                <w:szCs w:val="15"/>
                <w:color w:val="auto"/>
              </w:rPr>
              <w:t>93,760</w:t>
            </w:r>
          </w:p>
        </w:tc>
        <w:tc>
          <w:tcPr>
            <w:tcW w:w="140" w:type="dxa"/>
            <w:vAlign w:val="bottom"/>
            <w:tcBorders>
              <w:bottom w:val="single" w:sz="8" w:color="00467D"/>
            </w:tcBorders>
          </w:tcPr>
          <w:p>
            <w:pPr>
              <w:jc w:val="right"/>
              <w:spacing w:after="0"/>
              <w:rPr>
                <w:sz w:val="20"/>
                <w:szCs w:val="20"/>
                <w:color w:val="auto"/>
              </w:rPr>
            </w:pPr>
            <w:r>
              <w:rPr>
                <w:rFonts w:ascii="Arial" w:cs="Arial" w:eastAsia="Arial" w:hAnsi="Arial"/>
                <w:sz w:val="15"/>
                <w:szCs w:val="15"/>
                <w:color w:val="auto"/>
              </w:rPr>
              <w:t>$</w:t>
            </w:r>
          </w:p>
        </w:tc>
        <w:tc>
          <w:tcPr>
            <w:tcW w:w="940" w:type="dxa"/>
            <w:vAlign w:val="bottom"/>
            <w:tcBorders>
              <w:bottom w:val="single" w:sz="8" w:color="00467D"/>
            </w:tcBorders>
          </w:tcPr>
          <w:p>
            <w:pPr>
              <w:jc w:val="right"/>
              <w:ind w:right="10"/>
              <w:spacing w:after="0"/>
              <w:rPr>
                <w:sz w:val="20"/>
                <w:szCs w:val="20"/>
                <w:color w:val="auto"/>
              </w:rPr>
            </w:pPr>
            <w:r>
              <w:rPr>
                <w:rFonts w:ascii="Arial" w:cs="Arial" w:eastAsia="Arial" w:hAnsi="Arial"/>
                <w:sz w:val="15"/>
                <w:szCs w:val="15"/>
                <w:color w:val="auto"/>
              </w:rPr>
              <w:t>781,021</w:t>
            </w:r>
          </w:p>
        </w:tc>
      </w:tr>
    </w:tbl>
    <w:p>
      <w:pPr>
        <w:spacing w:after="0" w:line="109" w:lineRule="exact"/>
        <w:rPr>
          <w:sz w:val="20"/>
          <w:szCs w:val="20"/>
          <w:color w:val="auto"/>
        </w:rPr>
      </w:pPr>
    </w:p>
    <w:p>
      <w:pPr>
        <w:ind w:left="780" w:right="140" w:hanging="422"/>
        <w:spacing w:after="0" w:line="259" w:lineRule="auto"/>
        <w:tabs>
          <w:tab w:leader="none" w:pos="780" w:val="left"/>
        </w:tabs>
        <w:numPr>
          <w:ilvl w:val="0"/>
          <w:numId w:val="34"/>
        </w:numPr>
        <w:rPr>
          <w:rFonts w:ascii="Arial" w:cs="Arial" w:eastAsia="Arial" w:hAnsi="Arial"/>
          <w:sz w:val="14"/>
          <w:szCs w:val="14"/>
          <w:color w:val="auto"/>
        </w:rPr>
      </w:pPr>
      <w:r>
        <w:rPr>
          <w:rFonts w:ascii="Arial" w:cs="Arial" w:eastAsia="Arial" w:hAnsi="Arial"/>
          <w:sz w:val="14"/>
          <w:szCs w:val="14"/>
          <w:color w:val="auto"/>
        </w:rPr>
        <w:t>These stock options were granted under the 2020 Incentive Plan in connection with our IPO and vest in four equal installments on each of the first four anniversaries of the date of grant, beginning on November 20, 2021, subject to continued employment through each applicable vesting date.</w:t>
      </w:r>
    </w:p>
    <w:p>
      <w:pPr>
        <w:spacing w:after="0" w:line="78" w:lineRule="exact"/>
        <w:rPr>
          <w:rFonts w:ascii="Arial" w:cs="Arial" w:eastAsia="Arial" w:hAnsi="Arial"/>
          <w:sz w:val="14"/>
          <w:szCs w:val="14"/>
          <w:color w:val="auto"/>
        </w:rPr>
      </w:pPr>
    </w:p>
    <w:p>
      <w:pPr>
        <w:ind w:left="780" w:right="100" w:hanging="422"/>
        <w:spacing w:after="0" w:line="259" w:lineRule="auto"/>
        <w:tabs>
          <w:tab w:leader="none" w:pos="780" w:val="left"/>
        </w:tabs>
        <w:numPr>
          <w:ilvl w:val="0"/>
          <w:numId w:val="34"/>
        </w:numPr>
        <w:rPr>
          <w:rFonts w:ascii="Arial" w:cs="Arial" w:eastAsia="Arial" w:hAnsi="Arial"/>
          <w:sz w:val="14"/>
          <w:szCs w:val="14"/>
          <w:color w:val="auto"/>
        </w:rPr>
      </w:pPr>
      <w:r>
        <w:rPr>
          <w:rFonts w:ascii="Arial" w:cs="Arial" w:eastAsia="Arial" w:hAnsi="Arial"/>
          <w:sz w:val="14"/>
          <w:szCs w:val="14"/>
          <w:color w:val="auto"/>
        </w:rPr>
        <w:t>These stock options were granted under the 2020 Incentive Plan and vest in substantially equal yearly installments on each of the first three anniversaries of the date of grant, beginning on March 2, 2023, subject to continued employment through each applicable vesting date.</w:t>
      </w:r>
    </w:p>
    <w:p>
      <w:pPr>
        <w:spacing w:after="0" w:line="78" w:lineRule="exact"/>
        <w:rPr>
          <w:rFonts w:ascii="Arial" w:cs="Arial" w:eastAsia="Arial" w:hAnsi="Arial"/>
          <w:sz w:val="14"/>
          <w:szCs w:val="14"/>
          <w:color w:val="auto"/>
        </w:rPr>
      </w:pPr>
    </w:p>
    <w:p>
      <w:pPr>
        <w:ind w:left="780" w:right="240" w:hanging="422"/>
        <w:spacing w:after="0" w:line="259" w:lineRule="auto"/>
        <w:tabs>
          <w:tab w:leader="none" w:pos="780" w:val="left"/>
        </w:tabs>
        <w:numPr>
          <w:ilvl w:val="0"/>
          <w:numId w:val="34"/>
        </w:numPr>
        <w:rPr>
          <w:rFonts w:ascii="Arial" w:cs="Arial" w:eastAsia="Arial" w:hAnsi="Arial"/>
          <w:sz w:val="14"/>
          <w:szCs w:val="14"/>
          <w:color w:val="auto"/>
        </w:rPr>
      </w:pPr>
      <w:r>
        <w:rPr>
          <w:rFonts w:ascii="Arial" w:cs="Arial" w:eastAsia="Arial" w:hAnsi="Arial"/>
          <w:sz w:val="14"/>
          <w:szCs w:val="14"/>
          <w:color w:val="auto"/>
        </w:rPr>
        <w:t>These stock options were granted as an incentive award and vest in three installments, with 30% of the stock options vesting on each of November 7, 2023 and on May 7, 2024 and 40% of the stock options vesting on November 7, 2024, subject to continued employment through each applicable vesting date.</w:t>
      </w:r>
    </w:p>
    <w:p>
      <w:pPr>
        <w:spacing w:after="0" w:line="78" w:lineRule="exact"/>
        <w:rPr>
          <w:rFonts w:ascii="Arial" w:cs="Arial" w:eastAsia="Arial" w:hAnsi="Arial"/>
          <w:sz w:val="14"/>
          <w:szCs w:val="14"/>
          <w:color w:val="auto"/>
        </w:rPr>
      </w:pPr>
    </w:p>
    <w:p>
      <w:pPr>
        <w:ind w:left="780" w:right="280" w:hanging="422"/>
        <w:spacing w:after="0" w:line="259" w:lineRule="auto"/>
        <w:tabs>
          <w:tab w:leader="none" w:pos="780" w:val="left"/>
        </w:tabs>
        <w:numPr>
          <w:ilvl w:val="0"/>
          <w:numId w:val="34"/>
        </w:numPr>
        <w:rPr>
          <w:rFonts w:ascii="Arial" w:cs="Arial" w:eastAsia="Arial" w:hAnsi="Arial"/>
          <w:sz w:val="14"/>
          <w:szCs w:val="14"/>
          <w:color w:val="auto"/>
        </w:rPr>
      </w:pPr>
      <w:r>
        <w:rPr>
          <w:rFonts w:ascii="Arial" w:cs="Arial" w:eastAsia="Arial" w:hAnsi="Arial"/>
          <w:sz w:val="14"/>
          <w:szCs w:val="14"/>
          <w:color w:val="auto"/>
        </w:rPr>
        <w:t>These RSUs were granted under our 2020 Incentive Plan in connection with our IPO. One half of these remaining unvested RSUs will vest on November 20, 2023 and one half of these remaining unvested RSUs will vest on November 20, 2024, subject to continued employment through each applicable vesting date.</w:t>
      </w:r>
    </w:p>
    <w:p>
      <w:pPr>
        <w:spacing w:after="0" w:line="78" w:lineRule="exact"/>
        <w:rPr>
          <w:rFonts w:ascii="Arial" w:cs="Arial" w:eastAsia="Arial" w:hAnsi="Arial"/>
          <w:sz w:val="14"/>
          <w:szCs w:val="14"/>
          <w:color w:val="auto"/>
        </w:rPr>
      </w:pPr>
    </w:p>
    <w:p>
      <w:pPr>
        <w:ind w:left="780" w:right="380" w:hanging="422"/>
        <w:spacing w:after="0" w:line="259" w:lineRule="auto"/>
        <w:tabs>
          <w:tab w:leader="none" w:pos="780" w:val="left"/>
        </w:tabs>
        <w:numPr>
          <w:ilvl w:val="0"/>
          <w:numId w:val="34"/>
        </w:numPr>
        <w:rPr>
          <w:rFonts w:ascii="Arial" w:cs="Arial" w:eastAsia="Arial" w:hAnsi="Arial"/>
          <w:sz w:val="14"/>
          <w:szCs w:val="14"/>
          <w:color w:val="auto"/>
        </w:rPr>
      </w:pPr>
      <w:r>
        <w:rPr>
          <w:rFonts w:ascii="Arial" w:cs="Arial" w:eastAsia="Arial" w:hAnsi="Arial"/>
          <w:sz w:val="14"/>
          <w:szCs w:val="14"/>
          <w:color w:val="auto"/>
        </w:rPr>
        <w:t>These RSUs were granted under our 2020 Incentive Plan and vest in substantially equal yearly installments on each of the first three anniversaries of the date of grant, beginning on March 2, 2023, subject to continued employment through each applicable vesting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231775</wp:posOffset>
            </wp:positionH>
            <wp:positionV relativeFrom="paragraph">
              <wp:posOffset>87630</wp:posOffset>
            </wp:positionV>
            <wp:extent cx="6687820" cy="1651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687820" cy="16510"/>
                    </a:xfrm>
                    <a:prstGeom prst="rect">
                      <a:avLst/>
                    </a:prstGeom>
                    <a:noFill/>
                  </pic:spPr>
                </pic:pic>
              </a:graphicData>
            </a:graphic>
          </wp:anchor>
        </w:drawing>
      </w:r>
    </w:p>
    <w:p>
      <w:pPr>
        <w:spacing w:after="0" w:line="307"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6443980</wp:posOffset>
            </wp:positionH>
            <wp:positionV relativeFrom="paragraph">
              <wp:posOffset>-113030</wp:posOffset>
            </wp:positionV>
            <wp:extent cx="475615" cy="15557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475615" cy="155575"/>
                    </a:xfrm>
                    <a:prstGeom prst="rect">
                      <a:avLst/>
                    </a:prstGeom>
                    <a:noFill/>
                  </pic:spPr>
                </pic:pic>
              </a:graphicData>
            </a:graphic>
          </wp:anchor>
        </w:drawing>
      </w:r>
    </w:p>
    <w:p>
      <w:pPr>
        <w:sectPr>
          <w:pgSz w:w="11900" w:h="16838" w:orient="portrait"/>
          <w:cols w:equalWidth="0" w:num="1">
            <w:col w:w="10900"/>
          </w:cols>
          <w:pgMar w:left="320" w:top="468" w:right="67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5334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79945" cy="53340"/>
                    </a:xfrm>
                    <a:prstGeom prst="rect">
                      <a:avLst/>
                    </a:prstGeom>
                    <a:noFill/>
                  </pic:spPr>
                </pic:pic>
              </a:graphicData>
            </a:graphic>
          </wp:anchor>
        </w:drawing>
        <w:t>Table of Contents</w:t>
      </w:r>
    </w:p>
    <w:p>
      <w:pPr>
        <w:spacing w:after="0" w:line="296"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auto"/>
        </w:rPr>
        <w:t>Compensation Tables</w:t>
      </w:r>
    </w:p>
    <w:p>
      <w:pPr>
        <w:spacing w:after="0" w:line="21" w:lineRule="exact"/>
        <w:rPr>
          <w:sz w:val="20"/>
          <w:szCs w:val="20"/>
          <w:color w:val="auto"/>
        </w:rPr>
      </w:pPr>
    </w:p>
    <w:p>
      <w:pPr>
        <w:ind w:left="360"/>
        <w:spacing w:after="0"/>
        <w:rPr>
          <w:sz w:val="20"/>
          <w:szCs w:val="20"/>
          <w:color w:val="auto"/>
        </w:rPr>
      </w:pPr>
      <w:r>
        <w:rPr>
          <w:rFonts w:ascii="Arial" w:cs="Arial" w:eastAsia="Arial" w:hAnsi="Arial"/>
          <w:sz w:val="14"/>
          <w:szCs w:val="14"/>
          <w:b w:val="1"/>
          <w:bCs w:val="1"/>
          <w:color w:val="auto"/>
        </w:rPr>
        <w:t>Outstanding Equity Awards at 2022 Year-End</w:t>
      </w:r>
    </w:p>
    <w:p>
      <w:pPr>
        <w:spacing w:after="0" w:line="124" w:lineRule="exact"/>
        <w:rPr>
          <w:sz w:val="20"/>
          <w:szCs w:val="20"/>
          <w:color w:val="auto"/>
        </w:rPr>
      </w:pPr>
    </w:p>
    <w:p>
      <w:pPr>
        <w:ind w:left="780" w:right="60" w:hanging="422"/>
        <w:spacing w:after="0" w:line="238" w:lineRule="auto"/>
        <w:tabs>
          <w:tab w:leader="none" w:pos="780" w:val="left"/>
        </w:tabs>
        <w:numPr>
          <w:ilvl w:val="0"/>
          <w:numId w:val="35"/>
        </w:numPr>
        <w:rPr>
          <w:rFonts w:ascii="Arial" w:cs="Arial" w:eastAsia="Arial" w:hAnsi="Arial"/>
          <w:sz w:val="14"/>
          <w:szCs w:val="14"/>
          <w:color w:val="auto"/>
        </w:rPr>
      </w:pPr>
      <w:r>
        <w:rPr>
          <w:rFonts w:ascii="Arial" w:cs="Arial" w:eastAsia="Arial" w:hAnsi="Arial"/>
          <w:sz w:val="14"/>
          <w:szCs w:val="14"/>
          <w:color w:val="auto"/>
        </w:rPr>
        <w:t>Represents shares of unvested restricted common stock distributed to Mr. Rutz in respect of the limited partnership interest in Topco Parent that Mr. Rutz was granted in connection with the commencement of his employment. These shares of unvested restricted stock were distributed in respect of Mr. Rutz’s limited partnership interest held in Topco Parent and continue to vest according to the same vesting schedule applicable to the limited partnership interest. As a result, the unvested restricted shares of our common stock vest on a daily basis pro rata through May 13, 2025, subject to continued employment through each such vesting date. See “Corporate Reorganization &amp; Distribution of Shares”.</w:t>
      </w:r>
    </w:p>
    <w:p>
      <w:pPr>
        <w:spacing w:after="0" w:line="92" w:lineRule="exact"/>
        <w:rPr>
          <w:rFonts w:ascii="Arial" w:cs="Arial" w:eastAsia="Arial" w:hAnsi="Arial"/>
          <w:sz w:val="14"/>
          <w:szCs w:val="14"/>
          <w:color w:val="auto"/>
        </w:rPr>
      </w:pPr>
    </w:p>
    <w:p>
      <w:pPr>
        <w:ind w:left="780" w:right="680" w:hanging="422"/>
        <w:spacing w:after="0" w:line="259" w:lineRule="auto"/>
        <w:tabs>
          <w:tab w:leader="none" w:pos="780" w:val="left"/>
        </w:tabs>
        <w:numPr>
          <w:ilvl w:val="0"/>
          <w:numId w:val="35"/>
        </w:numPr>
        <w:rPr>
          <w:rFonts w:ascii="Arial" w:cs="Arial" w:eastAsia="Arial" w:hAnsi="Arial"/>
          <w:sz w:val="14"/>
          <w:szCs w:val="14"/>
          <w:color w:val="auto"/>
        </w:rPr>
      </w:pPr>
      <w:r>
        <w:rPr>
          <w:rFonts w:ascii="Arial" w:cs="Arial" w:eastAsia="Arial" w:hAnsi="Arial"/>
          <w:sz w:val="14"/>
          <w:szCs w:val="14"/>
          <w:color w:val="auto"/>
        </w:rPr>
        <w:t>These stock options were granted under the 2020 Incentive Plan in connection with the commencement of Mr. Dimitrief’s employment and vest in two equal installments on October 31, 2023 and October 31, 2024, subject to continued employment through each applicable vesting date.</w:t>
      </w:r>
    </w:p>
    <w:p>
      <w:pPr>
        <w:spacing w:after="0" w:line="78" w:lineRule="exact"/>
        <w:rPr>
          <w:rFonts w:ascii="Arial" w:cs="Arial" w:eastAsia="Arial" w:hAnsi="Arial"/>
          <w:sz w:val="14"/>
          <w:szCs w:val="14"/>
          <w:color w:val="auto"/>
        </w:rPr>
      </w:pPr>
    </w:p>
    <w:p>
      <w:pPr>
        <w:ind w:left="780" w:right="660" w:hanging="422"/>
        <w:spacing w:after="0" w:line="259" w:lineRule="auto"/>
        <w:tabs>
          <w:tab w:leader="none" w:pos="780" w:val="left"/>
        </w:tabs>
        <w:numPr>
          <w:ilvl w:val="0"/>
          <w:numId w:val="35"/>
        </w:numPr>
        <w:rPr>
          <w:rFonts w:ascii="Arial" w:cs="Arial" w:eastAsia="Arial" w:hAnsi="Arial"/>
          <w:sz w:val="14"/>
          <w:szCs w:val="14"/>
          <w:color w:val="auto"/>
        </w:rPr>
      </w:pPr>
      <w:r>
        <w:rPr>
          <w:rFonts w:ascii="Arial" w:cs="Arial" w:eastAsia="Arial" w:hAnsi="Arial"/>
          <w:sz w:val="14"/>
          <w:szCs w:val="14"/>
          <w:color w:val="auto"/>
        </w:rPr>
        <w:t>This restricted stock was granted under the 2020 Incentive Plan in connection with the commencement of Mr. Dimitrief’s employment and vests in two equal installments on October 31, 2023 and October 31, 2024, subject to continued employment through each applicable vesting date.</w:t>
      </w:r>
    </w:p>
    <w:p>
      <w:pPr>
        <w:spacing w:after="0" w:line="78" w:lineRule="exact"/>
        <w:rPr>
          <w:rFonts w:ascii="Arial" w:cs="Arial" w:eastAsia="Arial" w:hAnsi="Arial"/>
          <w:sz w:val="14"/>
          <w:szCs w:val="14"/>
          <w:color w:val="auto"/>
        </w:rPr>
      </w:pPr>
    </w:p>
    <w:p>
      <w:pPr>
        <w:ind w:left="780" w:right="140" w:hanging="422"/>
        <w:spacing w:after="0" w:line="259" w:lineRule="auto"/>
        <w:tabs>
          <w:tab w:leader="none" w:pos="780" w:val="left"/>
        </w:tabs>
        <w:numPr>
          <w:ilvl w:val="0"/>
          <w:numId w:val="35"/>
        </w:numPr>
        <w:rPr>
          <w:rFonts w:ascii="Arial" w:cs="Arial" w:eastAsia="Arial" w:hAnsi="Arial"/>
          <w:sz w:val="14"/>
          <w:szCs w:val="14"/>
          <w:color w:val="auto"/>
        </w:rPr>
      </w:pPr>
      <w:r>
        <w:rPr>
          <w:rFonts w:ascii="Arial" w:cs="Arial" w:eastAsia="Arial" w:hAnsi="Arial"/>
          <w:sz w:val="14"/>
          <w:szCs w:val="14"/>
          <w:color w:val="auto"/>
        </w:rPr>
        <w:t>These RSUs were granted as an incentive award and vest in three installments, with 25% of the RSUs vesting on each of November 7, 2023 and November 7, 2024 and 50% of the RSUs vesting on November 7, 2025, subject to continued employment through each applicable vesting date.</w:t>
      </w:r>
    </w:p>
    <w:p>
      <w:pPr>
        <w:spacing w:after="0" w:line="78" w:lineRule="exact"/>
        <w:rPr>
          <w:rFonts w:ascii="Arial" w:cs="Arial" w:eastAsia="Arial" w:hAnsi="Arial"/>
          <w:sz w:val="14"/>
          <w:szCs w:val="14"/>
          <w:color w:val="auto"/>
        </w:rPr>
      </w:pPr>
    </w:p>
    <w:p>
      <w:pPr>
        <w:ind w:left="780" w:hanging="422"/>
        <w:spacing w:after="0"/>
        <w:tabs>
          <w:tab w:leader="none" w:pos="780" w:val="left"/>
        </w:tabs>
        <w:numPr>
          <w:ilvl w:val="0"/>
          <w:numId w:val="35"/>
        </w:numPr>
        <w:rPr>
          <w:rFonts w:ascii="Arial" w:cs="Arial" w:eastAsia="Arial" w:hAnsi="Arial"/>
          <w:sz w:val="14"/>
          <w:szCs w:val="14"/>
          <w:color w:val="auto"/>
        </w:rPr>
      </w:pPr>
      <w:r>
        <w:rPr>
          <w:rFonts w:ascii="Arial" w:cs="Arial" w:eastAsia="Arial" w:hAnsi="Arial"/>
          <w:sz w:val="14"/>
          <w:szCs w:val="14"/>
          <w:color w:val="auto"/>
        </w:rPr>
        <w:t>Represents the fair market value of shares unvested as of December 31, 2022, based on the closing market price of $8.33 on December 30, 2022.</w:t>
      </w:r>
    </w:p>
    <w:p>
      <w:pPr>
        <w:spacing w:after="0" w:line="110" w:lineRule="exact"/>
        <w:rPr>
          <w:rFonts w:ascii="Arial" w:cs="Arial" w:eastAsia="Arial" w:hAnsi="Arial"/>
          <w:sz w:val="14"/>
          <w:szCs w:val="14"/>
          <w:color w:val="auto"/>
        </w:rPr>
      </w:pPr>
    </w:p>
    <w:p>
      <w:pPr>
        <w:ind w:left="780" w:right="140" w:hanging="422"/>
        <w:spacing w:after="0"/>
        <w:tabs>
          <w:tab w:leader="none" w:pos="780" w:val="left"/>
        </w:tabs>
        <w:numPr>
          <w:ilvl w:val="0"/>
          <w:numId w:val="35"/>
        </w:numPr>
        <w:rPr>
          <w:rFonts w:ascii="Arial" w:cs="Arial" w:eastAsia="Arial" w:hAnsi="Arial"/>
          <w:sz w:val="14"/>
          <w:szCs w:val="14"/>
          <w:color w:val="auto"/>
        </w:rPr>
      </w:pPr>
      <w:r>
        <w:rPr>
          <w:rFonts w:ascii="Arial" w:cs="Arial" w:eastAsia="Arial" w:hAnsi="Arial"/>
          <w:sz w:val="14"/>
          <w:szCs w:val="14"/>
          <w:color w:val="auto"/>
        </w:rPr>
        <w:t>Represents shares of unvested restricted stock subject to performance-based vesting requirements. The restricted stock will vest as of the first date on which (i) our Sponsors have received two and one-half times their invested capital in Topco Parent and (ii) the Sponsors’ internal rate of return exceeds twenty percent, subject to the grantee’s continued services through such date. In connection with our IPO, these shares of unvested restricted stock were distributed in respect of the limited partnership interests Messrs. Leffler and Klaben held in Topco Parent. See “Corporate Reorganization &amp; Distribution of Shares”.</w:t>
      </w:r>
    </w:p>
    <w:p>
      <w:pPr>
        <w:spacing w:after="0" w:line="91" w:lineRule="exact"/>
        <w:rPr>
          <w:rFonts w:ascii="Arial" w:cs="Arial" w:eastAsia="Arial" w:hAnsi="Arial"/>
          <w:sz w:val="14"/>
          <w:szCs w:val="14"/>
          <w:color w:val="auto"/>
        </w:rPr>
      </w:pPr>
    </w:p>
    <w:p>
      <w:pPr>
        <w:ind w:left="780" w:hanging="422"/>
        <w:spacing w:after="0"/>
        <w:tabs>
          <w:tab w:leader="none" w:pos="780" w:val="left"/>
        </w:tabs>
        <w:numPr>
          <w:ilvl w:val="0"/>
          <w:numId w:val="35"/>
        </w:numPr>
        <w:rPr>
          <w:rFonts w:ascii="Arial" w:cs="Arial" w:eastAsia="Arial" w:hAnsi="Arial"/>
          <w:sz w:val="14"/>
          <w:szCs w:val="14"/>
          <w:color w:val="auto"/>
        </w:rPr>
      </w:pPr>
      <w:r>
        <w:rPr>
          <w:rFonts w:ascii="Arial" w:cs="Arial" w:eastAsia="Arial" w:hAnsi="Arial"/>
          <w:sz w:val="14"/>
          <w:szCs w:val="14"/>
          <w:color w:val="auto"/>
        </w:rPr>
        <w:t>Represents the fair market value of shares that were unvested as of December 31, 2022, based on the closing market price of $8.33 on December 30, 2022.</w:t>
      </w:r>
    </w:p>
    <w:p>
      <w:pPr>
        <w:spacing w:after="0" w:line="285" w:lineRule="exact"/>
        <w:rPr>
          <w:sz w:val="20"/>
          <w:szCs w:val="20"/>
          <w:color w:val="auto"/>
        </w:rPr>
      </w:pPr>
    </w:p>
    <w:p>
      <w:pPr>
        <w:ind w:left="360"/>
        <w:spacing w:after="0"/>
        <w:rPr>
          <w:sz w:val="20"/>
          <w:szCs w:val="20"/>
          <w:color w:val="auto"/>
        </w:rPr>
      </w:pPr>
      <w:r>
        <w:rPr>
          <w:rFonts w:ascii="Arial" w:cs="Arial" w:eastAsia="Arial" w:hAnsi="Arial"/>
          <w:sz w:val="31"/>
          <w:szCs w:val="31"/>
          <w:color w:val="00B0DB"/>
        </w:rPr>
        <w:t>Option Exercises and Stock Vested</w:t>
      </w:r>
    </w:p>
    <w:p>
      <w:pPr>
        <w:spacing w:after="0" w:line="221" w:lineRule="exact"/>
        <w:rPr>
          <w:sz w:val="20"/>
          <w:szCs w:val="20"/>
          <w:color w:val="auto"/>
        </w:rPr>
      </w:pPr>
    </w:p>
    <w:p>
      <w:pPr>
        <w:jc w:val="both"/>
        <w:ind w:left="360" w:right="80"/>
        <w:spacing w:after="0" w:line="256" w:lineRule="auto"/>
        <w:rPr>
          <w:sz w:val="20"/>
          <w:szCs w:val="20"/>
          <w:color w:val="auto"/>
        </w:rPr>
      </w:pPr>
      <w:r>
        <w:rPr>
          <w:rFonts w:ascii="Arial" w:cs="Arial" w:eastAsia="Arial" w:hAnsi="Arial"/>
          <w:sz w:val="17"/>
          <w:szCs w:val="17"/>
          <w:color w:val="auto"/>
        </w:rPr>
        <w:t>The following table sets forth information regarding stock vested in the fiscal year ended December 31, 2022 by each of our NEOs. None of our NEOs exercised stock option awards in the fiscal year ended December 31, 2022 and none of Messrs. Biehl, Dimitrief or Hammons acquired any shares of stock in the fiscal year ended December 31, 2022.</w:t>
      </w:r>
    </w:p>
    <w:p>
      <w:pPr>
        <w:spacing w:after="0" w:line="195" w:lineRule="exact"/>
        <w:rPr>
          <w:sz w:val="20"/>
          <w:szCs w:val="20"/>
          <w:color w:val="auto"/>
        </w:rPr>
      </w:pPr>
    </w:p>
    <w:tbl>
      <w:tblPr>
        <w:tblLayout w:type="fixed"/>
        <w:tblInd w:w="360" w:type="dxa"/>
        <w:tblCellMar>
          <w:top w:w="0" w:type="dxa"/>
          <w:left w:w="0" w:type="dxa"/>
          <w:bottom w:w="0" w:type="dxa"/>
          <w:right w:w="0" w:type="dxa"/>
        </w:tblCellMar>
      </w:tblPr>
      <w:tr>
        <w:trPr>
          <w:trHeight w:val="164"/>
        </w:trPr>
        <w:tc>
          <w:tcPr>
            <w:tcW w:w="350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880" w:type="dxa"/>
            <w:vAlign w:val="bottom"/>
            <w:tcBorders>
              <w:bottom w:val="single" w:sz="8" w:color="00467D"/>
            </w:tcBorders>
          </w:tcPr>
          <w:p>
            <w:pPr>
              <w:spacing w:after="0"/>
              <w:rPr>
                <w:sz w:val="14"/>
                <w:szCs w:val="14"/>
                <w:color w:val="auto"/>
              </w:rPr>
            </w:pPr>
          </w:p>
        </w:tc>
        <w:tc>
          <w:tcPr>
            <w:tcW w:w="1860" w:type="dxa"/>
            <w:vAlign w:val="bottom"/>
            <w:tcBorders>
              <w:bottom w:val="single" w:sz="8" w:color="00467D"/>
            </w:tcBorders>
          </w:tcPr>
          <w:p>
            <w:pPr>
              <w:ind w:left="60"/>
              <w:spacing w:after="0"/>
              <w:rPr>
                <w:sz w:val="20"/>
                <w:szCs w:val="20"/>
                <w:color w:val="auto"/>
              </w:rPr>
            </w:pPr>
            <w:r>
              <w:rPr>
                <w:rFonts w:ascii="Arial" w:cs="Arial" w:eastAsia="Arial" w:hAnsi="Arial"/>
                <w:sz w:val="14"/>
                <w:szCs w:val="14"/>
                <w:b w:val="1"/>
                <w:bCs w:val="1"/>
                <w:color w:val="00467D"/>
              </w:rPr>
              <w:t>Stock Awards</w:t>
            </w:r>
          </w:p>
        </w:tc>
        <w:tc>
          <w:tcPr>
            <w:tcW w:w="1320" w:type="dxa"/>
            <w:vAlign w:val="bottom"/>
            <w:tcBorders>
              <w:bottom w:val="single" w:sz="8" w:color="00467D"/>
            </w:tcBorders>
          </w:tcPr>
          <w:p>
            <w:pPr>
              <w:spacing w:after="0"/>
              <w:rPr>
                <w:sz w:val="14"/>
                <w:szCs w:val="14"/>
                <w:color w:val="auto"/>
              </w:rPr>
            </w:pPr>
          </w:p>
        </w:tc>
      </w:tr>
      <w:tr>
        <w:trPr>
          <w:trHeight w:val="148"/>
        </w:trPr>
        <w:tc>
          <w:tcPr>
            <w:tcW w:w="3500" w:type="dxa"/>
            <w:vAlign w:val="bottom"/>
          </w:tcPr>
          <w:p>
            <w:pPr>
              <w:spacing w:after="0"/>
              <w:rPr>
                <w:sz w:val="12"/>
                <w:szCs w:val="12"/>
                <w:color w:val="auto"/>
              </w:rPr>
            </w:pPr>
          </w:p>
        </w:tc>
        <w:tc>
          <w:tcPr>
            <w:tcW w:w="3860" w:type="dxa"/>
            <w:vAlign w:val="bottom"/>
            <w:gridSpan w:val="2"/>
          </w:tcPr>
          <w:p>
            <w:pPr>
              <w:jc w:val="right"/>
              <w:spacing w:after="0" w:line="148" w:lineRule="exact"/>
              <w:rPr>
                <w:sz w:val="20"/>
                <w:szCs w:val="20"/>
                <w:color w:val="auto"/>
              </w:rPr>
            </w:pPr>
            <w:r>
              <w:rPr>
                <w:rFonts w:ascii="Arial" w:cs="Arial" w:eastAsia="Arial" w:hAnsi="Arial"/>
                <w:sz w:val="14"/>
                <w:szCs w:val="14"/>
                <w:b w:val="1"/>
                <w:bCs w:val="1"/>
                <w:color w:val="00467D"/>
              </w:rPr>
              <w:t>Number of Shares Acquired</w:t>
            </w:r>
          </w:p>
        </w:tc>
        <w:tc>
          <w:tcPr>
            <w:tcW w:w="3180" w:type="dxa"/>
            <w:vAlign w:val="bottom"/>
            <w:gridSpan w:val="2"/>
          </w:tcPr>
          <w:p>
            <w:pPr>
              <w:ind w:left="1740"/>
              <w:spacing w:after="0" w:line="148" w:lineRule="exact"/>
              <w:rPr>
                <w:sz w:val="20"/>
                <w:szCs w:val="20"/>
                <w:color w:val="auto"/>
              </w:rPr>
            </w:pPr>
            <w:r>
              <w:rPr>
                <w:rFonts w:ascii="Arial" w:cs="Arial" w:eastAsia="Arial" w:hAnsi="Arial"/>
                <w:sz w:val="14"/>
                <w:szCs w:val="14"/>
                <w:b w:val="1"/>
                <w:bCs w:val="1"/>
                <w:color w:val="00467D"/>
              </w:rPr>
              <w:t>Value Realized on</w:t>
            </w:r>
          </w:p>
        </w:tc>
      </w:tr>
      <w:tr>
        <w:trPr>
          <w:trHeight w:val="194"/>
        </w:trPr>
        <w:tc>
          <w:tcPr>
            <w:tcW w:w="3500" w:type="dxa"/>
            <w:vAlign w:val="bottom"/>
            <w:tcBorders>
              <w:bottom w:val="single" w:sz="8" w:color="00467D"/>
            </w:tcBorders>
          </w:tcPr>
          <w:p>
            <w:pPr>
              <w:ind w:left="60"/>
              <w:spacing w:after="0"/>
              <w:rPr>
                <w:sz w:val="20"/>
                <w:szCs w:val="20"/>
                <w:color w:val="auto"/>
              </w:rPr>
            </w:pPr>
            <w:r>
              <w:rPr>
                <w:rFonts w:ascii="Arial" w:cs="Arial" w:eastAsia="Arial" w:hAnsi="Arial"/>
                <w:sz w:val="14"/>
                <w:szCs w:val="14"/>
                <w:b w:val="1"/>
                <w:bCs w:val="1"/>
                <w:color w:val="00467D"/>
              </w:rPr>
              <w:t>Name</w:t>
            </w:r>
          </w:p>
        </w:tc>
        <w:tc>
          <w:tcPr>
            <w:tcW w:w="1980" w:type="dxa"/>
            <w:vAlign w:val="bottom"/>
            <w:tcBorders>
              <w:bottom w:val="single" w:sz="8" w:color="00467D"/>
            </w:tcBorders>
          </w:tcPr>
          <w:p>
            <w:pPr>
              <w:spacing w:after="0"/>
              <w:rPr>
                <w:sz w:val="16"/>
                <w:szCs w:val="16"/>
                <w:color w:val="auto"/>
              </w:rPr>
            </w:pPr>
          </w:p>
        </w:tc>
        <w:tc>
          <w:tcPr>
            <w:tcW w:w="1880" w:type="dxa"/>
            <w:vAlign w:val="bottom"/>
            <w:tcBorders>
              <w:bottom w:val="single" w:sz="8" w:color="00467D"/>
            </w:tcBorders>
          </w:tcPr>
          <w:p>
            <w:pPr>
              <w:jc w:val="right"/>
              <w:ind w:right="371"/>
              <w:spacing w:after="0" w:line="194" w:lineRule="exact"/>
              <w:rPr>
                <w:sz w:val="20"/>
                <w:szCs w:val="20"/>
                <w:color w:val="auto"/>
              </w:rPr>
            </w:pPr>
            <w:r>
              <w:rPr>
                <w:rFonts w:ascii="Arial" w:cs="Arial" w:eastAsia="Arial" w:hAnsi="Arial"/>
                <w:sz w:val="14"/>
                <w:szCs w:val="14"/>
                <w:b w:val="1"/>
                <w:bCs w:val="1"/>
                <w:color w:val="00467D"/>
              </w:rPr>
              <w:t xml:space="preserve">on Vesting (#) </w:t>
            </w:r>
            <w:r>
              <w:rPr>
                <w:rFonts w:ascii="Arial" w:cs="Arial" w:eastAsia="Arial" w:hAnsi="Arial"/>
                <w:sz w:val="20"/>
                <w:szCs w:val="20"/>
                <w:b w:val="1"/>
                <w:bCs w:val="1"/>
                <w:color w:val="00467D"/>
                <w:vertAlign w:val="superscript"/>
              </w:rPr>
              <w:t>(1)</w:t>
            </w:r>
          </w:p>
        </w:tc>
        <w:tc>
          <w:tcPr>
            <w:tcW w:w="1860" w:type="dxa"/>
            <w:vAlign w:val="bottom"/>
            <w:tcBorders>
              <w:bottom w:val="single" w:sz="8" w:color="00467D"/>
            </w:tcBorders>
          </w:tcPr>
          <w:p>
            <w:pPr>
              <w:spacing w:after="0"/>
              <w:rPr>
                <w:sz w:val="16"/>
                <w:szCs w:val="16"/>
                <w:color w:val="auto"/>
              </w:rPr>
            </w:pPr>
          </w:p>
        </w:tc>
        <w:tc>
          <w:tcPr>
            <w:tcW w:w="1320" w:type="dxa"/>
            <w:vAlign w:val="bottom"/>
            <w:tcBorders>
              <w:bottom w:val="single" w:sz="8" w:color="00467D"/>
            </w:tcBorders>
          </w:tcPr>
          <w:p>
            <w:pPr>
              <w:jc w:val="right"/>
              <w:ind w:right="344"/>
              <w:spacing w:after="0" w:line="194" w:lineRule="exact"/>
              <w:rPr>
                <w:sz w:val="20"/>
                <w:szCs w:val="20"/>
                <w:color w:val="auto"/>
              </w:rPr>
            </w:pPr>
            <w:r>
              <w:rPr>
                <w:rFonts w:ascii="Arial" w:cs="Arial" w:eastAsia="Arial" w:hAnsi="Arial"/>
                <w:sz w:val="14"/>
                <w:szCs w:val="14"/>
                <w:b w:val="1"/>
                <w:bCs w:val="1"/>
                <w:color w:val="00467D"/>
                <w:w w:val="95"/>
              </w:rPr>
              <w:t xml:space="preserve">Vesting ($) </w:t>
            </w:r>
            <w:r>
              <w:rPr>
                <w:rFonts w:ascii="Arial" w:cs="Arial" w:eastAsia="Arial" w:hAnsi="Arial"/>
                <w:sz w:val="20"/>
                <w:szCs w:val="20"/>
                <w:b w:val="1"/>
                <w:bCs w:val="1"/>
                <w:color w:val="00467D"/>
                <w:w w:val="95"/>
                <w:vertAlign w:val="superscript"/>
              </w:rPr>
              <w:t>(2)</w:t>
            </w:r>
          </w:p>
        </w:tc>
      </w:tr>
      <w:tr>
        <w:trPr>
          <w:trHeight w:val="231"/>
        </w:trPr>
        <w:tc>
          <w:tcPr>
            <w:tcW w:w="3500" w:type="dxa"/>
            <w:vAlign w:val="bottom"/>
            <w:tcBorders>
              <w:bottom w:val="single" w:sz="8" w:color="99B5CB"/>
            </w:tcBorders>
          </w:tcPr>
          <w:p>
            <w:pPr>
              <w:ind w:left="60"/>
              <w:spacing w:after="0"/>
              <w:rPr>
                <w:sz w:val="20"/>
                <w:szCs w:val="20"/>
                <w:color w:val="auto"/>
              </w:rPr>
            </w:pPr>
            <w:r>
              <w:rPr>
                <w:rFonts w:ascii="Arial" w:cs="Arial" w:eastAsia="Arial" w:hAnsi="Arial"/>
                <w:sz w:val="15"/>
                <w:szCs w:val="15"/>
                <w:color w:val="auto"/>
              </w:rPr>
              <w:t>Michael B. Petras, Jr.</w:t>
            </w:r>
          </w:p>
        </w:tc>
        <w:tc>
          <w:tcPr>
            <w:tcW w:w="3860" w:type="dxa"/>
            <w:vAlign w:val="bottom"/>
            <w:tcBorders>
              <w:bottom w:val="single" w:sz="8" w:color="99B5CB"/>
            </w:tcBorders>
            <w:gridSpan w:val="2"/>
          </w:tcPr>
          <w:p>
            <w:pPr>
              <w:jc w:val="right"/>
              <w:spacing w:after="0"/>
              <w:rPr>
                <w:sz w:val="20"/>
                <w:szCs w:val="20"/>
                <w:color w:val="auto"/>
              </w:rPr>
            </w:pPr>
            <w:r>
              <w:rPr>
                <w:rFonts w:ascii="Arial" w:cs="Arial" w:eastAsia="Arial" w:hAnsi="Arial"/>
                <w:sz w:val="15"/>
                <w:szCs w:val="15"/>
                <w:color w:val="auto"/>
              </w:rPr>
              <w:t>65,218</w:t>
            </w:r>
          </w:p>
        </w:tc>
        <w:tc>
          <w:tcPr>
            <w:tcW w:w="1860" w:type="dxa"/>
            <w:vAlign w:val="bottom"/>
            <w:tcBorders>
              <w:bottom w:val="single" w:sz="8" w:color="99B5CB"/>
            </w:tcBorders>
          </w:tcPr>
          <w:p>
            <w:pPr>
              <w:ind w:left="1740"/>
              <w:spacing w:after="0"/>
              <w:rPr>
                <w:sz w:val="20"/>
                <w:szCs w:val="20"/>
                <w:color w:val="auto"/>
              </w:rPr>
            </w:pPr>
            <w:r>
              <w:rPr>
                <w:rFonts w:ascii="Arial" w:cs="Arial" w:eastAsia="Arial" w:hAnsi="Arial"/>
                <w:sz w:val="15"/>
                <w:szCs w:val="15"/>
                <w:color w:val="auto"/>
              </w:rPr>
              <w:t>$</w:t>
            </w:r>
          </w:p>
        </w:tc>
        <w:tc>
          <w:tcPr>
            <w:tcW w:w="1320" w:type="dxa"/>
            <w:vAlign w:val="bottom"/>
            <w:tcBorders>
              <w:bottom w:val="single" w:sz="8" w:color="99B5CB"/>
            </w:tcBorders>
          </w:tcPr>
          <w:p>
            <w:pPr>
              <w:jc w:val="right"/>
              <w:ind w:right="184"/>
              <w:spacing w:after="0"/>
              <w:rPr>
                <w:sz w:val="20"/>
                <w:szCs w:val="20"/>
                <w:color w:val="auto"/>
              </w:rPr>
            </w:pPr>
            <w:r>
              <w:rPr>
                <w:rFonts w:ascii="Arial" w:cs="Arial" w:eastAsia="Arial" w:hAnsi="Arial"/>
                <w:sz w:val="15"/>
                <w:szCs w:val="15"/>
                <w:color w:val="auto"/>
              </w:rPr>
              <w:t>392,612</w:t>
            </w:r>
          </w:p>
        </w:tc>
      </w:tr>
      <w:tr>
        <w:trPr>
          <w:trHeight w:val="238"/>
        </w:trPr>
        <w:tc>
          <w:tcPr>
            <w:tcW w:w="3500" w:type="dxa"/>
            <w:vAlign w:val="bottom"/>
            <w:tcBorders>
              <w:bottom w:val="single" w:sz="8" w:color="99B5CB"/>
            </w:tcBorders>
          </w:tcPr>
          <w:p>
            <w:pPr>
              <w:ind w:left="60"/>
              <w:spacing w:after="0"/>
              <w:rPr>
                <w:sz w:val="20"/>
                <w:szCs w:val="20"/>
                <w:color w:val="auto"/>
              </w:rPr>
            </w:pPr>
            <w:r>
              <w:rPr>
                <w:rFonts w:ascii="Arial" w:cs="Arial" w:eastAsia="Arial" w:hAnsi="Arial"/>
                <w:sz w:val="15"/>
                <w:szCs w:val="15"/>
                <w:color w:val="auto"/>
              </w:rPr>
              <w:t>Michael P. Rutz</w:t>
            </w:r>
          </w:p>
        </w:tc>
        <w:tc>
          <w:tcPr>
            <w:tcW w:w="3860" w:type="dxa"/>
            <w:vAlign w:val="bottom"/>
            <w:tcBorders>
              <w:bottom w:val="single" w:sz="8" w:color="99B5CB"/>
            </w:tcBorders>
            <w:gridSpan w:val="2"/>
          </w:tcPr>
          <w:p>
            <w:pPr>
              <w:jc w:val="right"/>
              <w:spacing w:after="0"/>
              <w:rPr>
                <w:sz w:val="20"/>
                <w:szCs w:val="20"/>
                <w:color w:val="auto"/>
              </w:rPr>
            </w:pPr>
            <w:r>
              <w:rPr>
                <w:rFonts w:ascii="Arial" w:cs="Arial" w:eastAsia="Arial" w:hAnsi="Arial"/>
                <w:sz w:val="15"/>
                <w:szCs w:val="15"/>
                <w:color w:val="auto"/>
              </w:rPr>
              <w:t>122,273</w:t>
            </w:r>
          </w:p>
        </w:tc>
        <w:tc>
          <w:tcPr>
            <w:tcW w:w="1860" w:type="dxa"/>
            <w:vAlign w:val="bottom"/>
            <w:tcBorders>
              <w:bottom w:val="single" w:sz="8" w:color="99B5CB"/>
            </w:tcBorders>
          </w:tcPr>
          <w:p>
            <w:pPr>
              <w:spacing w:after="0"/>
              <w:rPr>
                <w:sz w:val="20"/>
                <w:szCs w:val="20"/>
                <w:color w:val="auto"/>
              </w:rPr>
            </w:pPr>
          </w:p>
        </w:tc>
        <w:tc>
          <w:tcPr>
            <w:tcW w:w="1320" w:type="dxa"/>
            <w:vAlign w:val="bottom"/>
            <w:tcBorders>
              <w:bottom w:val="single" w:sz="8" w:color="99B5CB"/>
            </w:tcBorders>
          </w:tcPr>
          <w:p>
            <w:pPr>
              <w:jc w:val="right"/>
              <w:ind w:right="184"/>
              <w:spacing w:after="0"/>
              <w:rPr>
                <w:sz w:val="20"/>
                <w:szCs w:val="20"/>
                <w:color w:val="auto"/>
              </w:rPr>
            </w:pPr>
            <w:r>
              <w:rPr>
                <w:rFonts w:ascii="Arial" w:cs="Arial" w:eastAsia="Arial" w:hAnsi="Arial"/>
                <w:sz w:val="15"/>
                <w:szCs w:val="15"/>
                <w:color w:val="auto"/>
              </w:rPr>
              <w:t>1,959,591</w:t>
            </w:r>
          </w:p>
        </w:tc>
      </w:tr>
      <w:tr>
        <w:trPr>
          <w:trHeight w:val="238"/>
        </w:trPr>
        <w:tc>
          <w:tcPr>
            <w:tcW w:w="3500" w:type="dxa"/>
            <w:vAlign w:val="bottom"/>
            <w:tcBorders>
              <w:bottom w:val="single" w:sz="8" w:color="99B5CB"/>
            </w:tcBorders>
          </w:tcPr>
          <w:p>
            <w:pPr>
              <w:ind w:left="60"/>
              <w:spacing w:after="0"/>
              <w:rPr>
                <w:sz w:val="20"/>
                <w:szCs w:val="20"/>
                <w:color w:val="auto"/>
              </w:rPr>
            </w:pPr>
            <w:r>
              <w:rPr>
                <w:rFonts w:ascii="Arial" w:cs="Arial" w:eastAsia="Arial" w:hAnsi="Arial"/>
                <w:sz w:val="15"/>
                <w:szCs w:val="15"/>
                <w:color w:val="auto"/>
              </w:rPr>
              <w:t>Matthew J. Klaben</w:t>
            </w:r>
          </w:p>
        </w:tc>
        <w:tc>
          <w:tcPr>
            <w:tcW w:w="3860" w:type="dxa"/>
            <w:vAlign w:val="bottom"/>
            <w:tcBorders>
              <w:bottom w:val="single" w:sz="8" w:color="99B5CB"/>
            </w:tcBorders>
            <w:gridSpan w:val="2"/>
          </w:tcPr>
          <w:p>
            <w:pPr>
              <w:jc w:val="right"/>
              <w:spacing w:after="0"/>
              <w:rPr>
                <w:sz w:val="20"/>
                <w:szCs w:val="20"/>
                <w:color w:val="auto"/>
              </w:rPr>
            </w:pPr>
            <w:r>
              <w:rPr>
                <w:rFonts w:ascii="Arial" w:cs="Arial" w:eastAsia="Arial" w:hAnsi="Arial"/>
                <w:sz w:val="15"/>
                <w:szCs w:val="15"/>
                <w:color w:val="auto"/>
              </w:rPr>
              <w:t>7,826</w:t>
            </w:r>
          </w:p>
        </w:tc>
        <w:tc>
          <w:tcPr>
            <w:tcW w:w="1860" w:type="dxa"/>
            <w:vAlign w:val="bottom"/>
            <w:tcBorders>
              <w:bottom w:val="single" w:sz="8" w:color="99B5CB"/>
            </w:tcBorders>
          </w:tcPr>
          <w:p>
            <w:pPr>
              <w:spacing w:after="0"/>
              <w:rPr>
                <w:sz w:val="20"/>
                <w:szCs w:val="20"/>
                <w:color w:val="auto"/>
              </w:rPr>
            </w:pPr>
          </w:p>
        </w:tc>
        <w:tc>
          <w:tcPr>
            <w:tcW w:w="1320" w:type="dxa"/>
            <w:vAlign w:val="bottom"/>
            <w:tcBorders>
              <w:bottom w:val="single" w:sz="8" w:color="99B5CB"/>
            </w:tcBorders>
          </w:tcPr>
          <w:p>
            <w:pPr>
              <w:jc w:val="right"/>
              <w:ind w:right="184"/>
              <w:spacing w:after="0"/>
              <w:rPr>
                <w:sz w:val="20"/>
                <w:szCs w:val="20"/>
                <w:color w:val="auto"/>
              </w:rPr>
            </w:pPr>
            <w:r>
              <w:rPr>
                <w:rFonts w:ascii="Arial" w:cs="Arial" w:eastAsia="Arial" w:hAnsi="Arial"/>
                <w:sz w:val="15"/>
                <w:szCs w:val="15"/>
                <w:color w:val="auto"/>
              </w:rPr>
              <w:t>47,113</w:t>
            </w:r>
          </w:p>
        </w:tc>
      </w:tr>
      <w:tr>
        <w:trPr>
          <w:trHeight w:val="238"/>
        </w:trPr>
        <w:tc>
          <w:tcPr>
            <w:tcW w:w="3500" w:type="dxa"/>
            <w:vAlign w:val="bottom"/>
            <w:tcBorders>
              <w:bottom w:val="single" w:sz="8" w:color="00467D"/>
            </w:tcBorders>
          </w:tcPr>
          <w:p>
            <w:pPr>
              <w:ind w:left="60"/>
              <w:spacing w:after="0"/>
              <w:rPr>
                <w:sz w:val="20"/>
                <w:szCs w:val="20"/>
                <w:color w:val="auto"/>
              </w:rPr>
            </w:pPr>
            <w:r>
              <w:rPr>
                <w:rFonts w:ascii="Arial" w:cs="Arial" w:eastAsia="Arial" w:hAnsi="Arial"/>
                <w:sz w:val="15"/>
                <w:szCs w:val="15"/>
                <w:color w:val="auto"/>
              </w:rPr>
              <w:t>Scott J. Leffler</w:t>
            </w:r>
          </w:p>
        </w:tc>
        <w:tc>
          <w:tcPr>
            <w:tcW w:w="3860" w:type="dxa"/>
            <w:vAlign w:val="bottom"/>
            <w:tcBorders>
              <w:bottom w:val="single" w:sz="8" w:color="00467D"/>
            </w:tcBorders>
            <w:gridSpan w:val="2"/>
          </w:tcPr>
          <w:p>
            <w:pPr>
              <w:jc w:val="right"/>
              <w:spacing w:after="0"/>
              <w:rPr>
                <w:sz w:val="20"/>
                <w:szCs w:val="20"/>
                <w:color w:val="auto"/>
              </w:rPr>
            </w:pPr>
            <w:r>
              <w:rPr>
                <w:rFonts w:ascii="Arial" w:cs="Arial" w:eastAsia="Arial" w:hAnsi="Arial"/>
                <w:sz w:val="15"/>
                <w:szCs w:val="15"/>
                <w:color w:val="auto"/>
              </w:rPr>
              <w:t>25,523</w:t>
            </w:r>
          </w:p>
        </w:tc>
        <w:tc>
          <w:tcPr>
            <w:tcW w:w="1860" w:type="dxa"/>
            <w:vAlign w:val="bottom"/>
            <w:tcBorders>
              <w:bottom w:val="single" w:sz="8" w:color="00467D"/>
            </w:tcBorders>
          </w:tcPr>
          <w:p>
            <w:pPr>
              <w:spacing w:after="0"/>
              <w:rPr>
                <w:sz w:val="20"/>
                <w:szCs w:val="20"/>
                <w:color w:val="auto"/>
              </w:rPr>
            </w:pPr>
          </w:p>
        </w:tc>
        <w:tc>
          <w:tcPr>
            <w:tcW w:w="1320" w:type="dxa"/>
            <w:vAlign w:val="bottom"/>
            <w:tcBorders>
              <w:bottom w:val="single" w:sz="8" w:color="00467D"/>
            </w:tcBorders>
          </w:tcPr>
          <w:p>
            <w:pPr>
              <w:jc w:val="right"/>
              <w:ind w:right="184"/>
              <w:spacing w:after="0"/>
              <w:rPr>
                <w:sz w:val="20"/>
                <w:szCs w:val="20"/>
                <w:color w:val="auto"/>
              </w:rPr>
            </w:pPr>
            <w:r>
              <w:rPr>
                <w:rFonts w:ascii="Arial" w:cs="Arial" w:eastAsia="Arial" w:hAnsi="Arial"/>
                <w:sz w:val="15"/>
                <w:szCs w:val="15"/>
                <w:color w:val="auto"/>
              </w:rPr>
              <w:t>542,733</w:t>
            </w:r>
          </w:p>
        </w:tc>
      </w:tr>
    </w:tbl>
    <w:p>
      <w:pPr>
        <w:spacing w:after="0" w:line="70" w:lineRule="exact"/>
        <w:rPr>
          <w:sz w:val="20"/>
          <w:szCs w:val="20"/>
          <w:color w:val="auto"/>
        </w:rPr>
      </w:pPr>
    </w:p>
    <w:p>
      <w:pPr>
        <w:jc w:val="both"/>
        <w:ind w:left="780" w:right="160" w:hanging="422"/>
        <w:spacing w:after="0" w:line="273" w:lineRule="auto"/>
        <w:tabs>
          <w:tab w:leader="none" w:pos="780" w:val="left"/>
        </w:tabs>
        <w:numPr>
          <w:ilvl w:val="0"/>
          <w:numId w:val="36"/>
        </w:numPr>
        <w:rPr>
          <w:rFonts w:ascii="Arial" w:cs="Arial" w:eastAsia="Arial" w:hAnsi="Arial"/>
          <w:sz w:val="13"/>
          <w:szCs w:val="13"/>
          <w:color w:val="auto"/>
        </w:rPr>
      </w:pPr>
      <w:r>
        <w:rPr>
          <w:rFonts w:ascii="Arial" w:cs="Arial" w:eastAsia="Arial" w:hAnsi="Arial"/>
          <w:sz w:val="13"/>
          <w:szCs w:val="13"/>
          <w:color w:val="auto"/>
        </w:rPr>
        <w:t>Includes RSUs granted under our 2020 Incentive Plan in connection with our IPO, one-quarter of which vested on November 20, 2022 and, for each of Messrs. Rutz and Leffler shares of restricted stock, distributed in respect of his respective limited partnership interest held in Topco Parent prior to our IPO, that vested throughout the year. The number of shares of restricted stock that vested in 2022 for each of Messrs. Rutz and Leffler was 115,752 shares and 25,523 shares, respectively.</w:t>
      </w:r>
    </w:p>
    <w:p>
      <w:pPr>
        <w:spacing w:after="0" w:line="70" w:lineRule="exact"/>
        <w:rPr>
          <w:rFonts w:ascii="Arial" w:cs="Arial" w:eastAsia="Arial" w:hAnsi="Arial"/>
          <w:sz w:val="13"/>
          <w:szCs w:val="13"/>
          <w:color w:val="auto"/>
        </w:rPr>
      </w:pPr>
    </w:p>
    <w:p>
      <w:pPr>
        <w:ind w:left="780" w:right="180" w:hanging="422"/>
        <w:spacing w:after="0" w:line="259" w:lineRule="auto"/>
        <w:tabs>
          <w:tab w:leader="none" w:pos="780" w:val="left"/>
        </w:tabs>
        <w:numPr>
          <w:ilvl w:val="0"/>
          <w:numId w:val="36"/>
        </w:numPr>
        <w:rPr>
          <w:rFonts w:ascii="Arial" w:cs="Arial" w:eastAsia="Arial" w:hAnsi="Arial"/>
          <w:sz w:val="14"/>
          <w:szCs w:val="14"/>
          <w:color w:val="auto"/>
        </w:rPr>
      </w:pPr>
      <w:r>
        <w:rPr>
          <w:rFonts w:ascii="Arial" w:cs="Arial" w:eastAsia="Arial" w:hAnsi="Arial"/>
          <w:sz w:val="14"/>
          <w:szCs w:val="14"/>
          <w:color w:val="auto"/>
        </w:rPr>
        <w:t>Consists of the value realized upon the vesting of RSUs and restricted stock, in each case, calculated by multiplying the number of shares vested by the share price on each applicable vesting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231775</wp:posOffset>
            </wp:positionH>
            <wp:positionV relativeFrom="paragraph">
              <wp:posOffset>87630</wp:posOffset>
            </wp:positionV>
            <wp:extent cx="6687820" cy="1651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687820" cy="16510"/>
                    </a:xfrm>
                    <a:prstGeom prst="rect">
                      <a:avLst/>
                    </a:prstGeom>
                    <a:noFill/>
                  </pic:spPr>
                </pic:pic>
              </a:graphicData>
            </a:graphic>
          </wp:anchor>
        </w:drawing>
      </w:r>
    </w:p>
    <w:p>
      <w:pPr>
        <w:spacing w:after="0" w:line="307" w:lineRule="exact"/>
        <w:rPr>
          <w:sz w:val="20"/>
          <w:szCs w:val="20"/>
          <w:color w:val="auto"/>
        </w:rPr>
      </w:pPr>
    </w:p>
    <w:tbl>
      <w:tblPr>
        <w:tblLayout w:type="fixed"/>
        <w:tblInd w:w="360" w:type="dxa"/>
        <w:tblCellMar>
          <w:top w:w="0" w:type="dxa"/>
          <w:left w:w="0" w:type="dxa"/>
          <w:bottom w:w="0" w:type="dxa"/>
          <w:right w:w="0" w:type="dxa"/>
        </w:tblCellMar>
      </w:tblPr>
      <w:tr>
        <w:trPr>
          <w:trHeight w:val="226"/>
        </w:trPr>
        <w:tc>
          <w:tcPr>
            <w:tcW w:w="3900" w:type="dxa"/>
            <w:vAlign w:val="bottom"/>
          </w:tcPr>
          <w:p>
            <w:pPr>
              <w:spacing w:after="0"/>
              <w:rPr>
                <w:sz w:val="20"/>
                <w:szCs w:val="20"/>
                <w:color w:val="auto"/>
              </w:rPr>
            </w:pPr>
            <w:r>
              <w:rPr>
                <w:rFonts w:ascii="Arial" w:cs="Arial" w:eastAsia="Arial" w:hAnsi="Arial"/>
                <w:sz w:val="17"/>
                <w:szCs w:val="17"/>
                <w:color w:val="auto"/>
              </w:rPr>
              <w:t>2023 Notice and Proxy Statement</w:t>
            </w:r>
          </w:p>
        </w:tc>
        <w:tc>
          <w:tcPr>
            <w:tcW w:w="1520" w:type="dxa"/>
            <w:vAlign w:val="bottom"/>
          </w:tcPr>
          <w:p>
            <w:pPr>
              <w:jc w:val="right"/>
              <w:spacing w:after="0"/>
              <w:rPr>
                <w:sz w:val="20"/>
                <w:szCs w:val="20"/>
                <w:color w:val="auto"/>
              </w:rPr>
            </w:pPr>
            <w:r>
              <w:rPr>
                <w:rFonts w:ascii="Arial" w:cs="Arial" w:eastAsia="Arial" w:hAnsi="Arial"/>
                <w:sz w:val="17"/>
                <w:szCs w:val="17"/>
                <w:color w:val="auto"/>
              </w:rPr>
              <w:t>48</w:t>
            </w:r>
          </w:p>
        </w:tc>
      </w:tr>
    </w:tbl>
    <w:p>
      <w:pPr>
        <w:sectPr>
          <w:pgSz w:w="11900" w:h="16838" w:orient="portrait"/>
          <w:cols w:equalWidth="0" w:num="1">
            <w:col w:w="10900"/>
          </w:cols>
          <w:pgMar w:left="320" w:top="468" w:right="67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5397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79945" cy="53975"/>
                    </a:xfrm>
                    <a:prstGeom prst="rect">
                      <a:avLst/>
                    </a:prstGeom>
                    <a:noFill/>
                  </pic:spPr>
                </pic:pic>
              </a:graphicData>
            </a:graphic>
          </wp:anchor>
        </w:drawing>
        <w:t>Table of Contents</w:t>
      </w:r>
    </w:p>
    <w:p>
      <w:pPr>
        <w:spacing w:after="0" w:line="296"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Compensation Tables</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Option Exercises and Stock Vested</w:t>
      </w:r>
    </w:p>
    <w:p>
      <w:pPr>
        <w:spacing w:after="0" w:line="105" w:lineRule="exact"/>
        <w:rPr>
          <w:sz w:val="20"/>
          <w:szCs w:val="20"/>
          <w:color w:val="auto"/>
        </w:rPr>
      </w:pPr>
    </w:p>
    <w:p>
      <w:pPr>
        <w:ind w:left="360"/>
        <w:spacing w:after="0"/>
        <w:rPr>
          <w:sz w:val="20"/>
          <w:szCs w:val="20"/>
          <w:color w:val="auto"/>
        </w:rPr>
      </w:pPr>
      <w:r>
        <w:rPr>
          <w:rFonts w:ascii="Arial" w:cs="Arial" w:eastAsia="Arial" w:hAnsi="Arial"/>
          <w:sz w:val="31"/>
          <w:szCs w:val="31"/>
          <w:color w:val="00B0DB"/>
        </w:rPr>
        <w:t>Non-Qualified Deferred Compensation</w:t>
      </w:r>
    </w:p>
    <w:p>
      <w:pPr>
        <w:spacing w:after="0" w:line="221" w:lineRule="exact"/>
        <w:rPr>
          <w:sz w:val="20"/>
          <w:szCs w:val="20"/>
          <w:color w:val="auto"/>
        </w:rPr>
      </w:pPr>
    </w:p>
    <w:p>
      <w:pPr>
        <w:ind w:left="360" w:right="240"/>
        <w:spacing w:after="0" w:line="246" w:lineRule="auto"/>
        <w:rPr>
          <w:sz w:val="20"/>
          <w:szCs w:val="20"/>
          <w:color w:val="auto"/>
        </w:rPr>
      </w:pPr>
      <w:r>
        <w:rPr>
          <w:rFonts w:ascii="Arial" w:cs="Arial" w:eastAsia="Arial" w:hAnsi="Arial"/>
          <w:sz w:val="17"/>
          <w:szCs w:val="17"/>
          <w:color w:val="auto"/>
        </w:rPr>
        <w:t>The following table sets forth information regarding contributions to our Supplemental Retirement Benefit Plan in the fiscal year ended December 31, 2022 by each of our NEOs. As of the date hereof, the only NEO who has participated in our Supplemental Retirement Benefit Plan is Mr. Rutz. We have not previously provided matching employer contributions under the Supplemental Retirement Plan, although we are permitted to do so by its terms. See “Retirement Plans” for more information on the Supplemental Retirement Plan. We do not offer any other nonqualified retirement plans or pension benefits.</w:t>
      </w:r>
    </w:p>
    <w:p>
      <w:pPr>
        <w:spacing w:after="0" w:line="200" w:lineRule="exact"/>
        <w:rPr>
          <w:sz w:val="20"/>
          <w:szCs w:val="20"/>
          <w:color w:val="auto"/>
        </w:rPr>
      </w:pPr>
    </w:p>
    <w:tbl>
      <w:tblPr>
        <w:tblLayout w:type="fixed"/>
        <w:tblInd w:w="360" w:type="dxa"/>
        <w:tblCellMar>
          <w:top w:w="0" w:type="dxa"/>
          <w:left w:w="0" w:type="dxa"/>
          <w:bottom w:w="0" w:type="dxa"/>
          <w:right w:w="0" w:type="dxa"/>
        </w:tblCellMar>
      </w:tblPr>
      <w:tr>
        <w:trPr>
          <w:trHeight w:val="161"/>
        </w:trPr>
        <w:tc>
          <w:tcPr>
            <w:tcW w:w="2160" w:type="dxa"/>
            <w:vAlign w:val="bottom"/>
          </w:tcPr>
          <w:p>
            <w:pPr>
              <w:spacing w:after="0"/>
              <w:rPr>
                <w:sz w:val="14"/>
                <w:szCs w:val="14"/>
                <w:color w:val="auto"/>
              </w:rPr>
            </w:pPr>
          </w:p>
        </w:tc>
        <w:tc>
          <w:tcPr>
            <w:tcW w:w="2860" w:type="dxa"/>
            <w:vAlign w:val="bottom"/>
          </w:tcPr>
          <w:p>
            <w:pPr>
              <w:jc w:val="center"/>
              <w:ind w:left="729"/>
              <w:spacing w:after="0"/>
              <w:rPr>
                <w:sz w:val="20"/>
                <w:szCs w:val="20"/>
                <w:color w:val="auto"/>
              </w:rPr>
            </w:pPr>
            <w:r>
              <w:rPr>
                <w:rFonts w:ascii="Arial" w:cs="Arial" w:eastAsia="Arial" w:hAnsi="Arial"/>
                <w:sz w:val="14"/>
                <w:szCs w:val="14"/>
                <w:b w:val="1"/>
                <w:bCs w:val="1"/>
                <w:color w:val="00467D"/>
                <w:w w:val="98"/>
              </w:rPr>
              <w:t>Executive Contributions</w:t>
            </w:r>
          </w:p>
        </w:tc>
        <w:tc>
          <w:tcPr>
            <w:tcW w:w="1520" w:type="dxa"/>
            <w:vAlign w:val="bottom"/>
          </w:tcPr>
          <w:p>
            <w:pPr>
              <w:jc w:val="center"/>
              <w:spacing w:after="0"/>
              <w:rPr>
                <w:sz w:val="20"/>
                <w:szCs w:val="20"/>
                <w:color w:val="auto"/>
              </w:rPr>
            </w:pPr>
            <w:r>
              <w:rPr>
                <w:rFonts w:ascii="Arial" w:cs="Arial" w:eastAsia="Arial" w:hAnsi="Arial"/>
                <w:sz w:val="14"/>
                <w:szCs w:val="14"/>
                <w:b w:val="1"/>
                <w:bCs w:val="1"/>
                <w:color w:val="00467D"/>
                <w:w w:val="98"/>
              </w:rPr>
              <w:t>Registrant</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00467D"/>
                <w:w w:val="98"/>
              </w:rPr>
              <w:t>Aggregate</w:t>
            </w:r>
          </w:p>
        </w:tc>
        <w:tc>
          <w:tcPr>
            <w:tcW w:w="1420" w:type="dxa"/>
            <w:vAlign w:val="bottom"/>
          </w:tcPr>
          <w:p>
            <w:pPr>
              <w:jc w:val="center"/>
              <w:spacing w:after="0"/>
              <w:rPr>
                <w:sz w:val="20"/>
                <w:szCs w:val="20"/>
                <w:color w:val="auto"/>
              </w:rPr>
            </w:pPr>
            <w:r>
              <w:rPr>
                <w:rFonts w:ascii="Arial" w:cs="Arial" w:eastAsia="Arial" w:hAnsi="Arial"/>
                <w:sz w:val="14"/>
                <w:szCs w:val="14"/>
                <w:b w:val="1"/>
                <w:bCs w:val="1"/>
                <w:color w:val="00467D"/>
                <w:w w:val="98"/>
              </w:rPr>
              <w:t>Aggregate</w:t>
            </w:r>
          </w:p>
        </w:tc>
        <w:tc>
          <w:tcPr>
            <w:tcW w:w="1100" w:type="dxa"/>
            <w:vAlign w:val="bottom"/>
          </w:tcPr>
          <w:p>
            <w:pPr>
              <w:jc w:val="center"/>
              <w:ind w:left="69"/>
              <w:spacing w:after="0"/>
              <w:rPr>
                <w:sz w:val="20"/>
                <w:szCs w:val="20"/>
                <w:color w:val="auto"/>
              </w:rPr>
            </w:pPr>
            <w:r>
              <w:rPr>
                <w:rFonts w:ascii="Arial" w:cs="Arial" w:eastAsia="Arial" w:hAnsi="Arial"/>
                <w:sz w:val="14"/>
                <w:szCs w:val="14"/>
                <w:b w:val="1"/>
                <w:bCs w:val="1"/>
                <w:color w:val="00467D"/>
                <w:w w:val="98"/>
              </w:rPr>
              <w:t>Aggregate</w:t>
            </w:r>
          </w:p>
        </w:tc>
      </w:tr>
      <w:tr>
        <w:trPr>
          <w:trHeight w:val="151"/>
        </w:trPr>
        <w:tc>
          <w:tcPr>
            <w:tcW w:w="2160" w:type="dxa"/>
            <w:vAlign w:val="bottom"/>
          </w:tcPr>
          <w:p>
            <w:pPr>
              <w:spacing w:after="0"/>
              <w:rPr>
                <w:sz w:val="13"/>
                <w:szCs w:val="13"/>
                <w:color w:val="auto"/>
              </w:rPr>
            </w:pPr>
          </w:p>
        </w:tc>
        <w:tc>
          <w:tcPr>
            <w:tcW w:w="2860" w:type="dxa"/>
            <w:vAlign w:val="bottom"/>
          </w:tcPr>
          <w:p>
            <w:pPr>
              <w:jc w:val="center"/>
              <w:ind w:left="729"/>
              <w:spacing w:after="0" w:line="151" w:lineRule="exact"/>
              <w:rPr>
                <w:sz w:val="20"/>
                <w:szCs w:val="20"/>
                <w:color w:val="auto"/>
              </w:rPr>
            </w:pPr>
            <w:r>
              <w:rPr>
                <w:rFonts w:ascii="Arial" w:cs="Arial" w:eastAsia="Arial" w:hAnsi="Arial"/>
                <w:sz w:val="14"/>
                <w:szCs w:val="14"/>
                <w:b w:val="1"/>
                <w:bCs w:val="1"/>
                <w:color w:val="00467D"/>
                <w:w w:val="98"/>
              </w:rPr>
              <w:t>in Last FY</w:t>
            </w:r>
          </w:p>
        </w:tc>
        <w:tc>
          <w:tcPr>
            <w:tcW w:w="1520" w:type="dxa"/>
            <w:vAlign w:val="bottom"/>
          </w:tcPr>
          <w:p>
            <w:pPr>
              <w:jc w:val="center"/>
              <w:spacing w:after="0" w:line="151" w:lineRule="exact"/>
              <w:rPr>
                <w:sz w:val="20"/>
                <w:szCs w:val="20"/>
                <w:color w:val="auto"/>
              </w:rPr>
            </w:pPr>
            <w:r>
              <w:rPr>
                <w:rFonts w:ascii="Arial" w:cs="Arial" w:eastAsia="Arial" w:hAnsi="Arial"/>
                <w:sz w:val="14"/>
                <w:szCs w:val="14"/>
                <w:b w:val="1"/>
                <w:bCs w:val="1"/>
                <w:color w:val="00467D"/>
                <w:w w:val="98"/>
              </w:rPr>
              <w:t>contributions in</w:t>
            </w:r>
          </w:p>
        </w:tc>
        <w:tc>
          <w:tcPr>
            <w:tcW w:w="1480" w:type="dxa"/>
            <w:vAlign w:val="bottom"/>
          </w:tcPr>
          <w:p>
            <w:pPr>
              <w:jc w:val="center"/>
              <w:spacing w:after="0" w:line="151" w:lineRule="exact"/>
              <w:rPr>
                <w:sz w:val="20"/>
                <w:szCs w:val="20"/>
                <w:color w:val="auto"/>
              </w:rPr>
            </w:pPr>
            <w:r>
              <w:rPr>
                <w:rFonts w:ascii="Arial" w:cs="Arial" w:eastAsia="Arial" w:hAnsi="Arial"/>
                <w:sz w:val="14"/>
                <w:szCs w:val="14"/>
                <w:b w:val="1"/>
                <w:bCs w:val="1"/>
                <w:color w:val="00467D"/>
                <w:w w:val="99"/>
              </w:rPr>
              <w:t>earnings in last</w:t>
            </w:r>
          </w:p>
        </w:tc>
        <w:tc>
          <w:tcPr>
            <w:tcW w:w="1420" w:type="dxa"/>
            <w:vAlign w:val="bottom"/>
          </w:tcPr>
          <w:p>
            <w:pPr>
              <w:jc w:val="center"/>
              <w:ind w:left="9"/>
              <w:spacing w:after="0" w:line="151" w:lineRule="exact"/>
              <w:rPr>
                <w:sz w:val="20"/>
                <w:szCs w:val="20"/>
                <w:color w:val="auto"/>
              </w:rPr>
            </w:pPr>
            <w:r>
              <w:rPr>
                <w:rFonts w:ascii="Arial" w:cs="Arial" w:eastAsia="Arial" w:hAnsi="Arial"/>
                <w:sz w:val="14"/>
                <w:szCs w:val="14"/>
                <w:b w:val="1"/>
                <w:bCs w:val="1"/>
                <w:color w:val="00467D"/>
                <w:w w:val="97"/>
              </w:rPr>
              <w:t>withdrawals/</w:t>
            </w:r>
          </w:p>
        </w:tc>
        <w:tc>
          <w:tcPr>
            <w:tcW w:w="1100" w:type="dxa"/>
            <w:vAlign w:val="bottom"/>
          </w:tcPr>
          <w:p>
            <w:pPr>
              <w:jc w:val="center"/>
              <w:ind w:left="49"/>
              <w:spacing w:after="0" w:line="151" w:lineRule="exact"/>
              <w:rPr>
                <w:sz w:val="20"/>
                <w:szCs w:val="20"/>
                <w:color w:val="auto"/>
              </w:rPr>
            </w:pPr>
            <w:r>
              <w:rPr>
                <w:rFonts w:ascii="Arial" w:cs="Arial" w:eastAsia="Arial" w:hAnsi="Arial"/>
                <w:sz w:val="14"/>
                <w:szCs w:val="14"/>
                <w:b w:val="1"/>
                <w:bCs w:val="1"/>
                <w:color w:val="00467D"/>
                <w:w w:val="97"/>
              </w:rPr>
              <w:t>balance at last</w:t>
            </w:r>
          </w:p>
        </w:tc>
      </w:tr>
      <w:tr>
        <w:trPr>
          <w:trHeight w:val="207"/>
        </w:trPr>
        <w:tc>
          <w:tcPr>
            <w:tcW w:w="2160" w:type="dxa"/>
            <w:vAlign w:val="bottom"/>
            <w:tcBorders>
              <w:bottom w:val="single" w:sz="8" w:color="00467D"/>
            </w:tcBorders>
          </w:tcPr>
          <w:p>
            <w:pPr>
              <w:ind w:left="60"/>
              <w:spacing w:after="0"/>
              <w:rPr>
                <w:sz w:val="20"/>
                <w:szCs w:val="20"/>
                <w:color w:val="auto"/>
              </w:rPr>
            </w:pPr>
            <w:r>
              <w:rPr>
                <w:rFonts w:ascii="Arial" w:cs="Arial" w:eastAsia="Arial" w:hAnsi="Arial"/>
                <w:sz w:val="14"/>
                <w:szCs w:val="14"/>
                <w:b w:val="1"/>
                <w:bCs w:val="1"/>
                <w:color w:val="00467D"/>
              </w:rPr>
              <w:t>Name</w:t>
            </w:r>
          </w:p>
        </w:tc>
        <w:tc>
          <w:tcPr>
            <w:tcW w:w="2860" w:type="dxa"/>
            <w:vAlign w:val="bottom"/>
            <w:tcBorders>
              <w:bottom w:val="single" w:sz="8" w:color="00467D"/>
            </w:tcBorders>
          </w:tcPr>
          <w:p>
            <w:pPr>
              <w:jc w:val="center"/>
              <w:ind w:right="769"/>
              <w:spacing w:after="0" w:line="207" w:lineRule="exact"/>
              <w:rPr>
                <w:sz w:val="20"/>
                <w:szCs w:val="20"/>
                <w:color w:val="auto"/>
              </w:rPr>
            </w:pPr>
            <w:r>
              <w:rPr>
                <w:rFonts w:ascii="Arial" w:cs="Arial" w:eastAsia="Arial" w:hAnsi="Arial"/>
                <w:sz w:val="14"/>
                <w:szCs w:val="14"/>
                <w:b w:val="1"/>
                <w:bCs w:val="1"/>
                <w:color w:val="00467D"/>
              </w:rPr>
              <w:t xml:space="preserve">($) </w:t>
            </w:r>
            <w:r>
              <w:rPr>
                <w:rFonts w:ascii="Arial" w:cs="Arial" w:eastAsia="Arial" w:hAnsi="Arial"/>
                <w:sz w:val="20"/>
                <w:szCs w:val="20"/>
                <w:b w:val="1"/>
                <w:bCs w:val="1"/>
                <w:color w:val="00467D"/>
                <w:vertAlign w:val="superscript"/>
              </w:rPr>
              <w:t>(1)</w:t>
            </w:r>
          </w:p>
        </w:tc>
        <w:tc>
          <w:tcPr>
            <w:tcW w:w="1520" w:type="dxa"/>
            <w:vAlign w:val="bottom"/>
            <w:tcBorders>
              <w:bottom w:val="single" w:sz="8" w:color="00467D"/>
            </w:tcBorders>
          </w:tcPr>
          <w:p>
            <w:pPr>
              <w:jc w:val="center"/>
              <w:spacing w:after="0" w:line="207" w:lineRule="exact"/>
              <w:rPr>
                <w:sz w:val="20"/>
                <w:szCs w:val="20"/>
                <w:color w:val="auto"/>
              </w:rPr>
            </w:pPr>
            <w:r>
              <w:rPr>
                <w:rFonts w:ascii="Arial" w:cs="Arial" w:eastAsia="Arial" w:hAnsi="Arial"/>
                <w:sz w:val="14"/>
                <w:szCs w:val="14"/>
                <w:b w:val="1"/>
                <w:bCs w:val="1"/>
                <w:color w:val="00467D"/>
                <w:w w:val="94"/>
              </w:rPr>
              <w:t xml:space="preserve">last FY ($) </w:t>
            </w:r>
            <w:r>
              <w:rPr>
                <w:rFonts w:ascii="Arial" w:cs="Arial" w:eastAsia="Arial" w:hAnsi="Arial"/>
                <w:sz w:val="20"/>
                <w:szCs w:val="20"/>
                <w:b w:val="1"/>
                <w:bCs w:val="1"/>
                <w:color w:val="00467D"/>
                <w:w w:val="94"/>
                <w:vertAlign w:val="superscript"/>
              </w:rPr>
              <w:t>(2)</w:t>
            </w:r>
          </w:p>
        </w:tc>
        <w:tc>
          <w:tcPr>
            <w:tcW w:w="1480" w:type="dxa"/>
            <w:vAlign w:val="bottom"/>
            <w:tcBorders>
              <w:bottom w:val="single" w:sz="8" w:color="00467D"/>
            </w:tcBorders>
          </w:tcPr>
          <w:p>
            <w:pPr>
              <w:jc w:val="center"/>
              <w:spacing w:after="0" w:line="207" w:lineRule="exact"/>
              <w:rPr>
                <w:sz w:val="20"/>
                <w:szCs w:val="20"/>
                <w:color w:val="auto"/>
              </w:rPr>
            </w:pPr>
            <w:r>
              <w:rPr>
                <w:rFonts w:ascii="Arial" w:cs="Arial" w:eastAsia="Arial" w:hAnsi="Arial"/>
                <w:sz w:val="14"/>
                <w:szCs w:val="14"/>
                <w:b w:val="1"/>
                <w:bCs w:val="1"/>
                <w:color w:val="00467D"/>
                <w:w w:val="91"/>
              </w:rPr>
              <w:t xml:space="preserve">FY ($) </w:t>
            </w:r>
            <w:r>
              <w:rPr>
                <w:rFonts w:ascii="Arial" w:cs="Arial" w:eastAsia="Arial" w:hAnsi="Arial"/>
                <w:sz w:val="20"/>
                <w:szCs w:val="20"/>
                <w:b w:val="1"/>
                <w:bCs w:val="1"/>
                <w:color w:val="00467D"/>
                <w:w w:val="91"/>
                <w:vertAlign w:val="superscript"/>
              </w:rPr>
              <w:t>(3)</w:t>
            </w:r>
          </w:p>
        </w:tc>
        <w:tc>
          <w:tcPr>
            <w:tcW w:w="1420" w:type="dxa"/>
            <w:vAlign w:val="bottom"/>
            <w:tcBorders>
              <w:bottom w:val="single" w:sz="8" w:color="00467D"/>
            </w:tcBorders>
          </w:tcPr>
          <w:p>
            <w:pPr>
              <w:jc w:val="center"/>
              <w:spacing w:after="0"/>
              <w:rPr>
                <w:sz w:val="20"/>
                <w:szCs w:val="20"/>
                <w:color w:val="auto"/>
              </w:rPr>
            </w:pPr>
            <w:r>
              <w:rPr>
                <w:rFonts w:ascii="Arial" w:cs="Arial" w:eastAsia="Arial" w:hAnsi="Arial"/>
                <w:sz w:val="14"/>
                <w:szCs w:val="14"/>
                <w:b w:val="1"/>
                <w:bCs w:val="1"/>
                <w:color w:val="00467D"/>
                <w:w w:val="98"/>
              </w:rPr>
              <w:t>distributions ($)</w:t>
            </w:r>
          </w:p>
        </w:tc>
        <w:tc>
          <w:tcPr>
            <w:tcW w:w="1100" w:type="dxa"/>
            <w:vAlign w:val="bottom"/>
            <w:tcBorders>
              <w:bottom w:val="single" w:sz="8" w:color="00467D"/>
            </w:tcBorders>
          </w:tcPr>
          <w:p>
            <w:pPr>
              <w:jc w:val="center"/>
              <w:ind w:left="69"/>
              <w:spacing w:after="0" w:line="207" w:lineRule="exact"/>
              <w:rPr>
                <w:sz w:val="20"/>
                <w:szCs w:val="20"/>
                <w:color w:val="auto"/>
              </w:rPr>
            </w:pPr>
            <w:r>
              <w:rPr>
                <w:rFonts w:ascii="Arial" w:cs="Arial" w:eastAsia="Arial" w:hAnsi="Arial"/>
                <w:sz w:val="14"/>
                <w:szCs w:val="14"/>
                <w:b w:val="1"/>
                <w:bCs w:val="1"/>
                <w:color w:val="00467D"/>
                <w:w w:val="93"/>
              </w:rPr>
              <w:t xml:space="preserve">FYE ($) </w:t>
            </w:r>
            <w:r>
              <w:rPr>
                <w:rFonts w:ascii="Arial" w:cs="Arial" w:eastAsia="Arial" w:hAnsi="Arial"/>
                <w:sz w:val="20"/>
                <w:szCs w:val="20"/>
                <w:b w:val="1"/>
                <w:bCs w:val="1"/>
                <w:color w:val="00467D"/>
                <w:w w:val="93"/>
                <w:vertAlign w:val="superscript"/>
              </w:rPr>
              <w:t>(4)</w:t>
            </w:r>
          </w:p>
        </w:tc>
      </w:tr>
      <w:tr>
        <w:trPr>
          <w:trHeight w:val="231"/>
        </w:trPr>
        <w:tc>
          <w:tcPr>
            <w:tcW w:w="2160" w:type="dxa"/>
            <w:vAlign w:val="bottom"/>
            <w:tcBorders>
              <w:bottom w:val="single" w:sz="8" w:color="00467D"/>
            </w:tcBorders>
          </w:tcPr>
          <w:p>
            <w:pPr>
              <w:ind w:left="60"/>
              <w:spacing w:after="0"/>
              <w:rPr>
                <w:sz w:val="20"/>
                <w:szCs w:val="20"/>
                <w:color w:val="auto"/>
              </w:rPr>
            </w:pPr>
            <w:r>
              <w:rPr>
                <w:rFonts w:ascii="Arial" w:cs="Arial" w:eastAsia="Arial" w:hAnsi="Arial"/>
                <w:sz w:val="15"/>
                <w:szCs w:val="15"/>
                <w:color w:val="auto"/>
              </w:rPr>
              <w:t>Michael P. Rutz</w:t>
            </w:r>
          </w:p>
        </w:tc>
        <w:tc>
          <w:tcPr>
            <w:tcW w:w="2860" w:type="dxa"/>
            <w:vAlign w:val="bottom"/>
            <w:tcBorders>
              <w:bottom w:val="single" w:sz="8" w:color="00467D"/>
            </w:tcBorders>
          </w:tcPr>
          <w:p>
            <w:pPr>
              <w:jc w:val="right"/>
              <w:ind w:right="669"/>
              <w:spacing w:after="0"/>
              <w:rPr>
                <w:sz w:val="20"/>
                <w:szCs w:val="20"/>
                <w:color w:val="auto"/>
              </w:rPr>
            </w:pPr>
            <w:r>
              <w:rPr>
                <w:rFonts w:ascii="Arial" w:cs="Arial" w:eastAsia="Arial" w:hAnsi="Arial"/>
                <w:sz w:val="15"/>
                <w:szCs w:val="15"/>
                <w:color w:val="auto"/>
              </w:rPr>
              <w:t>$69,177</w:t>
            </w:r>
          </w:p>
        </w:tc>
        <w:tc>
          <w:tcPr>
            <w:tcW w:w="1520" w:type="dxa"/>
            <w:vAlign w:val="bottom"/>
            <w:tcBorders>
              <w:bottom w:val="single" w:sz="8" w:color="00467D"/>
            </w:tcBorders>
          </w:tcPr>
          <w:p>
            <w:pPr>
              <w:jc w:val="center"/>
              <w:spacing w:after="0"/>
              <w:rPr>
                <w:sz w:val="20"/>
                <w:szCs w:val="20"/>
                <w:color w:val="auto"/>
              </w:rPr>
            </w:pPr>
            <w:r>
              <w:rPr>
                <w:rFonts w:ascii="Arial" w:cs="Arial" w:eastAsia="Arial" w:hAnsi="Arial"/>
                <w:sz w:val="15"/>
                <w:szCs w:val="15"/>
                <w:color w:val="auto"/>
              </w:rPr>
              <w:t>—</w:t>
            </w:r>
          </w:p>
        </w:tc>
        <w:tc>
          <w:tcPr>
            <w:tcW w:w="1480" w:type="dxa"/>
            <w:vAlign w:val="bottom"/>
            <w:tcBorders>
              <w:bottom w:val="single" w:sz="8" w:color="00467D"/>
            </w:tcBorders>
          </w:tcPr>
          <w:p>
            <w:pPr>
              <w:jc w:val="center"/>
              <w:spacing w:after="0"/>
              <w:rPr>
                <w:sz w:val="20"/>
                <w:szCs w:val="20"/>
                <w:color w:val="auto"/>
              </w:rPr>
            </w:pPr>
            <w:r>
              <w:rPr>
                <w:rFonts w:ascii="Arial" w:cs="Arial" w:eastAsia="Arial" w:hAnsi="Arial"/>
                <w:sz w:val="15"/>
                <w:szCs w:val="15"/>
                <w:color w:val="auto"/>
              </w:rPr>
              <w:t>$(30,021)</w:t>
            </w:r>
          </w:p>
        </w:tc>
        <w:tc>
          <w:tcPr>
            <w:tcW w:w="1420" w:type="dxa"/>
            <w:vAlign w:val="bottom"/>
            <w:tcBorders>
              <w:bottom w:val="single" w:sz="8" w:color="00467D"/>
            </w:tcBorders>
          </w:tcPr>
          <w:p>
            <w:pPr>
              <w:jc w:val="center"/>
              <w:ind w:left="9"/>
              <w:spacing w:after="0"/>
              <w:rPr>
                <w:sz w:val="20"/>
                <w:szCs w:val="20"/>
                <w:color w:val="auto"/>
              </w:rPr>
            </w:pPr>
            <w:r>
              <w:rPr>
                <w:rFonts w:ascii="Arial" w:cs="Arial" w:eastAsia="Arial" w:hAnsi="Arial"/>
                <w:sz w:val="15"/>
                <w:szCs w:val="15"/>
                <w:color w:val="auto"/>
                <w:w w:val="93"/>
              </w:rPr>
              <w:t>—</w:t>
            </w:r>
          </w:p>
        </w:tc>
        <w:tc>
          <w:tcPr>
            <w:tcW w:w="1100" w:type="dxa"/>
            <w:vAlign w:val="bottom"/>
            <w:tcBorders>
              <w:bottom w:val="single" w:sz="8" w:color="00467D"/>
            </w:tcBorders>
          </w:tcPr>
          <w:p>
            <w:pPr>
              <w:jc w:val="center"/>
              <w:ind w:left="49"/>
              <w:spacing w:after="0"/>
              <w:rPr>
                <w:sz w:val="20"/>
                <w:szCs w:val="20"/>
                <w:color w:val="auto"/>
              </w:rPr>
            </w:pPr>
            <w:r>
              <w:rPr>
                <w:rFonts w:ascii="Arial" w:cs="Arial" w:eastAsia="Arial" w:hAnsi="Arial"/>
                <w:sz w:val="15"/>
                <w:szCs w:val="15"/>
                <w:color w:val="auto"/>
              </w:rPr>
              <w:t>$174,228</w:t>
            </w:r>
          </w:p>
        </w:tc>
      </w:tr>
    </w:tbl>
    <w:p>
      <w:pPr>
        <w:spacing w:after="0" w:line="70" w:lineRule="exact"/>
        <w:rPr>
          <w:sz w:val="20"/>
          <w:szCs w:val="20"/>
          <w:color w:val="auto"/>
        </w:rPr>
      </w:pPr>
    </w:p>
    <w:p>
      <w:pPr>
        <w:ind w:left="780" w:hanging="422"/>
        <w:spacing w:after="0"/>
        <w:tabs>
          <w:tab w:leader="none" w:pos="780" w:val="left"/>
        </w:tabs>
        <w:numPr>
          <w:ilvl w:val="0"/>
          <w:numId w:val="37"/>
        </w:numPr>
        <w:rPr>
          <w:rFonts w:ascii="Arial" w:cs="Arial" w:eastAsia="Arial" w:hAnsi="Arial"/>
          <w:sz w:val="14"/>
          <w:szCs w:val="14"/>
          <w:color w:val="auto"/>
        </w:rPr>
      </w:pPr>
      <w:r>
        <w:rPr>
          <w:rFonts w:ascii="Arial" w:cs="Arial" w:eastAsia="Arial" w:hAnsi="Arial"/>
          <w:sz w:val="14"/>
          <w:szCs w:val="14"/>
          <w:color w:val="auto"/>
        </w:rPr>
        <w:t>Amounts in this column are also reported as salary in the Summary Compensation Table.</w:t>
      </w:r>
    </w:p>
    <w:p>
      <w:pPr>
        <w:spacing w:after="0" w:line="110" w:lineRule="exact"/>
        <w:rPr>
          <w:rFonts w:ascii="Arial" w:cs="Arial" w:eastAsia="Arial" w:hAnsi="Arial"/>
          <w:sz w:val="14"/>
          <w:szCs w:val="14"/>
          <w:color w:val="auto"/>
        </w:rPr>
      </w:pPr>
    </w:p>
    <w:p>
      <w:pPr>
        <w:ind w:left="780" w:right="240" w:hanging="422"/>
        <w:spacing w:after="0" w:line="259" w:lineRule="auto"/>
        <w:tabs>
          <w:tab w:leader="none" w:pos="780" w:val="left"/>
        </w:tabs>
        <w:numPr>
          <w:ilvl w:val="0"/>
          <w:numId w:val="37"/>
        </w:numPr>
        <w:rPr>
          <w:rFonts w:ascii="Arial" w:cs="Arial" w:eastAsia="Arial" w:hAnsi="Arial"/>
          <w:sz w:val="14"/>
          <w:szCs w:val="14"/>
          <w:color w:val="auto"/>
        </w:rPr>
      </w:pPr>
      <w:r>
        <w:rPr>
          <w:rFonts w:ascii="Arial" w:cs="Arial" w:eastAsia="Arial" w:hAnsi="Arial"/>
          <w:sz w:val="14"/>
          <w:szCs w:val="14"/>
          <w:color w:val="auto"/>
        </w:rPr>
        <w:t>Amounts in this column represent Company contributions to the Supplemental Retirement Benefit Plan. There have been no such contributions to date, so no such contributions are included in the Summary Compensation Table.</w:t>
      </w:r>
    </w:p>
    <w:p>
      <w:pPr>
        <w:spacing w:after="0" w:line="78" w:lineRule="exact"/>
        <w:rPr>
          <w:rFonts w:ascii="Arial" w:cs="Arial" w:eastAsia="Arial" w:hAnsi="Arial"/>
          <w:sz w:val="14"/>
          <w:szCs w:val="14"/>
          <w:color w:val="auto"/>
        </w:rPr>
      </w:pPr>
    </w:p>
    <w:p>
      <w:pPr>
        <w:ind w:left="780" w:right="160" w:hanging="422"/>
        <w:spacing w:after="0" w:line="259" w:lineRule="auto"/>
        <w:tabs>
          <w:tab w:leader="none" w:pos="780" w:val="left"/>
        </w:tabs>
        <w:numPr>
          <w:ilvl w:val="0"/>
          <w:numId w:val="37"/>
        </w:numPr>
        <w:rPr>
          <w:rFonts w:ascii="Arial" w:cs="Arial" w:eastAsia="Arial" w:hAnsi="Arial"/>
          <w:sz w:val="14"/>
          <w:szCs w:val="14"/>
          <w:color w:val="auto"/>
        </w:rPr>
      </w:pPr>
      <w:r>
        <w:rPr>
          <w:rFonts w:ascii="Arial" w:cs="Arial" w:eastAsia="Arial" w:hAnsi="Arial"/>
          <w:sz w:val="14"/>
          <w:szCs w:val="14"/>
          <w:color w:val="auto"/>
        </w:rPr>
        <w:t>Amounts reported in this column reflect earnings in investment options that are consistent with those offered under the qualified 401(k) Plan. These amounts are not included in the Summary Compensation Table because the earnings are not “above-market” or preferential.</w:t>
      </w:r>
    </w:p>
    <w:p>
      <w:pPr>
        <w:spacing w:after="0" w:line="78" w:lineRule="exact"/>
        <w:rPr>
          <w:rFonts w:ascii="Arial" w:cs="Arial" w:eastAsia="Arial" w:hAnsi="Arial"/>
          <w:sz w:val="14"/>
          <w:szCs w:val="14"/>
          <w:color w:val="auto"/>
        </w:rPr>
      </w:pPr>
    </w:p>
    <w:p>
      <w:pPr>
        <w:ind w:left="780" w:right="140" w:hanging="422"/>
        <w:spacing w:after="0" w:line="259" w:lineRule="auto"/>
        <w:tabs>
          <w:tab w:leader="none" w:pos="780" w:val="left"/>
        </w:tabs>
        <w:numPr>
          <w:ilvl w:val="0"/>
          <w:numId w:val="37"/>
        </w:numPr>
        <w:rPr>
          <w:rFonts w:ascii="Arial" w:cs="Arial" w:eastAsia="Arial" w:hAnsi="Arial"/>
          <w:sz w:val="14"/>
          <w:szCs w:val="14"/>
          <w:color w:val="auto"/>
        </w:rPr>
      </w:pPr>
      <w:r>
        <w:rPr>
          <w:rFonts w:ascii="Arial" w:cs="Arial" w:eastAsia="Arial" w:hAnsi="Arial"/>
          <w:sz w:val="14"/>
          <w:szCs w:val="14"/>
          <w:color w:val="auto"/>
        </w:rPr>
        <w:t>There were no contributions made by NEOs to our Supplemental Retirement Plan prior to the fiscal year ended December 31, 2022, so this column does not include any amounts reported in the Summary Compensation Table for prior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231775</wp:posOffset>
            </wp:positionH>
            <wp:positionV relativeFrom="paragraph">
              <wp:posOffset>87630</wp:posOffset>
            </wp:positionV>
            <wp:extent cx="6687820" cy="1651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687820" cy="16510"/>
                    </a:xfrm>
                    <a:prstGeom prst="rect">
                      <a:avLst/>
                    </a:prstGeom>
                    <a:noFill/>
                  </pic:spPr>
                </pic:pic>
              </a:graphicData>
            </a:graphic>
          </wp:anchor>
        </w:drawing>
      </w:r>
    </w:p>
    <w:p>
      <w:pPr>
        <w:spacing w:after="0" w:line="307"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6443980</wp:posOffset>
            </wp:positionH>
            <wp:positionV relativeFrom="paragraph">
              <wp:posOffset>-113030</wp:posOffset>
            </wp:positionV>
            <wp:extent cx="475615" cy="15557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475615" cy="155575"/>
                    </a:xfrm>
                    <a:prstGeom prst="rect">
                      <a:avLst/>
                    </a:prstGeom>
                    <a:noFill/>
                  </pic:spPr>
                </pic:pic>
              </a:graphicData>
            </a:graphic>
          </wp:anchor>
        </w:drawing>
      </w:r>
    </w:p>
    <w:p>
      <w:pPr>
        <w:sectPr>
          <w:pgSz w:w="11900" w:h="16838" w:orient="portrait"/>
          <w:cols w:equalWidth="0" w:num="1">
            <w:col w:w="10900"/>
          </w:cols>
          <w:pgMar w:left="320" w:top="468" w:right="67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5397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79945" cy="53975"/>
                    </a:xfrm>
                    <a:prstGeom prst="rect">
                      <a:avLst/>
                    </a:prstGeom>
                    <a:noFill/>
                  </pic:spPr>
                </pic:pic>
              </a:graphicData>
            </a:graphic>
          </wp:anchor>
        </w:drawing>
        <w:t>Table of Contents</w:t>
      </w:r>
    </w:p>
    <w:p>
      <w:pPr>
        <w:spacing w:after="0" w:line="296"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auto"/>
        </w:rPr>
        <w:t>Potential Termination Payments</w:t>
      </w:r>
    </w:p>
    <w:p>
      <w:pPr>
        <w:spacing w:after="0" w:line="21" w:lineRule="exact"/>
        <w:rPr>
          <w:sz w:val="20"/>
          <w:szCs w:val="20"/>
          <w:color w:val="auto"/>
        </w:rPr>
      </w:pPr>
    </w:p>
    <w:p>
      <w:pPr>
        <w:ind w:left="360"/>
        <w:spacing w:after="0"/>
        <w:rPr>
          <w:sz w:val="20"/>
          <w:szCs w:val="20"/>
          <w:color w:val="auto"/>
        </w:rPr>
      </w:pPr>
      <w:r>
        <w:rPr>
          <w:rFonts w:ascii="Arial" w:cs="Arial" w:eastAsia="Arial" w:hAnsi="Arial"/>
          <w:sz w:val="14"/>
          <w:szCs w:val="14"/>
          <w:b w:val="1"/>
          <w:bCs w:val="1"/>
          <w:color w:val="auto"/>
        </w:rPr>
        <w:t>Employment Agreements</w:t>
      </w:r>
    </w:p>
    <w:p>
      <w:pPr>
        <w:spacing w:after="0" w:line="90" w:lineRule="exact"/>
        <w:rPr>
          <w:sz w:val="20"/>
          <w:szCs w:val="20"/>
          <w:color w:val="auto"/>
        </w:rPr>
      </w:pPr>
    </w:p>
    <w:p>
      <w:pPr>
        <w:ind w:left="360"/>
        <w:spacing w:after="0"/>
        <w:rPr>
          <w:sz w:val="20"/>
          <w:szCs w:val="20"/>
          <w:color w:val="auto"/>
        </w:rPr>
      </w:pPr>
      <w:r>
        <w:rPr>
          <w:rFonts w:ascii="Arial" w:cs="Arial" w:eastAsia="Arial" w:hAnsi="Arial"/>
          <w:sz w:val="41"/>
          <w:szCs w:val="41"/>
          <w:b w:val="1"/>
          <w:bCs w:val="1"/>
          <w:color w:val="00B0DB"/>
        </w:rPr>
        <w:t>POTENTIAL TERMINATION PAYMENTS</w:t>
      </w:r>
    </w:p>
    <w:p>
      <w:pPr>
        <w:spacing w:after="0" w:line="237" w:lineRule="exact"/>
        <w:rPr>
          <w:sz w:val="20"/>
          <w:szCs w:val="20"/>
          <w:color w:val="auto"/>
        </w:rPr>
      </w:pPr>
    </w:p>
    <w:p>
      <w:pPr>
        <w:ind w:left="360"/>
        <w:spacing w:after="0" w:line="243" w:lineRule="auto"/>
        <w:rPr>
          <w:sz w:val="20"/>
          <w:szCs w:val="20"/>
          <w:color w:val="auto"/>
        </w:rPr>
      </w:pPr>
      <w:r>
        <w:rPr>
          <w:rFonts w:ascii="Arial" w:cs="Arial" w:eastAsia="Arial" w:hAnsi="Arial"/>
          <w:sz w:val="17"/>
          <w:szCs w:val="17"/>
          <w:color w:val="auto"/>
        </w:rPr>
        <w:t>The Company is party to employment agreements with Messrs. Petras, and Rutz, and offer letters and restrictive covenants agreements with Messrs. Biehl, Dimitrief, and Klaben. The Company was party to an offer letter with Mr. Hammons and an employment agreement with Mr. Leffler prior to their separation from the Company. Although all of our executives are employed “at-will” and their employment can be terminated at any time for any reason with or without cause, each of the employment agreements or offer letters in effect with our NEOs (other than Messrs. Biehl and Dimitrief) contain severance provisions. In this section we describe the compensation agreements in effect with each NEO and describe and quantify the compensation that may be payable to each NEO (or in the case of Messrs. Leffler and Hammons, was paid) under such existing compensation arrangement or plan.</w:t>
      </w:r>
    </w:p>
    <w:p>
      <w:pPr>
        <w:spacing w:after="0" w:line="270" w:lineRule="exact"/>
        <w:rPr>
          <w:sz w:val="20"/>
          <w:szCs w:val="20"/>
          <w:color w:val="auto"/>
        </w:rPr>
      </w:pPr>
    </w:p>
    <w:p>
      <w:pPr>
        <w:ind w:left="360"/>
        <w:spacing w:after="0"/>
        <w:rPr>
          <w:sz w:val="20"/>
          <w:szCs w:val="20"/>
          <w:color w:val="auto"/>
        </w:rPr>
      </w:pPr>
      <w:r>
        <w:rPr>
          <w:rFonts w:ascii="Arial" w:cs="Arial" w:eastAsia="Arial" w:hAnsi="Arial"/>
          <w:sz w:val="31"/>
          <w:szCs w:val="31"/>
          <w:color w:val="00B0DB"/>
        </w:rPr>
        <w:t>Employment Agreements</w:t>
      </w:r>
    </w:p>
    <w:p>
      <w:pPr>
        <w:spacing w:after="0" w:line="208" w:lineRule="exact"/>
        <w:rPr>
          <w:sz w:val="20"/>
          <w:szCs w:val="20"/>
          <w:color w:val="auto"/>
        </w:rPr>
      </w:pPr>
    </w:p>
    <w:p>
      <w:pPr>
        <w:ind w:left="360"/>
        <w:spacing w:after="0"/>
        <w:rPr>
          <w:sz w:val="20"/>
          <w:szCs w:val="20"/>
          <w:color w:val="auto"/>
        </w:rPr>
      </w:pPr>
      <w:r>
        <w:rPr>
          <w:rFonts w:ascii="Arial" w:cs="Arial" w:eastAsia="Arial" w:hAnsi="Arial"/>
          <w:sz w:val="28"/>
          <w:szCs w:val="28"/>
          <w:color w:val="auto"/>
        </w:rPr>
        <w:t>Employment Agreement with Mr. Michael B. Petras, Jr.</w:t>
      </w:r>
    </w:p>
    <w:p>
      <w:pPr>
        <w:spacing w:after="0" w:line="220" w:lineRule="exact"/>
        <w:rPr>
          <w:sz w:val="20"/>
          <w:szCs w:val="20"/>
          <w:color w:val="auto"/>
        </w:rPr>
      </w:pPr>
    </w:p>
    <w:p>
      <w:pPr>
        <w:ind w:left="360" w:right="60"/>
        <w:spacing w:after="0" w:line="243" w:lineRule="auto"/>
        <w:rPr>
          <w:sz w:val="20"/>
          <w:szCs w:val="20"/>
          <w:color w:val="auto"/>
        </w:rPr>
      </w:pPr>
      <w:r>
        <w:rPr>
          <w:rFonts w:ascii="Arial" w:cs="Arial" w:eastAsia="Arial" w:hAnsi="Arial"/>
          <w:sz w:val="17"/>
          <w:szCs w:val="17"/>
          <w:color w:val="auto"/>
        </w:rPr>
        <w:t>Mr. Petras entered into an employment agreement with our subsidiary, Sotera Health LLC, dated May 25, 2016 (the “CEO Employment Agreement”), pursuant to which he served as CEO and as a member of Topco Parent’s Board of Managers. Under the terms of the CEO Employment Agreement, Mr. Petras’ initial annual base salary in connection with his appointment as CEO was set at $ 700,000, less applicable withholding taxes. See the Summary Compensation Table for information on Mr. Petras’ base salary paid in 2020, 2021 and 2022. Under the CEO Employment Agreement, Mr. Petras was also eligible to receive an annual bonus based on his attainment of one or more pre-established performance criteria established by Topco Parent’s Board of Managers, with his annual target bonus opportunity equal to 100% of his then-current annual base salary.</w:t>
      </w:r>
    </w:p>
    <w:p>
      <w:pPr>
        <w:spacing w:after="0" w:line="150" w:lineRule="exact"/>
        <w:rPr>
          <w:sz w:val="20"/>
          <w:szCs w:val="20"/>
          <w:color w:val="auto"/>
        </w:rPr>
      </w:pPr>
    </w:p>
    <w:p>
      <w:pPr>
        <w:ind w:left="360"/>
        <w:spacing w:after="0" w:line="243" w:lineRule="auto"/>
        <w:rPr>
          <w:sz w:val="20"/>
          <w:szCs w:val="20"/>
          <w:color w:val="auto"/>
        </w:rPr>
      </w:pPr>
      <w:r>
        <w:rPr>
          <w:rFonts w:ascii="Arial" w:cs="Arial" w:eastAsia="Arial" w:hAnsi="Arial"/>
          <w:sz w:val="17"/>
          <w:szCs w:val="17"/>
          <w:color w:val="auto"/>
        </w:rPr>
        <w:t>In connection with the IPO, Sotera Health LLC assigned its rights and obligations under the CEO Employment Agreement to our Company and we entered into an amended and restated employment agreement with Mr. Petras which replaced his existing employment agreement effective as of the closing of the IPO (the “Amended and Restated CEO Employment Agreement”). Under the terms of the Amended and Restated CEO Employment Agreement, Mr. Petras serves as our CEO and Executive Chairman of our Board. Mr. Petras’ initial annual base salary was set at $1,000,000 as of November 2020, and as of March 2022, Mr. Petras’ annual base salary was set at $1,050,000. Mr. Petras is eligible to receive an annual bonus based on the attainment of certain pre-established performance criteria established by our Board, with his annual target bonus opportunity equal to 125% of his then-current annual base salary.</w:t>
      </w:r>
    </w:p>
    <w:p>
      <w:pPr>
        <w:spacing w:after="0" w:line="138" w:lineRule="exact"/>
        <w:rPr>
          <w:sz w:val="20"/>
          <w:szCs w:val="20"/>
          <w:color w:val="auto"/>
        </w:rPr>
      </w:pPr>
    </w:p>
    <w:p>
      <w:pPr>
        <w:ind w:left="360" w:right="120"/>
        <w:spacing w:after="0" w:line="245" w:lineRule="auto"/>
        <w:rPr>
          <w:sz w:val="20"/>
          <w:szCs w:val="20"/>
          <w:color w:val="auto"/>
        </w:rPr>
      </w:pPr>
      <w:r>
        <w:rPr>
          <w:rFonts w:ascii="Arial" w:cs="Arial" w:eastAsia="Arial" w:hAnsi="Arial"/>
          <w:sz w:val="17"/>
          <w:szCs w:val="17"/>
          <w:color w:val="auto"/>
        </w:rPr>
        <w:t>Under the Amended and Restated CEO Employment Agreement, Mr. Petras is eligible to receive certain payments and benefits in the event of a termination of his employment by us without “cause” or due to his death or disability or a termination of employment by him for “good reason” (as each of these terms are defined in the Amended and Restated CEO Employment Agreement), which are described in detail under “Potential Payments Upon Termination or Change in Control” below. Under the Amended and Restated CEO Employment Agreement, Mr. Petras is subject to an indefinite confidentiality clause and non-disparagement clause, as well as non-competition and non-solicitation clauses which shall be effective during the term of employment and for 24 months following termination of employment.</w:t>
      </w:r>
    </w:p>
    <w:p>
      <w:pPr>
        <w:spacing w:after="0" w:line="261" w:lineRule="exact"/>
        <w:rPr>
          <w:sz w:val="20"/>
          <w:szCs w:val="20"/>
          <w:color w:val="auto"/>
        </w:rPr>
      </w:pPr>
    </w:p>
    <w:p>
      <w:pPr>
        <w:ind w:left="360"/>
        <w:spacing w:after="0"/>
        <w:rPr>
          <w:sz w:val="20"/>
          <w:szCs w:val="20"/>
          <w:color w:val="auto"/>
        </w:rPr>
      </w:pPr>
      <w:r>
        <w:rPr>
          <w:rFonts w:ascii="Arial" w:cs="Arial" w:eastAsia="Arial" w:hAnsi="Arial"/>
          <w:sz w:val="28"/>
          <w:szCs w:val="28"/>
          <w:color w:val="auto"/>
        </w:rPr>
        <w:t>Employment Agreement with Mr. Scott J. Leffler</w:t>
      </w:r>
    </w:p>
    <w:p>
      <w:pPr>
        <w:spacing w:after="0" w:line="220" w:lineRule="exact"/>
        <w:rPr>
          <w:sz w:val="20"/>
          <w:szCs w:val="20"/>
          <w:color w:val="auto"/>
        </w:rPr>
      </w:pPr>
    </w:p>
    <w:p>
      <w:pPr>
        <w:ind w:left="360" w:right="100"/>
        <w:spacing w:after="0" w:line="243" w:lineRule="auto"/>
        <w:rPr>
          <w:sz w:val="20"/>
          <w:szCs w:val="20"/>
          <w:color w:val="auto"/>
        </w:rPr>
      </w:pPr>
      <w:r>
        <w:rPr>
          <w:rFonts w:ascii="Arial" w:cs="Arial" w:eastAsia="Arial" w:hAnsi="Arial"/>
          <w:sz w:val="17"/>
          <w:szCs w:val="17"/>
          <w:color w:val="auto"/>
        </w:rPr>
        <w:t>Mr. Leffler entered into an employment agreement with our subsidiary, Sotera Health LLC, dated April 3, 2017 (the “CFO Employment Agreement”), pursuant to which he served as CFO. Under the terms of the CFO Employment Agreement, Mr. Leffler’s initial annual base salary in connection with his appointment as CFO was set at $340,000, less applicable withholding taxes. See the Summary Compensation Table for information on Mr. Leffler’s base salary paid in 2020, 2021 and 2022. Under the CFO Employment Agreement, Mr. Leffler was also eligible to receive an annual bonus based on his attainment of one or more pre-established performance criteria established by Topco Parent’s Board of Managers, with his annual target bonus opportunity equal to 60% of his then-current annual base salary. For 2022, Mr. Leffler’s annual target bonus opportunity was equal to 70% of his then-current annual base salary.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231775</wp:posOffset>
            </wp:positionH>
            <wp:positionV relativeFrom="paragraph">
              <wp:posOffset>97790</wp:posOffset>
            </wp:positionV>
            <wp:extent cx="6687820" cy="1651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687820" cy="16510"/>
                    </a:xfrm>
                    <a:prstGeom prst="rect">
                      <a:avLst/>
                    </a:prstGeom>
                    <a:noFill/>
                  </pic:spPr>
                </pic:pic>
              </a:graphicData>
            </a:graphic>
          </wp:anchor>
        </w:drawing>
      </w:r>
    </w:p>
    <w:p>
      <w:pPr>
        <w:spacing w:after="0" w:line="324" w:lineRule="exact"/>
        <w:rPr>
          <w:sz w:val="20"/>
          <w:szCs w:val="20"/>
          <w:color w:val="auto"/>
        </w:rPr>
      </w:pPr>
    </w:p>
    <w:tbl>
      <w:tblPr>
        <w:tblLayout w:type="fixed"/>
        <w:tblInd w:w="360" w:type="dxa"/>
        <w:tblCellMar>
          <w:top w:w="0" w:type="dxa"/>
          <w:left w:w="0" w:type="dxa"/>
          <w:bottom w:w="0" w:type="dxa"/>
          <w:right w:w="0" w:type="dxa"/>
        </w:tblCellMar>
      </w:tblPr>
      <w:tr>
        <w:trPr>
          <w:trHeight w:val="226"/>
        </w:trPr>
        <w:tc>
          <w:tcPr>
            <w:tcW w:w="3900" w:type="dxa"/>
            <w:vAlign w:val="bottom"/>
          </w:tcPr>
          <w:p>
            <w:pPr>
              <w:spacing w:after="0"/>
              <w:rPr>
                <w:sz w:val="20"/>
                <w:szCs w:val="20"/>
                <w:color w:val="auto"/>
              </w:rPr>
            </w:pPr>
            <w:r>
              <w:rPr>
                <w:rFonts w:ascii="Arial" w:cs="Arial" w:eastAsia="Arial" w:hAnsi="Arial"/>
                <w:sz w:val="17"/>
                <w:szCs w:val="17"/>
                <w:color w:val="auto"/>
              </w:rPr>
              <w:t>2023 Notice and Proxy Statement</w:t>
            </w:r>
          </w:p>
        </w:tc>
        <w:tc>
          <w:tcPr>
            <w:tcW w:w="1520" w:type="dxa"/>
            <w:vAlign w:val="bottom"/>
          </w:tcPr>
          <w:p>
            <w:pPr>
              <w:jc w:val="right"/>
              <w:spacing w:after="0"/>
              <w:rPr>
                <w:sz w:val="20"/>
                <w:szCs w:val="20"/>
                <w:color w:val="auto"/>
              </w:rPr>
            </w:pPr>
            <w:r>
              <w:rPr>
                <w:rFonts w:ascii="Arial" w:cs="Arial" w:eastAsia="Arial" w:hAnsi="Arial"/>
                <w:sz w:val="17"/>
                <w:szCs w:val="17"/>
                <w:color w:val="auto"/>
              </w:rPr>
              <w:t>50</w:t>
            </w:r>
          </w:p>
        </w:tc>
      </w:tr>
    </w:tbl>
    <w:p>
      <w:pPr>
        <w:sectPr>
          <w:pgSz w:w="11900" w:h="16838" w:orient="portrait"/>
          <w:cols w:equalWidth="0" w:num="1">
            <w:col w:w="10860"/>
          </w:cols>
          <w:pgMar w:left="320" w:top="468" w:right="71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5397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79945" cy="53975"/>
                    </a:xfrm>
                    <a:prstGeom prst="rect">
                      <a:avLst/>
                    </a:prstGeom>
                    <a:noFill/>
                  </pic:spPr>
                </pic:pic>
              </a:graphicData>
            </a:graphic>
          </wp:anchor>
        </w:drawing>
        <w:t>Table of Contents</w:t>
      </w:r>
    </w:p>
    <w:p>
      <w:pPr>
        <w:spacing w:after="0" w:line="296" w:lineRule="exact"/>
        <w:rPr>
          <w:sz w:val="20"/>
          <w:szCs w:val="20"/>
          <w:color w:val="auto"/>
        </w:rPr>
      </w:pPr>
    </w:p>
    <w:p>
      <w:pPr>
        <w:jc w:val="right"/>
        <w:ind w:right="20"/>
        <w:spacing w:after="0"/>
        <w:rPr>
          <w:sz w:val="20"/>
          <w:szCs w:val="20"/>
          <w:color w:val="auto"/>
        </w:rPr>
      </w:pPr>
      <w:r>
        <w:rPr>
          <w:rFonts w:ascii="Arial" w:cs="Arial" w:eastAsia="Arial" w:hAnsi="Arial"/>
          <w:sz w:val="17"/>
          <w:szCs w:val="17"/>
          <w:b w:val="1"/>
          <w:bCs w:val="1"/>
          <w:color w:val="auto"/>
        </w:rPr>
        <w:t>Potential Termination Payments</w:t>
      </w:r>
    </w:p>
    <w:p>
      <w:pPr>
        <w:spacing w:after="0" w:line="21" w:lineRule="exact"/>
        <w:rPr>
          <w:sz w:val="20"/>
          <w:szCs w:val="20"/>
          <w:color w:val="auto"/>
        </w:rPr>
      </w:pPr>
    </w:p>
    <w:p>
      <w:pPr>
        <w:ind w:left="9240"/>
        <w:spacing w:after="0"/>
        <w:rPr>
          <w:sz w:val="20"/>
          <w:szCs w:val="20"/>
          <w:color w:val="auto"/>
        </w:rPr>
      </w:pPr>
      <w:r>
        <w:rPr>
          <w:rFonts w:ascii="Arial" w:cs="Arial" w:eastAsia="Arial" w:hAnsi="Arial"/>
          <w:sz w:val="13"/>
          <w:szCs w:val="13"/>
          <w:b w:val="1"/>
          <w:bCs w:val="1"/>
          <w:color w:val="auto"/>
        </w:rPr>
        <w:t>Employment Agreements</w:t>
      </w:r>
    </w:p>
    <w:p>
      <w:pPr>
        <w:spacing w:after="0" w:line="126" w:lineRule="exact"/>
        <w:rPr>
          <w:sz w:val="20"/>
          <w:szCs w:val="20"/>
          <w:color w:val="auto"/>
        </w:rPr>
      </w:pPr>
    </w:p>
    <w:p>
      <w:pPr>
        <w:ind w:left="360" w:right="140"/>
        <w:spacing w:after="0" w:line="243" w:lineRule="auto"/>
        <w:rPr>
          <w:sz w:val="20"/>
          <w:szCs w:val="20"/>
          <w:color w:val="auto"/>
        </w:rPr>
      </w:pPr>
      <w:r>
        <w:rPr>
          <w:rFonts w:ascii="Arial" w:cs="Arial" w:eastAsia="Arial" w:hAnsi="Arial"/>
          <w:sz w:val="17"/>
          <w:szCs w:val="17"/>
          <w:color w:val="auto"/>
        </w:rPr>
        <w:t>In connection with the IPO, Sotera Health LLC, assigned its rights and obligations under the CFO Employment Agreement to our Company and we entered into an amended and restated employment agreement with Mr. Leffler which replaced his existing employment agreement effective as of the closing of the IPO (the “Amended and Restated CFO Employment Agreement”). Under the terms of the Amended and Restated CFO Employment Agreement, Mr. Leffler served as our CFO. Mr. Leffler’s initial annual base salary was set at $450,000 as of November 2020, and as of March 2022, Mr. Leffler’s annual base salary was set at $500,000. Mr. Leffler was also eligible to receive an annual bonus based on the attainment of certain pre-established performance criteria established by our Board, with his annual target bonus opportunity equal to 70% of his then-current annual base salary.</w:t>
      </w:r>
    </w:p>
    <w:p>
      <w:pPr>
        <w:spacing w:after="0" w:line="150" w:lineRule="exact"/>
        <w:rPr>
          <w:sz w:val="20"/>
          <w:szCs w:val="20"/>
          <w:color w:val="auto"/>
        </w:rPr>
      </w:pPr>
    </w:p>
    <w:p>
      <w:pPr>
        <w:ind w:left="360" w:right="60"/>
        <w:spacing w:after="0" w:line="250" w:lineRule="auto"/>
        <w:rPr>
          <w:sz w:val="20"/>
          <w:szCs w:val="20"/>
          <w:color w:val="auto"/>
        </w:rPr>
      </w:pPr>
      <w:r>
        <w:rPr>
          <w:rFonts w:ascii="Arial" w:cs="Arial" w:eastAsia="Arial" w:hAnsi="Arial"/>
          <w:sz w:val="17"/>
          <w:szCs w:val="17"/>
          <w:color w:val="auto"/>
        </w:rPr>
        <w:t>Under the Amended and Restated CFO Employment Agreement, Mr. Leffler was eligible to receive certain payments and benefits in the event of a termination of his employment by us without “cause” or a termination of employment by him for “good reason” (as each of these terms is defined in the CFO Employment Agreement). As previously disclosed, Mr. Leffler resigned as CFO on July 20, 2022. Mr. Leffler did not receive any separation payments or benefits in connection with his separation from the Company.</w:t>
      </w:r>
    </w:p>
    <w:p>
      <w:pPr>
        <w:spacing w:after="0" w:line="166" w:lineRule="exact"/>
        <w:rPr>
          <w:sz w:val="20"/>
          <w:szCs w:val="20"/>
          <w:color w:val="auto"/>
        </w:rPr>
      </w:pPr>
    </w:p>
    <w:p>
      <w:pPr>
        <w:ind w:left="360" w:right="40"/>
        <w:spacing w:after="0" w:line="256" w:lineRule="auto"/>
        <w:rPr>
          <w:sz w:val="20"/>
          <w:szCs w:val="20"/>
          <w:color w:val="auto"/>
        </w:rPr>
      </w:pPr>
      <w:r>
        <w:rPr>
          <w:rFonts w:ascii="Arial" w:cs="Arial" w:eastAsia="Arial" w:hAnsi="Arial"/>
          <w:sz w:val="17"/>
          <w:szCs w:val="17"/>
          <w:color w:val="auto"/>
        </w:rPr>
        <w:t>Under the Amended and Restated CFO Employment Agreement, Mr. Leffler is subject to an indefinite confidentiality clause and non-disparagement clause, as well as non -competition and non-solicitation clauses which shall be effective during the term of employment and for 18 months following termination of employment.</w:t>
      </w:r>
    </w:p>
    <w:p>
      <w:pPr>
        <w:spacing w:after="0" w:line="252" w:lineRule="exact"/>
        <w:rPr>
          <w:sz w:val="20"/>
          <w:szCs w:val="20"/>
          <w:color w:val="auto"/>
        </w:rPr>
      </w:pPr>
    </w:p>
    <w:p>
      <w:pPr>
        <w:ind w:left="360"/>
        <w:spacing w:after="0"/>
        <w:rPr>
          <w:sz w:val="20"/>
          <w:szCs w:val="20"/>
          <w:color w:val="auto"/>
        </w:rPr>
      </w:pPr>
      <w:r>
        <w:rPr>
          <w:rFonts w:ascii="Arial" w:cs="Arial" w:eastAsia="Arial" w:hAnsi="Arial"/>
          <w:sz w:val="28"/>
          <w:szCs w:val="28"/>
          <w:color w:val="auto"/>
        </w:rPr>
        <w:t>Retention Agreement with Mr. Scott J. Leffler</w:t>
      </w:r>
    </w:p>
    <w:p>
      <w:pPr>
        <w:spacing w:after="0" w:line="220" w:lineRule="exact"/>
        <w:rPr>
          <w:sz w:val="20"/>
          <w:szCs w:val="20"/>
          <w:color w:val="auto"/>
        </w:rPr>
      </w:pPr>
    </w:p>
    <w:p>
      <w:pPr>
        <w:ind w:left="360" w:right="120"/>
        <w:spacing w:after="0" w:line="242" w:lineRule="auto"/>
        <w:rPr>
          <w:sz w:val="20"/>
          <w:szCs w:val="20"/>
          <w:color w:val="auto"/>
        </w:rPr>
      </w:pPr>
      <w:r>
        <w:rPr>
          <w:rFonts w:ascii="Arial" w:cs="Arial" w:eastAsia="Arial" w:hAnsi="Arial"/>
          <w:sz w:val="17"/>
          <w:szCs w:val="17"/>
          <w:color w:val="auto"/>
        </w:rPr>
        <w:t>Mr. Leffler entered into a bonus agreement with our subsidiary, Sotera Health LLC, dated as of November 18, 2019 (the “CFO Bonus Agreement”). Pursuant to the CFO Bonus Agreement, on the first ordinary payroll date following November 18, 2019, Mr. Leffler received a cash retention bonus of $1,500,000 (less applicable tax withholdings) in consideration for his agreement to continue active employment with Sotera Health LLC through November 18, 2021 (the “Retention Date”). If prior to the Retention Date, Mr. Leffler terminated his employment without “good reason” (as described below in “Potential Payments Upon Termination or Change in Control”, but excluding a termination due to Mr. Leffler’s death or disability), Mr. Leffler was obligated to repay, on a pre-tax basis, the full amount of the retention bonus. In connection with the IPO, Sotera Health LLC assigned its rights and obligations under the CFO Bonus Agreement to our Company and we entered into an amended and restated bonus agreement with Mr. Leffler which reflects such assignment.</w:t>
      </w:r>
    </w:p>
    <w:p>
      <w:pPr>
        <w:spacing w:after="0" w:line="269" w:lineRule="exact"/>
        <w:rPr>
          <w:sz w:val="20"/>
          <w:szCs w:val="20"/>
          <w:color w:val="auto"/>
        </w:rPr>
      </w:pPr>
    </w:p>
    <w:p>
      <w:pPr>
        <w:ind w:left="360"/>
        <w:spacing w:after="0"/>
        <w:rPr>
          <w:sz w:val="20"/>
          <w:szCs w:val="20"/>
          <w:color w:val="auto"/>
        </w:rPr>
      </w:pPr>
      <w:r>
        <w:rPr>
          <w:rFonts w:ascii="Arial" w:cs="Arial" w:eastAsia="Arial" w:hAnsi="Arial"/>
          <w:sz w:val="28"/>
          <w:szCs w:val="28"/>
          <w:color w:val="auto"/>
        </w:rPr>
        <w:t>Employment Agreement with Mr. Michael P. Rutz</w:t>
      </w:r>
    </w:p>
    <w:p>
      <w:pPr>
        <w:spacing w:after="0" w:line="220" w:lineRule="exact"/>
        <w:rPr>
          <w:sz w:val="20"/>
          <w:szCs w:val="20"/>
          <w:color w:val="auto"/>
        </w:rPr>
      </w:pPr>
    </w:p>
    <w:p>
      <w:pPr>
        <w:jc w:val="both"/>
        <w:ind w:left="360" w:right="440"/>
        <w:spacing w:after="0" w:line="244" w:lineRule="auto"/>
        <w:rPr>
          <w:sz w:val="20"/>
          <w:szCs w:val="20"/>
          <w:color w:val="auto"/>
        </w:rPr>
      </w:pPr>
      <w:r>
        <w:rPr>
          <w:rFonts w:ascii="Arial" w:cs="Arial" w:eastAsia="Arial" w:hAnsi="Arial"/>
          <w:sz w:val="17"/>
          <w:szCs w:val="17"/>
          <w:color w:val="auto"/>
        </w:rPr>
        <w:t>Mr. Rutz entered into an employment agreement with our subsidiary, Sotera Health LLC, dated May 21, 2020 (the “Rutz Employment Agreement”), pursuant to which he serves as President, Sterigenics. Under the terms of the Rutz Employment Agreement, Mr. Rutz’s initial annual base salary in connection with his appointment as President, Sterigenics was set at $430,000, and as of March 2022,</w:t>
      </w:r>
    </w:p>
    <w:p>
      <w:pPr>
        <w:spacing w:after="0" w:line="1" w:lineRule="exact"/>
        <w:rPr>
          <w:sz w:val="20"/>
          <w:szCs w:val="20"/>
          <w:color w:val="auto"/>
        </w:rPr>
      </w:pPr>
    </w:p>
    <w:p>
      <w:pPr>
        <w:ind w:left="360" w:right="120"/>
        <w:spacing w:after="0" w:line="243" w:lineRule="auto"/>
        <w:rPr>
          <w:sz w:val="20"/>
          <w:szCs w:val="20"/>
          <w:color w:val="auto"/>
        </w:rPr>
      </w:pPr>
      <w:r>
        <w:rPr>
          <w:rFonts w:ascii="Arial" w:cs="Arial" w:eastAsia="Arial" w:hAnsi="Arial"/>
          <w:sz w:val="17"/>
          <w:szCs w:val="17"/>
          <w:color w:val="auto"/>
        </w:rPr>
        <w:t>Mr. Rutz’s annual base salary was set at $450,000. See the Summary Compensation Table for information on Mr. Rutz’s base salary paid in 2020, 2021 and 2022. Under the Rutz Employment Agreement, Mr. Rutz is also eligible to receive an annual bonus based on his attainment of one or more pre-established performance criteria, with his annual target bonus opportunity equal to 60% of his then-current annual base salary.</w:t>
      </w:r>
    </w:p>
    <w:p>
      <w:pPr>
        <w:spacing w:after="0" w:line="135" w:lineRule="exact"/>
        <w:rPr>
          <w:sz w:val="20"/>
          <w:szCs w:val="20"/>
          <w:color w:val="auto"/>
        </w:rPr>
      </w:pPr>
    </w:p>
    <w:p>
      <w:pPr>
        <w:ind w:left="360" w:right="40"/>
        <w:spacing w:after="0" w:line="245" w:lineRule="auto"/>
        <w:rPr>
          <w:sz w:val="20"/>
          <w:szCs w:val="20"/>
          <w:color w:val="auto"/>
        </w:rPr>
      </w:pPr>
      <w:r>
        <w:rPr>
          <w:rFonts w:ascii="Arial" w:cs="Arial" w:eastAsia="Arial" w:hAnsi="Arial"/>
          <w:sz w:val="17"/>
          <w:szCs w:val="17"/>
          <w:color w:val="auto"/>
        </w:rPr>
        <w:t>In connection with the commencement of Mr. Rutz’s employment, he received a one-time lump sum cash payment equal to $ 50,000 (the “Sign-on Bonus”), which was paid on the first ordinary payroll date following May 21, 2020. If Mr. Rutz’s employment with the Company had been terminated by Mr. Rutz without “good reason” (as described below in “Potential Payments Upon Termination or Change in Control”, but excluding a termination due to Mr. Rutz’s death or disability), or by the Company for “cause,” in each case prior to the second anniversary of the commencement of Mr. Rutz’s employment, he was obligated to repay, on a pre-tax basis, a pro-rata portion of the Sign-on Bonus.</w:t>
      </w:r>
    </w:p>
    <w:p>
      <w:pPr>
        <w:spacing w:after="0" w:line="132" w:lineRule="exact"/>
        <w:rPr>
          <w:sz w:val="20"/>
          <w:szCs w:val="20"/>
          <w:color w:val="auto"/>
        </w:rPr>
      </w:pPr>
    </w:p>
    <w:p>
      <w:pPr>
        <w:ind w:left="360" w:right="120"/>
        <w:spacing w:after="0" w:line="256" w:lineRule="auto"/>
        <w:rPr>
          <w:sz w:val="20"/>
          <w:szCs w:val="20"/>
          <w:color w:val="auto"/>
        </w:rPr>
      </w:pPr>
      <w:r>
        <w:rPr>
          <w:rFonts w:ascii="Arial" w:cs="Arial" w:eastAsia="Arial" w:hAnsi="Arial"/>
          <w:sz w:val="17"/>
          <w:szCs w:val="17"/>
          <w:color w:val="auto"/>
        </w:rPr>
        <w:t>In addition, under the terms of the Rutz Employment Agreement, Mr. Rutz is entitled to receive a one-time lump sum cash payment equal to $1,500,000, less applicable tax withholdings, upon a change of control, contingent upon his continued employment through the consummation of a change of control.</w:t>
      </w:r>
    </w:p>
    <w:p>
      <w:pPr>
        <w:spacing w:after="0" w:line="136" w:lineRule="exact"/>
        <w:rPr>
          <w:sz w:val="20"/>
          <w:szCs w:val="20"/>
          <w:color w:val="auto"/>
        </w:rPr>
      </w:pPr>
    </w:p>
    <w:p>
      <w:pPr>
        <w:ind w:left="360" w:right="240"/>
        <w:spacing w:after="0" w:line="274" w:lineRule="auto"/>
        <w:rPr>
          <w:sz w:val="20"/>
          <w:szCs w:val="20"/>
          <w:color w:val="auto"/>
        </w:rPr>
      </w:pPr>
      <w:r>
        <w:rPr>
          <w:rFonts w:ascii="Arial" w:cs="Arial" w:eastAsia="Arial" w:hAnsi="Arial"/>
          <w:sz w:val="17"/>
          <w:szCs w:val="17"/>
          <w:color w:val="auto"/>
        </w:rPr>
        <w:t>Under the Rutz Employment Agreement, Mr. Rutz is eligible to receive certain payments and benefits in the event of a termination of his employment by us without “cause” or a termination of employment by him for “good reason” (as each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231775</wp:posOffset>
            </wp:positionH>
            <wp:positionV relativeFrom="paragraph">
              <wp:posOffset>79375</wp:posOffset>
            </wp:positionV>
            <wp:extent cx="6687820" cy="1651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687820" cy="16510"/>
                    </a:xfrm>
                    <a:prstGeom prst="rect">
                      <a:avLst/>
                    </a:prstGeom>
                    <a:noFill/>
                  </pic:spPr>
                </pic:pic>
              </a:graphicData>
            </a:graphic>
          </wp:anchor>
        </w:drawing>
      </w:r>
    </w:p>
    <w:p>
      <w:pPr>
        <w:spacing w:after="0" w:line="282"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6443980</wp:posOffset>
            </wp:positionH>
            <wp:positionV relativeFrom="paragraph">
              <wp:posOffset>-113030</wp:posOffset>
            </wp:positionV>
            <wp:extent cx="475615" cy="15557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475615" cy="155575"/>
                    </a:xfrm>
                    <a:prstGeom prst="rect">
                      <a:avLst/>
                    </a:prstGeom>
                    <a:noFill/>
                  </pic:spPr>
                </pic:pic>
              </a:graphicData>
            </a:graphic>
          </wp:anchor>
        </w:drawing>
      </w:r>
    </w:p>
    <w:p>
      <w:pPr>
        <w:sectPr>
          <w:pgSz w:w="11900" w:h="16838" w:orient="portrait"/>
          <w:cols w:equalWidth="0" w:num="1">
            <w:col w:w="10900"/>
          </w:cols>
          <w:pgMar w:left="320" w:top="468" w:right="67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5397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79945" cy="53975"/>
                    </a:xfrm>
                    <a:prstGeom prst="rect">
                      <a:avLst/>
                    </a:prstGeom>
                    <a:noFill/>
                  </pic:spPr>
                </pic:pic>
              </a:graphicData>
            </a:graphic>
          </wp:anchor>
        </w:drawing>
        <w:t>Table of Contents</w:t>
      </w:r>
    </w:p>
    <w:p>
      <w:pPr>
        <w:spacing w:after="0" w:line="296"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auto"/>
        </w:rPr>
        <w:t>Potential Termination Payments</w:t>
      </w:r>
    </w:p>
    <w:p>
      <w:pPr>
        <w:spacing w:after="0" w:line="21" w:lineRule="exact"/>
        <w:rPr>
          <w:sz w:val="20"/>
          <w:szCs w:val="20"/>
          <w:color w:val="auto"/>
        </w:rPr>
      </w:pPr>
    </w:p>
    <w:p>
      <w:pPr>
        <w:ind w:left="360"/>
        <w:spacing w:after="0"/>
        <w:rPr>
          <w:sz w:val="20"/>
          <w:szCs w:val="20"/>
          <w:color w:val="auto"/>
        </w:rPr>
      </w:pPr>
      <w:r>
        <w:rPr>
          <w:rFonts w:ascii="Arial" w:cs="Arial" w:eastAsia="Arial" w:hAnsi="Arial"/>
          <w:sz w:val="14"/>
          <w:szCs w:val="14"/>
          <w:b w:val="1"/>
          <w:bCs w:val="1"/>
          <w:color w:val="auto"/>
        </w:rPr>
        <w:t>Employment Agreements</w:t>
      </w:r>
    </w:p>
    <w:p>
      <w:pPr>
        <w:spacing w:after="0" w:line="114" w:lineRule="exact"/>
        <w:rPr>
          <w:sz w:val="20"/>
          <w:szCs w:val="20"/>
          <w:color w:val="auto"/>
        </w:rPr>
      </w:pPr>
    </w:p>
    <w:p>
      <w:pPr>
        <w:ind w:left="360" w:right="160"/>
        <w:spacing w:after="0" w:line="274" w:lineRule="auto"/>
        <w:rPr>
          <w:sz w:val="20"/>
          <w:szCs w:val="20"/>
          <w:color w:val="auto"/>
        </w:rPr>
      </w:pPr>
      <w:r>
        <w:rPr>
          <w:rFonts w:ascii="Arial" w:cs="Arial" w:eastAsia="Arial" w:hAnsi="Arial"/>
          <w:sz w:val="17"/>
          <w:szCs w:val="17"/>
          <w:color w:val="auto"/>
        </w:rPr>
        <w:t>these terms are defined in the Rutz Employment Agreement), which are described in detail under “Potential Payments Upon Termination or Change in Control” below.</w:t>
      </w:r>
    </w:p>
    <w:p>
      <w:pPr>
        <w:spacing w:after="0" w:line="122" w:lineRule="exact"/>
        <w:rPr>
          <w:sz w:val="20"/>
          <w:szCs w:val="20"/>
          <w:color w:val="auto"/>
        </w:rPr>
      </w:pPr>
    </w:p>
    <w:p>
      <w:pPr>
        <w:ind w:left="360" w:right="140"/>
        <w:spacing w:after="0" w:line="256" w:lineRule="auto"/>
        <w:rPr>
          <w:sz w:val="20"/>
          <w:szCs w:val="20"/>
          <w:color w:val="auto"/>
        </w:rPr>
      </w:pPr>
      <w:r>
        <w:rPr>
          <w:rFonts w:ascii="Arial" w:cs="Arial" w:eastAsia="Arial" w:hAnsi="Arial"/>
          <w:sz w:val="17"/>
          <w:szCs w:val="17"/>
          <w:color w:val="auto"/>
        </w:rPr>
        <w:t>Under the Rutz Employment Agreement, Mr. Rutz is subject to an indefinite confidentiality clause and non-disparagement clause, as well as non-competition and non-solicitation clauses which shall be effective during the term of employment and for 12 months following termination of employment.</w:t>
      </w:r>
    </w:p>
    <w:p>
      <w:pPr>
        <w:spacing w:after="0" w:line="252" w:lineRule="exact"/>
        <w:rPr>
          <w:sz w:val="20"/>
          <w:szCs w:val="20"/>
          <w:color w:val="auto"/>
        </w:rPr>
      </w:pPr>
    </w:p>
    <w:p>
      <w:pPr>
        <w:ind w:left="360"/>
        <w:spacing w:after="0"/>
        <w:rPr>
          <w:sz w:val="20"/>
          <w:szCs w:val="20"/>
          <w:color w:val="auto"/>
        </w:rPr>
      </w:pPr>
      <w:r>
        <w:rPr>
          <w:rFonts w:ascii="Arial" w:cs="Arial" w:eastAsia="Arial" w:hAnsi="Arial"/>
          <w:sz w:val="28"/>
          <w:szCs w:val="28"/>
          <w:color w:val="auto"/>
        </w:rPr>
        <w:t>Incentive Agreement with Mr. Michael P. Rutz</w:t>
      </w:r>
    </w:p>
    <w:p>
      <w:pPr>
        <w:spacing w:after="0" w:line="220" w:lineRule="exact"/>
        <w:rPr>
          <w:sz w:val="20"/>
          <w:szCs w:val="20"/>
          <w:color w:val="auto"/>
        </w:rPr>
      </w:pPr>
    </w:p>
    <w:p>
      <w:pPr>
        <w:ind w:left="360" w:right="20"/>
        <w:spacing w:after="0" w:line="242" w:lineRule="auto"/>
        <w:rPr>
          <w:sz w:val="20"/>
          <w:szCs w:val="20"/>
          <w:color w:val="auto"/>
        </w:rPr>
      </w:pPr>
      <w:r>
        <w:rPr>
          <w:rFonts w:ascii="Arial" w:cs="Arial" w:eastAsia="Arial" w:hAnsi="Arial"/>
          <w:sz w:val="17"/>
          <w:szCs w:val="17"/>
          <w:color w:val="auto"/>
        </w:rPr>
        <w:t>Mr. Rutz entered into a Cash Incentive Bonus Agreement with us, dated as of November 7, 2022, pursuant to which Mr. Rutz is eligible for a cash bonus of $1,000,000 in consideration for his active employment with us through certain vesting dates. Pursuant to the Cash Incentive Bonus Agreement, the Incentive Bonus will vest in four installments as follows: (i) 10% will vest on the date that is 6 months from November 7, 2022 (the “Grant Date”); (ii) 20% will vest on the date that is 12 months from the Grant Date; (iii) 30% will vest on the date that is 18 months from the Grant Date; and (iv) 40% will vest on the date that is 24 months from the Grant Date, subject in each case to Mr. Rutz’s continued employment in good standing with the Company through each applicable vesting date. If Mr. Rutz’s employment with the Company and its subsidiaries terminates for any reason prior to any applicable vesting date, any unvested portion of the incentive bonus will be forfeited in its entirety.</w:t>
      </w:r>
    </w:p>
    <w:p>
      <w:pPr>
        <w:spacing w:after="0" w:line="269" w:lineRule="exact"/>
        <w:rPr>
          <w:sz w:val="20"/>
          <w:szCs w:val="20"/>
          <w:color w:val="auto"/>
        </w:rPr>
      </w:pPr>
    </w:p>
    <w:p>
      <w:pPr>
        <w:ind w:left="360"/>
        <w:spacing w:after="0"/>
        <w:rPr>
          <w:sz w:val="20"/>
          <w:szCs w:val="20"/>
          <w:color w:val="auto"/>
        </w:rPr>
      </w:pPr>
      <w:r>
        <w:rPr>
          <w:rFonts w:ascii="Arial" w:cs="Arial" w:eastAsia="Arial" w:hAnsi="Arial"/>
          <w:sz w:val="28"/>
          <w:szCs w:val="28"/>
          <w:color w:val="auto"/>
        </w:rPr>
        <w:t>Offer Letter and Restrictive Covenants Agreement with Mr. Michael F. Biehl</w:t>
      </w:r>
    </w:p>
    <w:p>
      <w:pPr>
        <w:spacing w:after="0" w:line="220" w:lineRule="exact"/>
        <w:rPr>
          <w:sz w:val="20"/>
          <w:szCs w:val="20"/>
          <w:color w:val="auto"/>
        </w:rPr>
      </w:pPr>
    </w:p>
    <w:p>
      <w:pPr>
        <w:ind w:left="360" w:right="280"/>
        <w:spacing w:after="0" w:line="245" w:lineRule="auto"/>
        <w:rPr>
          <w:sz w:val="20"/>
          <w:szCs w:val="20"/>
          <w:color w:val="auto"/>
        </w:rPr>
      </w:pPr>
      <w:r>
        <w:rPr>
          <w:rFonts w:ascii="Arial" w:cs="Arial" w:eastAsia="Arial" w:hAnsi="Arial"/>
          <w:sz w:val="17"/>
          <w:szCs w:val="17"/>
          <w:color w:val="auto"/>
        </w:rPr>
        <w:t>Mr. Biehl is a party to an offer letter with us dated July 18, 2022 (the “Biehl Offer Letter”), pursuant to which he serves as Interim Chief Financial Officer. Under the terms of the Biehl Offer Letter, Mr. Biehl’s initial base salary in connection with his appointment as Interim Chief Financial Officer was set at $ 75,000 per month. See the Summary Compensation Table for information on Mr. Biehl’s base salary paid in 2022. Under the Biehl Offer Letter, Mr. Biehl is not eligible to participate in the Annual Incentive Plan or the 2020 Incentive Plan. The Biehl Offer Letter does not provide for any severance payments in the event of a termination of his employment by Mr. Biehl or us, with or without cause or advance notice.</w:t>
      </w:r>
    </w:p>
    <w:p>
      <w:pPr>
        <w:spacing w:after="0" w:line="132" w:lineRule="exact"/>
        <w:rPr>
          <w:sz w:val="20"/>
          <w:szCs w:val="20"/>
          <w:color w:val="auto"/>
        </w:rPr>
      </w:pPr>
    </w:p>
    <w:p>
      <w:pPr>
        <w:ind w:left="360" w:right="20"/>
        <w:spacing w:after="0" w:line="250" w:lineRule="auto"/>
        <w:rPr>
          <w:sz w:val="20"/>
          <w:szCs w:val="20"/>
          <w:color w:val="auto"/>
        </w:rPr>
      </w:pPr>
      <w:r>
        <w:rPr>
          <w:rFonts w:ascii="Arial" w:cs="Arial" w:eastAsia="Arial" w:hAnsi="Arial"/>
          <w:sz w:val="17"/>
          <w:szCs w:val="17"/>
          <w:color w:val="auto"/>
        </w:rPr>
        <w:t>In connection with the commencement of his employment and in consideration of the terms of the Biehl Offer Letter, Mr. Biehl also entered into a restrictive covenants agreement dated July 20, 2022 (the “Biehl RCA”). Per the terms of the Biehl RCA, Mr. Biehl is subject to an indefinite confidentiality clause and non-disparagement clause, as well as non-competition and non-solicitation clauses which shall be effective during the term of employment and for 12 months following termination of employment.</w:t>
      </w:r>
    </w:p>
    <w:p>
      <w:pPr>
        <w:spacing w:after="0" w:line="257" w:lineRule="exact"/>
        <w:rPr>
          <w:sz w:val="20"/>
          <w:szCs w:val="20"/>
          <w:color w:val="auto"/>
        </w:rPr>
      </w:pPr>
    </w:p>
    <w:p>
      <w:pPr>
        <w:ind w:left="360"/>
        <w:spacing w:after="0"/>
        <w:rPr>
          <w:sz w:val="20"/>
          <w:szCs w:val="20"/>
          <w:color w:val="auto"/>
        </w:rPr>
      </w:pPr>
      <w:r>
        <w:rPr>
          <w:rFonts w:ascii="Arial" w:cs="Arial" w:eastAsia="Arial" w:hAnsi="Arial"/>
          <w:sz w:val="28"/>
          <w:szCs w:val="28"/>
          <w:color w:val="auto"/>
        </w:rPr>
        <w:t>Offer Letter and Restrictive Covenants Agreement with Mr. Alexander Dimitrief</w:t>
      </w:r>
    </w:p>
    <w:p>
      <w:pPr>
        <w:spacing w:after="0" w:line="220" w:lineRule="exact"/>
        <w:rPr>
          <w:sz w:val="20"/>
          <w:szCs w:val="20"/>
          <w:color w:val="auto"/>
        </w:rPr>
      </w:pPr>
    </w:p>
    <w:p>
      <w:pPr>
        <w:ind w:left="360"/>
        <w:spacing w:after="0" w:line="242" w:lineRule="auto"/>
        <w:rPr>
          <w:sz w:val="20"/>
          <w:szCs w:val="20"/>
          <w:color w:val="auto"/>
        </w:rPr>
      </w:pPr>
      <w:r>
        <w:rPr>
          <w:rFonts w:ascii="Arial" w:cs="Arial" w:eastAsia="Arial" w:hAnsi="Arial"/>
          <w:sz w:val="17"/>
          <w:szCs w:val="17"/>
          <w:color w:val="auto"/>
        </w:rPr>
        <w:t>Mr. Dimitrief is a party to an offer letter with us dated October 28, 2022 (the “Dimitrief Offer Letter”), pursuant to which he serves as Senior Vice President and General Counsel. Mr. Dimitrief’s employment with the Company commenced on November 1, 2022. Under the terms of the Dimitrief Offer Letter, Mr. Dimitrief’s initial annual base salary in connection with his appointment as Senior Vice President and General Counsel was set at $600,000. See the Summary Compensation Table for information on Mr. Dimitrief’s base salary paid in 2022. Under the Dimitrief Offer Letter, Mr. Dimitrief is also eligible to participate in the Annual Incentive Plan, with his annual target incentive opportunity equal to 50% of his then-current annual base salary and prorated based on his hire date. In connection with the commencement of Mr. Dimitrief’s employment, he received a grant of stock options and restricted stock, in each case with a targeted grant date fair value of $1,500,000 and will vest in two equal installments on October 31, 2023 and October 31, 2024, subject to the terms and conditions of the 2020 Incentive Plan, as well as any applicable grant notices and agreements.</w:t>
      </w:r>
    </w:p>
    <w:p>
      <w:pPr>
        <w:spacing w:after="0" w:line="136" w:lineRule="exact"/>
        <w:rPr>
          <w:sz w:val="20"/>
          <w:szCs w:val="20"/>
          <w:color w:val="auto"/>
        </w:rPr>
      </w:pPr>
    </w:p>
    <w:p>
      <w:pPr>
        <w:ind w:left="360"/>
        <w:spacing w:after="0" w:line="246" w:lineRule="auto"/>
        <w:rPr>
          <w:sz w:val="20"/>
          <w:szCs w:val="20"/>
          <w:color w:val="auto"/>
        </w:rPr>
      </w:pPr>
      <w:r>
        <w:rPr>
          <w:rFonts w:ascii="Arial" w:cs="Arial" w:eastAsia="Arial" w:hAnsi="Arial"/>
          <w:sz w:val="17"/>
          <w:szCs w:val="17"/>
          <w:color w:val="auto"/>
        </w:rPr>
        <w:t>In connection with the commencement of Mr. Dimitrief’s employment, he received a one-time lump sum cash payment equal to $ 1,500,000 (the “Dimitrief Sign-on Bonus”), which was paid on the first ordinary payroll date in November 2022. If Mr. Dimitrief’s employment with the Company is terminated by Mr. Dimitrief for any reason other than due to death or disability, or by the Company for “cause,” in each case prior to the second anniversary of the commencement of Mr. Dimitrief’s employment, he is obligated to repay, on a pre-tax basis, a pro-rata portion of the Dimitrief Sign-on Bonus.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231775</wp:posOffset>
            </wp:positionH>
            <wp:positionV relativeFrom="paragraph">
              <wp:posOffset>95885</wp:posOffset>
            </wp:positionV>
            <wp:extent cx="6687820" cy="1651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687820" cy="16510"/>
                    </a:xfrm>
                    <a:prstGeom prst="rect">
                      <a:avLst/>
                    </a:prstGeom>
                    <a:noFill/>
                  </pic:spPr>
                </pic:pic>
              </a:graphicData>
            </a:graphic>
          </wp:anchor>
        </w:drawing>
      </w:r>
    </w:p>
    <w:p>
      <w:pPr>
        <w:spacing w:after="0" w:line="320" w:lineRule="exact"/>
        <w:rPr>
          <w:sz w:val="20"/>
          <w:szCs w:val="20"/>
          <w:color w:val="auto"/>
        </w:rPr>
      </w:pPr>
    </w:p>
    <w:tbl>
      <w:tblPr>
        <w:tblLayout w:type="fixed"/>
        <w:tblInd w:w="360" w:type="dxa"/>
        <w:tblCellMar>
          <w:top w:w="0" w:type="dxa"/>
          <w:left w:w="0" w:type="dxa"/>
          <w:bottom w:w="0" w:type="dxa"/>
          <w:right w:w="0" w:type="dxa"/>
        </w:tblCellMar>
      </w:tblPr>
      <w:tr>
        <w:trPr>
          <w:trHeight w:val="226"/>
        </w:trPr>
        <w:tc>
          <w:tcPr>
            <w:tcW w:w="3900" w:type="dxa"/>
            <w:vAlign w:val="bottom"/>
          </w:tcPr>
          <w:p>
            <w:pPr>
              <w:spacing w:after="0"/>
              <w:rPr>
                <w:sz w:val="20"/>
                <w:szCs w:val="20"/>
                <w:color w:val="auto"/>
              </w:rPr>
            </w:pPr>
            <w:r>
              <w:rPr>
                <w:rFonts w:ascii="Arial" w:cs="Arial" w:eastAsia="Arial" w:hAnsi="Arial"/>
                <w:sz w:val="17"/>
                <w:szCs w:val="17"/>
                <w:color w:val="auto"/>
              </w:rPr>
              <w:t>2023 Notice and Proxy Statement</w:t>
            </w:r>
          </w:p>
        </w:tc>
        <w:tc>
          <w:tcPr>
            <w:tcW w:w="1520" w:type="dxa"/>
            <w:vAlign w:val="bottom"/>
          </w:tcPr>
          <w:p>
            <w:pPr>
              <w:jc w:val="right"/>
              <w:spacing w:after="0"/>
              <w:rPr>
                <w:sz w:val="20"/>
                <w:szCs w:val="20"/>
                <w:color w:val="auto"/>
              </w:rPr>
            </w:pPr>
            <w:r>
              <w:rPr>
                <w:rFonts w:ascii="Arial" w:cs="Arial" w:eastAsia="Arial" w:hAnsi="Arial"/>
                <w:sz w:val="17"/>
                <w:szCs w:val="17"/>
                <w:color w:val="auto"/>
              </w:rPr>
              <w:t>52</w:t>
            </w:r>
          </w:p>
        </w:tc>
      </w:tr>
    </w:tbl>
    <w:p>
      <w:pPr>
        <w:sectPr>
          <w:pgSz w:w="11900" w:h="16838" w:orient="portrait"/>
          <w:cols w:equalWidth="0" w:num="1">
            <w:col w:w="10880"/>
          </w:cols>
          <w:pgMar w:left="320" w:top="468" w:right="69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5397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79945" cy="53975"/>
                    </a:xfrm>
                    <a:prstGeom prst="rect">
                      <a:avLst/>
                    </a:prstGeom>
                    <a:noFill/>
                  </pic:spPr>
                </pic:pic>
              </a:graphicData>
            </a:graphic>
          </wp:anchor>
        </w:drawing>
        <w:t>Table of Contents</w:t>
      </w:r>
    </w:p>
    <w:p>
      <w:pPr>
        <w:spacing w:after="0" w:line="296" w:lineRule="exact"/>
        <w:rPr>
          <w:sz w:val="20"/>
          <w:szCs w:val="20"/>
          <w:color w:val="auto"/>
        </w:rPr>
      </w:pPr>
    </w:p>
    <w:p>
      <w:pPr>
        <w:jc w:val="right"/>
        <w:ind w:right="20"/>
        <w:spacing w:after="0"/>
        <w:rPr>
          <w:sz w:val="20"/>
          <w:szCs w:val="20"/>
          <w:color w:val="auto"/>
        </w:rPr>
      </w:pPr>
      <w:r>
        <w:rPr>
          <w:rFonts w:ascii="Arial" w:cs="Arial" w:eastAsia="Arial" w:hAnsi="Arial"/>
          <w:sz w:val="17"/>
          <w:szCs w:val="17"/>
          <w:b w:val="1"/>
          <w:bCs w:val="1"/>
          <w:color w:val="auto"/>
        </w:rPr>
        <w:t>Potential Termination Payments</w:t>
      </w:r>
    </w:p>
    <w:p>
      <w:pPr>
        <w:spacing w:after="0" w:line="21" w:lineRule="exact"/>
        <w:rPr>
          <w:sz w:val="20"/>
          <w:szCs w:val="20"/>
          <w:color w:val="auto"/>
        </w:rPr>
      </w:pPr>
    </w:p>
    <w:p>
      <w:pPr>
        <w:ind w:left="9240"/>
        <w:spacing w:after="0"/>
        <w:rPr>
          <w:sz w:val="20"/>
          <w:szCs w:val="20"/>
          <w:color w:val="auto"/>
        </w:rPr>
      </w:pPr>
      <w:r>
        <w:rPr>
          <w:rFonts w:ascii="Arial" w:cs="Arial" w:eastAsia="Arial" w:hAnsi="Arial"/>
          <w:sz w:val="13"/>
          <w:szCs w:val="13"/>
          <w:b w:val="1"/>
          <w:bCs w:val="1"/>
          <w:color w:val="auto"/>
        </w:rPr>
        <w:t>Employment Agreements</w:t>
      </w:r>
    </w:p>
    <w:p>
      <w:pPr>
        <w:spacing w:after="0" w:line="126" w:lineRule="exact"/>
        <w:rPr>
          <w:sz w:val="20"/>
          <w:szCs w:val="20"/>
          <w:color w:val="auto"/>
        </w:rPr>
      </w:pPr>
    </w:p>
    <w:p>
      <w:pPr>
        <w:ind w:left="360" w:right="120"/>
        <w:spacing w:after="0" w:line="274" w:lineRule="auto"/>
        <w:rPr>
          <w:sz w:val="20"/>
          <w:szCs w:val="20"/>
          <w:color w:val="auto"/>
        </w:rPr>
      </w:pPr>
      <w:r>
        <w:rPr>
          <w:rFonts w:ascii="Arial" w:cs="Arial" w:eastAsia="Arial" w:hAnsi="Arial"/>
          <w:sz w:val="17"/>
          <w:szCs w:val="17"/>
          <w:color w:val="auto"/>
        </w:rPr>
        <w:t>The Dimitrief Offer Letter does not provide for any severance payments in the event of a termination of his employment by Mr. Dimitrief or us, with or without cause or advance notice.</w:t>
      </w:r>
    </w:p>
    <w:p>
      <w:pPr>
        <w:spacing w:after="0" w:line="122" w:lineRule="exact"/>
        <w:rPr>
          <w:sz w:val="20"/>
          <w:szCs w:val="20"/>
          <w:color w:val="auto"/>
        </w:rPr>
      </w:pPr>
    </w:p>
    <w:p>
      <w:pPr>
        <w:ind w:left="360" w:right="180"/>
        <w:spacing w:after="0" w:line="247" w:lineRule="auto"/>
        <w:rPr>
          <w:sz w:val="20"/>
          <w:szCs w:val="20"/>
          <w:color w:val="auto"/>
        </w:rPr>
      </w:pPr>
      <w:r>
        <w:rPr>
          <w:rFonts w:ascii="Arial" w:cs="Arial" w:eastAsia="Arial" w:hAnsi="Arial"/>
          <w:sz w:val="17"/>
          <w:szCs w:val="17"/>
          <w:color w:val="auto"/>
        </w:rPr>
        <w:t>In connection with the commencement of his employment and in consideration of the terms of the Dimitrief Offer Letter, Mr. Dimitrief also entered into a restrictive covenants agreement dated November 1, 2022 (the “Dimitrief RCA”). Per the terms of the Dimitrief RCA,</w:t>
      </w:r>
    </w:p>
    <w:p>
      <w:pPr>
        <w:spacing w:after="0" w:line="1" w:lineRule="exact"/>
        <w:rPr>
          <w:sz w:val="20"/>
          <w:szCs w:val="20"/>
          <w:color w:val="auto"/>
        </w:rPr>
      </w:pPr>
    </w:p>
    <w:p>
      <w:pPr>
        <w:ind w:left="360" w:right="300"/>
        <w:spacing w:after="0" w:line="255" w:lineRule="auto"/>
        <w:rPr>
          <w:sz w:val="20"/>
          <w:szCs w:val="20"/>
          <w:color w:val="auto"/>
        </w:rPr>
      </w:pPr>
      <w:r>
        <w:rPr>
          <w:rFonts w:ascii="Arial" w:cs="Arial" w:eastAsia="Arial" w:hAnsi="Arial"/>
          <w:sz w:val="17"/>
          <w:szCs w:val="17"/>
          <w:color w:val="auto"/>
        </w:rPr>
        <w:t>Mr. Dimitrief is subject to an indefinite confidentiality clause and non-disparagement clause, as well as non-competition and non-solicitation clauses which shall be effective during the term of employment and for 12 months following termination of employment.</w:t>
      </w:r>
    </w:p>
    <w:p>
      <w:pPr>
        <w:spacing w:after="0" w:line="252" w:lineRule="exact"/>
        <w:rPr>
          <w:sz w:val="20"/>
          <w:szCs w:val="20"/>
          <w:color w:val="auto"/>
        </w:rPr>
      </w:pPr>
    </w:p>
    <w:p>
      <w:pPr>
        <w:ind w:left="360" w:right="980"/>
        <w:spacing w:after="0" w:line="271" w:lineRule="auto"/>
        <w:rPr>
          <w:sz w:val="20"/>
          <w:szCs w:val="20"/>
          <w:color w:val="auto"/>
        </w:rPr>
      </w:pPr>
      <w:r>
        <w:rPr>
          <w:rFonts w:ascii="Arial" w:cs="Arial" w:eastAsia="Arial" w:hAnsi="Arial"/>
          <w:sz w:val="28"/>
          <w:szCs w:val="28"/>
          <w:color w:val="auto"/>
        </w:rPr>
        <w:t>Offer Letter, Restrictive Covenants Agreement and Separation Agreement with Mr. Terrence G. Hammons, Jr.</w:t>
      </w:r>
    </w:p>
    <w:p>
      <w:pPr>
        <w:spacing w:after="0" w:line="138" w:lineRule="exact"/>
        <w:rPr>
          <w:sz w:val="20"/>
          <w:szCs w:val="20"/>
          <w:color w:val="auto"/>
        </w:rPr>
      </w:pPr>
    </w:p>
    <w:p>
      <w:pPr>
        <w:ind w:left="360" w:right="200"/>
        <w:spacing w:after="0" w:line="244" w:lineRule="auto"/>
        <w:rPr>
          <w:sz w:val="20"/>
          <w:szCs w:val="20"/>
          <w:color w:val="auto"/>
        </w:rPr>
      </w:pPr>
      <w:r>
        <w:rPr>
          <w:rFonts w:ascii="Arial" w:cs="Arial" w:eastAsia="Arial" w:hAnsi="Arial"/>
          <w:sz w:val="17"/>
          <w:szCs w:val="17"/>
          <w:color w:val="auto"/>
        </w:rPr>
        <w:t>Mr. Hammons was a party to an offer letter with us dated August 18, 2021 (the “Hammons Offer Letter”), pursuant to which he served as Senior Vice President and General Counsel. Under the terms of the Hammons Offer Letter, Mr. Hammons’ initial annual base salary in connection with his appointment as Senior Vice President and General Counsel was set at $425,000 and beginning in March 2022</w:t>
      </w:r>
    </w:p>
    <w:p>
      <w:pPr>
        <w:spacing w:after="0" w:line="1" w:lineRule="exact"/>
        <w:rPr>
          <w:sz w:val="20"/>
          <w:szCs w:val="20"/>
          <w:color w:val="auto"/>
        </w:rPr>
      </w:pPr>
    </w:p>
    <w:p>
      <w:pPr>
        <w:ind w:left="360" w:right="20"/>
        <w:spacing w:after="0" w:line="246" w:lineRule="auto"/>
        <w:rPr>
          <w:sz w:val="20"/>
          <w:szCs w:val="20"/>
          <w:color w:val="auto"/>
        </w:rPr>
      </w:pPr>
      <w:r>
        <w:rPr>
          <w:rFonts w:ascii="Arial" w:cs="Arial" w:eastAsia="Arial" w:hAnsi="Arial"/>
          <w:sz w:val="17"/>
          <w:szCs w:val="17"/>
          <w:color w:val="auto"/>
        </w:rPr>
        <w:t>Mr. Hammons annual base salary was set at $440,000. See the Summary Compensation Table for information on Mr. Hammons’ base salary paid in 2021 and 2022. Under the Hammons Offer Letter, Mr. Hammons was also eligible to participate in the Annual Incentive Plan, with his annual target incentive opportunity equal to 50% of his then-current annual base salary.</w:t>
      </w:r>
    </w:p>
    <w:p>
      <w:pPr>
        <w:spacing w:after="0" w:line="131" w:lineRule="exact"/>
        <w:rPr>
          <w:sz w:val="20"/>
          <w:szCs w:val="20"/>
          <w:color w:val="auto"/>
        </w:rPr>
      </w:pPr>
    </w:p>
    <w:p>
      <w:pPr>
        <w:ind w:left="360" w:right="60"/>
        <w:spacing w:after="0" w:line="241" w:lineRule="auto"/>
        <w:rPr>
          <w:sz w:val="20"/>
          <w:szCs w:val="20"/>
          <w:color w:val="auto"/>
        </w:rPr>
      </w:pPr>
      <w:r>
        <w:rPr>
          <w:rFonts w:ascii="Arial" w:cs="Arial" w:eastAsia="Arial" w:hAnsi="Arial"/>
          <w:sz w:val="17"/>
          <w:szCs w:val="17"/>
          <w:color w:val="auto"/>
        </w:rPr>
        <w:t>In connection with the commencement of Mr. Hammons’ employment, he received a one-time lump sum cash payment equal to $500,000 (the “Hammons Sign-on Bonus”), which was paid on the first ordinary payroll date in February 2022. Pursuant to the terms of the Hammons Sign-on Bonus, if Mr. Hammons’ employment with the Company was terminated by Mr. Hammons for any reason or by the Company for “cause” prior to the second anniversary of the commencement of Mr. Hammons’ employment, he would have been obligated to repay, on a pre-tax basis, a pro-rata portion of the Hammons Sign-on Bonus. In connection with Mr. Hammons’ termination of employment and pursuant to the terms of the Hammons Separation Agreement (as defined below), he was not obligated to repay the Hammons Sign-on Bonus. In connection with the commencement of his employment and in consideration of the terms of the Hammons Offer Letter, Mr. Hammons also entered into a restrictive covenants agreement dated November 1, 2021 (the “Hammons RCA”). Per the terms of the Hammons RCA, Mr. Hammons is subject to an indefinite confidentiality clause and non-disparagement clause, as well as non-competition and non-solicitation clauses which shall be effective during the term of employment and for 12 months following termination of employment.</w:t>
      </w:r>
    </w:p>
    <w:p>
      <w:pPr>
        <w:spacing w:after="0" w:line="334" w:lineRule="exact"/>
        <w:rPr>
          <w:sz w:val="20"/>
          <w:szCs w:val="20"/>
          <w:color w:val="auto"/>
        </w:rPr>
      </w:pPr>
    </w:p>
    <w:p>
      <w:pPr>
        <w:ind w:left="360" w:right="320"/>
        <w:spacing w:after="0" w:line="250" w:lineRule="auto"/>
        <w:rPr>
          <w:sz w:val="20"/>
          <w:szCs w:val="20"/>
          <w:color w:val="auto"/>
        </w:rPr>
      </w:pPr>
      <w:r>
        <w:rPr>
          <w:rFonts w:ascii="Arial" w:cs="Arial" w:eastAsia="Arial" w:hAnsi="Arial"/>
          <w:sz w:val="17"/>
          <w:szCs w:val="17"/>
          <w:color w:val="auto"/>
        </w:rPr>
        <w:t>Mr. Hammons departed from the Company effective October 1, 2022. We and Mr. Hammons negotiated a Separation and Release Agreement with Mr. Hammons dated August 31, 2022 (the “Hammons Separation Agreement”) to provide for certain payments in connection with the transition of his duties and his separation from the Company. The Hammons Separation Agreement is described in detail under “Potential Payments Upon Termination or Change in Control” below.</w:t>
      </w:r>
    </w:p>
    <w:p>
      <w:pPr>
        <w:spacing w:after="0" w:line="257" w:lineRule="exact"/>
        <w:rPr>
          <w:sz w:val="20"/>
          <w:szCs w:val="20"/>
          <w:color w:val="auto"/>
        </w:rPr>
      </w:pPr>
    </w:p>
    <w:p>
      <w:pPr>
        <w:ind w:left="360"/>
        <w:spacing w:after="0"/>
        <w:rPr>
          <w:sz w:val="20"/>
          <w:szCs w:val="20"/>
          <w:color w:val="auto"/>
        </w:rPr>
      </w:pPr>
      <w:r>
        <w:rPr>
          <w:rFonts w:ascii="Arial" w:cs="Arial" w:eastAsia="Arial" w:hAnsi="Arial"/>
          <w:sz w:val="28"/>
          <w:szCs w:val="28"/>
          <w:color w:val="auto"/>
        </w:rPr>
        <w:t>Offer Letter and Restrictive Covenants Agreement with Mr. Matthew J. Klaben</w:t>
      </w:r>
    </w:p>
    <w:p>
      <w:pPr>
        <w:spacing w:after="0" w:line="220" w:lineRule="exact"/>
        <w:rPr>
          <w:sz w:val="20"/>
          <w:szCs w:val="20"/>
          <w:color w:val="auto"/>
        </w:rPr>
      </w:pPr>
    </w:p>
    <w:p>
      <w:pPr>
        <w:ind w:left="360" w:right="120"/>
        <w:spacing w:after="0" w:line="243" w:lineRule="auto"/>
        <w:rPr>
          <w:sz w:val="20"/>
          <w:szCs w:val="20"/>
          <w:color w:val="auto"/>
        </w:rPr>
      </w:pPr>
      <w:r>
        <w:rPr>
          <w:rFonts w:ascii="Arial" w:cs="Arial" w:eastAsia="Arial" w:hAnsi="Arial"/>
          <w:sz w:val="17"/>
          <w:szCs w:val="17"/>
          <w:color w:val="auto"/>
        </w:rPr>
        <w:t>Mr. Klaben entered into an employment agreement with our subsidiary, Sotera Health LLC, dated December 12, 2016, pursuant to which he served as our Senior Vice President and General Counsel (the “Klaben Employment Agreement”). Under the terms of the Klaben Employment Agreement, Mr. Klaben’s initial annual base salary in connection with his appointment as Senior Vice President and General Counsel was set at $345,000. See the Summary Compensation Table for information on Mr. Klaben’s base salary paid in 2021 and 2022. Under the Klaben Employment Agreement, Mr. Klaben was also eligible to receive an annual bonus based on his attainment of one or more pre-established performance criteria established by Topco Parent’s Board of Managers, with his annual target bonus opportunity equal to 40% of his then-current annual base salary.</w:t>
      </w:r>
    </w:p>
    <w:p>
      <w:pPr>
        <w:spacing w:after="0" w:line="150" w:lineRule="exact"/>
        <w:rPr>
          <w:sz w:val="20"/>
          <w:szCs w:val="20"/>
          <w:color w:val="auto"/>
        </w:rPr>
      </w:pPr>
    </w:p>
    <w:p>
      <w:pPr>
        <w:ind w:left="360" w:right="80"/>
        <w:spacing w:after="0" w:line="256" w:lineRule="auto"/>
        <w:rPr>
          <w:sz w:val="20"/>
          <w:szCs w:val="20"/>
          <w:color w:val="auto"/>
        </w:rPr>
      </w:pPr>
      <w:r>
        <w:rPr>
          <w:rFonts w:ascii="Arial" w:cs="Arial" w:eastAsia="Arial" w:hAnsi="Arial"/>
          <w:sz w:val="17"/>
          <w:szCs w:val="17"/>
          <w:color w:val="auto"/>
        </w:rPr>
        <w:t>In connection with the IPO, Sotera Health LLC, assigned its rights and obligations under the Klaben Employment Agreement to our Company and we entered into an amended and restated employment agreement with Mr. Klaben which replaced his existing employment agreement effective as of the closing of the IPO (the “Amended and Restated Klaben Employment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231775</wp:posOffset>
            </wp:positionH>
            <wp:positionV relativeFrom="paragraph">
              <wp:posOffset>88900</wp:posOffset>
            </wp:positionV>
            <wp:extent cx="6687820" cy="1651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687820" cy="16510"/>
                    </a:xfrm>
                    <a:prstGeom prst="rect">
                      <a:avLst/>
                    </a:prstGeom>
                    <a:noFill/>
                  </pic:spPr>
                </pic:pic>
              </a:graphicData>
            </a:graphic>
          </wp:anchor>
        </w:drawing>
      </w:r>
    </w:p>
    <w:p>
      <w:pPr>
        <w:spacing w:after="0" w:line="297"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6443980</wp:posOffset>
            </wp:positionH>
            <wp:positionV relativeFrom="paragraph">
              <wp:posOffset>-113030</wp:posOffset>
            </wp:positionV>
            <wp:extent cx="475615" cy="15557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475615" cy="155575"/>
                    </a:xfrm>
                    <a:prstGeom prst="rect">
                      <a:avLst/>
                    </a:prstGeom>
                    <a:noFill/>
                  </pic:spPr>
                </pic:pic>
              </a:graphicData>
            </a:graphic>
          </wp:anchor>
        </w:drawing>
      </w:r>
    </w:p>
    <w:p>
      <w:pPr>
        <w:sectPr>
          <w:pgSz w:w="11900" w:h="16838" w:orient="portrait"/>
          <w:cols w:equalWidth="0" w:num="1">
            <w:col w:w="10900"/>
          </w:cols>
          <w:pgMar w:left="320" w:top="468" w:right="67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5397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79945" cy="53975"/>
                    </a:xfrm>
                    <a:prstGeom prst="rect">
                      <a:avLst/>
                    </a:prstGeom>
                    <a:noFill/>
                  </pic:spPr>
                </pic:pic>
              </a:graphicData>
            </a:graphic>
          </wp:anchor>
        </w:drawing>
        <w:t>Table of Contents</w:t>
      </w:r>
    </w:p>
    <w:p>
      <w:pPr>
        <w:spacing w:after="0" w:line="296"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auto"/>
        </w:rPr>
        <w:t>Potential Termination Payments</w:t>
      </w:r>
    </w:p>
    <w:p>
      <w:pPr>
        <w:spacing w:after="0" w:line="21" w:lineRule="exact"/>
        <w:rPr>
          <w:sz w:val="20"/>
          <w:szCs w:val="20"/>
          <w:color w:val="auto"/>
        </w:rPr>
      </w:pPr>
    </w:p>
    <w:p>
      <w:pPr>
        <w:ind w:left="360"/>
        <w:spacing w:after="0"/>
        <w:rPr>
          <w:sz w:val="20"/>
          <w:szCs w:val="20"/>
          <w:color w:val="auto"/>
        </w:rPr>
      </w:pPr>
      <w:r>
        <w:rPr>
          <w:rFonts w:ascii="Arial" w:cs="Arial" w:eastAsia="Arial" w:hAnsi="Arial"/>
          <w:sz w:val="14"/>
          <w:szCs w:val="14"/>
          <w:b w:val="1"/>
          <w:bCs w:val="1"/>
          <w:color w:val="auto"/>
        </w:rPr>
        <w:t>Employment Agreements</w:t>
      </w:r>
    </w:p>
    <w:p>
      <w:pPr>
        <w:spacing w:after="0" w:line="114" w:lineRule="exact"/>
        <w:rPr>
          <w:sz w:val="20"/>
          <w:szCs w:val="20"/>
          <w:color w:val="auto"/>
        </w:rPr>
      </w:pPr>
    </w:p>
    <w:p>
      <w:pPr>
        <w:ind w:left="360" w:right="320"/>
        <w:spacing w:after="0" w:line="250" w:lineRule="auto"/>
        <w:rPr>
          <w:sz w:val="20"/>
          <w:szCs w:val="20"/>
          <w:color w:val="auto"/>
        </w:rPr>
      </w:pPr>
      <w:r>
        <w:rPr>
          <w:rFonts w:ascii="Arial" w:cs="Arial" w:eastAsia="Arial" w:hAnsi="Arial"/>
          <w:sz w:val="17"/>
          <w:szCs w:val="17"/>
          <w:color w:val="auto"/>
        </w:rPr>
        <w:t>Agreement”). Under the terms of the Amended and Restated Klaben Employment Agreement, Mr. Klaben served as our Senior Vice President and General Counsel. Mr. Klaben’s initial annual base salary was set at $425,000. Mr. Klaben was also eligible to receive an annual bonus based on the attainment of certain pre-established performance criteria established by our Board of directors, with his annual target bonus opportunity equal to 50% of his then-current annual base salary.</w:t>
      </w:r>
    </w:p>
    <w:p>
      <w:pPr>
        <w:spacing w:after="0" w:line="141" w:lineRule="exact"/>
        <w:rPr>
          <w:sz w:val="20"/>
          <w:szCs w:val="20"/>
          <w:color w:val="auto"/>
        </w:rPr>
      </w:pPr>
    </w:p>
    <w:p>
      <w:pPr>
        <w:ind w:left="360" w:right="20"/>
        <w:spacing w:after="0" w:line="242" w:lineRule="auto"/>
        <w:rPr>
          <w:sz w:val="20"/>
          <w:szCs w:val="20"/>
          <w:color w:val="auto"/>
        </w:rPr>
      </w:pPr>
      <w:r>
        <w:rPr>
          <w:rFonts w:ascii="Arial" w:cs="Arial" w:eastAsia="Arial" w:hAnsi="Arial"/>
          <w:sz w:val="17"/>
          <w:szCs w:val="17"/>
          <w:color w:val="auto"/>
        </w:rPr>
        <w:t>In connection with his transition to the role of Deputy General Counsel, Mr. Klaben entered into an offer letter with the Company (the “Klaben Offer Letter”), which sets out the terms of his role as Deputy General Counsel, effective November 1, 2021, and supersedes the Amended and Restated Klaben Employment Agreement. Under the terms of the Klaben Offer Letter, Mr. Klaben’s annual base salary in connection with his appointment as Deputy General Counsel was set at $300,000. When Mr. Klaben was appointed as Interim Senior Vice President and General Counsel in October 2022 his annual base salary was increased to $440,000. Upon his returning to his role as Deputy General Counsel in November 2022, his annual base salary was reset to his pre-appointment salary, $303,000. Under the Klaben Offer Letter, Mr. Klaben is also eligible to participate in the Annual Incentive Plan, with his annual target incentive opportunity equal to 30% of his then-current annual base salary.</w:t>
      </w:r>
    </w:p>
    <w:p>
      <w:pPr>
        <w:spacing w:after="0" w:line="140" w:lineRule="exact"/>
        <w:rPr>
          <w:sz w:val="20"/>
          <w:szCs w:val="20"/>
          <w:color w:val="auto"/>
        </w:rPr>
      </w:pPr>
    </w:p>
    <w:p>
      <w:pPr>
        <w:ind w:left="360"/>
        <w:spacing w:after="0" w:line="250" w:lineRule="auto"/>
        <w:rPr>
          <w:sz w:val="20"/>
          <w:szCs w:val="20"/>
          <w:color w:val="auto"/>
        </w:rPr>
      </w:pPr>
      <w:r>
        <w:rPr>
          <w:rFonts w:ascii="Arial" w:cs="Arial" w:eastAsia="Arial" w:hAnsi="Arial"/>
          <w:sz w:val="17"/>
          <w:szCs w:val="17"/>
          <w:color w:val="auto"/>
        </w:rPr>
        <w:t>In consideration of the terms of the Klaben Offer Letter, Mr. Klaben also entered into a restrictive covenants agreement dated November 1, 2021 (the “Klaben RCA”). Per the terms of the Klaben RCA, Mr. Klaben is subject to an indefinite confidentiality clause and non-disparagement clause, as well as non -competition and non-solicitation clauses which shall be effective during the term of employment and for 12 months following termination of employment.</w:t>
      </w:r>
    </w:p>
    <w:p>
      <w:pPr>
        <w:spacing w:after="0" w:line="260" w:lineRule="exact"/>
        <w:rPr>
          <w:sz w:val="20"/>
          <w:szCs w:val="20"/>
          <w:color w:val="auto"/>
        </w:rPr>
      </w:pPr>
    </w:p>
    <w:p>
      <w:pPr>
        <w:ind w:left="360"/>
        <w:spacing w:after="0"/>
        <w:rPr>
          <w:sz w:val="20"/>
          <w:szCs w:val="20"/>
          <w:color w:val="auto"/>
        </w:rPr>
      </w:pPr>
      <w:r>
        <w:rPr>
          <w:rFonts w:ascii="Arial" w:cs="Arial" w:eastAsia="Arial" w:hAnsi="Arial"/>
          <w:sz w:val="31"/>
          <w:szCs w:val="31"/>
          <w:color w:val="00B0DB"/>
        </w:rPr>
        <w:t>Potential Payments Upon Termination or Change in Control</w:t>
      </w:r>
    </w:p>
    <w:p>
      <w:pPr>
        <w:spacing w:after="0" w:line="208" w:lineRule="exact"/>
        <w:rPr>
          <w:sz w:val="20"/>
          <w:szCs w:val="20"/>
          <w:color w:val="auto"/>
        </w:rPr>
      </w:pPr>
    </w:p>
    <w:p>
      <w:pPr>
        <w:ind w:left="360"/>
        <w:spacing w:after="0"/>
        <w:rPr>
          <w:sz w:val="20"/>
          <w:szCs w:val="20"/>
          <w:color w:val="auto"/>
        </w:rPr>
      </w:pPr>
      <w:r>
        <w:rPr>
          <w:rFonts w:ascii="Arial" w:cs="Arial" w:eastAsia="Arial" w:hAnsi="Arial"/>
          <w:sz w:val="28"/>
          <w:szCs w:val="28"/>
          <w:color w:val="auto"/>
        </w:rPr>
        <w:t>Potential Payments as Provided in Employment Agreements and Offer Letters</w:t>
      </w:r>
    </w:p>
    <w:p>
      <w:pPr>
        <w:spacing w:after="0" w:line="220" w:lineRule="exact"/>
        <w:rPr>
          <w:sz w:val="20"/>
          <w:szCs w:val="20"/>
          <w:color w:val="auto"/>
        </w:rPr>
      </w:pPr>
    </w:p>
    <w:p>
      <w:pPr>
        <w:jc w:val="both"/>
        <w:ind w:left="360" w:right="180"/>
        <w:spacing w:after="0" w:line="256" w:lineRule="auto"/>
        <w:rPr>
          <w:sz w:val="20"/>
          <w:szCs w:val="20"/>
          <w:color w:val="auto"/>
        </w:rPr>
      </w:pPr>
      <w:r>
        <w:rPr>
          <w:rFonts w:ascii="Arial" w:cs="Arial" w:eastAsia="Arial" w:hAnsi="Arial"/>
          <w:sz w:val="17"/>
          <w:szCs w:val="17"/>
          <w:color w:val="auto"/>
        </w:rPr>
        <w:t>In addition to the treatment described below in “Treatment of IPO and 2022 Equity Awards Upon Termination or Change in Control”, our NEOs are entitled to the following payments on certain terminations or a change in control of the Company pursuant to the terms of their respective employment agreements or offer letters.</w:t>
      </w:r>
    </w:p>
    <w:p>
      <w:pPr>
        <w:spacing w:after="0" w:line="252" w:lineRule="exact"/>
        <w:rPr>
          <w:sz w:val="20"/>
          <w:szCs w:val="20"/>
          <w:color w:val="auto"/>
        </w:rPr>
      </w:pPr>
    </w:p>
    <w:p>
      <w:pPr>
        <w:ind w:left="360"/>
        <w:spacing w:after="0"/>
        <w:rPr>
          <w:sz w:val="20"/>
          <w:szCs w:val="20"/>
          <w:color w:val="auto"/>
        </w:rPr>
      </w:pPr>
      <w:r>
        <w:rPr>
          <w:rFonts w:ascii="Arial" w:cs="Arial" w:eastAsia="Arial" w:hAnsi="Arial"/>
          <w:sz w:val="28"/>
          <w:szCs w:val="28"/>
          <w:color w:val="auto"/>
        </w:rPr>
        <w:t>Potential Payments to Mr. Michael B. Petras, Jr.</w:t>
      </w:r>
    </w:p>
    <w:p>
      <w:pPr>
        <w:spacing w:after="0" w:line="220" w:lineRule="exact"/>
        <w:rPr>
          <w:sz w:val="20"/>
          <w:szCs w:val="20"/>
          <w:color w:val="auto"/>
        </w:rPr>
      </w:pPr>
    </w:p>
    <w:p>
      <w:pPr>
        <w:ind w:left="360" w:right="20"/>
        <w:spacing w:after="0" w:line="250" w:lineRule="auto"/>
        <w:rPr>
          <w:sz w:val="20"/>
          <w:szCs w:val="20"/>
          <w:color w:val="auto"/>
        </w:rPr>
      </w:pPr>
      <w:r>
        <w:rPr>
          <w:rFonts w:ascii="Arial" w:cs="Arial" w:eastAsia="Arial" w:hAnsi="Arial"/>
          <w:sz w:val="17"/>
          <w:szCs w:val="17"/>
          <w:color w:val="auto"/>
        </w:rPr>
        <w:t>Under the Amended and Restated CEO Employment Agreement, in the event of a termination of employment by us without “cause” or by him for “good reason” (each as defined in the Amended and Restated CEO Employment Agreement), Mr. Petras, upon execution of a general release of claims in our favor and subject to continued compliance with the terms of such release and the restrictive covenants set forth in the Amended and Restated CEO Employment Agreement, will be eligible to receive:</w:t>
      </w:r>
    </w:p>
    <w:p>
      <w:pPr>
        <w:spacing w:after="0" w:line="76" w:lineRule="exact"/>
        <w:rPr>
          <w:sz w:val="20"/>
          <w:szCs w:val="20"/>
          <w:color w:val="auto"/>
        </w:rPr>
      </w:pPr>
    </w:p>
    <w:p>
      <w:pPr>
        <w:ind w:left="780" w:hanging="422"/>
        <w:spacing w:after="0" w:line="274" w:lineRule="auto"/>
        <w:tabs>
          <w:tab w:leader="none" w:pos="780" w:val="left"/>
        </w:tabs>
        <w:numPr>
          <w:ilvl w:val="0"/>
          <w:numId w:val="38"/>
        </w:numPr>
        <w:rPr>
          <w:rFonts w:ascii="Arial" w:cs="Arial" w:eastAsia="Arial" w:hAnsi="Arial"/>
          <w:sz w:val="17"/>
          <w:szCs w:val="17"/>
          <w:color w:val="00467D"/>
        </w:rPr>
      </w:pPr>
      <w:r>
        <w:rPr>
          <w:rFonts w:ascii="Arial" w:cs="Arial" w:eastAsia="Arial" w:hAnsi="Arial"/>
          <w:sz w:val="17"/>
          <w:szCs w:val="17"/>
          <w:color w:val="auto"/>
        </w:rPr>
        <w:t>An amount equal to two-times (2x) his then-current annual base salary (determined before any reduction that gave rise to executive’s right to terminate employment for “good reason”) payable in a lump sum within 60 days following his termination date,</w:t>
      </w:r>
    </w:p>
    <w:p>
      <w:pPr>
        <w:spacing w:after="0" w:line="57" w:lineRule="exact"/>
        <w:rPr>
          <w:rFonts w:ascii="Arial" w:cs="Arial" w:eastAsia="Arial" w:hAnsi="Arial"/>
          <w:sz w:val="17"/>
          <w:szCs w:val="17"/>
          <w:color w:val="00467D"/>
        </w:rPr>
      </w:pPr>
    </w:p>
    <w:p>
      <w:pPr>
        <w:ind w:left="780" w:right="220" w:hanging="422"/>
        <w:spacing w:after="0" w:line="256" w:lineRule="auto"/>
        <w:tabs>
          <w:tab w:leader="none" w:pos="780" w:val="left"/>
        </w:tabs>
        <w:numPr>
          <w:ilvl w:val="0"/>
          <w:numId w:val="38"/>
        </w:numPr>
        <w:rPr>
          <w:rFonts w:ascii="Arial" w:cs="Arial" w:eastAsia="Arial" w:hAnsi="Arial"/>
          <w:sz w:val="17"/>
          <w:szCs w:val="17"/>
          <w:color w:val="00467D"/>
        </w:rPr>
      </w:pPr>
      <w:r>
        <w:rPr>
          <w:rFonts w:ascii="Arial" w:cs="Arial" w:eastAsia="Arial" w:hAnsi="Arial"/>
          <w:sz w:val="17"/>
          <w:szCs w:val="17"/>
          <w:color w:val="auto"/>
        </w:rPr>
        <w:t>If Mr. Petras elects COBRA, monthly reimbursement of the COBRA premiums incurred by Mr. Petras in an amount equal to the employer portion of the health insurance coverage provided to active employees for up to 12 months, provided that this benefit will cease if Mr. Petras becomes reemployed with another employer prior to the expiration of the 12 month period, and</w:t>
      </w:r>
    </w:p>
    <w:p>
      <w:pPr>
        <w:spacing w:after="0" w:line="71" w:lineRule="exact"/>
        <w:rPr>
          <w:rFonts w:ascii="Arial" w:cs="Arial" w:eastAsia="Arial" w:hAnsi="Arial"/>
          <w:sz w:val="17"/>
          <w:szCs w:val="17"/>
          <w:color w:val="00467D"/>
        </w:rPr>
      </w:pPr>
    </w:p>
    <w:p>
      <w:pPr>
        <w:ind w:left="780" w:hanging="422"/>
        <w:spacing w:after="0"/>
        <w:tabs>
          <w:tab w:leader="none" w:pos="780" w:val="left"/>
        </w:tabs>
        <w:numPr>
          <w:ilvl w:val="0"/>
          <w:numId w:val="38"/>
        </w:numPr>
        <w:rPr>
          <w:rFonts w:ascii="Arial" w:cs="Arial" w:eastAsia="Arial" w:hAnsi="Arial"/>
          <w:sz w:val="17"/>
          <w:szCs w:val="17"/>
          <w:color w:val="00467D"/>
        </w:rPr>
      </w:pPr>
      <w:r>
        <w:rPr>
          <w:rFonts w:ascii="Arial" w:cs="Arial" w:eastAsia="Arial" w:hAnsi="Arial"/>
          <w:sz w:val="17"/>
          <w:szCs w:val="17"/>
          <w:color w:val="auto"/>
        </w:rPr>
        <w:t>2 years of additional time-based vesting credit with respect to all then outstanding and unvested equity awards.</w:t>
      </w:r>
    </w:p>
    <w:p>
      <w:pPr>
        <w:spacing w:after="0" w:line="205" w:lineRule="exact"/>
        <w:rPr>
          <w:sz w:val="20"/>
          <w:szCs w:val="20"/>
          <w:color w:val="auto"/>
        </w:rPr>
      </w:pPr>
    </w:p>
    <w:p>
      <w:pPr>
        <w:ind w:left="360" w:right="40"/>
        <w:spacing w:after="0" w:line="245" w:lineRule="auto"/>
        <w:rPr>
          <w:sz w:val="20"/>
          <w:szCs w:val="20"/>
          <w:color w:val="auto"/>
        </w:rPr>
      </w:pPr>
      <w:r>
        <w:rPr>
          <w:rFonts w:ascii="Arial" w:cs="Arial" w:eastAsia="Arial" w:hAnsi="Arial"/>
          <w:sz w:val="17"/>
          <w:szCs w:val="17"/>
          <w:color w:val="auto"/>
        </w:rPr>
        <w:t>Under the Amended and Restated CEO Employment Agreement, “cause” generally means Mr. Petras’ (i) disclosure of confidential information or trade secrets of the Company, the Sponsors or any of their affiliates or any of their respective customers or suppliers, which use or disclosure causes or is demonstrably likely to cause a material injury to any of these parties, (ii) conviction of, or a plea of “guilty” or “no contest” to, a felony under the laws of the United States, Canada or any jurisdiction in which Mr. Petras resides, (iii) fraud, willful misconduct or gross neglect in the performance of his material duties or engagement in any other willful misconduct or willful engagement in any act or omission involving dishonesty,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231775</wp:posOffset>
            </wp:positionH>
            <wp:positionV relativeFrom="paragraph">
              <wp:posOffset>94615</wp:posOffset>
            </wp:positionV>
            <wp:extent cx="6687820" cy="1651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687820" cy="16510"/>
                    </a:xfrm>
                    <a:prstGeom prst="rect">
                      <a:avLst/>
                    </a:prstGeom>
                    <a:noFill/>
                  </pic:spPr>
                </pic:pic>
              </a:graphicData>
            </a:graphic>
          </wp:anchor>
        </w:drawing>
      </w:r>
    </w:p>
    <w:p>
      <w:pPr>
        <w:spacing w:after="0" w:line="319" w:lineRule="exact"/>
        <w:rPr>
          <w:sz w:val="20"/>
          <w:szCs w:val="20"/>
          <w:color w:val="auto"/>
        </w:rPr>
      </w:pPr>
    </w:p>
    <w:tbl>
      <w:tblPr>
        <w:tblLayout w:type="fixed"/>
        <w:tblInd w:w="360" w:type="dxa"/>
        <w:tblCellMar>
          <w:top w:w="0" w:type="dxa"/>
          <w:left w:w="0" w:type="dxa"/>
          <w:bottom w:w="0" w:type="dxa"/>
          <w:right w:w="0" w:type="dxa"/>
        </w:tblCellMar>
      </w:tblPr>
      <w:tr>
        <w:trPr>
          <w:trHeight w:val="226"/>
        </w:trPr>
        <w:tc>
          <w:tcPr>
            <w:tcW w:w="3900" w:type="dxa"/>
            <w:vAlign w:val="bottom"/>
          </w:tcPr>
          <w:p>
            <w:pPr>
              <w:spacing w:after="0"/>
              <w:rPr>
                <w:sz w:val="20"/>
                <w:szCs w:val="20"/>
                <w:color w:val="auto"/>
              </w:rPr>
            </w:pPr>
            <w:r>
              <w:rPr>
                <w:rFonts w:ascii="Arial" w:cs="Arial" w:eastAsia="Arial" w:hAnsi="Arial"/>
                <w:sz w:val="17"/>
                <w:szCs w:val="17"/>
                <w:color w:val="auto"/>
              </w:rPr>
              <w:t>2023 Notice and Proxy Statement</w:t>
            </w:r>
          </w:p>
        </w:tc>
        <w:tc>
          <w:tcPr>
            <w:tcW w:w="1520" w:type="dxa"/>
            <w:vAlign w:val="bottom"/>
          </w:tcPr>
          <w:p>
            <w:pPr>
              <w:jc w:val="right"/>
              <w:spacing w:after="0"/>
              <w:rPr>
                <w:sz w:val="20"/>
                <w:szCs w:val="20"/>
                <w:color w:val="auto"/>
              </w:rPr>
            </w:pPr>
            <w:r>
              <w:rPr>
                <w:rFonts w:ascii="Arial" w:cs="Arial" w:eastAsia="Arial" w:hAnsi="Arial"/>
                <w:sz w:val="17"/>
                <w:szCs w:val="17"/>
                <w:color w:val="auto"/>
              </w:rPr>
              <w:t>54</w:t>
            </w:r>
          </w:p>
        </w:tc>
      </w:tr>
    </w:tbl>
    <w:p>
      <w:pPr>
        <w:sectPr>
          <w:pgSz w:w="11900" w:h="16838" w:orient="portrait"/>
          <w:cols w:equalWidth="0" w:num="1">
            <w:col w:w="10880"/>
          </w:cols>
          <w:pgMar w:left="320" w:top="468" w:right="69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5397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79945" cy="53975"/>
                    </a:xfrm>
                    <a:prstGeom prst="rect">
                      <a:avLst/>
                    </a:prstGeom>
                    <a:noFill/>
                  </pic:spPr>
                </pic:pic>
              </a:graphicData>
            </a:graphic>
          </wp:anchor>
        </w:drawing>
        <w:t>Table of Contents</w:t>
      </w:r>
    </w:p>
    <w:p>
      <w:pPr>
        <w:spacing w:after="0" w:line="296"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Potential Termination Payments</w:t>
      </w:r>
    </w:p>
    <w:p>
      <w:pPr>
        <w:spacing w:after="0" w:line="21" w:lineRule="exact"/>
        <w:rPr>
          <w:sz w:val="20"/>
          <w:szCs w:val="20"/>
          <w:color w:val="auto"/>
        </w:rPr>
      </w:pPr>
    </w:p>
    <w:p>
      <w:pPr>
        <w:ind w:left="7020"/>
        <w:spacing w:after="0"/>
        <w:rPr>
          <w:sz w:val="20"/>
          <w:szCs w:val="20"/>
          <w:color w:val="auto"/>
        </w:rPr>
      </w:pPr>
      <w:r>
        <w:rPr>
          <w:rFonts w:ascii="Arial" w:cs="Arial" w:eastAsia="Arial" w:hAnsi="Arial"/>
          <w:sz w:val="13"/>
          <w:szCs w:val="13"/>
          <w:b w:val="1"/>
          <w:bCs w:val="1"/>
          <w:color w:val="auto"/>
        </w:rPr>
        <w:t>Potential Payments Upon Termination or Change in Control</w:t>
      </w:r>
    </w:p>
    <w:p>
      <w:pPr>
        <w:spacing w:after="0" w:line="126" w:lineRule="exact"/>
        <w:rPr>
          <w:sz w:val="20"/>
          <w:szCs w:val="20"/>
          <w:color w:val="auto"/>
        </w:rPr>
      </w:pPr>
    </w:p>
    <w:p>
      <w:pPr>
        <w:ind w:left="360" w:right="40"/>
        <w:spacing w:after="0" w:line="247" w:lineRule="auto"/>
        <w:rPr>
          <w:sz w:val="20"/>
          <w:szCs w:val="20"/>
          <w:color w:val="auto"/>
        </w:rPr>
      </w:pPr>
      <w:r>
        <w:rPr>
          <w:rFonts w:ascii="Arial" w:cs="Arial" w:eastAsia="Arial" w:hAnsi="Arial"/>
          <w:sz w:val="17"/>
          <w:szCs w:val="17"/>
          <w:color w:val="auto"/>
        </w:rPr>
        <w:t>unethical business conduct or moral turpitude which has caused a material injury to the Company, the Sponsors or any of their affiliates or any of their respective customers or suppliers, (v) intentional failure to perform assigned duties subject to a 30 day cure period or</w:t>
      </w:r>
    </w:p>
    <w:p>
      <w:pPr>
        <w:spacing w:after="0" w:line="1" w:lineRule="exact"/>
        <w:rPr>
          <w:sz w:val="20"/>
          <w:szCs w:val="20"/>
          <w:color w:val="auto"/>
        </w:rPr>
      </w:pPr>
    </w:p>
    <w:p>
      <w:pPr>
        <w:ind w:left="360"/>
        <w:spacing w:after="0"/>
        <w:rPr>
          <w:sz w:val="20"/>
          <w:szCs w:val="20"/>
          <w:color w:val="auto"/>
        </w:rPr>
      </w:pPr>
      <w:r>
        <w:rPr>
          <w:rFonts w:ascii="Arial" w:cs="Arial" w:eastAsia="Arial" w:hAnsi="Arial"/>
          <w:sz w:val="17"/>
          <w:szCs w:val="17"/>
          <w:color w:val="auto"/>
        </w:rPr>
        <w:t>(vi) breach of his non-competition covenant or any material breach of any other restrictive covenants to which Mr. Petras may be subject.</w:t>
      </w:r>
    </w:p>
    <w:p>
      <w:pPr>
        <w:spacing w:after="0" w:line="163" w:lineRule="exact"/>
        <w:rPr>
          <w:sz w:val="20"/>
          <w:szCs w:val="20"/>
          <w:color w:val="auto"/>
        </w:rPr>
      </w:pPr>
    </w:p>
    <w:p>
      <w:pPr>
        <w:ind w:left="360" w:right="40"/>
        <w:spacing w:after="0" w:line="246" w:lineRule="auto"/>
        <w:rPr>
          <w:sz w:val="20"/>
          <w:szCs w:val="20"/>
          <w:color w:val="auto"/>
        </w:rPr>
      </w:pPr>
      <w:r>
        <w:rPr>
          <w:rFonts w:ascii="Arial" w:cs="Arial" w:eastAsia="Arial" w:hAnsi="Arial"/>
          <w:sz w:val="17"/>
          <w:szCs w:val="17"/>
          <w:color w:val="auto"/>
        </w:rPr>
        <w:t>Under the Amended and Restated CEO Employment Agreement, “good reason” generally means (i) any material reduction in Mr. Petras’ title, status or authority, including, following the completion of the IPO, the failure to elect Mr. Petras to serve as the Executive Chairman of the Board of directors, (ii) any material reduction of Mr. Petras’ responsibilities, annual base salary or annual bonus opportunity, other compensation or the aggregate value of Mr. Petras’ benefits, (iii) the failure to grant certain IPO Equity Awards to Mr. Petras or (iv) the failure to provide for certain time-based vesting protections in connection with any future equity awards granted to Mr. Petras.</w:t>
      </w:r>
    </w:p>
    <w:p>
      <w:pPr>
        <w:spacing w:after="0" w:line="263" w:lineRule="exact"/>
        <w:rPr>
          <w:sz w:val="20"/>
          <w:szCs w:val="20"/>
          <w:color w:val="auto"/>
        </w:rPr>
      </w:pPr>
    </w:p>
    <w:p>
      <w:pPr>
        <w:ind w:left="360"/>
        <w:spacing w:after="0"/>
        <w:rPr>
          <w:sz w:val="20"/>
          <w:szCs w:val="20"/>
          <w:color w:val="auto"/>
        </w:rPr>
      </w:pPr>
      <w:r>
        <w:rPr>
          <w:rFonts w:ascii="Arial" w:cs="Arial" w:eastAsia="Arial" w:hAnsi="Arial"/>
          <w:sz w:val="28"/>
          <w:szCs w:val="28"/>
          <w:color w:val="auto"/>
        </w:rPr>
        <w:t>No Payments to Mr. Scott J. Leffler</w:t>
      </w:r>
    </w:p>
    <w:p>
      <w:pPr>
        <w:spacing w:after="0" w:line="220" w:lineRule="exact"/>
        <w:rPr>
          <w:sz w:val="20"/>
          <w:szCs w:val="20"/>
          <w:color w:val="auto"/>
        </w:rPr>
      </w:pPr>
    </w:p>
    <w:p>
      <w:pPr>
        <w:ind w:left="360" w:right="100"/>
        <w:spacing w:after="0" w:line="274" w:lineRule="auto"/>
        <w:rPr>
          <w:sz w:val="20"/>
          <w:szCs w:val="20"/>
          <w:color w:val="auto"/>
        </w:rPr>
      </w:pPr>
      <w:r>
        <w:rPr>
          <w:rFonts w:ascii="Arial" w:cs="Arial" w:eastAsia="Arial" w:hAnsi="Arial"/>
          <w:sz w:val="17"/>
          <w:szCs w:val="17"/>
          <w:color w:val="auto"/>
        </w:rPr>
        <w:t>As discussed above, in connection with Mr. Leffler’s separation from the Company, Mr. Leffler did not receive any separation payments or benefits.</w:t>
      </w:r>
    </w:p>
    <w:p>
      <w:pPr>
        <w:spacing w:after="0" w:line="238" w:lineRule="exact"/>
        <w:rPr>
          <w:sz w:val="20"/>
          <w:szCs w:val="20"/>
          <w:color w:val="auto"/>
        </w:rPr>
      </w:pPr>
    </w:p>
    <w:p>
      <w:pPr>
        <w:ind w:left="360"/>
        <w:spacing w:after="0"/>
        <w:rPr>
          <w:sz w:val="20"/>
          <w:szCs w:val="20"/>
          <w:color w:val="auto"/>
        </w:rPr>
      </w:pPr>
      <w:r>
        <w:rPr>
          <w:rFonts w:ascii="Arial" w:cs="Arial" w:eastAsia="Arial" w:hAnsi="Arial"/>
          <w:sz w:val="28"/>
          <w:szCs w:val="28"/>
          <w:color w:val="auto"/>
        </w:rPr>
        <w:t>Potential Payments to Mr. Michael F. Biehl</w:t>
      </w:r>
    </w:p>
    <w:p>
      <w:pPr>
        <w:spacing w:after="0" w:line="220" w:lineRule="exact"/>
        <w:rPr>
          <w:sz w:val="20"/>
          <w:szCs w:val="20"/>
          <w:color w:val="auto"/>
        </w:rPr>
      </w:pPr>
    </w:p>
    <w:p>
      <w:pPr>
        <w:ind w:left="360" w:right="320"/>
        <w:spacing w:after="0" w:line="274" w:lineRule="auto"/>
        <w:rPr>
          <w:sz w:val="20"/>
          <w:szCs w:val="20"/>
          <w:color w:val="auto"/>
        </w:rPr>
      </w:pPr>
      <w:r>
        <w:rPr>
          <w:rFonts w:ascii="Arial" w:cs="Arial" w:eastAsia="Arial" w:hAnsi="Arial"/>
          <w:sz w:val="17"/>
          <w:szCs w:val="17"/>
          <w:color w:val="auto"/>
        </w:rPr>
        <w:t>The Biehl Offer Letter does not provide for any severance payments in the event of a termination of his employment by Mr. Biehl or us, with or without cause or advance notice and Mr. Biehl did not receive equity incentive compensation for 2022.</w:t>
      </w:r>
    </w:p>
    <w:p>
      <w:pPr>
        <w:spacing w:after="0" w:line="238" w:lineRule="exact"/>
        <w:rPr>
          <w:sz w:val="20"/>
          <w:szCs w:val="20"/>
          <w:color w:val="auto"/>
        </w:rPr>
      </w:pPr>
    </w:p>
    <w:p>
      <w:pPr>
        <w:ind w:left="360"/>
        <w:spacing w:after="0"/>
        <w:rPr>
          <w:sz w:val="20"/>
          <w:szCs w:val="20"/>
          <w:color w:val="auto"/>
        </w:rPr>
      </w:pPr>
      <w:r>
        <w:rPr>
          <w:rFonts w:ascii="Arial" w:cs="Arial" w:eastAsia="Arial" w:hAnsi="Arial"/>
          <w:sz w:val="28"/>
          <w:szCs w:val="28"/>
          <w:color w:val="auto"/>
        </w:rPr>
        <w:t>Potential Payments to Mr. Michael P. Rutz</w:t>
      </w:r>
    </w:p>
    <w:p>
      <w:pPr>
        <w:spacing w:after="0" w:line="220" w:lineRule="exact"/>
        <w:rPr>
          <w:sz w:val="20"/>
          <w:szCs w:val="20"/>
          <w:color w:val="auto"/>
        </w:rPr>
      </w:pPr>
    </w:p>
    <w:p>
      <w:pPr>
        <w:ind w:left="360" w:right="20"/>
        <w:spacing w:after="0" w:line="250" w:lineRule="auto"/>
        <w:rPr>
          <w:sz w:val="20"/>
          <w:szCs w:val="20"/>
          <w:color w:val="auto"/>
        </w:rPr>
      </w:pPr>
      <w:r>
        <w:rPr>
          <w:rFonts w:ascii="Arial" w:cs="Arial" w:eastAsia="Arial" w:hAnsi="Arial"/>
          <w:sz w:val="17"/>
          <w:szCs w:val="17"/>
          <w:color w:val="auto"/>
        </w:rPr>
        <w:t>Under the Rutz Employment Agreement, in the event of a termination of employment by us without “cause” or by him for “good reason” (in each case as defined in the Rutz Employment Agreement), Mr. Rutz, upon execution of a general release of claims in our favor and subject to continued compliance with the terms of such release and the restrictive covenants set forth in the Rutz Employment Agreement, will be eligible to receive:</w:t>
      </w:r>
    </w:p>
    <w:p>
      <w:pPr>
        <w:spacing w:after="0" w:line="76" w:lineRule="exact"/>
        <w:rPr>
          <w:sz w:val="20"/>
          <w:szCs w:val="20"/>
          <w:color w:val="auto"/>
        </w:rPr>
      </w:pPr>
    </w:p>
    <w:p>
      <w:pPr>
        <w:ind w:left="780" w:hanging="422"/>
        <w:spacing w:after="0" w:line="274" w:lineRule="auto"/>
        <w:tabs>
          <w:tab w:leader="none" w:pos="780" w:val="left"/>
        </w:tabs>
        <w:numPr>
          <w:ilvl w:val="0"/>
          <w:numId w:val="39"/>
        </w:numPr>
        <w:rPr>
          <w:rFonts w:ascii="Arial" w:cs="Arial" w:eastAsia="Arial" w:hAnsi="Arial"/>
          <w:sz w:val="17"/>
          <w:szCs w:val="17"/>
          <w:color w:val="00467D"/>
        </w:rPr>
      </w:pPr>
      <w:r>
        <w:rPr>
          <w:rFonts w:ascii="Arial" w:cs="Arial" w:eastAsia="Arial" w:hAnsi="Arial"/>
          <w:sz w:val="17"/>
          <w:szCs w:val="17"/>
          <w:color w:val="auto"/>
        </w:rPr>
        <w:t>A continuation of his then-current annual base salary (determined before any reduction that gave rise to executive’s right to terminate employment for “good reason”) for 12 months, and</w:t>
      </w:r>
    </w:p>
    <w:p>
      <w:pPr>
        <w:spacing w:after="0" w:line="57" w:lineRule="exact"/>
        <w:rPr>
          <w:rFonts w:ascii="Arial" w:cs="Arial" w:eastAsia="Arial" w:hAnsi="Arial"/>
          <w:sz w:val="17"/>
          <w:szCs w:val="17"/>
          <w:color w:val="00467D"/>
        </w:rPr>
      </w:pPr>
    </w:p>
    <w:p>
      <w:pPr>
        <w:ind w:left="780" w:right="220" w:hanging="422"/>
        <w:spacing w:after="0" w:line="246" w:lineRule="auto"/>
        <w:tabs>
          <w:tab w:leader="none" w:pos="780" w:val="left"/>
        </w:tabs>
        <w:numPr>
          <w:ilvl w:val="0"/>
          <w:numId w:val="39"/>
        </w:numPr>
        <w:rPr>
          <w:rFonts w:ascii="Arial" w:cs="Arial" w:eastAsia="Arial" w:hAnsi="Arial"/>
          <w:sz w:val="17"/>
          <w:szCs w:val="17"/>
          <w:color w:val="00467D"/>
        </w:rPr>
      </w:pPr>
      <w:r>
        <w:rPr>
          <w:rFonts w:ascii="Arial" w:cs="Arial" w:eastAsia="Arial" w:hAnsi="Arial"/>
          <w:sz w:val="17"/>
          <w:szCs w:val="17"/>
          <w:color w:val="auto"/>
        </w:rPr>
        <w:t>Continuation of his health insurance coverage as though he had continued to be an active employee of the Company, or if he is unable to so participate and elects COBRA, monthly reimbursement for the difference between the monthly COBRA premium over the monthly premium he would have paid had he continued to be an active employee, for 12 months, provided that this benefit will cease if Mr. Rutz becomes reemployed with another employer that offers medical insurance prior to the expiration of the 12 month period.</w:t>
      </w:r>
    </w:p>
    <w:p>
      <w:pPr>
        <w:spacing w:after="0" w:line="134" w:lineRule="exact"/>
        <w:rPr>
          <w:sz w:val="20"/>
          <w:szCs w:val="20"/>
          <w:color w:val="auto"/>
        </w:rPr>
      </w:pPr>
    </w:p>
    <w:p>
      <w:pPr>
        <w:ind w:left="360" w:right="20"/>
        <w:spacing w:after="0" w:line="242" w:lineRule="auto"/>
        <w:rPr>
          <w:sz w:val="20"/>
          <w:szCs w:val="20"/>
          <w:color w:val="auto"/>
        </w:rPr>
      </w:pPr>
      <w:r>
        <w:rPr>
          <w:rFonts w:ascii="Arial" w:cs="Arial" w:eastAsia="Arial" w:hAnsi="Arial"/>
          <w:sz w:val="17"/>
          <w:szCs w:val="17"/>
          <w:color w:val="auto"/>
        </w:rPr>
        <w:t>Under the Rutz Employment Agreement, “cause” generally means Mr. Rutz’s (i) disclosure of confidential information or trade secrets of the Company, the Sponsors or any of their affiliates or any of their respective customers or suppliers, which use or disclosure causes or is likely to cause a material injury to any of these parties, (ii) conviction of, or a plea of “guilty” or “no contest” to, a felony under the laws of the United States, Canada or any jurisdiction in which Mr. Rutz resides, (iii) fraud, willful misconduct or gross neglect in the performance of his duties or engagement in any other willful misconduct or willful engagement in any act or omission involving dishonesty, unethical business conduct or moral turpitude which has caused or is demonstrably likely to cause a material injury to the Company, the Sponsors or any of their affiliates or any of their respective customers or suppliers, (iv) intentional failure to perform assigned duties after a written notification from our Board and failure to correct such deficiencies within 30 days or (v) breach of the Rutz Employment Agreement.</w:t>
      </w:r>
    </w:p>
    <w:p>
      <w:pPr>
        <w:spacing w:after="0" w:line="140" w:lineRule="exact"/>
        <w:rPr>
          <w:sz w:val="20"/>
          <w:szCs w:val="20"/>
          <w:color w:val="auto"/>
        </w:rPr>
      </w:pPr>
    </w:p>
    <w:p>
      <w:pPr>
        <w:jc w:val="both"/>
        <w:ind w:left="360" w:right="140"/>
        <w:spacing w:after="0" w:line="250" w:lineRule="auto"/>
        <w:rPr>
          <w:sz w:val="20"/>
          <w:szCs w:val="20"/>
          <w:color w:val="auto"/>
        </w:rPr>
      </w:pPr>
      <w:r>
        <w:rPr>
          <w:rFonts w:ascii="Arial" w:cs="Arial" w:eastAsia="Arial" w:hAnsi="Arial"/>
          <w:sz w:val="17"/>
          <w:szCs w:val="17"/>
          <w:color w:val="auto"/>
        </w:rPr>
        <w:t>Under the Rutz Employment Agreement, “good reason” generally means (i) any material reduction in Mr. Rutz’s title, status or authority, any material reduction of Mr. Rutz’s responsibilities, annual base salary, annual bonus opportunity, other compensation or the aggregate value of Mr. Rutz’s benefits, (iii) relocation of Mr. Rutz’s primary place of employment by more than 50 miles or (iv) the failure to grant the title of President, Sterigenics to Mr. Rutz by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231775</wp:posOffset>
            </wp:positionH>
            <wp:positionV relativeFrom="paragraph">
              <wp:posOffset>92075</wp:posOffset>
            </wp:positionV>
            <wp:extent cx="6687820" cy="1651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687820" cy="16510"/>
                    </a:xfrm>
                    <a:prstGeom prst="rect">
                      <a:avLst/>
                    </a:prstGeom>
                    <a:noFill/>
                  </pic:spPr>
                </pic:pic>
              </a:graphicData>
            </a:graphic>
          </wp:anchor>
        </w:drawing>
      </w:r>
    </w:p>
    <w:p>
      <w:pPr>
        <w:spacing w:after="0" w:line="314"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6443980</wp:posOffset>
            </wp:positionH>
            <wp:positionV relativeFrom="paragraph">
              <wp:posOffset>-113030</wp:posOffset>
            </wp:positionV>
            <wp:extent cx="475615" cy="15557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475615" cy="155575"/>
                    </a:xfrm>
                    <a:prstGeom prst="rect">
                      <a:avLst/>
                    </a:prstGeom>
                    <a:noFill/>
                  </pic:spPr>
                </pic:pic>
              </a:graphicData>
            </a:graphic>
          </wp:anchor>
        </w:drawing>
      </w:r>
    </w:p>
    <w:p>
      <w:pPr>
        <w:sectPr>
          <w:pgSz w:w="11900" w:h="16838" w:orient="portrait"/>
          <w:cols w:equalWidth="0" w:num="1">
            <w:col w:w="10880"/>
          </w:cols>
          <w:pgMar w:left="320" w:top="468" w:right="69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5397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79945" cy="53975"/>
                    </a:xfrm>
                    <a:prstGeom prst="rect">
                      <a:avLst/>
                    </a:prstGeom>
                    <a:noFill/>
                  </pic:spPr>
                </pic:pic>
              </a:graphicData>
            </a:graphic>
          </wp:anchor>
        </w:drawing>
        <w:t>Table of Contents</w:t>
      </w:r>
    </w:p>
    <w:p>
      <w:pPr>
        <w:spacing w:after="0" w:line="296"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auto"/>
        </w:rPr>
        <w:t>Potential Termination Payments</w:t>
      </w:r>
    </w:p>
    <w:p>
      <w:pPr>
        <w:spacing w:after="0" w:line="21" w:lineRule="exact"/>
        <w:rPr>
          <w:sz w:val="20"/>
          <w:szCs w:val="20"/>
          <w:color w:val="auto"/>
        </w:rPr>
      </w:pPr>
    </w:p>
    <w:p>
      <w:pPr>
        <w:ind w:left="360"/>
        <w:spacing w:after="0"/>
        <w:rPr>
          <w:sz w:val="20"/>
          <w:szCs w:val="20"/>
          <w:color w:val="auto"/>
        </w:rPr>
      </w:pPr>
      <w:r>
        <w:rPr>
          <w:rFonts w:ascii="Arial" w:cs="Arial" w:eastAsia="Arial" w:hAnsi="Arial"/>
          <w:sz w:val="14"/>
          <w:szCs w:val="14"/>
          <w:b w:val="1"/>
          <w:bCs w:val="1"/>
          <w:color w:val="auto"/>
        </w:rPr>
        <w:t>Potential Payments Upon Termination or Change in Control</w:t>
      </w:r>
    </w:p>
    <w:p>
      <w:pPr>
        <w:spacing w:after="0" w:line="114" w:lineRule="exact"/>
        <w:rPr>
          <w:sz w:val="20"/>
          <w:szCs w:val="20"/>
          <w:color w:val="auto"/>
        </w:rPr>
      </w:pPr>
    </w:p>
    <w:p>
      <w:pPr>
        <w:ind w:left="360" w:right="100"/>
        <w:spacing w:after="0" w:line="256" w:lineRule="auto"/>
        <w:rPr>
          <w:sz w:val="20"/>
          <w:szCs w:val="20"/>
          <w:color w:val="auto"/>
        </w:rPr>
      </w:pPr>
      <w:r>
        <w:rPr>
          <w:rFonts w:ascii="Arial" w:cs="Arial" w:eastAsia="Arial" w:hAnsi="Arial"/>
          <w:sz w:val="17"/>
          <w:szCs w:val="17"/>
          <w:color w:val="auto"/>
        </w:rPr>
        <w:t>In addition, under the terms of the Rutz Employment Agreement, Mr. Rutz is entitled to receive a one-time lump sum cash payment equal to $1,500,000, less applicable tax withholdings, upon a change in control, contingent upon his continued employment through the consummation of a change in control.</w:t>
      </w:r>
    </w:p>
    <w:p>
      <w:pPr>
        <w:spacing w:after="0" w:line="252" w:lineRule="exact"/>
        <w:rPr>
          <w:sz w:val="20"/>
          <w:szCs w:val="20"/>
          <w:color w:val="auto"/>
        </w:rPr>
      </w:pPr>
    </w:p>
    <w:p>
      <w:pPr>
        <w:ind w:left="360"/>
        <w:spacing w:after="0"/>
        <w:rPr>
          <w:sz w:val="20"/>
          <w:szCs w:val="20"/>
          <w:color w:val="auto"/>
        </w:rPr>
      </w:pPr>
      <w:r>
        <w:rPr>
          <w:rFonts w:ascii="Arial" w:cs="Arial" w:eastAsia="Arial" w:hAnsi="Arial"/>
          <w:sz w:val="28"/>
          <w:szCs w:val="28"/>
          <w:color w:val="auto"/>
        </w:rPr>
        <w:t>Potential Payments to Mr. Alexander Dimitrief</w:t>
      </w:r>
    </w:p>
    <w:p>
      <w:pPr>
        <w:spacing w:after="0" w:line="220" w:lineRule="exact"/>
        <w:rPr>
          <w:sz w:val="20"/>
          <w:szCs w:val="20"/>
          <w:color w:val="auto"/>
        </w:rPr>
      </w:pPr>
    </w:p>
    <w:p>
      <w:pPr>
        <w:ind w:left="360" w:right="100"/>
        <w:spacing w:after="0" w:line="274" w:lineRule="auto"/>
        <w:rPr>
          <w:sz w:val="20"/>
          <w:szCs w:val="20"/>
          <w:color w:val="auto"/>
        </w:rPr>
      </w:pPr>
      <w:r>
        <w:rPr>
          <w:rFonts w:ascii="Arial" w:cs="Arial" w:eastAsia="Arial" w:hAnsi="Arial"/>
          <w:sz w:val="17"/>
          <w:szCs w:val="17"/>
          <w:color w:val="auto"/>
        </w:rPr>
        <w:t>The Dimitrief Offer Letter does not provide for any severance payments in the event of a termination of his employment by Mr. Dimitrief or us, with or without cause or advance notice.</w:t>
      </w:r>
    </w:p>
    <w:p>
      <w:pPr>
        <w:spacing w:after="0" w:line="238" w:lineRule="exact"/>
        <w:rPr>
          <w:sz w:val="20"/>
          <w:szCs w:val="20"/>
          <w:color w:val="auto"/>
        </w:rPr>
      </w:pPr>
    </w:p>
    <w:p>
      <w:pPr>
        <w:ind w:left="360"/>
        <w:spacing w:after="0"/>
        <w:rPr>
          <w:sz w:val="20"/>
          <w:szCs w:val="20"/>
          <w:color w:val="auto"/>
        </w:rPr>
      </w:pPr>
      <w:r>
        <w:rPr>
          <w:rFonts w:ascii="Arial" w:cs="Arial" w:eastAsia="Arial" w:hAnsi="Arial"/>
          <w:sz w:val="28"/>
          <w:szCs w:val="28"/>
          <w:color w:val="auto"/>
        </w:rPr>
        <w:t>Payments to Mr. Terrence G. Hammons, Jr.</w:t>
      </w:r>
    </w:p>
    <w:p>
      <w:pPr>
        <w:spacing w:after="0" w:line="220" w:lineRule="exact"/>
        <w:rPr>
          <w:sz w:val="20"/>
          <w:szCs w:val="20"/>
          <w:color w:val="auto"/>
        </w:rPr>
      </w:pPr>
    </w:p>
    <w:p>
      <w:pPr>
        <w:ind w:left="360" w:right="20"/>
        <w:spacing w:after="0" w:line="243" w:lineRule="auto"/>
        <w:rPr>
          <w:sz w:val="20"/>
          <w:szCs w:val="20"/>
          <w:color w:val="auto"/>
        </w:rPr>
      </w:pPr>
      <w:r>
        <w:rPr>
          <w:rFonts w:ascii="Arial" w:cs="Arial" w:eastAsia="Arial" w:hAnsi="Arial"/>
          <w:sz w:val="17"/>
          <w:szCs w:val="17"/>
          <w:color w:val="auto"/>
        </w:rPr>
        <w:t>In connection with Mr. Hammons’ transition of his duties and separation from the Company, the Company and Mr. Hammons entered into the Hammons Separation Agreement that specifies the terms of his departure from the Company and the payments and benefits he is eligible to receive. Subject to his execution and non-revocation of a general release of claims in our favor and compliance with the post-separation covenants set forth in the separation agreement, Mr. Hammons will receive base salary continuation for a period of 12 months following his separation date of October 1, 2022, in an aggregate amount equal to $101,538.48, less applicable tax withholdings. Pursuant to the terms of the Hammons Separation Agreement, Mr. Hammons was not obligated to repay the Hammons Sign-on Bonus. All of Mr. Hammons’ equity incentive awards that were outstanding and unvested at the time of his departure were forfeited.</w:t>
      </w:r>
    </w:p>
    <w:p>
      <w:pPr>
        <w:spacing w:after="0" w:line="176" w:lineRule="exact"/>
        <w:rPr>
          <w:sz w:val="20"/>
          <w:szCs w:val="20"/>
          <w:color w:val="auto"/>
        </w:rPr>
      </w:pPr>
    </w:p>
    <w:p>
      <w:pPr>
        <w:ind w:left="360"/>
        <w:spacing w:after="0" w:line="256" w:lineRule="auto"/>
        <w:rPr>
          <w:sz w:val="20"/>
          <w:szCs w:val="20"/>
          <w:color w:val="auto"/>
        </w:rPr>
      </w:pPr>
      <w:r>
        <w:rPr>
          <w:rFonts w:ascii="Arial" w:cs="Arial" w:eastAsia="Arial" w:hAnsi="Arial"/>
          <w:sz w:val="17"/>
          <w:szCs w:val="17"/>
          <w:color w:val="auto"/>
        </w:rPr>
        <w:t>Under the Hammons Separation Agreement, Mr. Hammons provided consulting services to the Company to assist with the transition of his responsibilities from October 1, 2022 through December 31, 2022. For his consulting services, Mr. Hammons received a monthly consulting fee of $13,500.</w:t>
      </w:r>
    </w:p>
    <w:p>
      <w:pPr>
        <w:spacing w:after="0" w:line="252" w:lineRule="exact"/>
        <w:rPr>
          <w:sz w:val="20"/>
          <w:szCs w:val="20"/>
          <w:color w:val="auto"/>
        </w:rPr>
      </w:pPr>
    </w:p>
    <w:p>
      <w:pPr>
        <w:ind w:left="360"/>
        <w:spacing w:after="0"/>
        <w:rPr>
          <w:sz w:val="20"/>
          <w:szCs w:val="20"/>
          <w:color w:val="auto"/>
        </w:rPr>
      </w:pPr>
      <w:r>
        <w:rPr>
          <w:rFonts w:ascii="Arial" w:cs="Arial" w:eastAsia="Arial" w:hAnsi="Arial"/>
          <w:sz w:val="28"/>
          <w:szCs w:val="28"/>
          <w:color w:val="auto"/>
        </w:rPr>
        <w:t>Potential Payments to Mr. Matthew J. Klaben</w:t>
      </w:r>
    </w:p>
    <w:p>
      <w:pPr>
        <w:spacing w:after="0" w:line="220" w:lineRule="exact"/>
        <w:rPr>
          <w:sz w:val="20"/>
          <w:szCs w:val="20"/>
          <w:color w:val="auto"/>
        </w:rPr>
      </w:pPr>
    </w:p>
    <w:p>
      <w:pPr>
        <w:ind w:left="360" w:right="80"/>
        <w:spacing w:after="0" w:line="256" w:lineRule="auto"/>
        <w:rPr>
          <w:sz w:val="20"/>
          <w:szCs w:val="20"/>
          <w:color w:val="auto"/>
        </w:rPr>
      </w:pPr>
      <w:r>
        <w:rPr>
          <w:rFonts w:ascii="Arial" w:cs="Arial" w:eastAsia="Arial" w:hAnsi="Arial"/>
          <w:sz w:val="17"/>
          <w:szCs w:val="17"/>
          <w:color w:val="auto"/>
        </w:rPr>
        <w:t>Under the Klaben Offer Letter, in the event of a termination of employment by us without “cause” (as defined in the Klaben Offer Letter), Mr. Klaben, upon execution of a general release of claims in our favor and subject to continued compliance with the terms of such release and the restrictive covenants set forth in the Klaben Offer Letter, will be eligible to receive:</w:t>
      </w:r>
    </w:p>
    <w:p>
      <w:pPr>
        <w:spacing w:after="0" w:line="71" w:lineRule="exact"/>
        <w:rPr>
          <w:sz w:val="20"/>
          <w:szCs w:val="20"/>
          <w:color w:val="auto"/>
        </w:rPr>
      </w:pPr>
    </w:p>
    <w:p>
      <w:pPr>
        <w:ind w:left="780" w:hanging="422"/>
        <w:spacing w:after="0"/>
        <w:tabs>
          <w:tab w:leader="none" w:pos="780" w:val="left"/>
        </w:tabs>
        <w:numPr>
          <w:ilvl w:val="0"/>
          <w:numId w:val="40"/>
        </w:numPr>
        <w:rPr>
          <w:rFonts w:ascii="Arial" w:cs="Arial" w:eastAsia="Arial" w:hAnsi="Arial"/>
          <w:sz w:val="17"/>
          <w:szCs w:val="17"/>
          <w:color w:val="00467D"/>
        </w:rPr>
      </w:pPr>
      <w:r>
        <w:rPr>
          <w:rFonts w:ascii="Arial" w:cs="Arial" w:eastAsia="Arial" w:hAnsi="Arial"/>
          <w:sz w:val="17"/>
          <w:szCs w:val="17"/>
          <w:color w:val="auto"/>
        </w:rPr>
        <w:t>A continuation of his then-current annual base salary for 12 months.</w:t>
      </w:r>
    </w:p>
    <w:p>
      <w:pPr>
        <w:spacing w:after="0" w:line="179" w:lineRule="exact"/>
        <w:rPr>
          <w:sz w:val="20"/>
          <w:szCs w:val="20"/>
          <w:color w:val="auto"/>
        </w:rPr>
      </w:pPr>
    </w:p>
    <w:p>
      <w:pPr>
        <w:ind w:left="360" w:right="40"/>
        <w:spacing w:after="0" w:line="242" w:lineRule="auto"/>
        <w:rPr>
          <w:sz w:val="20"/>
          <w:szCs w:val="20"/>
          <w:color w:val="auto"/>
        </w:rPr>
      </w:pPr>
      <w:r>
        <w:rPr>
          <w:rFonts w:ascii="Arial" w:cs="Arial" w:eastAsia="Arial" w:hAnsi="Arial"/>
          <w:sz w:val="17"/>
          <w:szCs w:val="17"/>
          <w:color w:val="auto"/>
        </w:rPr>
        <w:t>Under the Klaben Offer Letter, “cause” generally means Mr. Klaben’s (i) intentional unauthorized use or disclosure of the confidential Information or trade secrets of the Company and its affiliates or any of their respective customers or suppliers, (ii) conviction of, or a plea of “guilty” or “no contest” to, a felony under the laws of the United States, Canada or any province or state thereof or the laws of any other jurisdiction in which Mr. Klaben resides, (iii) fraud, willful misconduct or gross neglect in the performance of his duties or engagement in any other willful misconduct which has caused material injury to the Company or any of its affiliates or any of their respective customers or suppliers, (iv) willful engagement in any act or omission involving dishonesty, breach of trust, unethical business conduct or moral turpitude, in each case involving the Company or any of its affiliates, or any of their respective customers or suppliers, (v) failure to perform lawful assigned duties or (v) breach of any restrictive covenant to which he is subject.</w:t>
      </w:r>
    </w:p>
    <w:p>
      <w:pPr>
        <w:spacing w:after="0" w:line="269" w:lineRule="exact"/>
        <w:rPr>
          <w:sz w:val="20"/>
          <w:szCs w:val="20"/>
          <w:color w:val="auto"/>
        </w:rPr>
      </w:pPr>
    </w:p>
    <w:p>
      <w:pPr>
        <w:ind w:left="360"/>
        <w:spacing w:after="0"/>
        <w:rPr>
          <w:sz w:val="20"/>
          <w:szCs w:val="20"/>
          <w:color w:val="auto"/>
        </w:rPr>
      </w:pPr>
      <w:r>
        <w:rPr>
          <w:rFonts w:ascii="Arial" w:cs="Arial" w:eastAsia="Arial" w:hAnsi="Arial"/>
          <w:sz w:val="28"/>
          <w:szCs w:val="28"/>
          <w:color w:val="auto"/>
        </w:rPr>
        <w:t>Treatment of IPO and 2022 Equity Awards Upon Termination or Change in Control</w:t>
      </w:r>
    </w:p>
    <w:p>
      <w:pPr>
        <w:spacing w:after="0" w:line="220" w:lineRule="exact"/>
        <w:rPr>
          <w:sz w:val="20"/>
          <w:szCs w:val="20"/>
          <w:color w:val="auto"/>
        </w:rPr>
      </w:pPr>
    </w:p>
    <w:p>
      <w:pPr>
        <w:ind w:left="360"/>
        <w:spacing w:after="0" w:line="245" w:lineRule="auto"/>
        <w:rPr>
          <w:sz w:val="20"/>
          <w:szCs w:val="20"/>
          <w:color w:val="auto"/>
        </w:rPr>
      </w:pPr>
      <w:r>
        <w:rPr>
          <w:rFonts w:ascii="Arial" w:cs="Arial" w:eastAsia="Arial" w:hAnsi="Arial"/>
          <w:sz w:val="17"/>
          <w:szCs w:val="17"/>
          <w:color w:val="auto"/>
        </w:rPr>
        <w:t>In connection with our IPO, in lieu of our formal 2021 equity award grant cycle, we granted IPO Equity Awards to our NEOs in the form of RSUs and nonqualified stock options to purchase shares of our common stock with grant date fair values based on the IPO price. In March 2022, we commenced an annual equity award cycle. See “Compensation Elements for 2022 — Long-Term Equity Incentive Compensation” and “Outstanding Equity Awards at 2022 Year-End”. In addition to the treatment described above, under the terms of the IPO Equity Awards and the 2022 Equity Awards (as defined below) (collectively the “NEO Equity Awards”), the grantee will receive 2 years of additional time-based vesting credit in respect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231775</wp:posOffset>
            </wp:positionH>
            <wp:positionV relativeFrom="paragraph">
              <wp:posOffset>94615</wp:posOffset>
            </wp:positionV>
            <wp:extent cx="6687820" cy="1651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687820" cy="16510"/>
                    </a:xfrm>
                    <a:prstGeom prst="rect">
                      <a:avLst/>
                    </a:prstGeom>
                    <a:noFill/>
                  </pic:spPr>
                </pic:pic>
              </a:graphicData>
            </a:graphic>
          </wp:anchor>
        </w:drawing>
      </w:r>
    </w:p>
    <w:p>
      <w:pPr>
        <w:spacing w:after="0" w:line="306" w:lineRule="exact"/>
        <w:rPr>
          <w:sz w:val="20"/>
          <w:szCs w:val="20"/>
          <w:color w:val="auto"/>
        </w:rPr>
      </w:pPr>
    </w:p>
    <w:tbl>
      <w:tblPr>
        <w:tblLayout w:type="fixed"/>
        <w:tblInd w:w="360" w:type="dxa"/>
        <w:tblCellMar>
          <w:top w:w="0" w:type="dxa"/>
          <w:left w:w="0" w:type="dxa"/>
          <w:bottom w:w="0" w:type="dxa"/>
          <w:right w:w="0" w:type="dxa"/>
        </w:tblCellMar>
      </w:tblPr>
      <w:tr>
        <w:trPr>
          <w:trHeight w:val="226"/>
        </w:trPr>
        <w:tc>
          <w:tcPr>
            <w:tcW w:w="3900" w:type="dxa"/>
            <w:vAlign w:val="bottom"/>
          </w:tcPr>
          <w:p>
            <w:pPr>
              <w:spacing w:after="0"/>
              <w:rPr>
                <w:sz w:val="20"/>
                <w:szCs w:val="20"/>
                <w:color w:val="auto"/>
              </w:rPr>
            </w:pPr>
            <w:r>
              <w:rPr>
                <w:rFonts w:ascii="Arial" w:cs="Arial" w:eastAsia="Arial" w:hAnsi="Arial"/>
                <w:sz w:val="17"/>
                <w:szCs w:val="17"/>
                <w:color w:val="auto"/>
              </w:rPr>
              <w:t>2023 Notice and Proxy Statement</w:t>
            </w:r>
          </w:p>
        </w:tc>
        <w:tc>
          <w:tcPr>
            <w:tcW w:w="1520" w:type="dxa"/>
            <w:vAlign w:val="bottom"/>
          </w:tcPr>
          <w:p>
            <w:pPr>
              <w:jc w:val="right"/>
              <w:spacing w:after="0"/>
              <w:rPr>
                <w:sz w:val="20"/>
                <w:szCs w:val="20"/>
                <w:color w:val="auto"/>
              </w:rPr>
            </w:pPr>
            <w:r>
              <w:rPr>
                <w:rFonts w:ascii="Arial" w:cs="Arial" w:eastAsia="Arial" w:hAnsi="Arial"/>
                <w:sz w:val="17"/>
                <w:szCs w:val="17"/>
                <w:color w:val="auto"/>
              </w:rPr>
              <w:t>56</w:t>
            </w:r>
          </w:p>
        </w:tc>
      </w:tr>
    </w:tbl>
    <w:p>
      <w:pPr>
        <w:sectPr>
          <w:pgSz w:w="11900" w:h="16838" w:orient="portrait"/>
          <w:cols w:equalWidth="0" w:num="1">
            <w:col w:w="10880"/>
          </w:cols>
          <w:pgMar w:left="320" w:top="468" w:right="69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5397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79945" cy="53975"/>
                    </a:xfrm>
                    <a:prstGeom prst="rect">
                      <a:avLst/>
                    </a:prstGeom>
                    <a:noFill/>
                  </pic:spPr>
                </pic:pic>
              </a:graphicData>
            </a:graphic>
          </wp:anchor>
        </w:drawing>
        <w:t>Table of Contents</w:t>
      </w:r>
    </w:p>
    <w:p>
      <w:pPr>
        <w:spacing w:after="0" w:line="296"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Potential Termination Payments</w:t>
      </w:r>
    </w:p>
    <w:p>
      <w:pPr>
        <w:spacing w:after="0" w:line="21" w:lineRule="exact"/>
        <w:rPr>
          <w:sz w:val="20"/>
          <w:szCs w:val="20"/>
          <w:color w:val="auto"/>
        </w:rPr>
      </w:pPr>
    </w:p>
    <w:p>
      <w:pPr>
        <w:ind w:left="7020"/>
        <w:spacing w:after="0"/>
        <w:rPr>
          <w:sz w:val="20"/>
          <w:szCs w:val="20"/>
          <w:color w:val="auto"/>
        </w:rPr>
      </w:pPr>
      <w:r>
        <w:rPr>
          <w:rFonts w:ascii="Arial" w:cs="Arial" w:eastAsia="Arial" w:hAnsi="Arial"/>
          <w:sz w:val="13"/>
          <w:szCs w:val="13"/>
          <w:b w:val="1"/>
          <w:bCs w:val="1"/>
          <w:color w:val="auto"/>
        </w:rPr>
        <w:t>Potential Payments Upon Termination or Change in Control</w:t>
      </w:r>
    </w:p>
    <w:p>
      <w:pPr>
        <w:spacing w:after="0" w:line="126" w:lineRule="exact"/>
        <w:rPr>
          <w:sz w:val="20"/>
          <w:szCs w:val="20"/>
          <w:color w:val="auto"/>
        </w:rPr>
      </w:pPr>
    </w:p>
    <w:p>
      <w:pPr>
        <w:ind w:left="360" w:right="40"/>
        <w:spacing w:after="0"/>
        <w:rPr>
          <w:sz w:val="20"/>
          <w:szCs w:val="20"/>
          <w:color w:val="auto"/>
        </w:rPr>
      </w:pPr>
      <w:r>
        <w:rPr>
          <w:rFonts w:ascii="Arial" w:cs="Arial" w:eastAsia="Arial" w:hAnsi="Arial"/>
          <w:sz w:val="17"/>
          <w:szCs w:val="17"/>
          <w:color w:val="auto"/>
        </w:rPr>
        <w:t>all outstanding unvested equity awards, upon a termination of employment by reason of the grantee’s death or Disability (as defined in the 2020 Incentive Plan). Mr. Rutz will receive an additional 2 years of time-based vesting credit in respect of all outstanding unvested NEO Equity Awards in the event that, following the 2 year anniversary of the NEO Equity Award grant date, Mr. Rutz retires at or older than age 55 with 10 or more years of service to the Company. With respect to Mr. Petras, all unvested NEO Equity Awards will vest in full upon Mr. Petras’ voluntary retirement following the date on which the sum of Mr. Petras’ attained age and years of service with the Company equals or exceeds 65. Notwithstanding the foregoing, the NEO Equity Awards do not qualify for such vesting credit to the extent they were granted within the 12 month period immediately prior to a grantee’s retirement. With respect to the stock options and restricted stock granted to Mr. Dimitrief under the 2020 Incentive Plan in November 2022, upon a termination of employment by reason of Mr. Dimitrief’s death, Disability or by the Company without “cause” (as defined in the 2020 Incentive Plan), such awards will fully vest. No NEO was eligible for retirement on December 31, 2022. With respect to the NEO’s stock options, the following stock option exercise periods generally apply: (i) 90 days following a termination of the NEO’s employment other than upon death or Disability, (ii) 12 months following a termination of the NEO’s employment due to death or Disability and (iii) the earlier of (x) the 2 year anniversary of a “qualifying retirement” (or in the case of Mr. Petras, 3 year anniversary of a “qualifying retirement” (as defined in the applicable equity award agreement) or termination of employment by the Company without “cause” or by Mr. Petras with “good reason” (as each is defined in the Amended and Restated CEO Employment Agreement)) and (y) the original expiration date of such stock option.</w:t>
      </w:r>
    </w:p>
    <w:p>
      <w:pPr>
        <w:spacing w:after="0" w:line="153" w:lineRule="exact"/>
        <w:rPr>
          <w:sz w:val="20"/>
          <w:szCs w:val="20"/>
          <w:color w:val="auto"/>
        </w:rPr>
      </w:pPr>
    </w:p>
    <w:p>
      <w:pPr>
        <w:ind w:left="360" w:right="60"/>
        <w:spacing w:after="0" w:line="242" w:lineRule="auto"/>
        <w:rPr>
          <w:sz w:val="20"/>
          <w:szCs w:val="20"/>
          <w:color w:val="auto"/>
        </w:rPr>
      </w:pPr>
      <w:r>
        <w:rPr>
          <w:rFonts w:ascii="Arial" w:cs="Arial" w:eastAsia="Arial" w:hAnsi="Arial"/>
          <w:sz w:val="17"/>
          <w:szCs w:val="17"/>
          <w:color w:val="auto"/>
        </w:rPr>
        <w:t>Under the terms of the NEO Equity Awards, in the event of a Change in Control (as defined in the 2020 Incentive Plan) where any outstanding unvested portion of the NEO Equity Awards are not assumed or substituted by the acquirer, such unvested awards will generally vest as of the date of such Change in Control. In the event of a Change in Control where outstanding NEO Equity Awards (other than with respect to the Dimitrief Equity Award) are assumed or substituted by the acquirer and the grantee is terminated by the acquirer without “cause” (as defined in such NEO’s employment agreement or offer letter, as applicable) or with respect to Messrs. Petras, Rutz and Klaben (other than with respect to the 2022 Equity Awards granted to Mr. Klaben) such executive terminates his employment for “good reason” (as defined in such NEO’s employment agreement), in each case, within the 1 year period immediately following such Change in Control, any then unvested NEO Equity Awards will vest as of the date of such NEO’s termination.</w:t>
      </w:r>
    </w:p>
    <w:p>
      <w:pPr>
        <w:spacing w:after="0" w:line="140" w:lineRule="exact"/>
        <w:rPr>
          <w:sz w:val="20"/>
          <w:szCs w:val="20"/>
          <w:color w:val="auto"/>
        </w:rPr>
      </w:pPr>
    </w:p>
    <w:p>
      <w:pPr>
        <w:ind w:left="360" w:right="180"/>
        <w:spacing w:after="0" w:line="246" w:lineRule="auto"/>
        <w:rPr>
          <w:sz w:val="20"/>
          <w:szCs w:val="20"/>
          <w:color w:val="auto"/>
        </w:rPr>
      </w:pPr>
      <w:r>
        <w:rPr>
          <w:rFonts w:ascii="Arial" w:cs="Arial" w:eastAsia="Arial" w:hAnsi="Arial"/>
          <w:sz w:val="17"/>
          <w:szCs w:val="17"/>
          <w:color w:val="auto"/>
        </w:rPr>
        <w:t>For purposes of this section (i) “2022 Annual Equity Grant” means the stock options and RSUs granted under the 2020 Incentive Plan to our NEOs (other than Mr. Dimitrief) in March 2022 and (ii) “Incentive Grants” means for Mr. Petras the stock options (the “Petras Equity Award”), for Mr. Dimitrief, the stock options and RSUs (the “Dimitrief Equity Award”) and for Mr. Klaben, the RSUs (the “Klaben Equity Award”), in each case granted under the 2022 Incentive Plan in November 2022 (together with the 2022 Annual Equity Grant, the “2022 Equity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231775</wp:posOffset>
            </wp:positionH>
            <wp:positionV relativeFrom="paragraph">
              <wp:posOffset>95885</wp:posOffset>
            </wp:positionV>
            <wp:extent cx="6687820" cy="1651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687820" cy="16510"/>
                    </a:xfrm>
                    <a:prstGeom prst="rect">
                      <a:avLst/>
                    </a:prstGeom>
                    <a:noFill/>
                  </pic:spPr>
                </pic:pic>
              </a:graphicData>
            </a:graphic>
          </wp:anchor>
        </w:drawing>
      </w:r>
    </w:p>
    <w:p>
      <w:pPr>
        <w:spacing w:after="0" w:line="320"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6443980</wp:posOffset>
            </wp:positionH>
            <wp:positionV relativeFrom="paragraph">
              <wp:posOffset>-113030</wp:posOffset>
            </wp:positionV>
            <wp:extent cx="475615" cy="15557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475615" cy="155575"/>
                    </a:xfrm>
                    <a:prstGeom prst="rect">
                      <a:avLst/>
                    </a:prstGeom>
                    <a:noFill/>
                  </pic:spPr>
                </pic:pic>
              </a:graphicData>
            </a:graphic>
          </wp:anchor>
        </w:drawing>
      </w:r>
    </w:p>
    <w:p>
      <w:pPr>
        <w:sectPr>
          <w:pgSz w:w="11900" w:h="16838" w:orient="portrait"/>
          <w:cols w:equalWidth="0" w:num="1">
            <w:col w:w="10880"/>
          </w:cols>
          <w:pgMar w:left="320" w:top="468" w:right="69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5334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79945" cy="53340"/>
                    </a:xfrm>
                    <a:prstGeom prst="rect">
                      <a:avLst/>
                    </a:prstGeom>
                    <a:noFill/>
                  </pic:spPr>
                </pic:pic>
              </a:graphicData>
            </a:graphic>
          </wp:anchor>
        </w:drawing>
        <w:t>Table of Contents</w:t>
      </w:r>
    </w:p>
    <w:p>
      <w:pPr>
        <w:spacing w:after="0" w:line="296"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auto"/>
        </w:rPr>
        <w:t>Potential Termination Payments</w:t>
      </w:r>
    </w:p>
    <w:p>
      <w:pPr>
        <w:spacing w:after="0" w:line="21" w:lineRule="exact"/>
        <w:rPr>
          <w:sz w:val="20"/>
          <w:szCs w:val="20"/>
          <w:color w:val="auto"/>
        </w:rPr>
      </w:pPr>
    </w:p>
    <w:p>
      <w:pPr>
        <w:ind w:left="360"/>
        <w:spacing w:after="0"/>
        <w:rPr>
          <w:sz w:val="20"/>
          <w:szCs w:val="20"/>
          <w:color w:val="auto"/>
        </w:rPr>
      </w:pPr>
      <w:r>
        <w:rPr>
          <w:rFonts w:ascii="Arial" w:cs="Arial" w:eastAsia="Arial" w:hAnsi="Arial"/>
          <w:sz w:val="14"/>
          <w:szCs w:val="14"/>
          <w:b w:val="1"/>
          <w:bCs w:val="1"/>
          <w:color w:val="auto"/>
        </w:rPr>
        <w:t>Potential Post-Employment Payments Table</w:t>
      </w:r>
    </w:p>
    <w:p>
      <w:pPr>
        <w:spacing w:after="0" w:line="105" w:lineRule="exact"/>
        <w:rPr>
          <w:sz w:val="20"/>
          <w:szCs w:val="20"/>
          <w:color w:val="auto"/>
        </w:rPr>
      </w:pPr>
    </w:p>
    <w:p>
      <w:pPr>
        <w:ind w:left="360"/>
        <w:spacing w:after="0"/>
        <w:rPr>
          <w:sz w:val="20"/>
          <w:szCs w:val="20"/>
          <w:color w:val="auto"/>
        </w:rPr>
      </w:pPr>
      <w:r>
        <w:rPr>
          <w:rFonts w:ascii="Arial" w:cs="Arial" w:eastAsia="Arial" w:hAnsi="Arial"/>
          <w:sz w:val="31"/>
          <w:szCs w:val="31"/>
          <w:color w:val="00B0DB"/>
        </w:rPr>
        <w:t>Potential Post-Employment Payments Table</w:t>
      </w:r>
    </w:p>
    <w:p>
      <w:pPr>
        <w:spacing w:after="0" w:line="221" w:lineRule="exact"/>
        <w:rPr>
          <w:sz w:val="20"/>
          <w:szCs w:val="20"/>
          <w:color w:val="auto"/>
        </w:rPr>
      </w:pPr>
    </w:p>
    <w:p>
      <w:pPr>
        <w:ind w:left="360" w:right="80"/>
        <w:spacing w:after="0" w:line="245" w:lineRule="auto"/>
        <w:rPr>
          <w:sz w:val="20"/>
          <w:szCs w:val="20"/>
          <w:color w:val="auto"/>
        </w:rPr>
      </w:pPr>
      <w:r>
        <w:rPr>
          <w:rFonts w:ascii="Arial" w:cs="Arial" w:eastAsia="Arial" w:hAnsi="Arial"/>
          <w:sz w:val="17"/>
          <w:szCs w:val="17"/>
          <w:color w:val="auto"/>
        </w:rPr>
        <w:t>With respect to Messrs. Petras, Biehl, Rutz, Dimitrief and Klaben, the following table shows the estimated payments and value of benefits that we would provide to such NEOs if the triggering events described in the heading of the table had occurred on December 31, 2022. Mr. Leffler, whose employment terminated on July 20, 2022, did not receive any separation payments or benefits in connection with such termination. The narrative above describes the actual payments and value of benefits provided to Mr. Hammons in connection with his termination of employment on October 1, 2022. See “Potential Termination Payments — Potential Payments Upon Termination or Change in Control — Payments to Mr. Terrence G. Hammons, Jr.”</w:t>
      </w:r>
    </w:p>
    <w:p>
      <w:pPr>
        <w:spacing w:after="0" w:line="171" w:lineRule="exact"/>
        <w:rPr>
          <w:sz w:val="20"/>
          <w:szCs w:val="20"/>
          <w:color w:val="auto"/>
        </w:rPr>
      </w:pPr>
    </w:p>
    <w:p>
      <w:pPr>
        <w:ind w:left="360"/>
        <w:spacing w:after="0"/>
        <w:rPr>
          <w:sz w:val="20"/>
          <w:szCs w:val="20"/>
          <w:color w:val="auto"/>
        </w:rPr>
      </w:pPr>
      <w:r>
        <w:rPr>
          <w:rFonts w:ascii="Arial" w:cs="Arial" w:eastAsia="Arial" w:hAnsi="Arial"/>
          <w:sz w:val="17"/>
          <w:szCs w:val="17"/>
          <w:color w:val="auto"/>
        </w:rPr>
        <w:t>The payments that each of our NEOs would be entitled to if a termination of employment or a change in control had taken place on</w:t>
      </w:r>
    </w:p>
    <w:p>
      <w:pPr>
        <w:spacing w:after="0" w:line="14" w:lineRule="exact"/>
        <w:rPr>
          <w:sz w:val="20"/>
          <w:szCs w:val="20"/>
          <w:color w:val="auto"/>
        </w:rPr>
      </w:pPr>
    </w:p>
    <w:p>
      <w:pPr>
        <w:ind w:left="360"/>
        <w:spacing w:after="0"/>
        <w:rPr>
          <w:sz w:val="20"/>
          <w:szCs w:val="20"/>
          <w:color w:val="auto"/>
        </w:rPr>
      </w:pPr>
      <w:r>
        <w:rPr>
          <w:rFonts w:ascii="Arial" w:cs="Arial" w:eastAsia="Arial" w:hAnsi="Arial"/>
          <w:sz w:val="17"/>
          <w:szCs w:val="17"/>
          <w:color w:val="auto"/>
        </w:rPr>
        <w:t>December 31, 2022 are as follows:</w:t>
      </w:r>
    </w:p>
    <w:p>
      <w:pPr>
        <w:spacing w:after="0" w:line="217" w:lineRule="exact"/>
        <w:rPr>
          <w:sz w:val="20"/>
          <w:szCs w:val="20"/>
          <w:color w:val="auto"/>
        </w:rPr>
      </w:pPr>
    </w:p>
    <w:tbl>
      <w:tblPr>
        <w:tblLayout w:type="fixed"/>
        <w:tblInd w:w="360" w:type="dxa"/>
        <w:tblCellMar>
          <w:top w:w="0" w:type="dxa"/>
          <w:left w:w="0" w:type="dxa"/>
          <w:bottom w:w="0" w:type="dxa"/>
          <w:right w:w="0" w:type="dxa"/>
        </w:tblCellMar>
      </w:tblPr>
      <w:tr>
        <w:trPr>
          <w:trHeight w:val="181"/>
        </w:trPr>
        <w:tc>
          <w:tcPr>
            <w:tcW w:w="262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00" w:type="dxa"/>
            <w:vAlign w:val="bottom"/>
          </w:tcPr>
          <w:p>
            <w:pPr>
              <w:jc w:val="center"/>
              <w:ind w:right="243"/>
              <w:spacing w:after="0"/>
              <w:rPr>
                <w:sz w:val="20"/>
                <w:szCs w:val="20"/>
                <w:color w:val="auto"/>
              </w:rPr>
            </w:pPr>
            <w:r>
              <w:rPr>
                <w:rFonts w:ascii="Arial" w:cs="Arial" w:eastAsia="Arial" w:hAnsi="Arial"/>
                <w:sz w:val="15"/>
                <w:szCs w:val="15"/>
                <w:b w:val="1"/>
                <w:bCs w:val="1"/>
                <w:color w:val="00467D"/>
              </w:rPr>
              <w:t>Termination</w:t>
            </w:r>
          </w:p>
        </w:tc>
        <w:tc>
          <w:tcPr>
            <w:tcW w:w="3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62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1660" w:type="dxa"/>
            <w:vAlign w:val="bottom"/>
            <w:gridSpan w:val="2"/>
          </w:tcPr>
          <w:p>
            <w:pPr>
              <w:ind w:left="240"/>
              <w:spacing w:after="0"/>
              <w:rPr>
                <w:sz w:val="20"/>
                <w:szCs w:val="20"/>
                <w:color w:val="auto"/>
              </w:rPr>
            </w:pPr>
            <w:r>
              <w:rPr>
                <w:rFonts w:ascii="Arial" w:cs="Arial" w:eastAsia="Arial" w:hAnsi="Arial"/>
                <w:sz w:val="15"/>
                <w:szCs w:val="15"/>
                <w:b w:val="1"/>
                <w:bCs w:val="1"/>
                <w:color w:val="00467D"/>
              </w:rPr>
              <w:t>without “Cause”</w:t>
            </w:r>
          </w:p>
        </w:tc>
        <w:tc>
          <w:tcPr>
            <w:tcW w:w="3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480" w:type="dxa"/>
            <w:vAlign w:val="bottom"/>
            <w:gridSpan w:val="2"/>
          </w:tcPr>
          <w:p>
            <w:pPr>
              <w:ind w:left="220"/>
              <w:spacing w:after="0"/>
              <w:rPr>
                <w:sz w:val="20"/>
                <w:szCs w:val="20"/>
                <w:color w:val="auto"/>
              </w:rPr>
            </w:pPr>
            <w:r>
              <w:rPr>
                <w:rFonts w:ascii="Arial" w:cs="Arial" w:eastAsia="Arial" w:hAnsi="Arial"/>
                <w:sz w:val="15"/>
                <w:szCs w:val="15"/>
                <w:b w:val="1"/>
                <w:bCs w:val="1"/>
                <w:color w:val="00467D"/>
              </w:rPr>
              <w:t>Termination in</w:t>
            </w:r>
          </w:p>
        </w:tc>
        <w:tc>
          <w:tcPr>
            <w:tcW w:w="0" w:type="dxa"/>
            <w:vAlign w:val="bottom"/>
          </w:tcPr>
          <w:p>
            <w:pPr>
              <w:spacing w:after="0"/>
              <w:rPr>
                <w:sz w:val="1"/>
                <w:szCs w:val="1"/>
                <w:color w:val="auto"/>
              </w:rPr>
            </w:pPr>
          </w:p>
        </w:tc>
      </w:tr>
      <w:tr>
        <w:trPr>
          <w:trHeight w:val="181"/>
        </w:trPr>
        <w:tc>
          <w:tcPr>
            <w:tcW w:w="262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1660" w:type="dxa"/>
            <w:vAlign w:val="bottom"/>
            <w:gridSpan w:val="2"/>
          </w:tcPr>
          <w:p>
            <w:pPr>
              <w:jc w:val="center"/>
              <w:spacing w:after="0"/>
              <w:rPr>
                <w:sz w:val="20"/>
                <w:szCs w:val="20"/>
                <w:color w:val="auto"/>
              </w:rPr>
            </w:pPr>
            <w:r>
              <w:rPr>
                <w:rFonts w:ascii="Arial" w:cs="Arial" w:eastAsia="Arial" w:hAnsi="Arial"/>
                <w:sz w:val="15"/>
                <w:szCs w:val="15"/>
                <w:b w:val="1"/>
                <w:bCs w:val="1"/>
                <w:color w:val="00467D"/>
              </w:rPr>
              <w:t>or Resignation</w:t>
            </w:r>
          </w:p>
        </w:tc>
        <w:tc>
          <w:tcPr>
            <w:tcW w:w="1340" w:type="dxa"/>
            <w:vAlign w:val="bottom"/>
            <w:gridSpan w:val="2"/>
          </w:tcPr>
          <w:p>
            <w:pPr>
              <w:jc w:val="right"/>
              <w:ind w:right="143"/>
              <w:spacing w:after="0"/>
              <w:rPr>
                <w:sz w:val="20"/>
                <w:szCs w:val="20"/>
                <w:color w:val="auto"/>
              </w:rPr>
            </w:pPr>
            <w:r>
              <w:rPr>
                <w:rFonts w:ascii="Arial" w:cs="Arial" w:eastAsia="Arial" w:hAnsi="Arial"/>
                <w:sz w:val="15"/>
                <w:szCs w:val="15"/>
                <w:b w:val="1"/>
                <w:bCs w:val="1"/>
                <w:color w:val="00467D"/>
              </w:rPr>
              <w:t>Termination</w:t>
            </w:r>
          </w:p>
        </w:tc>
        <w:tc>
          <w:tcPr>
            <w:tcW w:w="14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tcPr>
          <w:p>
            <w:pPr>
              <w:jc w:val="right"/>
              <w:ind w:right="223"/>
              <w:spacing w:after="0"/>
              <w:rPr>
                <w:sz w:val="20"/>
                <w:szCs w:val="20"/>
                <w:color w:val="auto"/>
              </w:rPr>
            </w:pPr>
            <w:r>
              <w:rPr>
                <w:rFonts w:ascii="Arial" w:cs="Arial" w:eastAsia="Arial" w:hAnsi="Arial"/>
                <w:sz w:val="15"/>
                <w:szCs w:val="15"/>
                <w:b w:val="1"/>
                <w:bCs w:val="1"/>
                <w:color w:val="00467D"/>
              </w:rPr>
              <w:t>Connection</w:t>
            </w:r>
          </w:p>
        </w:tc>
        <w:tc>
          <w:tcPr>
            <w:tcW w:w="0" w:type="dxa"/>
            <w:vAlign w:val="bottom"/>
          </w:tcPr>
          <w:p>
            <w:pPr>
              <w:spacing w:after="0"/>
              <w:rPr>
                <w:sz w:val="1"/>
                <w:szCs w:val="1"/>
                <w:color w:val="auto"/>
              </w:rPr>
            </w:pPr>
          </w:p>
        </w:tc>
      </w:tr>
      <w:tr>
        <w:trPr>
          <w:trHeight w:val="181"/>
        </w:trPr>
        <w:tc>
          <w:tcPr>
            <w:tcW w:w="262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00" w:type="dxa"/>
            <w:vAlign w:val="bottom"/>
          </w:tcPr>
          <w:p>
            <w:pPr>
              <w:jc w:val="center"/>
              <w:ind w:right="243"/>
              <w:spacing w:after="0"/>
              <w:rPr>
                <w:sz w:val="20"/>
                <w:szCs w:val="20"/>
                <w:color w:val="auto"/>
              </w:rPr>
            </w:pPr>
            <w:r>
              <w:rPr>
                <w:rFonts w:ascii="Arial" w:cs="Arial" w:eastAsia="Arial" w:hAnsi="Arial"/>
                <w:sz w:val="15"/>
                <w:szCs w:val="15"/>
                <w:b w:val="1"/>
                <w:bCs w:val="1"/>
                <w:color w:val="00467D"/>
              </w:rPr>
              <w:t>for “Good</w:t>
            </w:r>
          </w:p>
        </w:tc>
        <w:tc>
          <w:tcPr>
            <w:tcW w:w="1340" w:type="dxa"/>
            <w:vAlign w:val="bottom"/>
            <w:gridSpan w:val="2"/>
          </w:tcPr>
          <w:p>
            <w:pPr>
              <w:ind w:left="200"/>
              <w:spacing w:after="0"/>
              <w:rPr>
                <w:sz w:val="20"/>
                <w:szCs w:val="20"/>
                <w:color w:val="auto"/>
              </w:rPr>
            </w:pPr>
            <w:r>
              <w:rPr>
                <w:rFonts w:ascii="Arial" w:cs="Arial" w:eastAsia="Arial" w:hAnsi="Arial"/>
                <w:sz w:val="15"/>
                <w:szCs w:val="15"/>
                <w:b w:val="1"/>
                <w:bCs w:val="1"/>
                <w:color w:val="00467D"/>
              </w:rPr>
              <w:t>due to Death</w:t>
            </w:r>
          </w:p>
        </w:tc>
        <w:tc>
          <w:tcPr>
            <w:tcW w:w="1420" w:type="dxa"/>
            <w:vAlign w:val="bottom"/>
          </w:tcPr>
          <w:p>
            <w:pPr>
              <w:jc w:val="right"/>
              <w:ind w:right="263"/>
              <w:spacing w:after="0"/>
              <w:rPr>
                <w:sz w:val="20"/>
                <w:szCs w:val="20"/>
                <w:color w:val="auto"/>
              </w:rPr>
            </w:pPr>
            <w:r>
              <w:rPr>
                <w:rFonts w:ascii="Arial" w:cs="Arial" w:eastAsia="Arial" w:hAnsi="Arial"/>
                <w:sz w:val="15"/>
                <w:szCs w:val="15"/>
                <w:b w:val="1"/>
                <w:bCs w:val="1"/>
                <w:color w:val="00467D"/>
              </w:rPr>
              <w:t>Qualifying</w:t>
            </w:r>
          </w:p>
        </w:tc>
        <w:tc>
          <w:tcPr>
            <w:tcW w:w="1480" w:type="dxa"/>
            <w:vAlign w:val="bottom"/>
            <w:gridSpan w:val="2"/>
          </w:tcPr>
          <w:p>
            <w:pPr>
              <w:ind w:left="220"/>
              <w:spacing w:after="0"/>
              <w:rPr>
                <w:sz w:val="20"/>
                <w:szCs w:val="20"/>
                <w:color w:val="auto"/>
              </w:rPr>
            </w:pPr>
            <w:r>
              <w:rPr>
                <w:rFonts w:ascii="Arial" w:cs="Arial" w:eastAsia="Arial" w:hAnsi="Arial"/>
                <w:sz w:val="15"/>
                <w:szCs w:val="15"/>
                <w:b w:val="1"/>
                <w:bCs w:val="1"/>
                <w:color w:val="00467D"/>
              </w:rPr>
              <w:t>with a Change</w:t>
            </w:r>
          </w:p>
        </w:tc>
        <w:tc>
          <w:tcPr>
            <w:tcW w:w="0" w:type="dxa"/>
            <w:vAlign w:val="bottom"/>
          </w:tcPr>
          <w:p>
            <w:pPr>
              <w:spacing w:after="0"/>
              <w:rPr>
                <w:sz w:val="1"/>
                <w:szCs w:val="1"/>
                <w:color w:val="auto"/>
              </w:rPr>
            </w:pPr>
          </w:p>
        </w:tc>
      </w:tr>
      <w:tr>
        <w:trPr>
          <w:trHeight w:val="195"/>
        </w:trPr>
        <w:tc>
          <w:tcPr>
            <w:tcW w:w="2620" w:type="dxa"/>
            <w:vAlign w:val="bottom"/>
            <w:tcBorders>
              <w:bottom w:val="single" w:sz="8" w:color="00467D"/>
            </w:tcBorders>
          </w:tcPr>
          <w:p>
            <w:pPr>
              <w:spacing w:after="0"/>
              <w:rPr>
                <w:sz w:val="16"/>
                <w:szCs w:val="16"/>
                <w:color w:val="auto"/>
              </w:rPr>
            </w:pPr>
          </w:p>
        </w:tc>
        <w:tc>
          <w:tcPr>
            <w:tcW w:w="2020" w:type="dxa"/>
            <w:vAlign w:val="bottom"/>
            <w:tcBorders>
              <w:bottom w:val="single" w:sz="8" w:color="00467D"/>
            </w:tcBorders>
          </w:tcPr>
          <w:p>
            <w:pPr>
              <w:ind w:left="340"/>
              <w:spacing w:after="0"/>
              <w:rPr>
                <w:sz w:val="20"/>
                <w:szCs w:val="20"/>
                <w:color w:val="auto"/>
              </w:rPr>
            </w:pPr>
            <w:r>
              <w:rPr>
                <w:rFonts w:ascii="Arial" w:cs="Arial" w:eastAsia="Arial" w:hAnsi="Arial"/>
                <w:sz w:val="15"/>
                <w:szCs w:val="15"/>
                <w:b w:val="1"/>
                <w:bCs w:val="1"/>
                <w:color w:val="00467D"/>
              </w:rPr>
              <w:t>Benefit</w:t>
            </w:r>
          </w:p>
        </w:tc>
        <w:tc>
          <w:tcPr>
            <w:tcW w:w="360" w:type="dxa"/>
            <w:vAlign w:val="bottom"/>
            <w:tcBorders>
              <w:bottom w:val="single" w:sz="8" w:color="00467D"/>
            </w:tcBorders>
          </w:tcPr>
          <w:p>
            <w:pPr>
              <w:spacing w:after="0"/>
              <w:rPr>
                <w:sz w:val="16"/>
                <w:szCs w:val="16"/>
                <w:color w:val="auto"/>
              </w:rPr>
            </w:pPr>
          </w:p>
        </w:tc>
        <w:tc>
          <w:tcPr>
            <w:tcW w:w="1300" w:type="dxa"/>
            <w:vAlign w:val="bottom"/>
            <w:tcBorders>
              <w:bottom w:val="single" w:sz="8" w:color="00467D"/>
            </w:tcBorders>
          </w:tcPr>
          <w:p>
            <w:pPr>
              <w:jc w:val="right"/>
              <w:ind w:right="423"/>
              <w:spacing w:after="0"/>
              <w:rPr>
                <w:sz w:val="20"/>
                <w:szCs w:val="20"/>
                <w:color w:val="auto"/>
              </w:rPr>
            </w:pPr>
            <w:r>
              <w:rPr>
                <w:rFonts w:ascii="Arial" w:cs="Arial" w:eastAsia="Arial" w:hAnsi="Arial"/>
                <w:sz w:val="15"/>
                <w:szCs w:val="15"/>
                <w:b w:val="1"/>
                <w:bCs w:val="1"/>
                <w:color w:val="00467D"/>
              </w:rPr>
              <w:t>Reason”</w:t>
            </w:r>
          </w:p>
        </w:tc>
        <w:tc>
          <w:tcPr>
            <w:tcW w:w="1340" w:type="dxa"/>
            <w:vAlign w:val="bottom"/>
            <w:tcBorders>
              <w:bottom w:val="single" w:sz="8" w:color="00467D"/>
            </w:tcBorders>
            <w:gridSpan w:val="2"/>
          </w:tcPr>
          <w:p>
            <w:pPr>
              <w:jc w:val="right"/>
              <w:ind w:right="143"/>
              <w:spacing w:after="0"/>
              <w:rPr>
                <w:sz w:val="20"/>
                <w:szCs w:val="20"/>
                <w:color w:val="auto"/>
              </w:rPr>
            </w:pPr>
            <w:r>
              <w:rPr>
                <w:rFonts w:ascii="Arial" w:cs="Arial" w:eastAsia="Arial" w:hAnsi="Arial"/>
                <w:sz w:val="15"/>
                <w:szCs w:val="15"/>
                <w:b w:val="1"/>
                <w:bCs w:val="1"/>
                <w:color w:val="00467D"/>
              </w:rPr>
              <w:t>or Disability</w:t>
            </w:r>
          </w:p>
        </w:tc>
        <w:tc>
          <w:tcPr>
            <w:tcW w:w="1420" w:type="dxa"/>
            <w:vAlign w:val="bottom"/>
            <w:tcBorders>
              <w:bottom w:val="single" w:sz="8" w:color="00467D"/>
            </w:tcBorders>
          </w:tcPr>
          <w:p>
            <w:pPr>
              <w:jc w:val="right"/>
              <w:ind w:right="143"/>
              <w:spacing w:after="0" w:line="194" w:lineRule="exact"/>
              <w:rPr>
                <w:sz w:val="20"/>
                <w:szCs w:val="20"/>
                <w:color w:val="auto"/>
              </w:rPr>
            </w:pPr>
            <w:r>
              <w:rPr>
                <w:rFonts w:ascii="Arial" w:cs="Arial" w:eastAsia="Arial" w:hAnsi="Arial"/>
                <w:sz w:val="15"/>
                <w:szCs w:val="15"/>
                <w:b w:val="1"/>
                <w:bCs w:val="1"/>
                <w:color w:val="00467D"/>
              </w:rPr>
              <w:t xml:space="preserve">Retirement </w:t>
            </w:r>
            <w:r>
              <w:rPr>
                <w:rFonts w:ascii="Arial" w:cs="Arial" w:eastAsia="Arial" w:hAnsi="Arial"/>
                <w:sz w:val="22"/>
                <w:szCs w:val="22"/>
                <w:b w:val="1"/>
                <w:bCs w:val="1"/>
                <w:color w:val="00467D"/>
                <w:vertAlign w:val="superscript"/>
              </w:rPr>
              <w:t>(1)</w:t>
            </w:r>
          </w:p>
        </w:tc>
        <w:tc>
          <w:tcPr>
            <w:tcW w:w="1480" w:type="dxa"/>
            <w:vAlign w:val="bottom"/>
            <w:tcBorders>
              <w:bottom w:val="single" w:sz="8" w:color="00467D"/>
            </w:tcBorders>
            <w:gridSpan w:val="2"/>
          </w:tcPr>
          <w:p>
            <w:pPr>
              <w:jc w:val="right"/>
              <w:ind w:right="203"/>
              <w:spacing w:after="0" w:line="194" w:lineRule="exact"/>
              <w:rPr>
                <w:sz w:val="20"/>
                <w:szCs w:val="20"/>
                <w:color w:val="auto"/>
              </w:rPr>
            </w:pPr>
            <w:r>
              <w:rPr>
                <w:rFonts w:ascii="Arial" w:cs="Arial" w:eastAsia="Arial" w:hAnsi="Arial"/>
                <w:sz w:val="15"/>
                <w:szCs w:val="15"/>
                <w:b w:val="1"/>
                <w:bCs w:val="1"/>
                <w:color w:val="00467D"/>
              </w:rPr>
              <w:t xml:space="preserve">in Control </w:t>
            </w:r>
            <w:r>
              <w:rPr>
                <w:rFonts w:ascii="Arial" w:cs="Arial" w:eastAsia="Arial" w:hAnsi="Arial"/>
                <w:sz w:val="22"/>
                <w:szCs w:val="22"/>
                <w:b w:val="1"/>
                <w:bCs w:val="1"/>
                <w:color w:val="00467D"/>
                <w:vertAlign w:val="superscript"/>
              </w:rPr>
              <w:t>(2)</w:t>
            </w:r>
          </w:p>
        </w:tc>
        <w:tc>
          <w:tcPr>
            <w:tcW w:w="0" w:type="dxa"/>
            <w:vAlign w:val="bottom"/>
          </w:tcPr>
          <w:p>
            <w:pPr>
              <w:spacing w:after="0"/>
              <w:rPr>
                <w:sz w:val="1"/>
                <w:szCs w:val="1"/>
                <w:color w:val="auto"/>
              </w:rPr>
            </w:pPr>
          </w:p>
        </w:tc>
      </w:tr>
      <w:tr>
        <w:trPr>
          <w:trHeight w:val="251"/>
        </w:trPr>
        <w:tc>
          <w:tcPr>
            <w:tcW w:w="2620" w:type="dxa"/>
            <w:vAlign w:val="bottom"/>
          </w:tcPr>
          <w:p>
            <w:pPr>
              <w:ind w:left="80"/>
              <w:spacing w:after="0"/>
              <w:rPr>
                <w:sz w:val="20"/>
                <w:szCs w:val="20"/>
                <w:color w:val="auto"/>
              </w:rPr>
            </w:pPr>
            <w:r>
              <w:rPr>
                <w:rFonts w:ascii="Arial" w:cs="Arial" w:eastAsia="Arial" w:hAnsi="Arial"/>
                <w:sz w:val="15"/>
                <w:szCs w:val="15"/>
                <w:color w:val="auto"/>
              </w:rPr>
              <w:t>Michael B. Petras, Jr.</w:t>
            </w:r>
          </w:p>
        </w:tc>
        <w:tc>
          <w:tcPr>
            <w:tcW w:w="2020" w:type="dxa"/>
            <w:vAlign w:val="bottom"/>
            <w:tcBorders>
              <w:bottom w:val="single" w:sz="8" w:color="99B5CB"/>
            </w:tcBorders>
          </w:tcPr>
          <w:p>
            <w:pPr>
              <w:ind w:left="340"/>
              <w:spacing w:after="0" w:line="251" w:lineRule="exact"/>
              <w:rPr>
                <w:sz w:val="20"/>
                <w:szCs w:val="20"/>
                <w:color w:val="auto"/>
              </w:rPr>
            </w:pPr>
            <w:r>
              <w:rPr>
                <w:rFonts w:ascii="Arial" w:cs="Arial" w:eastAsia="Arial" w:hAnsi="Arial"/>
                <w:sz w:val="15"/>
                <w:szCs w:val="15"/>
                <w:color w:val="auto"/>
              </w:rPr>
              <w:t>Cash Severance</w:t>
            </w:r>
            <w:r>
              <w:rPr>
                <w:rFonts w:ascii="Arial" w:cs="Arial" w:eastAsia="Arial" w:hAnsi="Arial"/>
                <w:sz w:val="23"/>
                <w:szCs w:val="23"/>
                <w:color w:val="auto"/>
                <w:vertAlign w:val="superscript"/>
              </w:rPr>
              <w:t>(3)</w:t>
            </w:r>
          </w:p>
        </w:tc>
        <w:tc>
          <w:tcPr>
            <w:tcW w:w="360" w:type="dxa"/>
            <w:vAlign w:val="bottom"/>
            <w:tcBorders>
              <w:bottom w:val="single" w:sz="8" w:color="99B5CB"/>
            </w:tcBorders>
          </w:tcPr>
          <w:p>
            <w:pPr>
              <w:ind w:left="240"/>
              <w:spacing w:after="0"/>
              <w:rPr>
                <w:sz w:val="20"/>
                <w:szCs w:val="20"/>
                <w:color w:val="auto"/>
              </w:rPr>
            </w:pPr>
            <w:r>
              <w:rPr>
                <w:rFonts w:ascii="Arial" w:cs="Arial" w:eastAsia="Arial" w:hAnsi="Arial"/>
                <w:sz w:val="15"/>
                <w:szCs w:val="15"/>
                <w:color w:val="auto"/>
              </w:rPr>
              <w:t>$</w:t>
            </w:r>
          </w:p>
        </w:tc>
        <w:tc>
          <w:tcPr>
            <w:tcW w:w="1300" w:type="dxa"/>
            <w:vAlign w:val="bottom"/>
            <w:tcBorders>
              <w:bottom w:val="single" w:sz="8" w:color="99B5CB"/>
            </w:tcBorders>
          </w:tcPr>
          <w:p>
            <w:pPr>
              <w:jc w:val="right"/>
              <w:ind w:right="123"/>
              <w:spacing w:after="0"/>
              <w:rPr>
                <w:sz w:val="20"/>
                <w:szCs w:val="20"/>
                <w:color w:val="auto"/>
              </w:rPr>
            </w:pPr>
            <w:r>
              <w:rPr>
                <w:rFonts w:ascii="Arial" w:cs="Arial" w:eastAsia="Arial" w:hAnsi="Arial"/>
                <w:sz w:val="15"/>
                <w:szCs w:val="15"/>
                <w:color w:val="auto"/>
              </w:rPr>
              <w:t>2,100,000</w:t>
            </w:r>
          </w:p>
        </w:tc>
        <w:tc>
          <w:tcPr>
            <w:tcW w:w="380" w:type="dxa"/>
            <w:vAlign w:val="bottom"/>
            <w:tcBorders>
              <w:bottom w:val="single" w:sz="8" w:color="99B5CB"/>
            </w:tcBorders>
          </w:tcPr>
          <w:p>
            <w:pPr>
              <w:spacing w:after="0"/>
              <w:rPr>
                <w:sz w:val="21"/>
                <w:szCs w:val="21"/>
                <w:color w:val="auto"/>
              </w:rPr>
            </w:pPr>
          </w:p>
        </w:tc>
        <w:tc>
          <w:tcPr>
            <w:tcW w:w="960" w:type="dxa"/>
            <w:vAlign w:val="bottom"/>
            <w:tcBorders>
              <w:bottom w:val="single" w:sz="8" w:color="99B5CB"/>
            </w:tcBorders>
          </w:tcPr>
          <w:p>
            <w:pPr>
              <w:jc w:val="right"/>
              <w:ind w:right="423"/>
              <w:spacing w:after="0"/>
              <w:rPr>
                <w:sz w:val="20"/>
                <w:szCs w:val="20"/>
                <w:color w:val="auto"/>
              </w:rPr>
            </w:pPr>
            <w:r>
              <w:rPr>
                <w:rFonts w:ascii="Arial" w:cs="Arial" w:eastAsia="Arial" w:hAnsi="Arial"/>
                <w:sz w:val="15"/>
                <w:szCs w:val="15"/>
                <w:color w:val="auto"/>
              </w:rPr>
              <w:t>—</w:t>
            </w:r>
          </w:p>
        </w:tc>
        <w:tc>
          <w:tcPr>
            <w:tcW w:w="1420" w:type="dxa"/>
            <w:vAlign w:val="bottom"/>
            <w:tcBorders>
              <w:bottom w:val="single" w:sz="8" w:color="99B5CB"/>
            </w:tcBorders>
          </w:tcPr>
          <w:p>
            <w:pPr>
              <w:jc w:val="right"/>
              <w:ind w:right="123"/>
              <w:spacing w:after="0"/>
              <w:rPr>
                <w:sz w:val="20"/>
                <w:szCs w:val="20"/>
                <w:color w:val="auto"/>
              </w:rPr>
            </w:pPr>
            <w:r>
              <w:rPr>
                <w:rFonts w:ascii="Arial" w:cs="Arial" w:eastAsia="Arial" w:hAnsi="Arial"/>
                <w:sz w:val="15"/>
                <w:szCs w:val="15"/>
                <w:color w:val="auto"/>
              </w:rPr>
              <w:t>—</w:t>
            </w:r>
          </w:p>
        </w:tc>
        <w:tc>
          <w:tcPr>
            <w:tcW w:w="320" w:type="dxa"/>
            <w:vAlign w:val="bottom"/>
            <w:tcBorders>
              <w:bottom w:val="single" w:sz="8" w:color="99B5CB"/>
            </w:tcBorders>
          </w:tcPr>
          <w:p>
            <w:pPr>
              <w:ind w:left="220"/>
              <w:spacing w:after="0"/>
              <w:rPr>
                <w:sz w:val="20"/>
                <w:szCs w:val="20"/>
                <w:color w:val="auto"/>
              </w:rPr>
            </w:pPr>
            <w:r>
              <w:rPr>
                <w:rFonts w:ascii="Arial" w:cs="Arial" w:eastAsia="Arial" w:hAnsi="Arial"/>
                <w:sz w:val="15"/>
                <w:szCs w:val="15"/>
                <w:color w:val="auto"/>
                <w:w w:val="95"/>
              </w:rPr>
              <w:t>$</w:t>
            </w:r>
          </w:p>
        </w:tc>
        <w:tc>
          <w:tcPr>
            <w:tcW w:w="1160" w:type="dxa"/>
            <w:vAlign w:val="bottom"/>
            <w:tcBorders>
              <w:bottom w:val="single" w:sz="8" w:color="99B5CB"/>
            </w:tcBorders>
          </w:tcPr>
          <w:p>
            <w:pPr>
              <w:jc w:val="right"/>
              <w:ind w:right="123"/>
              <w:spacing w:after="0"/>
              <w:rPr>
                <w:sz w:val="20"/>
                <w:szCs w:val="20"/>
                <w:color w:val="auto"/>
              </w:rPr>
            </w:pPr>
            <w:r>
              <w:rPr>
                <w:rFonts w:ascii="Arial" w:cs="Arial" w:eastAsia="Arial" w:hAnsi="Arial"/>
                <w:sz w:val="15"/>
                <w:szCs w:val="15"/>
                <w:color w:val="auto"/>
              </w:rPr>
              <w:t>2,100,000</w:t>
            </w:r>
          </w:p>
        </w:tc>
        <w:tc>
          <w:tcPr>
            <w:tcW w:w="0" w:type="dxa"/>
            <w:vAlign w:val="bottom"/>
          </w:tcPr>
          <w:p>
            <w:pPr>
              <w:spacing w:after="0"/>
              <w:rPr>
                <w:sz w:val="1"/>
                <w:szCs w:val="1"/>
                <w:color w:val="auto"/>
              </w:rPr>
            </w:pPr>
          </w:p>
        </w:tc>
      </w:tr>
      <w:tr>
        <w:trPr>
          <w:trHeight w:val="213"/>
        </w:trPr>
        <w:tc>
          <w:tcPr>
            <w:tcW w:w="2620" w:type="dxa"/>
            <w:vAlign w:val="bottom"/>
          </w:tcPr>
          <w:p>
            <w:pPr>
              <w:spacing w:after="0"/>
              <w:rPr>
                <w:sz w:val="18"/>
                <w:szCs w:val="18"/>
                <w:color w:val="auto"/>
              </w:rPr>
            </w:pPr>
          </w:p>
        </w:tc>
        <w:tc>
          <w:tcPr>
            <w:tcW w:w="2020" w:type="dxa"/>
            <w:vAlign w:val="bottom"/>
          </w:tcPr>
          <w:p>
            <w:pPr>
              <w:ind w:left="340"/>
              <w:spacing w:after="0"/>
              <w:rPr>
                <w:sz w:val="20"/>
                <w:szCs w:val="20"/>
                <w:color w:val="auto"/>
              </w:rPr>
            </w:pPr>
            <w:r>
              <w:rPr>
                <w:rFonts w:ascii="Arial" w:cs="Arial" w:eastAsia="Arial" w:hAnsi="Arial"/>
                <w:sz w:val="15"/>
                <w:szCs w:val="15"/>
                <w:color w:val="auto"/>
              </w:rPr>
              <w:t>COBRA</w:t>
            </w:r>
          </w:p>
        </w:tc>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620" w:type="dxa"/>
            <w:vAlign w:val="bottom"/>
          </w:tcPr>
          <w:p>
            <w:pPr>
              <w:spacing w:after="0"/>
              <w:rPr>
                <w:sz w:val="19"/>
                <w:szCs w:val="19"/>
                <w:color w:val="auto"/>
              </w:rPr>
            </w:pPr>
          </w:p>
        </w:tc>
        <w:tc>
          <w:tcPr>
            <w:tcW w:w="2020" w:type="dxa"/>
            <w:vAlign w:val="bottom"/>
            <w:tcBorders>
              <w:bottom w:val="single" w:sz="8" w:color="99B5CB"/>
            </w:tcBorders>
          </w:tcPr>
          <w:p>
            <w:pPr>
              <w:ind w:left="340"/>
              <w:spacing w:after="0" w:line="219" w:lineRule="exact"/>
              <w:rPr>
                <w:sz w:val="20"/>
                <w:szCs w:val="20"/>
                <w:color w:val="auto"/>
              </w:rPr>
            </w:pPr>
            <w:r>
              <w:rPr>
                <w:rFonts w:ascii="Arial" w:cs="Arial" w:eastAsia="Arial" w:hAnsi="Arial"/>
                <w:sz w:val="15"/>
                <w:szCs w:val="15"/>
                <w:color w:val="auto"/>
              </w:rPr>
              <w:t>continuation</w:t>
            </w:r>
            <w:r>
              <w:rPr>
                <w:rFonts w:ascii="Arial" w:cs="Arial" w:eastAsia="Arial" w:hAnsi="Arial"/>
                <w:sz w:val="23"/>
                <w:szCs w:val="23"/>
                <w:color w:val="auto"/>
                <w:vertAlign w:val="superscript"/>
              </w:rPr>
              <w:t>(4)</w:t>
            </w:r>
          </w:p>
        </w:tc>
        <w:tc>
          <w:tcPr>
            <w:tcW w:w="360" w:type="dxa"/>
            <w:vAlign w:val="bottom"/>
            <w:tcBorders>
              <w:bottom w:val="single" w:sz="8" w:color="99B5CB"/>
            </w:tcBorders>
          </w:tcPr>
          <w:p>
            <w:pPr>
              <w:spacing w:after="0"/>
              <w:rPr>
                <w:sz w:val="19"/>
                <w:szCs w:val="19"/>
                <w:color w:val="auto"/>
              </w:rPr>
            </w:pPr>
          </w:p>
        </w:tc>
        <w:tc>
          <w:tcPr>
            <w:tcW w:w="1300" w:type="dxa"/>
            <w:vAlign w:val="bottom"/>
            <w:tcBorders>
              <w:bottom w:val="single" w:sz="8" w:color="99B5CB"/>
            </w:tcBorders>
          </w:tcPr>
          <w:p>
            <w:pPr>
              <w:jc w:val="right"/>
              <w:ind w:right="123"/>
              <w:spacing w:after="0"/>
              <w:rPr>
                <w:sz w:val="20"/>
                <w:szCs w:val="20"/>
                <w:color w:val="auto"/>
              </w:rPr>
            </w:pPr>
            <w:r>
              <w:rPr>
                <w:rFonts w:ascii="Arial" w:cs="Arial" w:eastAsia="Arial" w:hAnsi="Arial"/>
                <w:sz w:val="15"/>
                <w:szCs w:val="15"/>
                <w:color w:val="auto"/>
              </w:rPr>
              <w:t>14,646</w:t>
            </w:r>
          </w:p>
        </w:tc>
        <w:tc>
          <w:tcPr>
            <w:tcW w:w="380" w:type="dxa"/>
            <w:vAlign w:val="bottom"/>
            <w:tcBorders>
              <w:bottom w:val="single" w:sz="8" w:color="99B5CB"/>
            </w:tcBorders>
          </w:tcPr>
          <w:p>
            <w:pPr>
              <w:spacing w:after="0"/>
              <w:rPr>
                <w:sz w:val="19"/>
                <w:szCs w:val="19"/>
                <w:color w:val="auto"/>
              </w:rPr>
            </w:pPr>
          </w:p>
        </w:tc>
        <w:tc>
          <w:tcPr>
            <w:tcW w:w="960" w:type="dxa"/>
            <w:vAlign w:val="bottom"/>
            <w:tcBorders>
              <w:bottom w:val="single" w:sz="8" w:color="99B5CB"/>
            </w:tcBorders>
          </w:tcPr>
          <w:p>
            <w:pPr>
              <w:jc w:val="right"/>
              <w:ind w:right="423"/>
              <w:spacing w:after="0"/>
              <w:rPr>
                <w:sz w:val="20"/>
                <w:szCs w:val="20"/>
                <w:color w:val="auto"/>
              </w:rPr>
            </w:pPr>
            <w:r>
              <w:rPr>
                <w:rFonts w:ascii="Arial" w:cs="Arial" w:eastAsia="Arial" w:hAnsi="Arial"/>
                <w:sz w:val="15"/>
                <w:szCs w:val="15"/>
                <w:color w:val="auto"/>
              </w:rPr>
              <w:t>—</w:t>
            </w:r>
          </w:p>
        </w:tc>
        <w:tc>
          <w:tcPr>
            <w:tcW w:w="1420" w:type="dxa"/>
            <w:vAlign w:val="bottom"/>
            <w:tcBorders>
              <w:bottom w:val="single" w:sz="8" w:color="99B5CB"/>
            </w:tcBorders>
          </w:tcPr>
          <w:p>
            <w:pPr>
              <w:jc w:val="right"/>
              <w:ind w:right="123"/>
              <w:spacing w:after="0"/>
              <w:rPr>
                <w:sz w:val="20"/>
                <w:szCs w:val="20"/>
                <w:color w:val="auto"/>
              </w:rPr>
            </w:pPr>
            <w:r>
              <w:rPr>
                <w:rFonts w:ascii="Arial" w:cs="Arial" w:eastAsia="Arial" w:hAnsi="Arial"/>
                <w:sz w:val="15"/>
                <w:szCs w:val="15"/>
                <w:color w:val="auto"/>
              </w:rPr>
              <w:t>—</w:t>
            </w:r>
          </w:p>
        </w:tc>
        <w:tc>
          <w:tcPr>
            <w:tcW w:w="320" w:type="dxa"/>
            <w:vAlign w:val="bottom"/>
            <w:tcBorders>
              <w:bottom w:val="single" w:sz="8" w:color="99B5CB"/>
            </w:tcBorders>
          </w:tcPr>
          <w:p>
            <w:pPr>
              <w:spacing w:after="0"/>
              <w:rPr>
                <w:sz w:val="19"/>
                <w:szCs w:val="19"/>
                <w:color w:val="auto"/>
              </w:rPr>
            </w:pPr>
          </w:p>
        </w:tc>
        <w:tc>
          <w:tcPr>
            <w:tcW w:w="1160" w:type="dxa"/>
            <w:vAlign w:val="bottom"/>
            <w:tcBorders>
              <w:bottom w:val="single" w:sz="8" w:color="99B5CB"/>
            </w:tcBorders>
          </w:tcPr>
          <w:p>
            <w:pPr>
              <w:jc w:val="right"/>
              <w:ind w:right="123"/>
              <w:spacing w:after="0"/>
              <w:rPr>
                <w:sz w:val="20"/>
                <w:szCs w:val="20"/>
                <w:color w:val="auto"/>
              </w:rPr>
            </w:pPr>
            <w:r>
              <w:rPr>
                <w:rFonts w:ascii="Arial" w:cs="Arial" w:eastAsia="Arial" w:hAnsi="Arial"/>
                <w:sz w:val="15"/>
                <w:szCs w:val="15"/>
                <w:color w:val="auto"/>
              </w:rPr>
              <w:t>14,646</w:t>
            </w:r>
          </w:p>
        </w:tc>
        <w:tc>
          <w:tcPr>
            <w:tcW w:w="0" w:type="dxa"/>
            <w:vAlign w:val="bottom"/>
          </w:tcPr>
          <w:p>
            <w:pPr>
              <w:spacing w:after="0"/>
              <w:rPr>
                <w:sz w:val="1"/>
                <w:szCs w:val="1"/>
                <w:color w:val="auto"/>
              </w:rPr>
            </w:pPr>
          </w:p>
        </w:tc>
      </w:tr>
      <w:tr>
        <w:trPr>
          <w:trHeight w:val="213"/>
        </w:trPr>
        <w:tc>
          <w:tcPr>
            <w:tcW w:w="2620" w:type="dxa"/>
            <w:vAlign w:val="bottom"/>
          </w:tcPr>
          <w:p>
            <w:pPr>
              <w:spacing w:after="0"/>
              <w:rPr>
                <w:sz w:val="18"/>
                <w:szCs w:val="18"/>
                <w:color w:val="auto"/>
              </w:rPr>
            </w:pPr>
          </w:p>
        </w:tc>
        <w:tc>
          <w:tcPr>
            <w:tcW w:w="2020" w:type="dxa"/>
            <w:vAlign w:val="bottom"/>
          </w:tcPr>
          <w:p>
            <w:pPr>
              <w:ind w:left="340"/>
              <w:spacing w:after="0"/>
              <w:rPr>
                <w:sz w:val="20"/>
                <w:szCs w:val="20"/>
                <w:color w:val="auto"/>
              </w:rPr>
            </w:pPr>
            <w:r>
              <w:rPr>
                <w:rFonts w:ascii="Arial" w:cs="Arial" w:eastAsia="Arial" w:hAnsi="Arial"/>
                <w:sz w:val="15"/>
                <w:szCs w:val="15"/>
                <w:color w:val="auto"/>
              </w:rPr>
              <w:t>Value of accelerated</w:t>
            </w:r>
          </w:p>
        </w:tc>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1"/>
        </w:trPr>
        <w:tc>
          <w:tcPr>
            <w:tcW w:w="2620" w:type="dxa"/>
            <w:vAlign w:val="bottom"/>
          </w:tcPr>
          <w:p>
            <w:pPr>
              <w:spacing w:after="0"/>
              <w:rPr>
                <w:sz w:val="15"/>
                <w:szCs w:val="15"/>
                <w:color w:val="auto"/>
              </w:rPr>
            </w:pPr>
          </w:p>
        </w:tc>
        <w:tc>
          <w:tcPr>
            <w:tcW w:w="2020" w:type="dxa"/>
            <w:vAlign w:val="bottom"/>
          </w:tcPr>
          <w:p>
            <w:pPr>
              <w:ind w:left="340"/>
              <w:spacing w:after="0" w:line="181" w:lineRule="exact"/>
              <w:rPr>
                <w:sz w:val="20"/>
                <w:szCs w:val="20"/>
                <w:color w:val="auto"/>
              </w:rPr>
            </w:pPr>
            <w:r>
              <w:rPr>
                <w:rFonts w:ascii="Arial" w:cs="Arial" w:eastAsia="Arial" w:hAnsi="Arial"/>
                <w:sz w:val="14"/>
                <w:szCs w:val="14"/>
                <w:color w:val="auto"/>
              </w:rPr>
              <w:t>Options and RSUs</w:t>
            </w:r>
            <w:r>
              <w:rPr>
                <w:rFonts w:ascii="Arial" w:cs="Arial" w:eastAsia="Arial" w:hAnsi="Arial"/>
                <w:sz w:val="20"/>
                <w:szCs w:val="20"/>
                <w:color w:val="auto"/>
                <w:vertAlign w:val="superscript"/>
              </w:rPr>
              <w:t>(5)</w:t>
            </w:r>
          </w:p>
        </w:tc>
        <w:tc>
          <w:tcPr>
            <w:tcW w:w="360" w:type="dxa"/>
            <w:vAlign w:val="bottom"/>
          </w:tcPr>
          <w:p>
            <w:pPr>
              <w:spacing w:after="0"/>
              <w:rPr>
                <w:sz w:val="15"/>
                <w:szCs w:val="15"/>
                <w:color w:val="auto"/>
              </w:rPr>
            </w:pPr>
          </w:p>
        </w:tc>
        <w:tc>
          <w:tcPr>
            <w:tcW w:w="1300" w:type="dxa"/>
            <w:vAlign w:val="bottom"/>
            <w:vMerge w:val="restart"/>
          </w:tcPr>
          <w:p>
            <w:pPr>
              <w:jc w:val="right"/>
              <w:ind w:right="123"/>
              <w:spacing w:after="0"/>
              <w:rPr>
                <w:sz w:val="20"/>
                <w:szCs w:val="20"/>
                <w:color w:val="auto"/>
              </w:rPr>
            </w:pPr>
            <w:r>
              <w:rPr>
                <w:rFonts w:ascii="Arial" w:cs="Arial" w:eastAsia="Arial" w:hAnsi="Arial"/>
                <w:sz w:val="15"/>
                <w:szCs w:val="15"/>
                <w:color w:val="auto"/>
              </w:rPr>
              <w:t>4,595,239</w:t>
            </w:r>
          </w:p>
        </w:tc>
        <w:tc>
          <w:tcPr>
            <w:tcW w:w="380" w:type="dxa"/>
            <w:vAlign w:val="bottom"/>
            <w:vMerge w:val="restart"/>
          </w:tcPr>
          <w:p>
            <w:pPr>
              <w:ind w:left="200"/>
              <w:spacing w:after="0"/>
              <w:rPr>
                <w:sz w:val="20"/>
                <w:szCs w:val="20"/>
                <w:color w:val="auto"/>
              </w:rPr>
            </w:pPr>
            <w:r>
              <w:rPr>
                <w:rFonts w:ascii="Arial" w:cs="Arial" w:eastAsia="Arial" w:hAnsi="Arial"/>
                <w:sz w:val="15"/>
                <w:szCs w:val="15"/>
                <w:color w:val="auto"/>
              </w:rPr>
              <w:t>$</w:t>
            </w:r>
          </w:p>
        </w:tc>
        <w:tc>
          <w:tcPr>
            <w:tcW w:w="960" w:type="dxa"/>
            <w:vAlign w:val="bottom"/>
            <w:vMerge w:val="restart"/>
          </w:tcPr>
          <w:p>
            <w:pPr>
              <w:jc w:val="right"/>
              <w:ind w:right="123"/>
              <w:spacing w:after="0"/>
              <w:rPr>
                <w:sz w:val="20"/>
                <w:szCs w:val="20"/>
                <w:color w:val="auto"/>
              </w:rPr>
            </w:pPr>
            <w:r>
              <w:rPr>
                <w:rFonts w:ascii="Arial" w:cs="Arial" w:eastAsia="Arial" w:hAnsi="Arial"/>
                <w:sz w:val="15"/>
                <w:szCs w:val="15"/>
                <w:color w:val="auto"/>
              </w:rPr>
              <w:t>4,595,239</w:t>
            </w:r>
          </w:p>
        </w:tc>
        <w:tc>
          <w:tcPr>
            <w:tcW w:w="1420" w:type="dxa"/>
            <w:vAlign w:val="bottom"/>
            <w:vMerge w:val="restart"/>
          </w:tcPr>
          <w:p>
            <w:pPr>
              <w:jc w:val="right"/>
              <w:ind w:right="123"/>
              <w:spacing w:after="0"/>
              <w:rPr>
                <w:sz w:val="20"/>
                <w:szCs w:val="20"/>
                <w:color w:val="auto"/>
              </w:rPr>
            </w:pPr>
            <w:r>
              <w:rPr>
                <w:rFonts w:ascii="Arial" w:cs="Arial" w:eastAsia="Arial" w:hAnsi="Arial"/>
                <w:sz w:val="15"/>
                <w:szCs w:val="15"/>
                <w:color w:val="auto"/>
              </w:rPr>
              <w:t>—</w:t>
            </w:r>
          </w:p>
        </w:tc>
        <w:tc>
          <w:tcPr>
            <w:tcW w:w="320" w:type="dxa"/>
            <w:vAlign w:val="bottom"/>
          </w:tcPr>
          <w:p>
            <w:pPr>
              <w:spacing w:after="0"/>
              <w:rPr>
                <w:sz w:val="15"/>
                <w:szCs w:val="15"/>
                <w:color w:val="auto"/>
              </w:rPr>
            </w:pPr>
          </w:p>
        </w:tc>
        <w:tc>
          <w:tcPr>
            <w:tcW w:w="1160" w:type="dxa"/>
            <w:vAlign w:val="bottom"/>
            <w:vMerge w:val="restart"/>
          </w:tcPr>
          <w:p>
            <w:pPr>
              <w:jc w:val="right"/>
              <w:ind w:right="123"/>
              <w:spacing w:after="0"/>
              <w:rPr>
                <w:sz w:val="20"/>
                <w:szCs w:val="20"/>
                <w:color w:val="auto"/>
              </w:rPr>
            </w:pPr>
            <w:r>
              <w:rPr>
                <w:rFonts w:ascii="Arial" w:cs="Arial" w:eastAsia="Arial" w:hAnsi="Arial"/>
                <w:sz w:val="15"/>
                <w:szCs w:val="15"/>
                <w:color w:val="auto"/>
              </w:rPr>
              <w:t>6,778,431</w:t>
            </w:r>
          </w:p>
        </w:tc>
        <w:tc>
          <w:tcPr>
            <w:tcW w:w="0" w:type="dxa"/>
            <w:vAlign w:val="bottom"/>
          </w:tcPr>
          <w:p>
            <w:pPr>
              <w:spacing w:after="0"/>
              <w:rPr>
                <w:sz w:val="1"/>
                <w:szCs w:val="1"/>
                <w:color w:val="auto"/>
              </w:rPr>
            </w:pPr>
          </w:p>
        </w:tc>
      </w:tr>
      <w:tr>
        <w:trPr>
          <w:trHeight w:val="160"/>
        </w:trPr>
        <w:tc>
          <w:tcPr>
            <w:tcW w:w="2620" w:type="dxa"/>
            <w:vAlign w:val="bottom"/>
            <w:tcBorders>
              <w:bottom w:val="single" w:sz="8" w:color="00467D"/>
            </w:tcBorders>
          </w:tcPr>
          <w:p>
            <w:pPr>
              <w:spacing w:after="0"/>
              <w:rPr>
                <w:sz w:val="13"/>
                <w:szCs w:val="13"/>
                <w:color w:val="auto"/>
              </w:rPr>
            </w:pPr>
          </w:p>
        </w:tc>
        <w:tc>
          <w:tcPr>
            <w:tcW w:w="2020" w:type="dxa"/>
            <w:vAlign w:val="bottom"/>
            <w:tcBorders>
              <w:bottom w:val="single" w:sz="8" w:color="00467D"/>
            </w:tcBorders>
          </w:tcPr>
          <w:p>
            <w:pPr>
              <w:ind w:left="340"/>
              <w:spacing w:after="0"/>
              <w:rPr>
                <w:sz w:val="20"/>
                <w:szCs w:val="20"/>
                <w:color w:val="auto"/>
              </w:rPr>
            </w:pPr>
            <w:r>
              <w:rPr>
                <w:rFonts w:ascii="Arial" w:cs="Arial" w:eastAsia="Arial" w:hAnsi="Arial"/>
                <w:sz w:val="12"/>
                <w:szCs w:val="12"/>
                <w:color w:val="auto"/>
              </w:rPr>
              <w:t>(7)</w:t>
            </w:r>
          </w:p>
        </w:tc>
        <w:tc>
          <w:tcPr>
            <w:tcW w:w="360" w:type="dxa"/>
            <w:vAlign w:val="bottom"/>
            <w:tcBorders>
              <w:bottom w:val="single" w:sz="8" w:color="00467D"/>
            </w:tcBorders>
          </w:tcPr>
          <w:p>
            <w:pPr>
              <w:spacing w:after="0"/>
              <w:rPr>
                <w:sz w:val="13"/>
                <w:szCs w:val="13"/>
                <w:color w:val="auto"/>
              </w:rPr>
            </w:pPr>
          </w:p>
        </w:tc>
        <w:tc>
          <w:tcPr>
            <w:tcW w:w="1300" w:type="dxa"/>
            <w:vAlign w:val="bottom"/>
            <w:tcBorders>
              <w:bottom w:val="single" w:sz="8" w:color="00467D"/>
            </w:tcBorders>
            <w:vMerge w:val="continue"/>
          </w:tcPr>
          <w:p>
            <w:pPr>
              <w:spacing w:after="0"/>
              <w:rPr>
                <w:sz w:val="13"/>
                <w:szCs w:val="13"/>
                <w:color w:val="auto"/>
              </w:rPr>
            </w:pPr>
          </w:p>
        </w:tc>
        <w:tc>
          <w:tcPr>
            <w:tcW w:w="380" w:type="dxa"/>
            <w:vAlign w:val="bottom"/>
            <w:tcBorders>
              <w:bottom w:val="single" w:sz="8" w:color="00467D"/>
            </w:tcBorders>
            <w:vMerge w:val="continue"/>
          </w:tcPr>
          <w:p>
            <w:pPr>
              <w:spacing w:after="0"/>
              <w:rPr>
                <w:sz w:val="13"/>
                <w:szCs w:val="13"/>
                <w:color w:val="auto"/>
              </w:rPr>
            </w:pPr>
          </w:p>
        </w:tc>
        <w:tc>
          <w:tcPr>
            <w:tcW w:w="960" w:type="dxa"/>
            <w:vAlign w:val="bottom"/>
            <w:tcBorders>
              <w:bottom w:val="single" w:sz="8" w:color="00467D"/>
            </w:tcBorders>
            <w:vMerge w:val="continue"/>
          </w:tcPr>
          <w:p>
            <w:pPr>
              <w:spacing w:after="0"/>
              <w:rPr>
                <w:sz w:val="13"/>
                <w:szCs w:val="13"/>
                <w:color w:val="auto"/>
              </w:rPr>
            </w:pPr>
          </w:p>
        </w:tc>
        <w:tc>
          <w:tcPr>
            <w:tcW w:w="1420" w:type="dxa"/>
            <w:vAlign w:val="bottom"/>
            <w:tcBorders>
              <w:bottom w:val="single" w:sz="8" w:color="00467D"/>
            </w:tcBorders>
            <w:vMerge w:val="continue"/>
          </w:tcPr>
          <w:p>
            <w:pPr>
              <w:spacing w:after="0"/>
              <w:rPr>
                <w:sz w:val="13"/>
                <w:szCs w:val="13"/>
                <w:color w:val="auto"/>
              </w:rPr>
            </w:pPr>
          </w:p>
        </w:tc>
        <w:tc>
          <w:tcPr>
            <w:tcW w:w="320" w:type="dxa"/>
            <w:vAlign w:val="bottom"/>
            <w:tcBorders>
              <w:bottom w:val="single" w:sz="8" w:color="00467D"/>
            </w:tcBorders>
          </w:tcPr>
          <w:p>
            <w:pPr>
              <w:spacing w:after="0"/>
              <w:rPr>
                <w:sz w:val="13"/>
                <w:szCs w:val="13"/>
                <w:color w:val="auto"/>
              </w:rPr>
            </w:pPr>
          </w:p>
        </w:tc>
        <w:tc>
          <w:tcPr>
            <w:tcW w:w="1160" w:type="dxa"/>
            <w:vAlign w:val="bottom"/>
            <w:tcBorders>
              <w:bottom w:val="single" w:sz="8" w:color="00467D"/>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58"/>
        </w:trPr>
        <w:tc>
          <w:tcPr>
            <w:tcW w:w="2620" w:type="dxa"/>
            <w:vAlign w:val="bottom"/>
          </w:tcPr>
          <w:p>
            <w:pPr>
              <w:ind w:left="80"/>
              <w:spacing w:after="0"/>
              <w:rPr>
                <w:sz w:val="20"/>
                <w:szCs w:val="20"/>
                <w:color w:val="auto"/>
              </w:rPr>
            </w:pPr>
            <w:r>
              <w:rPr>
                <w:rFonts w:ascii="Arial" w:cs="Arial" w:eastAsia="Arial" w:hAnsi="Arial"/>
                <w:sz w:val="15"/>
                <w:szCs w:val="15"/>
                <w:color w:val="auto"/>
              </w:rPr>
              <w:t>Michael F. Biehl</w:t>
            </w:r>
          </w:p>
        </w:tc>
        <w:tc>
          <w:tcPr>
            <w:tcW w:w="2020" w:type="dxa"/>
            <w:vAlign w:val="bottom"/>
            <w:tcBorders>
              <w:bottom w:val="single" w:sz="8" w:color="99B5CB"/>
            </w:tcBorders>
          </w:tcPr>
          <w:p>
            <w:pPr>
              <w:ind w:left="340"/>
              <w:spacing w:after="0" w:line="258" w:lineRule="exact"/>
              <w:rPr>
                <w:sz w:val="20"/>
                <w:szCs w:val="20"/>
                <w:color w:val="auto"/>
              </w:rPr>
            </w:pPr>
            <w:r>
              <w:rPr>
                <w:rFonts w:ascii="Arial" w:cs="Arial" w:eastAsia="Arial" w:hAnsi="Arial"/>
                <w:sz w:val="15"/>
                <w:szCs w:val="15"/>
                <w:color w:val="auto"/>
              </w:rPr>
              <w:t>Cash Severance</w:t>
            </w:r>
            <w:r>
              <w:rPr>
                <w:rFonts w:ascii="Arial" w:cs="Arial" w:eastAsia="Arial" w:hAnsi="Arial"/>
                <w:sz w:val="23"/>
                <w:szCs w:val="23"/>
                <w:color w:val="auto"/>
                <w:vertAlign w:val="superscript"/>
              </w:rPr>
              <w:t>(3)</w:t>
            </w:r>
          </w:p>
        </w:tc>
        <w:tc>
          <w:tcPr>
            <w:tcW w:w="360" w:type="dxa"/>
            <w:vAlign w:val="bottom"/>
            <w:tcBorders>
              <w:bottom w:val="single" w:sz="8" w:color="99B5CB"/>
            </w:tcBorders>
          </w:tcPr>
          <w:p>
            <w:pPr>
              <w:spacing w:after="0"/>
              <w:rPr>
                <w:sz w:val="22"/>
                <w:szCs w:val="22"/>
                <w:color w:val="auto"/>
              </w:rPr>
            </w:pPr>
          </w:p>
        </w:tc>
        <w:tc>
          <w:tcPr>
            <w:tcW w:w="1300" w:type="dxa"/>
            <w:vAlign w:val="bottom"/>
            <w:tcBorders>
              <w:bottom w:val="single" w:sz="8" w:color="99B5CB"/>
            </w:tcBorders>
          </w:tcPr>
          <w:p>
            <w:pPr>
              <w:jc w:val="right"/>
              <w:ind w:right="423"/>
              <w:spacing w:after="0"/>
              <w:rPr>
                <w:sz w:val="20"/>
                <w:szCs w:val="20"/>
                <w:color w:val="auto"/>
              </w:rPr>
            </w:pPr>
            <w:r>
              <w:rPr>
                <w:rFonts w:ascii="Arial" w:cs="Arial" w:eastAsia="Arial" w:hAnsi="Arial"/>
                <w:sz w:val="15"/>
                <w:szCs w:val="15"/>
                <w:color w:val="auto"/>
              </w:rPr>
              <w:t>—</w:t>
            </w:r>
          </w:p>
        </w:tc>
        <w:tc>
          <w:tcPr>
            <w:tcW w:w="380" w:type="dxa"/>
            <w:vAlign w:val="bottom"/>
            <w:tcBorders>
              <w:bottom w:val="single" w:sz="8" w:color="99B5CB"/>
            </w:tcBorders>
          </w:tcPr>
          <w:p>
            <w:pPr>
              <w:spacing w:after="0"/>
              <w:rPr>
                <w:sz w:val="22"/>
                <w:szCs w:val="22"/>
                <w:color w:val="auto"/>
              </w:rPr>
            </w:pPr>
          </w:p>
        </w:tc>
        <w:tc>
          <w:tcPr>
            <w:tcW w:w="960" w:type="dxa"/>
            <w:vAlign w:val="bottom"/>
            <w:tcBorders>
              <w:bottom w:val="single" w:sz="8" w:color="99B5CB"/>
            </w:tcBorders>
          </w:tcPr>
          <w:p>
            <w:pPr>
              <w:jc w:val="right"/>
              <w:ind w:right="423"/>
              <w:spacing w:after="0"/>
              <w:rPr>
                <w:sz w:val="20"/>
                <w:szCs w:val="20"/>
                <w:color w:val="auto"/>
              </w:rPr>
            </w:pPr>
            <w:r>
              <w:rPr>
                <w:rFonts w:ascii="Arial" w:cs="Arial" w:eastAsia="Arial" w:hAnsi="Arial"/>
                <w:sz w:val="15"/>
                <w:szCs w:val="15"/>
                <w:color w:val="auto"/>
              </w:rPr>
              <w:t>—</w:t>
            </w:r>
          </w:p>
        </w:tc>
        <w:tc>
          <w:tcPr>
            <w:tcW w:w="1420" w:type="dxa"/>
            <w:vAlign w:val="bottom"/>
            <w:tcBorders>
              <w:bottom w:val="single" w:sz="8" w:color="99B5CB"/>
            </w:tcBorders>
          </w:tcPr>
          <w:p>
            <w:pPr>
              <w:jc w:val="right"/>
              <w:ind w:right="123"/>
              <w:spacing w:after="0"/>
              <w:rPr>
                <w:sz w:val="20"/>
                <w:szCs w:val="20"/>
                <w:color w:val="auto"/>
              </w:rPr>
            </w:pPr>
            <w:r>
              <w:rPr>
                <w:rFonts w:ascii="Arial" w:cs="Arial" w:eastAsia="Arial" w:hAnsi="Arial"/>
                <w:sz w:val="15"/>
                <w:szCs w:val="15"/>
                <w:color w:val="auto"/>
              </w:rPr>
              <w:t>—</w:t>
            </w:r>
          </w:p>
        </w:tc>
        <w:tc>
          <w:tcPr>
            <w:tcW w:w="320" w:type="dxa"/>
            <w:vAlign w:val="bottom"/>
            <w:tcBorders>
              <w:bottom w:val="single" w:sz="8" w:color="99B5CB"/>
            </w:tcBorders>
          </w:tcPr>
          <w:p>
            <w:pPr>
              <w:spacing w:after="0"/>
              <w:rPr>
                <w:sz w:val="22"/>
                <w:szCs w:val="22"/>
                <w:color w:val="auto"/>
              </w:rPr>
            </w:pPr>
          </w:p>
        </w:tc>
        <w:tc>
          <w:tcPr>
            <w:tcW w:w="1160" w:type="dxa"/>
            <w:vAlign w:val="bottom"/>
            <w:tcBorders>
              <w:bottom w:val="single" w:sz="8" w:color="99B5CB"/>
            </w:tcBorders>
          </w:tcPr>
          <w:p>
            <w:pPr>
              <w:jc w:val="right"/>
              <w:ind w:right="123"/>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13"/>
        </w:trPr>
        <w:tc>
          <w:tcPr>
            <w:tcW w:w="2620" w:type="dxa"/>
            <w:vAlign w:val="bottom"/>
          </w:tcPr>
          <w:p>
            <w:pPr>
              <w:spacing w:after="0"/>
              <w:rPr>
                <w:sz w:val="18"/>
                <w:szCs w:val="18"/>
                <w:color w:val="auto"/>
              </w:rPr>
            </w:pPr>
          </w:p>
        </w:tc>
        <w:tc>
          <w:tcPr>
            <w:tcW w:w="2020" w:type="dxa"/>
            <w:vAlign w:val="bottom"/>
          </w:tcPr>
          <w:p>
            <w:pPr>
              <w:ind w:left="340"/>
              <w:spacing w:after="0"/>
              <w:rPr>
                <w:sz w:val="20"/>
                <w:szCs w:val="20"/>
                <w:color w:val="auto"/>
              </w:rPr>
            </w:pPr>
            <w:r>
              <w:rPr>
                <w:rFonts w:ascii="Arial" w:cs="Arial" w:eastAsia="Arial" w:hAnsi="Arial"/>
                <w:sz w:val="15"/>
                <w:szCs w:val="15"/>
                <w:color w:val="auto"/>
              </w:rPr>
              <w:t>COBRA</w:t>
            </w:r>
          </w:p>
        </w:tc>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620" w:type="dxa"/>
            <w:vAlign w:val="bottom"/>
          </w:tcPr>
          <w:p>
            <w:pPr>
              <w:spacing w:after="0"/>
              <w:rPr>
                <w:sz w:val="19"/>
                <w:szCs w:val="19"/>
                <w:color w:val="auto"/>
              </w:rPr>
            </w:pPr>
          </w:p>
        </w:tc>
        <w:tc>
          <w:tcPr>
            <w:tcW w:w="2020" w:type="dxa"/>
            <w:vAlign w:val="bottom"/>
            <w:tcBorders>
              <w:bottom w:val="single" w:sz="8" w:color="99B5CB"/>
            </w:tcBorders>
          </w:tcPr>
          <w:p>
            <w:pPr>
              <w:ind w:left="340"/>
              <w:spacing w:after="0" w:line="219" w:lineRule="exact"/>
              <w:rPr>
                <w:sz w:val="20"/>
                <w:szCs w:val="20"/>
                <w:color w:val="auto"/>
              </w:rPr>
            </w:pPr>
            <w:r>
              <w:rPr>
                <w:rFonts w:ascii="Arial" w:cs="Arial" w:eastAsia="Arial" w:hAnsi="Arial"/>
                <w:sz w:val="15"/>
                <w:szCs w:val="15"/>
                <w:color w:val="auto"/>
              </w:rPr>
              <w:t>continuation</w:t>
            </w:r>
            <w:r>
              <w:rPr>
                <w:rFonts w:ascii="Arial" w:cs="Arial" w:eastAsia="Arial" w:hAnsi="Arial"/>
                <w:sz w:val="23"/>
                <w:szCs w:val="23"/>
                <w:color w:val="auto"/>
                <w:vertAlign w:val="superscript"/>
              </w:rPr>
              <w:t>(4)</w:t>
            </w:r>
          </w:p>
        </w:tc>
        <w:tc>
          <w:tcPr>
            <w:tcW w:w="360" w:type="dxa"/>
            <w:vAlign w:val="bottom"/>
            <w:tcBorders>
              <w:bottom w:val="single" w:sz="8" w:color="99B5CB"/>
            </w:tcBorders>
          </w:tcPr>
          <w:p>
            <w:pPr>
              <w:spacing w:after="0"/>
              <w:rPr>
                <w:sz w:val="19"/>
                <w:szCs w:val="19"/>
                <w:color w:val="auto"/>
              </w:rPr>
            </w:pPr>
          </w:p>
        </w:tc>
        <w:tc>
          <w:tcPr>
            <w:tcW w:w="1300" w:type="dxa"/>
            <w:vAlign w:val="bottom"/>
            <w:tcBorders>
              <w:bottom w:val="single" w:sz="8" w:color="99B5CB"/>
            </w:tcBorders>
          </w:tcPr>
          <w:p>
            <w:pPr>
              <w:jc w:val="right"/>
              <w:ind w:right="423"/>
              <w:spacing w:after="0"/>
              <w:rPr>
                <w:sz w:val="20"/>
                <w:szCs w:val="20"/>
                <w:color w:val="auto"/>
              </w:rPr>
            </w:pPr>
            <w:r>
              <w:rPr>
                <w:rFonts w:ascii="Arial" w:cs="Arial" w:eastAsia="Arial" w:hAnsi="Arial"/>
                <w:sz w:val="15"/>
                <w:szCs w:val="15"/>
                <w:color w:val="auto"/>
              </w:rPr>
              <w:t>—</w:t>
            </w:r>
          </w:p>
        </w:tc>
        <w:tc>
          <w:tcPr>
            <w:tcW w:w="380" w:type="dxa"/>
            <w:vAlign w:val="bottom"/>
            <w:tcBorders>
              <w:bottom w:val="single" w:sz="8" w:color="99B5CB"/>
            </w:tcBorders>
          </w:tcPr>
          <w:p>
            <w:pPr>
              <w:spacing w:after="0"/>
              <w:rPr>
                <w:sz w:val="19"/>
                <w:szCs w:val="19"/>
                <w:color w:val="auto"/>
              </w:rPr>
            </w:pPr>
          </w:p>
        </w:tc>
        <w:tc>
          <w:tcPr>
            <w:tcW w:w="960" w:type="dxa"/>
            <w:vAlign w:val="bottom"/>
            <w:tcBorders>
              <w:bottom w:val="single" w:sz="8" w:color="99B5CB"/>
            </w:tcBorders>
          </w:tcPr>
          <w:p>
            <w:pPr>
              <w:jc w:val="right"/>
              <w:ind w:right="423"/>
              <w:spacing w:after="0"/>
              <w:rPr>
                <w:sz w:val="20"/>
                <w:szCs w:val="20"/>
                <w:color w:val="auto"/>
              </w:rPr>
            </w:pPr>
            <w:r>
              <w:rPr>
                <w:rFonts w:ascii="Arial" w:cs="Arial" w:eastAsia="Arial" w:hAnsi="Arial"/>
                <w:sz w:val="15"/>
                <w:szCs w:val="15"/>
                <w:color w:val="auto"/>
              </w:rPr>
              <w:t>—</w:t>
            </w:r>
          </w:p>
        </w:tc>
        <w:tc>
          <w:tcPr>
            <w:tcW w:w="1420" w:type="dxa"/>
            <w:vAlign w:val="bottom"/>
            <w:tcBorders>
              <w:bottom w:val="single" w:sz="8" w:color="99B5CB"/>
            </w:tcBorders>
          </w:tcPr>
          <w:p>
            <w:pPr>
              <w:jc w:val="right"/>
              <w:ind w:right="123"/>
              <w:spacing w:after="0"/>
              <w:rPr>
                <w:sz w:val="20"/>
                <w:szCs w:val="20"/>
                <w:color w:val="auto"/>
              </w:rPr>
            </w:pPr>
            <w:r>
              <w:rPr>
                <w:rFonts w:ascii="Arial" w:cs="Arial" w:eastAsia="Arial" w:hAnsi="Arial"/>
                <w:sz w:val="15"/>
                <w:szCs w:val="15"/>
                <w:color w:val="auto"/>
              </w:rPr>
              <w:t>—</w:t>
            </w:r>
          </w:p>
        </w:tc>
        <w:tc>
          <w:tcPr>
            <w:tcW w:w="320" w:type="dxa"/>
            <w:vAlign w:val="bottom"/>
            <w:tcBorders>
              <w:bottom w:val="single" w:sz="8" w:color="99B5CB"/>
            </w:tcBorders>
          </w:tcPr>
          <w:p>
            <w:pPr>
              <w:spacing w:after="0"/>
              <w:rPr>
                <w:sz w:val="19"/>
                <w:szCs w:val="19"/>
                <w:color w:val="auto"/>
              </w:rPr>
            </w:pPr>
          </w:p>
        </w:tc>
        <w:tc>
          <w:tcPr>
            <w:tcW w:w="1160" w:type="dxa"/>
            <w:vAlign w:val="bottom"/>
            <w:tcBorders>
              <w:bottom w:val="single" w:sz="8" w:color="99B5CB"/>
            </w:tcBorders>
          </w:tcPr>
          <w:p>
            <w:pPr>
              <w:jc w:val="right"/>
              <w:ind w:right="123"/>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13"/>
        </w:trPr>
        <w:tc>
          <w:tcPr>
            <w:tcW w:w="2620" w:type="dxa"/>
            <w:vAlign w:val="bottom"/>
          </w:tcPr>
          <w:p>
            <w:pPr>
              <w:spacing w:after="0"/>
              <w:rPr>
                <w:sz w:val="18"/>
                <w:szCs w:val="18"/>
                <w:color w:val="auto"/>
              </w:rPr>
            </w:pPr>
          </w:p>
        </w:tc>
        <w:tc>
          <w:tcPr>
            <w:tcW w:w="2020" w:type="dxa"/>
            <w:vAlign w:val="bottom"/>
          </w:tcPr>
          <w:p>
            <w:pPr>
              <w:ind w:left="340"/>
              <w:spacing w:after="0"/>
              <w:rPr>
                <w:sz w:val="20"/>
                <w:szCs w:val="20"/>
                <w:color w:val="auto"/>
              </w:rPr>
            </w:pPr>
            <w:r>
              <w:rPr>
                <w:rFonts w:ascii="Arial" w:cs="Arial" w:eastAsia="Arial" w:hAnsi="Arial"/>
                <w:sz w:val="15"/>
                <w:szCs w:val="15"/>
                <w:color w:val="auto"/>
              </w:rPr>
              <w:t>Value of accelerated</w:t>
            </w:r>
          </w:p>
        </w:tc>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620" w:type="dxa"/>
            <w:vAlign w:val="bottom"/>
            <w:tcBorders>
              <w:bottom w:val="single" w:sz="8" w:color="00467D"/>
            </w:tcBorders>
          </w:tcPr>
          <w:p>
            <w:pPr>
              <w:spacing w:after="0"/>
              <w:rPr>
                <w:sz w:val="19"/>
                <w:szCs w:val="19"/>
                <w:color w:val="auto"/>
              </w:rPr>
            </w:pPr>
          </w:p>
        </w:tc>
        <w:tc>
          <w:tcPr>
            <w:tcW w:w="2020" w:type="dxa"/>
            <w:vAlign w:val="bottom"/>
            <w:tcBorders>
              <w:bottom w:val="single" w:sz="8" w:color="00467D"/>
            </w:tcBorders>
          </w:tcPr>
          <w:p>
            <w:pPr>
              <w:ind w:left="340"/>
              <w:spacing w:after="0" w:line="219" w:lineRule="exact"/>
              <w:rPr>
                <w:sz w:val="20"/>
                <w:szCs w:val="20"/>
                <w:color w:val="auto"/>
              </w:rPr>
            </w:pPr>
            <w:r>
              <w:rPr>
                <w:rFonts w:ascii="Arial" w:cs="Arial" w:eastAsia="Arial" w:hAnsi="Arial"/>
                <w:sz w:val="15"/>
                <w:szCs w:val="15"/>
                <w:color w:val="auto"/>
              </w:rPr>
              <w:t>Options and RSUs</w:t>
            </w:r>
            <w:r>
              <w:rPr>
                <w:rFonts w:ascii="Arial" w:cs="Arial" w:eastAsia="Arial" w:hAnsi="Arial"/>
                <w:sz w:val="23"/>
                <w:szCs w:val="23"/>
                <w:color w:val="auto"/>
                <w:vertAlign w:val="superscript"/>
              </w:rPr>
              <w:t>(5)</w:t>
            </w:r>
          </w:p>
        </w:tc>
        <w:tc>
          <w:tcPr>
            <w:tcW w:w="360" w:type="dxa"/>
            <w:vAlign w:val="bottom"/>
            <w:tcBorders>
              <w:bottom w:val="single" w:sz="8" w:color="00467D"/>
            </w:tcBorders>
          </w:tcPr>
          <w:p>
            <w:pPr>
              <w:spacing w:after="0"/>
              <w:rPr>
                <w:sz w:val="19"/>
                <w:szCs w:val="19"/>
                <w:color w:val="auto"/>
              </w:rPr>
            </w:pPr>
          </w:p>
        </w:tc>
        <w:tc>
          <w:tcPr>
            <w:tcW w:w="1300" w:type="dxa"/>
            <w:vAlign w:val="bottom"/>
            <w:tcBorders>
              <w:bottom w:val="single" w:sz="8" w:color="00467D"/>
            </w:tcBorders>
          </w:tcPr>
          <w:p>
            <w:pPr>
              <w:jc w:val="right"/>
              <w:ind w:right="423"/>
              <w:spacing w:after="0"/>
              <w:rPr>
                <w:sz w:val="20"/>
                <w:szCs w:val="20"/>
                <w:color w:val="auto"/>
              </w:rPr>
            </w:pPr>
            <w:r>
              <w:rPr>
                <w:rFonts w:ascii="Arial" w:cs="Arial" w:eastAsia="Arial" w:hAnsi="Arial"/>
                <w:sz w:val="15"/>
                <w:szCs w:val="15"/>
                <w:color w:val="auto"/>
              </w:rPr>
              <w:t>—</w:t>
            </w:r>
          </w:p>
        </w:tc>
        <w:tc>
          <w:tcPr>
            <w:tcW w:w="380" w:type="dxa"/>
            <w:vAlign w:val="bottom"/>
            <w:tcBorders>
              <w:bottom w:val="single" w:sz="8" w:color="00467D"/>
            </w:tcBorders>
          </w:tcPr>
          <w:p>
            <w:pPr>
              <w:spacing w:after="0"/>
              <w:rPr>
                <w:sz w:val="19"/>
                <w:szCs w:val="19"/>
                <w:color w:val="auto"/>
              </w:rPr>
            </w:pPr>
          </w:p>
        </w:tc>
        <w:tc>
          <w:tcPr>
            <w:tcW w:w="960" w:type="dxa"/>
            <w:vAlign w:val="bottom"/>
            <w:tcBorders>
              <w:bottom w:val="single" w:sz="8" w:color="00467D"/>
            </w:tcBorders>
          </w:tcPr>
          <w:p>
            <w:pPr>
              <w:jc w:val="right"/>
              <w:ind w:right="423"/>
              <w:spacing w:after="0"/>
              <w:rPr>
                <w:sz w:val="20"/>
                <w:szCs w:val="20"/>
                <w:color w:val="auto"/>
              </w:rPr>
            </w:pPr>
            <w:r>
              <w:rPr>
                <w:rFonts w:ascii="Arial" w:cs="Arial" w:eastAsia="Arial" w:hAnsi="Arial"/>
                <w:sz w:val="15"/>
                <w:szCs w:val="15"/>
                <w:color w:val="auto"/>
              </w:rPr>
              <w:t>—</w:t>
            </w:r>
          </w:p>
        </w:tc>
        <w:tc>
          <w:tcPr>
            <w:tcW w:w="1420" w:type="dxa"/>
            <w:vAlign w:val="bottom"/>
            <w:tcBorders>
              <w:bottom w:val="single" w:sz="8" w:color="00467D"/>
            </w:tcBorders>
          </w:tcPr>
          <w:p>
            <w:pPr>
              <w:jc w:val="right"/>
              <w:ind w:right="123"/>
              <w:spacing w:after="0"/>
              <w:rPr>
                <w:sz w:val="20"/>
                <w:szCs w:val="20"/>
                <w:color w:val="auto"/>
              </w:rPr>
            </w:pPr>
            <w:r>
              <w:rPr>
                <w:rFonts w:ascii="Arial" w:cs="Arial" w:eastAsia="Arial" w:hAnsi="Arial"/>
                <w:sz w:val="15"/>
                <w:szCs w:val="15"/>
                <w:color w:val="auto"/>
              </w:rPr>
              <w:t>—</w:t>
            </w:r>
          </w:p>
        </w:tc>
        <w:tc>
          <w:tcPr>
            <w:tcW w:w="320" w:type="dxa"/>
            <w:vAlign w:val="bottom"/>
            <w:tcBorders>
              <w:bottom w:val="single" w:sz="8" w:color="00467D"/>
            </w:tcBorders>
          </w:tcPr>
          <w:p>
            <w:pPr>
              <w:spacing w:after="0"/>
              <w:rPr>
                <w:sz w:val="19"/>
                <w:szCs w:val="19"/>
                <w:color w:val="auto"/>
              </w:rPr>
            </w:pPr>
          </w:p>
        </w:tc>
        <w:tc>
          <w:tcPr>
            <w:tcW w:w="1160" w:type="dxa"/>
            <w:vAlign w:val="bottom"/>
            <w:tcBorders>
              <w:bottom w:val="single" w:sz="8" w:color="00467D"/>
            </w:tcBorders>
          </w:tcPr>
          <w:p>
            <w:pPr>
              <w:jc w:val="right"/>
              <w:ind w:right="123"/>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51"/>
        </w:trPr>
        <w:tc>
          <w:tcPr>
            <w:tcW w:w="2620" w:type="dxa"/>
            <w:vAlign w:val="bottom"/>
          </w:tcPr>
          <w:p>
            <w:pPr>
              <w:ind w:left="80"/>
              <w:spacing w:after="0"/>
              <w:rPr>
                <w:sz w:val="20"/>
                <w:szCs w:val="20"/>
                <w:color w:val="auto"/>
              </w:rPr>
            </w:pPr>
            <w:r>
              <w:rPr>
                <w:rFonts w:ascii="Arial" w:cs="Arial" w:eastAsia="Arial" w:hAnsi="Arial"/>
                <w:sz w:val="15"/>
                <w:szCs w:val="15"/>
                <w:color w:val="auto"/>
              </w:rPr>
              <w:t>Michael P. Rutz</w:t>
            </w:r>
          </w:p>
        </w:tc>
        <w:tc>
          <w:tcPr>
            <w:tcW w:w="2020" w:type="dxa"/>
            <w:vAlign w:val="bottom"/>
            <w:tcBorders>
              <w:bottom w:val="single" w:sz="8" w:color="99B5CB"/>
            </w:tcBorders>
          </w:tcPr>
          <w:p>
            <w:pPr>
              <w:ind w:left="340"/>
              <w:spacing w:after="0" w:line="251" w:lineRule="exact"/>
              <w:rPr>
                <w:sz w:val="20"/>
                <w:szCs w:val="20"/>
                <w:color w:val="auto"/>
              </w:rPr>
            </w:pPr>
            <w:r>
              <w:rPr>
                <w:rFonts w:ascii="Arial" w:cs="Arial" w:eastAsia="Arial" w:hAnsi="Arial"/>
                <w:sz w:val="15"/>
                <w:szCs w:val="15"/>
                <w:color w:val="auto"/>
              </w:rPr>
              <w:t>Cash Severance</w:t>
            </w:r>
            <w:r>
              <w:rPr>
                <w:rFonts w:ascii="Arial" w:cs="Arial" w:eastAsia="Arial" w:hAnsi="Arial"/>
                <w:sz w:val="23"/>
                <w:szCs w:val="23"/>
                <w:color w:val="auto"/>
                <w:vertAlign w:val="superscript"/>
              </w:rPr>
              <w:t>(3)</w:t>
            </w:r>
          </w:p>
        </w:tc>
        <w:tc>
          <w:tcPr>
            <w:tcW w:w="360" w:type="dxa"/>
            <w:vAlign w:val="bottom"/>
            <w:tcBorders>
              <w:bottom w:val="single" w:sz="8" w:color="99B5CB"/>
            </w:tcBorders>
          </w:tcPr>
          <w:p>
            <w:pPr>
              <w:ind w:left="240"/>
              <w:spacing w:after="0"/>
              <w:rPr>
                <w:sz w:val="20"/>
                <w:szCs w:val="20"/>
                <w:color w:val="auto"/>
              </w:rPr>
            </w:pPr>
            <w:r>
              <w:rPr>
                <w:rFonts w:ascii="Arial" w:cs="Arial" w:eastAsia="Arial" w:hAnsi="Arial"/>
                <w:sz w:val="15"/>
                <w:szCs w:val="15"/>
                <w:color w:val="auto"/>
              </w:rPr>
              <w:t>$</w:t>
            </w:r>
          </w:p>
        </w:tc>
        <w:tc>
          <w:tcPr>
            <w:tcW w:w="1300" w:type="dxa"/>
            <w:vAlign w:val="bottom"/>
            <w:tcBorders>
              <w:bottom w:val="single" w:sz="8" w:color="99B5CB"/>
            </w:tcBorders>
          </w:tcPr>
          <w:p>
            <w:pPr>
              <w:jc w:val="right"/>
              <w:ind w:right="123"/>
              <w:spacing w:after="0"/>
              <w:rPr>
                <w:sz w:val="20"/>
                <w:szCs w:val="20"/>
                <w:color w:val="auto"/>
              </w:rPr>
            </w:pPr>
            <w:r>
              <w:rPr>
                <w:rFonts w:ascii="Arial" w:cs="Arial" w:eastAsia="Arial" w:hAnsi="Arial"/>
                <w:sz w:val="15"/>
                <w:szCs w:val="15"/>
                <w:color w:val="auto"/>
              </w:rPr>
              <w:t>450,000</w:t>
            </w:r>
          </w:p>
        </w:tc>
        <w:tc>
          <w:tcPr>
            <w:tcW w:w="380" w:type="dxa"/>
            <w:vAlign w:val="bottom"/>
            <w:tcBorders>
              <w:bottom w:val="single" w:sz="8" w:color="99B5CB"/>
            </w:tcBorders>
          </w:tcPr>
          <w:p>
            <w:pPr>
              <w:spacing w:after="0"/>
              <w:rPr>
                <w:sz w:val="21"/>
                <w:szCs w:val="21"/>
                <w:color w:val="auto"/>
              </w:rPr>
            </w:pPr>
          </w:p>
        </w:tc>
        <w:tc>
          <w:tcPr>
            <w:tcW w:w="960" w:type="dxa"/>
            <w:vAlign w:val="bottom"/>
            <w:tcBorders>
              <w:bottom w:val="single" w:sz="8" w:color="99B5CB"/>
            </w:tcBorders>
          </w:tcPr>
          <w:p>
            <w:pPr>
              <w:jc w:val="right"/>
              <w:ind w:right="423"/>
              <w:spacing w:after="0"/>
              <w:rPr>
                <w:sz w:val="20"/>
                <w:szCs w:val="20"/>
                <w:color w:val="auto"/>
              </w:rPr>
            </w:pPr>
            <w:r>
              <w:rPr>
                <w:rFonts w:ascii="Arial" w:cs="Arial" w:eastAsia="Arial" w:hAnsi="Arial"/>
                <w:sz w:val="15"/>
                <w:szCs w:val="15"/>
                <w:color w:val="auto"/>
              </w:rPr>
              <w:t>—</w:t>
            </w:r>
          </w:p>
        </w:tc>
        <w:tc>
          <w:tcPr>
            <w:tcW w:w="1420" w:type="dxa"/>
            <w:vAlign w:val="bottom"/>
            <w:tcBorders>
              <w:bottom w:val="single" w:sz="8" w:color="99B5CB"/>
            </w:tcBorders>
          </w:tcPr>
          <w:p>
            <w:pPr>
              <w:jc w:val="right"/>
              <w:ind w:right="123"/>
              <w:spacing w:after="0"/>
              <w:rPr>
                <w:sz w:val="20"/>
                <w:szCs w:val="20"/>
                <w:color w:val="auto"/>
              </w:rPr>
            </w:pPr>
            <w:r>
              <w:rPr>
                <w:rFonts w:ascii="Arial" w:cs="Arial" w:eastAsia="Arial" w:hAnsi="Arial"/>
                <w:sz w:val="15"/>
                <w:szCs w:val="15"/>
                <w:color w:val="auto"/>
              </w:rPr>
              <w:t>—</w:t>
            </w:r>
          </w:p>
        </w:tc>
        <w:tc>
          <w:tcPr>
            <w:tcW w:w="320" w:type="dxa"/>
            <w:vAlign w:val="bottom"/>
            <w:tcBorders>
              <w:bottom w:val="single" w:sz="8" w:color="99B5CB"/>
            </w:tcBorders>
          </w:tcPr>
          <w:p>
            <w:pPr>
              <w:ind w:left="220"/>
              <w:spacing w:after="0"/>
              <w:rPr>
                <w:sz w:val="20"/>
                <w:szCs w:val="20"/>
                <w:color w:val="auto"/>
              </w:rPr>
            </w:pPr>
            <w:r>
              <w:rPr>
                <w:rFonts w:ascii="Arial" w:cs="Arial" w:eastAsia="Arial" w:hAnsi="Arial"/>
                <w:sz w:val="15"/>
                <w:szCs w:val="15"/>
                <w:color w:val="auto"/>
                <w:w w:val="95"/>
              </w:rPr>
              <w:t>$</w:t>
            </w:r>
          </w:p>
        </w:tc>
        <w:tc>
          <w:tcPr>
            <w:tcW w:w="1160" w:type="dxa"/>
            <w:vAlign w:val="bottom"/>
            <w:tcBorders>
              <w:bottom w:val="single" w:sz="8" w:color="99B5CB"/>
            </w:tcBorders>
          </w:tcPr>
          <w:p>
            <w:pPr>
              <w:jc w:val="right"/>
              <w:ind w:right="123"/>
              <w:spacing w:after="0"/>
              <w:rPr>
                <w:sz w:val="20"/>
                <w:szCs w:val="20"/>
                <w:color w:val="auto"/>
              </w:rPr>
            </w:pPr>
            <w:r>
              <w:rPr>
                <w:rFonts w:ascii="Arial" w:cs="Arial" w:eastAsia="Arial" w:hAnsi="Arial"/>
                <w:sz w:val="15"/>
                <w:szCs w:val="15"/>
                <w:color w:val="auto"/>
              </w:rPr>
              <w:t>450,000</w:t>
            </w:r>
          </w:p>
        </w:tc>
        <w:tc>
          <w:tcPr>
            <w:tcW w:w="0" w:type="dxa"/>
            <w:vAlign w:val="bottom"/>
          </w:tcPr>
          <w:p>
            <w:pPr>
              <w:spacing w:after="0"/>
              <w:rPr>
                <w:sz w:val="1"/>
                <w:szCs w:val="1"/>
                <w:color w:val="auto"/>
              </w:rPr>
            </w:pPr>
          </w:p>
        </w:tc>
      </w:tr>
      <w:tr>
        <w:trPr>
          <w:trHeight w:val="213"/>
        </w:trPr>
        <w:tc>
          <w:tcPr>
            <w:tcW w:w="2620" w:type="dxa"/>
            <w:vAlign w:val="bottom"/>
          </w:tcPr>
          <w:p>
            <w:pPr>
              <w:spacing w:after="0"/>
              <w:rPr>
                <w:sz w:val="18"/>
                <w:szCs w:val="18"/>
                <w:color w:val="auto"/>
              </w:rPr>
            </w:pPr>
          </w:p>
        </w:tc>
        <w:tc>
          <w:tcPr>
            <w:tcW w:w="2020" w:type="dxa"/>
            <w:vAlign w:val="bottom"/>
          </w:tcPr>
          <w:p>
            <w:pPr>
              <w:ind w:left="340"/>
              <w:spacing w:after="0"/>
              <w:rPr>
                <w:sz w:val="20"/>
                <w:szCs w:val="20"/>
                <w:color w:val="auto"/>
              </w:rPr>
            </w:pPr>
            <w:r>
              <w:rPr>
                <w:rFonts w:ascii="Arial" w:cs="Arial" w:eastAsia="Arial" w:hAnsi="Arial"/>
                <w:sz w:val="15"/>
                <w:szCs w:val="15"/>
                <w:color w:val="auto"/>
              </w:rPr>
              <w:t>COBRA</w:t>
            </w:r>
          </w:p>
        </w:tc>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620" w:type="dxa"/>
            <w:vAlign w:val="bottom"/>
          </w:tcPr>
          <w:p>
            <w:pPr>
              <w:spacing w:after="0"/>
              <w:rPr>
                <w:sz w:val="19"/>
                <w:szCs w:val="19"/>
                <w:color w:val="auto"/>
              </w:rPr>
            </w:pPr>
          </w:p>
        </w:tc>
        <w:tc>
          <w:tcPr>
            <w:tcW w:w="2020" w:type="dxa"/>
            <w:vAlign w:val="bottom"/>
            <w:tcBorders>
              <w:bottom w:val="single" w:sz="8" w:color="99B5CB"/>
            </w:tcBorders>
          </w:tcPr>
          <w:p>
            <w:pPr>
              <w:ind w:left="340"/>
              <w:spacing w:after="0" w:line="219" w:lineRule="exact"/>
              <w:rPr>
                <w:sz w:val="20"/>
                <w:szCs w:val="20"/>
                <w:color w:val="auto"/>
              </w:rPr>
            </w:pPr>
            <w:r>
              <w:rPr>
                <w:rFonts w:ascii="Arial" w:cs="Arial" w:eastAsia="Arial" w:hAnsi="Arial"/>
                <w:sz w:val="15"/>
                <w:szCs w:val="15"/>
                <w:color w:val="auto"/>
              </w:rPr>
              <w:t>continuation</w:t>
            </w:r>
            <w:r>
              <w:rPr>
                <w:rFonts w:ascii="Arial" w:cs="Arial" w:eastAsia="Arial" w:hAnsi="Arial"/>
                <w:sz w:val="23"/>
                <w:szCs w:val="23"/>
                <w:color w:val="auto"/>
                <w:vertAlign w:val="superscript"/>
              </w:rPr>
              <w:t>(4)</w:t>
            </w:r>
          </w:p>
        </w:tc>
        <w:tc>
          <w:tcPr>
            <w:tcW w:w="360" w:type="dxa"/>
            <w:vAlign w:val="bottom"/>
            <w:tcBorders>
              <w:bottom w:val="single" w:sz="8" w:color="99B5CB"/>
            </w:tcBorders>
          </w:tcPr>
          <w:p>
            <w:pPr>
              <w:spacing w:after="0"/>
              <w:rPr>
                <w:sz w:val="19"/>
                <w:szCs w:val="19"/>
                <w:color w:val="auto"/>
              </w:rPr>
            </w:pPr>
          </w:p>
        </w:tc>
        <w:tc>
          <w:tcPr>
            <w:tcW w:w="1300" w:type="dxa"/>
            <w:vAlign w:val="bottom"/>
            <w:tcBorders>
              <w:bottom w:val="single" w:sz="8" w:color="99B5CB"/>
            </w:tcBorders>
          </w:tcPr>
          <w:p>
            <w:pPr>
              <w:jc w:val="right"/>
              <w:ind w:right="123"/>
              <w:spacing w:after="0"/>
              <w:rPr>
                <w:sz w:val="20"/>
                <w:szCs w:val="20"/>
                <w:color w:val="auto"/>
              </w:rPr>
            </w:pPr>
            <w:r>
              <w:rPr>
                <w:rFonts w:ascii="Arial" w:cs="Arial" w:eastAsia="Arial" w:hAnsi="Arial"/>
                <w:sz w:val="15"/>
                <w:szCs w:val="15"/>
                <w:color w:val="auto"/>
              </w:rPr>
              <w:t>14,790</w:t>
            </w:r>
          </w:p>
        </w:tc>
        <w:tc>
          <w:tcPr>
            <w:tcW w:w="380" w:type="dxa"/>
            <w:vAlign w:val="bottom"/>
            <w:tcBorders>
              <w:bottom w:val="single" w:sz="8" w:color="99B5CB"/>
            </w:tcBorders>
          </w:tcPr>
          <w:p>
            <w:pPr>
              <w:spacing w:after="0"/>
              <w:rPr>
                <w:sz w:val="19"/>
                <w:szCs w:val="19"/>
                <w:color w:val="auto"/>
              </w:rPr>
            </w:pPr>
          </w:p>
        </w:tc>
        <w:tc>
          <w:tcPr>
            <w:tcW w:w="960" w:type="dxa"/>
            <w:vAlign w:val="bottom"/>
            <w:tcBorders>
              <w:bottom w:val="single" w:sz="8" w:color="99B5CB"/>
            </w:tcBorders>
          </w:tcPr>
          <w:p>
            <w:pPr>
              <w:jc w:val="right"/>
              <w:ind w:right="423"/>
              <w:spacing w:after="0"/>
              <w:rPr>
                <w:sz w:val="20"/>
                <w:szCs w:val="20"/>
                <w:color w:val="auto"/>
              </w:rPr>
            </w:pPr>
            <w:r>
              <w:rPr>
                <w:rFonts w:ascii="Arial" w:cs="Arial" w:eastAsia="Arial" w:hAnsi="Arial"/>
                <w:sz w:val="15"/>
                <w:szCs w:val="15"/>
                <w:color w:val="auto"/>
              </w:rPr>
              <w:t>—</w:t>
            </w:r>
          </w:p>
        </w:tc>
        <w:tc>
          <w:tcPr>
            <w:tcW w:w="1420" w:type="dxa"/>
            <w:vAlign w:val="bottom"/>
            <w:tcBorders>
              <w:bottom w:val="single" w:sz="8" w:color="99B5CB"/>
            </w:tcBorders>
          </w:tcPr>
          <w:p>
            <w:pPr>
              <w:jc w:val="right"/>
              <w:ind w:right="123"/>
              <w:spacing w:after="0"/>
              <w:rPr>
                <w:sz w:val="20"/>
                <w:szCs w:val="20"/>
                <w:color w:val="auto"/>
              </w:rPr>
            </w:pPr>
            <w:r>
              <w:rPr>
                <w:rFonts w:ascii="Arial" w:cs="Arial" w:eastAsia="Arial" w:hAnsi="Arial"/>
                <w:sz w:val="15"/>
                <w:szCs w:val="15"/>
                <w:color w:val="auto"/>
              </w:rPr>
              <w:t>—</w:t>
            </w:r>
          </w:p>
        </w:tc>
        <w:tc>
          <w:tcPr>
            <w:tcW w:w="320" w:type="dxa"/>
            <w:vAlign w:val="bottom"/>
            <w:tcBorders>
              <w:bottom w:val="single" w:sz="8" w:color="99B5CB"/>
            </w:tcBorders>
          </w:tcPr>
          <w:p>
            <w:pPr>
              <w:spacing w:after="0"/>
              <w:rPr>
                <w:sz w:val="19"/>
                <w:szCs w:val="19"/>
                <w:color w:val="auto"/>
              </w:rPr>
            </w:pPr>
          </w:p>
        </w:tc>
        <w:tc>
          <w:tcPr>
            <w:tcW w:w="1160" w:type="dxa"/>
            <w:vAlign w:val="bottom"/>
            <w:tcBorders>
              <w:bottom w:val="single" w:sz="8" w:color="99B5CB"/>
            </w:tcBorders>
          </w:tcPr>
          <w:p>
            <w:pPr>
              <w:jc w:val="right"/>
              <w:ind w:right="123"/>
              <w:spacing w:after="0"/>
              <w:rPr>
                <w:sz w:val="20"/>
                <w:szCs w:val="20"/>
                <w:color w:val="auto"/>
              </w:rPr>
            </w:pPr>
            <w:r>
              <w:rPr>
                <w:rFonts w:ascii="Arial" w:cs="Arial" w:eastAsia="Arial" w:hAnsi="Arial"/>
                <w:sz w:val="15"/>
                <w:szCs w:val="15"/>
                <w:color w:val="auto"/>
              </w:rPr>
              <w:t>14,790</w:t>
            </w:r>
          </w:p>
        </w:tc>
        <w:tc>
          <w:tcPr>
            <w:tcW w:w="0" w:type="dxa"/>
            <w:vAlign w:val="bottom"/>
          </w:tcPr>
          <w:p>
            <w:pPr>
              <w:spacing w:after="0"/>
              <w:rPr>
                <w:sz w:val="1"/>
                <w:szCs w:val="1"/>
                <w:color w:val="auto"/>
              </w:rPr>
            </w:pPr>
          </w:p>
        </w:tc>
      </w:tr>
      <w:tr>
        <w:trPr>
          <w:trHeight w:val="213"/>
        </w:trPr>
        <w:tc>
          <w:tcPr>
            <w:tcW w:w="2620" w:type="dxa"/>
            <w:vAlign w:val="bottom"/>
          </w:tcPr>
          <w:p>
            <w:pPr>
              <w:spacing w:after="0"/>
              <w:rPr>
                <w:sz w:val="18"/>
                <w:szCs w:val="18"/>
                <w:color w:val="auto"/>
              </w:rPr>
            </w:pPr>
          </w:p>
        </w:tc>
        <w:tc>
          <w:tcPr>
            <w:tcW w:w="2020" w:type="dxa"/>
            <w:vAlign w:val="bottom"/>
          </w:tcPr>
          <w:p>
            <w:pPr>
              <w:ind w:left="340"/>
              <w:spacing w:after="0"/>
              <w:rPr>
                <w:sz w:val="20"/>
                <w:szCs w:val="20"/>
                <w:color w:val="auto"/>
              </w:rPr>
            </w:pPr>
            <w:r>
              <w:rPr>
                <w:rFonts w:ascii="Arial" w:cs="Arial" w:eastAsia="Arial" w:hAnsi="Arial"/>
                <w:sz w:val="15"/>
                <w:szCs w:val="15"/>
                <w:color w:val="auto"/>
              </w:rPr>
              <w:t>Change in Control</w:t>
            </w:r>
          </w:p>
        </w:tc>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620" w:type="dxa"/>
            <w:vAlign w:val="bottom"/>
          </w:tcPr>
          <w:p>
            <w:pPr>
              <w:spacing w:after="0"/>
              <w:rPr>
                <w:sz w:val="19"/>
                <w:szCs w:val="19"/>
                <w:color w:val="auto"/>
              </w:rPr>
            </w:pPr>
          </w:p>
        </w:tc>
        <w:tc>
          <w:tcPr>
            <w:tcW w:w="2020" w:type="dxa"/>
            <w:vAlign w:val="bottom"/>
            <w:tcBorders>
              <w:bottom w:val="single" w:sz="8" w:color="99B5CB"/>
            </w:tcBorders>
          </w:tcPr>
          <w:p>
            <w:pPr>
              <w:ind w:left="340"/>
              <w:spacing w:after="0"/>
              <w:rPr>
                <w:sz w:val="20"/>
                <w:szCs w:val="20"/>
                <w:color w:val="auto"/>
              </w:rPr>
            </w:pPr>
            <w:r>
              <w:rPr>
                <w:rFonts w:ascii="Arial" w:cs="Arial" w:eastAsia="Arial" w:hAnsi="Arial"/>
                <w:sz w:val="15"/>
                <w:szCs w:val="15"/>
                <w:color w:val="auto"/>
              </w:rPr>
              <w:t>Bonus</w:t>
            </w:r>
          </w:p>
        </w:tc>
        <w:tc>
          <w:tcPr>
            <w:tcW w:w="360" w:type="dxa"/>
            <w:vAlign w:val="bottom"/>
            <w:tcBorders>
              <w:bottom w:val="single" w:sz="8" w:color="99B5CB"/>
            </w:tcBorders>
          </w:tcPr>
          <w:p>
            <w:pPr>
              <w:spacing w:after="0"/>
              <w:rPr>
                <w:sz w:val="19"/>
                <w:szCs w:val="19"/>
                <w:color w:val="auto"/>
              </w:rPr>
            </w:pPr>
          </w:p>
        </w:tc>
        <w:tc>
          <w:tcPr>
            <w:tcW w:w="1300" w:type="dxa"/>
            <w:vAlign w:val="bottom"/>
            <w:tcBorders>
              <w:bottom w:val="single" w:sz="8" w:color="99B5CB"/>
            </w:tcBorders>
          </w:tcPr>
          <w:p>
            <w:pPr>
              <w:spacing w:after="0"/>
              <w:rPr>
                <w:sz w:val="19"/>
                <w:szCs w:val="19"/>
                <w:color w:val="auto"/>
              </w:rPr>
            </w:pPr>
          </w:p>
        </w:tc>
        <w:tc>
          <w:tcPr>
            <w:tcW w:w="380" w:type="dxa"/>
            <w:vAlign w:val="bottom"/>
            <w:tcBorders>
              <w:bottom w:val="single" w:sz="8" w:color="99B5CB"/>
            </w:tcBorders>
          </w:tcPr>
          <w:p>
            <w:pPr>
              <w:spacing w:after="0"/>
              <w:rPr>
                <w:sz w:val="19"/>
                <w:szCs w:val="19"/>
                <w:color w:val="auto"/>
              </w:rPr>
            </w:pPr>
          </w:p>
        </w:tc>
        <w:tc>
          <w:tcPr>
            <w:tcW w:w="960" w:type="dxa"/>
            <w:vAlign w:val="bottom"/>
            <w:tcBorders>
              <w:bottom w:val="single" w:sz="8" w:color="99B5CB"/>
            </w:tcBorders>
          </w:tcPr>
          <w:p>
            <w:pPr>
              <w:jc w:val="right"/>
              <w:ind w:right="423"/>
              <w:spacing w:after="0"/>
              <w:rPr>
                <w:sz w:val="20"/>
                <w:szCs w:val="20"/>
                <w:color w:val="auto"/>
              </w:rPr>
            </w:pPr>
            <w:r>
              <w:rPr>
                <w:rFonts w:ascii="Arial" w:cs="Arial" w:eastAsia="Arial" w:hAnsi="Arial"/>
                <w:sz w:val="15"/>
                <w:szCs w:val="15"/>
                <w:color w:val="auto"/>
              </w:rPr>
              <w:t>—</w:t>
            </w:r>
          </w:p>
        </w:tc>
        <w:tc>
          <w:tcPr>
            <w:tcW w:w="1420" w:type="dxa"/>
            <w:vAlign w:val="bottom"/>
            <w:tcBorders>
              <w:bottom w:val="single" w:sz="8" w:color="99B5CB"/>
            </w:tcBorders>
          </w:tcPr>
          <w:p>
            <w:pPr>
              <w:jc w:val="right"/>
              <w:ind w:right="123"/>
              <w:spacing w:after="0"/>
              <w:rPr>
                <w:sz w:val="20"/>
                <w:szCs w:val="20"/>
                <w:color w:val="auto"/>
              </w:rPr>
            </w:pPr>
            <w:r>
              <w:rPr>
                <w:rFonts w:ascii="Arial" w:cs="Arial" w:eastAsia="Arial" w:hAnsi="Arial"/>
                <w:sz w:val="15"/>
                <w:szCs w:val="15"/>
                <w:color w:val="auto"/>
              </w:rPr>
              <w:t>—</w:t>
            </w:r>
          </w:p>
        </w:tc>
        <w:tc>
          <w:tcPr>
            <w:tcW w:w="320" w:type="dxa"/>
            <w:vAlign w:val="bottom"/>
            <w:tcBorders>
              <w:bottom w:val="single" w:sz="8" w:color="99B5CB"/>
            </w:tcBorders>
          </w:tcPr>
          <w:p>
            <w:pPr>
              <w:spacing w:after="0"/>
              <w:rPr>
                <w:sz w:val="19"/>
                <w:szCs w:val="19"/>
                <w:color w:val="auto"/>
              </w:rPr>
            </w:pPr>
          </w:p>
        </w:tc>
        <w:tc>
          <w:tcPr>
            <w:tcW w:w="1160" w:type="dxa"/>
            <w:vAlign w:val="bottom"/>
            <w:tcBorders>
              <w:bottom w:val="single" w:sz="8" w:color="99B5CB"/>
            </w:tcBorders>
          </w:tcPr>
          <w:p>
            <w:pPr>
              <w:jc w:val="right"/>
              <w:spacing w:after="0" w:line="219" w:lineRule="exact"/>
              <w:rPr>
                <w:sz w:val="20"/>
                <w:szCs w:val="20"/>
                <w:color w:val="auto"/>
              </w:rPr>
            </w:pPr>
            <w:r>
              <w:rPr>
                <w:rFonts w:ascii="Arial" w:cs="Arial" w:eastAsia="Arial" w:hAnsi="Arial"/>
                <w:sz w:val="15"/>
                <w:szCs w:val="15"/>
                <w:color w:val="auto"/>
              </w:rPr>
              <w:t>1,500,000</w:t>
            </w:r>
            <w:r>
              <w:rPr>
                <w:rFonts w:ascii="Arial" w:cs="Arial" w:eastAsia="Arial" w:hAnsi="Arial"/>
                <w:sz w:val="23"/>
                <w:szCs w:val="23"/>
                <w:color w:val="auto"/>
                <w:vertAlign w:val="superscript"/>
              </w:rPr>
              <w:t>(6)</w:t>
            </w:r>
          </w:p>
        </w:tc>
        <w:tc>
          <w:tcPr>
            <w:tcW w:w="0" w:type="dxa"/>
            <w:vAlign w:val="bottom"/>
          </w:tcPr>
          <w:p>
            <w:pPr>
              <w:spacing w:after="0"/>
              <w:rPr>
                <w:sz w:val="1"/>
                <w:szCs w:val="1"/>
                <w:color w:val="auto"/>
              </w:rPr>
            </w:pPr>
          </w:p>
        </w:tc>
      </w:tr>
      <w:tr>
        <w:trPr>
          <w:trHeight w:val="213"/>
        </w:trPr>
        <w:tc>
          <w:tcPr>
            <w:tcW w:w="2620" w:type="dxa"/>
            <w:vAlign w:val="bottom"/>
          </w:tcPr>
          <w:p>
            <w:pPr>
              <w:spacing w:after="0"/>
              <w:rPr>
                <w:sz w:val="18"/>
                <w:szCs w:val="18"/>
                <w:color w:val="auto"/>
              </w:rPr>
            </w:pPr>
          </w:p>
        </w:tc>
        <w:tc>
          <w:tcPr>
            <w:tcW w:w="2020" w:type="dxa"/>
            <w:vAlign w:val="bottom"/>
          </w:tcPr>
          <w:p>
            <w:pPr>
              <w:ind w:left="340"/>
              <w:spacing w:after="0"/>
              <w:rPr>
                <w:sz w:val="20"/>
                <w:szCs w:val="20"/>
                <w:color w:val="auto"/>
              </w:rPr>
            </w:pPr>
            <w:r>
              <w:rPr>
                <w:rFonts w:ascii="Arial" w:cs="Arial" w:eastAsia="Arial" w:hAnsi="Arial"/>
                <w:sz w:val="15"/>
                <w:szCs w:val="15"/>
                <w:color w:val="auto"/>
              </w:rPr>
              <w:t>Value of accelerated</w:t>
            </w:r>
          </w:p>
        </w:tc>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1"/>
        </w:trPr>
        <w:tc>
          <w:tcPr>
            <w:tcW w:w="2620" w:type="dxa"/>
            <w:vAlign w:val="bottom"/>
          </w:tcPr>
          <w:p>
            <w:pPr>
              <w:spacing w:after="0"/>
              <w:rPr>
                <w:sz w:val="15"/>
                <w:szCs w:val="15"/>
                <w:color w:val="auto"/>
              </w:rPr>
            </w:pPr>
          </w:p>
        </w:tc>
        <w:tc>
          <w:tcPr>
            <w:tcW w:w="2020" w:type="dxa"/>
            <w:vAlign w:val="bottom"/>
          </w:tcPr>
          <w:p>
            <w:pPr>
              <w:ind w:left="340"/>
              <w:spacing w:after="0" w:line="181" w:lineRule="exact"/>
              <w:rPr>
                <w:sz w:val="20"/>
                <w:szCs w:val="20"/>
                <w:color w:val="auto"/>
              </w:rPr>
            </w:pPr>
            <w:r>
              <w:rPr>
                <w:rFonts w:ascii="Arial" w:cs="Arial" w:eastAsia="Arial" w:hAnsi="Arial"/>
                <w:sz w:val="14"/>
                <w:szCs w:val="14"/>
                <w:color w:val="auto"/>
              </w:rPr>
              <w:t>Options and RSUs</w:t>
            </w:r>
            <w:r>
              <w:rPr>
                <w:rFonts w:ascii="Arial" w:cs="Arial" w:eastAsia="Arial" w:hAnsi="Arial"/>
                <w:sz w:val="20"/>
                <w:szCs w:val="20"/>
                <w:color w:val="auto"/>
                <w:vertAlign w:val="superscript"/>
              </w:rPr>
              <w:t>(5)</w:t>
            </w:r>
          </w:p>
        </w:tc>
        <w:tc>
          <w:tcPr>
            <w:tcW w:w="360" w:type="dxa"/>
            <w:vAlign w:val="bottom"/>
          </w:tcPr>
          <w:p>
            <w:pPr>
              <w:spacing w:after="0"/>
              <w:rPr>
                <w:sz w:val="15"/>
                <w:szCs w:val="15"/>
                <w:color w:val="auto"/>
              </w:rPr>
            </w:pPr>
          </w:p>
        </w:tc>
        <w:tc>
          <w:tcPr>
            <w:tcW w:w="1300" w:type="dxa"/>
            <w:vAlign w:val="bottom"/>
            <w:vMerge w:val="restart"/>
          </w:tcPr>
          <w:p>
            <w:pPr>
              <w:jc w:val="right"/>
              <w:ind w:right="423"/>
              <w:spacing w:after="0"/>
              <w:rPr>
                <w:sz w:val="20"/>
                <w:szCs w:val="20"/>
                <w:color w:val="auto"/>
              </w:rPr>
            </w:pPr>
            <w:r>
              <w:rPr>
                <w:rFonts w:ascii="Arial" w:cs="Arial" w:eastAsia="Arial" w:hAnsi="Arial"/>
                <w:sz w:val="15"/>
                <w:szCs w:val="15"/>
                <w:color w:val="auto"/>
              </w:rPr>
              <w:t>—</w:t>
            </w:r>
          </w:p>
        </w:tc>
        <w:tc>
          <w:tcPr>
            <w:tcW w:w="380" w:type="dxa"/>
            <w:vAlign w:val="bottom"/>
            <w:vMerge w:val="restart"/>
          </w:tcPr>
          <w:p>
            <w:pPr>
              <w:ind w:left="200"/>
              <w:spacing w:after="0"/>
              <w:rPr>
                <w:sz w:val="20"/>
                <w:szCs w:val="20"/>
                <w:color w:val="auto"/>
              </w:rPr>
            </w:pPr>
            <w:r>
              <w:rPr>
                <w:rFonts w:ascii="Arial" w:cs="Arial" w:eastAsia="Arial" w:hAnsi="Arial"/>
                <w:sz w:val="15"/>
                <w:szCs w:val="15"/>
                <w:color w:val="auto"/>
              </w:rPr>
              <w:t>$</w:t>
            </w:r>
          </w:p>
        </w:tc>
        <w:tc>
          <w:tcPr>
            <w:tcW w:w="960" w:type="dxa"/>
            <w:vAlign w:val="bottom"/>
            <w:vMerge w:val="restart"/>
          </w:tcPr>
          <w:p>
            <w:pPr>
              <w:jc w:val="right"/>
              <w:ind w:right="123"/>
              <w:spacing w:after="0"/>
              <w:rPr>
                <w:sz w:val="20"/>
                <w:szCs w:val="20"/>
                <w:color w:val="auto"/>
              </w:rPr>
            </w:pPr>
            <w:r>
              <w:rPr>
                <w:rFonts w:ascii="Arial" w:cs="Arial" w:eastAsia="Arial" w:hAnsi="Arial"/>
                <w:sz w:val="15"/>
                <w:szCs w:val="15"/>
                <w:color w:val="auto"/>
              </w:rPr>
              <w:t>245,884</w:t>
            </w:r>
          </w:p>
        </w:tc>
        <w:tc>
          <w:tcPr>
            <w:tcW w:w="1420" w:type="dxa"/>
            <w:vAlign w:val="bottom"/>
            <w:vMerge w:val="restart"/>
          </w:tcPr>
          <w:p>
            <w:pPr>
              <w:jc w:val="right"/>
              <w:ind w:right="123"/>
              <w:spacing w:after="0"/>
              <w:rPr>
                <w:sz w:val="20"/>
                <w:szCs w:val="20"/>
                <w:color w:val="auto"/>
              </w:rPr>
            </w:pPr>
            <w:r>
              <w:rPr>
                <w:rFonts w:ascii="Arial" w:cs="Arial" w:eastAsia="Arial" w:hAnsi="Arial"/>
                <w:sz w:val="15"/>
                <w:szCs w:val="15"/>
                <w:color w:val="auto"/>
              </w:rPr>
              <w:t>—</w:t>
            </w:r>
          </w:p>
        </w:tc>
        <w:tc>
          <w:tcPr>
            <w:tcW w:w="320" w:type="dxa"/>
            <w:vAlign w:val="bottom"/>
          </w:tcPr>
          <w:p>
            <w:pPr>
              <w:spacing w:after="0"/>
              <w:rPr>
                <w:sz w:val="15"/>
                <w:szCs w:val="15"/>
                <w:color w:val="auto"/>
              </w:rPr>
            </w:pPr>
          </w:p>
        </w:tc>
        <w:tc>
          <w:tcPr>
            <w:tcW w:w="1160" w:type="dxa"/>
            <w:vAlign w:val="bottom"/>
            <w:vMerge w:val="restart"/>
          </w:tcPr>
          <w:p>
            <w:pPr>
              <w:jc w:val="right"/>
              <w:ind w:right="123"/>
              <w:spacing w:after="0"/>
              <w:rPr>
                <w:sz w:val="20"/>
                <w:szCs w:val="20"/>
                <w:color w:val="auto"/>
              </w:rPr>
            </w:pPr>
            <w:r>
              <w:rPr>
                <w:rFonts w:ascii="Arial" w:cs="Arial" w:eastAsia="Arial" w:hAnsi="Arial"/>
                <w:sz w:val="15"/>
                <w:szCs w:val="15"/>
                <w:color w:val="auto"/>
              </w:rPr>
              <w:t>316,582</w:t>
            </w:r>
          </w:p>
        </w:tc>
        <w:tc>
          <w:tcPr>
            <w:tcW w:w="0" w:type="dxa"/>
            <w:vAlign w:val="bottom"/>
          </w:tcPr>
          <w:p>
            <w:pPr>
              <w:spacing w:after="0"/>
              <w:rPr>
                <w:sz w:val="1"/>
                <w:szCs w:val="1"/>
                <w:color w:val="auto"/>
              </w:rPr>
            </w:pPr>
          </w:p>
        </w:tc>
      </w:tr>
      <w:tr>
        <w:trPr>
          <w:trHeight w:val="160"/>
        </w:trPr>
        <w:tc>
          <w:tcPr>
            <w:tcW w:w="2620" w:type="dxa"/>
            <w:vAlign w:val="bottom"/>
            <w:tcBorders>
              <w:bottom w:val="single" w:sz="8" w:color="00467D"/>
            </w:tcBorders>
          </w:tcPr>
          <w:p>
            <w:pPr>
              <w:spacing w:after="0"/>
              <w:rPr>
                <w:sz w:val="13"/>
                <w:szCs w:val="13"/>
                <w:color w:val="auto"/>
              </w:rPr>
            </w:pPr>
          </w:p>
        </w:tc>
        <w:tc>
          <w:tcPr>
            <w:tcW w:w="2020" w:type="dxa"/>
            <w:vAlign w:val="bottom"/>
            <w:tcBorders>
              <w:bottom w:val="single" w:sz="8" w:color="00467D"/>
            </w:tcBorders>
          </w:tcPr>
          <w:p>
            <w:pPr>
              <w:ind w:left="340"/>
              <w:spacing w:after="0"/>
              <w:rPr>
                <w:sz w:val="20"/>
                <w:szCs w:val="20"/>
                <w:color w:val="auto"/>
              </w:rPr>
            </w:pPr>
            <w:r>
              <w:rPr>
                <w:rFonts w:ascii="Arial" w:cs="Arial" w:eastAsia="Arial" w:hAnsi="Arial"/>
                <w:sz w:val="12"/>
                <w:szCs w:val="12"/>
                <w:color w:val="auto"/>
              </w:rPr>
              <w:t>(9)</w:t>
            </w:r>
          </w:p>
        </w:tc>
        <w:tc>
          <w:tcPr>
            <w:tcW w:w="360" w:type="dxa"/>
            <w:vAlign w:val="bottom"/>
            <w:tcBorders>
              <w:bottom w:val="single" w:sz="8" w:color="00467D"/>
            </w:tcBorders>
          </w:tcPr>
          <w:p>
            <w:pPr>
              <w:spacing w:after="0"/>
              <w:rPr>
                <w:sz w:val="13"/>
                <w:szCs w:val="13"/>
                <w:color w:val="auto"/>
              </w:rPr>
            </w:pPr>
          </w:p>
        </w:tc>
        <w:tc>
          <w:tcPr>
            <w:tcW w:w="1300" w:type="dxa"/>
            <w:vAlign w:val="bottom"/>
            <w:tcBorders>
              <w:bottom w:val="single" w:sz="8" w:color="00467D"/>
            </w:tcBorders>
            <w:vMerge w:val="continue"/>
          </w:tcPr>
          <w:p>
            <w:pPr>
              <w:spacing w:after="0"/>
              <w:rPr>
                <w:sz w:val="13"/>
                <w:szCs w:val="13"/>
                <w:color w:val="auto"/>
              </w:rPr>
            </w:pPr>
          </w:p>
        </w:tc>
        <w:tc>
          <w:tcPr>
            <w:tcW w:w="380" w:type="dxa"/>
            <w:vAlign w:val="bottom"/>
            <w:tcBorders>
              <w:bottom w:val="single" w:sz="8" w:color="00467D"/>
            </w:tcBorders>
            <w:vMerge w:val="continue"/>
          </w:tcPr>
          <w:p>
            <w:pPr>
              <w:spacing w:after="0"/>
              <w:rPr>
                <w:sz w:val="13"/>
                <w:szCs w:val="13"/>
                <w:color w:val="auto"/>
              </w:rPr>
            </w:pPr>
          </w:p>
        </w:tc>
        <w:tc>
          <w:tcPr>
            <w:tcW w:w="960" w:type="dxa"/>
            <w:vAlign w:val="bottom"/>
            <w:tcBorders>
              <w:bottom w:val="single" w:sz="8" w:color="00467D"/>
            </w:tcBorders>
            <w:vMerge w:val="continue"/>
          </w:tcPr>
          <w:p>
            <w:pPr>
              <w:spacing w:after="0"/>
              <w:rPr>
                <w:sz w:val="13"/>
                <w:szCs w:val="13"/>
                <w:color w:val="auto"/>
              </w:rPr>
            </w:pPr>
          </w:p>
        </w:tc>
        <w:tc>
          <w:tcPr>
            <w:tcW w:w="1420" w:type="dxa"/>
            <w:vAlign w:val="bottom"/>
            <w:tcBorders>
              <w:bottom w:val="single" w:sz="8" w:color="00467D"/>
            </w:tcBorders>
            <w:vMerge w:val="continue"/>
          </w:tcPr>
          <w:p>
            <w:pPr>
              <w:spacing w:after="0"/>
              <w:rPr>
                <w:sz w:val="13"/>
                <w:szCs w:val="13"/>
                <w:color w:val="auto"/>
              </w:rPr>
            </w:pPr>
          </w:p>
        </w:tc>
        <w:tc>
          <w:tcPr>
            <w:tcW w:w="320" w:type="dxa"/>
            <w:vAlign w:val="bottom"/>
            <w:tcBorders>
              <w:bottom w:val="single" w:sz="8" w:color="00467D"/>
            </w:tcBorders>
          </w:tcPr>
          <w:p>
            <w:pPr>
              <w:spacing w:after="0"/>
              <w:rPr>
                <w:sz w:val="13"/>
                <w:szCs w:val="13"/>
                <w:color w:val="auto"/>
              </w:rPr>
            </w:pPr>
          </w:p>
        </w:tc>
        <w:tc>
          <w:tcPr>
            <w:tcW w:w="1160" w:type="dxa"/>
            <w:vAlign w:val="bottom"/>
            <w:tcBorders>
              <w:bottom w:val="single" w:sz="8" w:color="00467D"/>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58"/>
        </w:trPr>
        <w:tc>
          <w:tcPr>
            <w:tcW w:w="2620" w:type="dxa"/>
            <w:vAlign w:val="bottom"/>
          </w:tcPr>
          <w:p>
            <w:pPr>
              <w:ind w:left="80"/>
              <w:spacing w:after="0"/>
              <w:rPr>
                <w:sz w:val="20"/>
                <w:szCs w:val="20"/>
                <w:color w:val="auto"/>
              </w:rPr>
            </w:pPr>
            <w:r>
              <w:rPr>
                <w:rFonts w:ascii="Arial" w:cs="Arial" w:eastAsia="Arial" w:hAnsi="Arial"/>
                <w:sz w:val="15"/>
                <w:szCs w:val="15"/>
                <w:color w:val="auto"/>
              </w:rPr>
              <w:t>Alexander Dimitrief</w:t>
            </w:r>
          </w:p>
        </w:tc>
        <w:tc>
          <w:tcPr>
            <w:tcW w:w="2020" w:type="dxa"/>
            <w:vAlign w:val="bottom"/>
            <w:tcBorders>
              <w:bottom w:val="single" w:sz="8" w:color="99B5CB"/>
            </w:tcBorders>
          </w:tcPr>
          <w:p>
            <w:pPr>
              <w:ind w:left="340"/>
              <w:spacing w:after="0" w:line="258" w:lineRule="exact"/>
              <w:rPr>
                <w:sz w:val="20"/>
                <w:szCs w:val="20"/>
                <w:color w:val="auto"/>
              </w:rPr>
            </w:pPr>
            <w:r>
              <w:rPr>
                <w:rFonts w:ascii="Arial" w:cs="Arial" w:eastAsia="Arial" w:hAnsi="Arial"/>
                <w:sz w:val="15"/>
                <w:szCs w:val="15"/>
                <w:color w:val="auto"/>
              </w:rPr>
              <w:t>Cash Severance</w:t>
            </w:r>
            <w:r>
              <w:rPr>
                <w:rFonts w:ascii="Arial" w:cs="Arial" w:eastAsia="Arial" w:hAnsi="Arial"/>
                <w:sz w:val="23"/>
                <w:szCs w:val="23"/>
                <w:color w:val="auto"/>
                <w:vertAlign w:val="superscript"/>
              </w:rPr>
              <w:t>(3)</w:t>
            </w:r>
          </w:p>
        </w:tc>
        <w:tc>
          <w:tcPr>
            <w:tcW w:w="360" w:type="dxa"/>
            <w:vAlign w:val="bottom"/>
            <w:tcBorders>
              <w:bottom w:val="single" w:sz="8" w:color="99B5CB"/>
            </w:tcBorders>
          </w:tcPr>
          <w:p>
            <w:pPr>
              <w:spacing w:after="0"/>
              <w:rPr>
                <w:sz w:val="22"/>
                <w:szCs w:val="22"/>
                <w:color w:val="auto"/>
              </w:rPr>
            </w:pPr>
          </w:p>
        </w:tc>
        <w:tc>
          <w:tcPr>
            <w:tcW w:w="1300" w:type="dxa"/>
            <w:vAlign w:val="bottom"/>
            <w:tcBorders>
              <w:bottom w:val="single" w:sz="8" w:color="99B5CB"/>
            </w:tcBorders>
          </w:tcPr>
          <w:p>
            <w:pPr>
              <w:jc w:val="right"/>
              <w:ind w:right="423"/>
              <w:spacing w:after="0"/>
              <w:rPr>
                <w:sz w:val="20"/>
                <w:szCs w:val="20"/>
                <w:color w:val="auto"/>
              </w:rPr>
            </w:pPr>
            <w:r>
              <w:rPr>
                <w:rFonts w:ascii="Arial" w:cs="Arial" w:eastAsia="Arial" w:hAnsi="Arial"/>
                <w:sz w:val="15"/>
                <w:szCs w:val="15"/>
                <w:color w:val="auto"/>
              </w:rPr>
              <w:t>—</w:t>
            </w:r>
          </w:p>
        </w:tc>
        <w:tc>
          <w:tcPr>
            <w:tcW w:w="380" w:type="dxa"/>
            <w:vAlign w:val="bottom"/>
            <w:tcBorders>
              <w:bottom w:val="single" w:sz="8" w:color="99B5CB"/>
            </w:tcBorders>
          </w:tcPr>
          <w:p>
            <w:pPr>
              <w:spacing w:after="0"/>
              <w:rPr>
                <w:sz w:val="22"/>
                <w:szCs w:val="22"/>
                <w:color w:val="auto"/>
              </w:rPr>
            </w:pPr>
          </w:p>
        </w:tc>
        <w:tc>
          <w:tcPr>
            <w:tcW w:w="960" w:type="dxa"/>
            <w:vAlign w:val="bottom"/>
            <w:tcBorders>
              <w:bottom w:val="single" w:sz="8" w:color="99B5CB"/>
            </w:tcBorders>
          </w:tcPr>
          <w:p>
            <w:pPr>
              <w:jc w:val="right"/>
              <w:ind w:right="423"/>
              <w:spacing w:after="0"/>
              <w:rPr>
                <w:sz w:val="20"/>
                <w:szCs w:val="20"/>
                <w:color w:val="auto"/>
              </w:rPr>
            </w:pPr>
            <w:r>
              <w:rPr>
                <w:rFonts w:ascii="Arial" w:cs="Arial" w:eastAsia="Arial" w:hAnsi="Arial"/>
                <w:sz w:val="15"/>
                <w:szCs w:val="15"/>
                <w:color w:val="auto"/>
              </w:rPr>
              <w:t>—</w:t>
            </w:r>
          </w:p>
        </w:tc>
        <w:tc>
          <w:tcPr>
            <w:tcW w:w="1420" w:type="dxa"/>
            <w:vAlign w:val="bottom"/>
            <w:tcBorders>
              <w:bottom w:val="single" w:sz="8" w:color="99B5CB"/>
            </w:tcBorders>
          </w:tcPr>
          <w:p>
            <w:pPr>
              <w:jc w:val="right"/>
              <w:ind w:right="123"/>
              <w:spacing w:after="0"/>
              <w:rPr>
                <w:sz w:val="20"/>
                <w:szCs w:val="20"/>
                <w:color w:val="auto"/>
              </w:rPr>
            </w:pPr>
            <w:r>
              <w:rPr>
                <w:rFonts w:ascii="Arial" w:cs="Arial" w:eastAsia="Arial" w:hAnsi="Arial"/>
                <w:sz w:val="15"/>
                <w:szCs w:val="15"/>
                <w:color w:val="auto"/>
              </w:rPr>
              <w:t>—</w:t>
            </w:r>
          </w:p>
        </w:tc>
        <w:tc>
          <w:tcPr>
            <w:tcW w:w="320" w:type="dxa"/>
            <w:vAlign w:val="bottom"/>
            <w:tcBorders>
              <w:bottom w:val="single" w:sz="8" w:color="99B5CB"/>
            </w:tcBorders>
          </w:tcPr>
          <w:p>
            <w:pPr>
              <w:spacing w:after="0"/>
              <w:rPr>
                <w:sz w:val="22"/>
                <w:szCs w:val="22"/>
                <w:color w:val="auto"/>
              </w:rPr>
            </w:pPr>
          </w:p>
        </w:tc>
        <w:tc>
          <w:tcPr>
            <w:tcW w:w="1160" w:type="dxa"/>
            <w:vAlign w:val="bottom"/>
            <w:tcBorders>
              <w:bottom w:val="single" w:sz="8" w:color="99B5CB"/>
            </w:tcBorders>
          </w:tcPr>
          <w:p>
            <w:pPr>
              <w:jc w:val="right"/>
              <w:ind w:right="123"/>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44"/>
        </w:trPr>
        <w:tc>
          <w:tcPr>
            <w:tcW w:w="2620" w:type="dxa"/>
            <w:vAlign w:val="bottom"/>
          </w:tcPr>
          <w:p>
            <w:pPr>
              <w:spacing w:after="0"/>
              <w:rPr>
                <w:sz w:val="21"/>
                <w:szCs w:val="21"/>
                <w:color w:val="auto"/>
              </w:rPr>
            </w:pPr>
          </w:p>
        </w:tc>
        <w:tc>
          <w:tcPr>
            <w:tcW w:w="2020" w:type="dxa"/>
            <w:vAlign w:val="bottom"/>
            <w:tcBorders>
              <w:bottom w:val="single" w:sz="8" w:color="99B5CB"/>
            </w:tcBorders>
          </w:tcPr>
          <w:p>
            <w:pPr>
              <w:ind w:left="340"/>
              <w:spacing w:after="0"/>
              <w:rPr>
                <w:sz w:val="20"/>
                <w:szCs w:val="20"/>
                <w:color w:val="auto"/>
              </w:rPr>
            </w:pPr>
            <w:r>
              <w:rPr>
                <w:rFonts w:ascii="Arial" w:cs="Arial" w:eastAsia="Arial" w:hAnsi="Arial"/>
                <w:sz w:val="15"/>
                <w:szCs w:val="15"/>
                <w:color w:val="auto"/>
              </w:rPr>
              <w:t>COBRA continuation</w:t>
            </w:r>
          </w:p>
        </w:tc>
        <w:tc>
          <w:tcPr>
            <w:tcW w:w="360" w:type="dxa"/>
            <w:vAlign w:val="bottom"/>
            <w:tcBorders>
              <w:bottom w:val="single" w:sz="8" w:color="99B5CB"/>
            </w:tcBorders>
          </w:tcPr>
          <w:p>
            <w:pPr>
              <w:spacing w:after="0"/>
              <w:rPr>
                <w:sz w:val="21"/>
                <w:szCs w:val="21"/>
                <w:color w:val="auto"/>
              </w:rPr>
            </w:pPr>
          </w:p>
        </w:tc>
        <w:tc>
          <w:tcPr>
            <w:tcW w:w="1300" w:type="dxa"/>
            <w:vAlign w:val="bottom"/>
            <w:tcBorders>
              <w:bottom w:val="single" w:sz="8" w:color="99B5CB"/>
            </w:tcBorders>
          </w:tcPr>
          <w:p>
            <w:pPr>
              <w:jc w:val="right"/>
              <w:ind w:right="423"/>
              <w:spacing w:after="0"/>
              <w:rPr>
                <w:sz w:val="20"/>
                <w:szCs w:val="20"/>
                <w:color w:val="auto"/>
              </w:rPr>
            </w:pPr>
            <w:r>
              <w:rPr>
                <w:rFonts w:ascii="Arial" w:cs="Arial" w:eastAsia="Arial" w:hAnsi="Arial"/>
                <w:sz w:val="15"/>
                <w:szCs w:val="15"/>
                <w:color w:val="auto"/>
              </w:rPr>
              <w:t>—</w:t>
            </w:r>
          </w:p>
        </w:tc>
        <w:tc>
          <w:tcPr>
            <w:tcW w:w="380" w:type="dxa"/>
            <w:vAlign w:val="bottom"/>
            <w:tcBorders>
              <w:bottom w:val="single" w:sz="8" w:color="99B5CB"/>
            </w:tcBorders>
          </w:tcPr>
          <w:p>
            <w:pPr>
              <w:spacing w:after="0"/>
              <w:rPr>
                <w:sz w:val="21"/>
                <w:szCs w:val="21"/>
                <w:color w:val="auto"/>
              </w:rPr>
            </w:pPr>
          </w:p>
        </w:tc>
        <w:tc>
          <w:tcPr>
            <w:tcW w:w="960" w:type="dxa"/>
            <w:vAlign w:val="bottom"/>
            <w:tcBorders>
              <w:bottom w:val="single" w:sz="8" w:color="99B5CB"/>
            </w:tcBorders>
          </w:tcPr>
          <w:p>
            <w:pPr>
              <w:jc w:val="right"/>
              <w:ind w:right="423"/>
              <w:spacing w:after="0"/>
              <w:rPr>
                <w:sz w:val="20"/>
                <w:szCs w:val="20"/>
                <w:color w:val="auto"/>
              </w:rPr>
            </w:pPr>
            <w:r>
              <w:rPr>
                <w:rFonts w:ascii="Arial" w:cs="Arial" w:eastAsia="Arial" w:hAnsi="Arial"/>
                <w:sz w:val="15"/>
                <w:szCs w:val="15"/>
                <w:color w:val="auto"/>
              </w:rPr>
              <w:t>—</w:t>
            </w:r>
          </w:p>
        </w:tc>
        <w:tc>
          <w:tcPr>
            <w:tcW w:w="1420" w:type="dxa"/>
            <w:vAlign w:val="bottom"/>
            <w:tcBorders>
              <w:bottom w:val="single" w:sz="8" w:color="99B5CB"/>
            </w:tcBorders>
          </w:tcPr>
          <w:p>
            <w:pPr>
              <w:jc w:val="right"/>
              <w:ind w:right="123"/>
              <w:spacing w:after="0"/>
              <w:rPr>
                <w:sz w:val="20"/>
                <w:szCs w:val="20"/>
                <w:color w:val="auto"/>
              </w:rPr>
            </w:pPr>
            <w:r>
              <w:rPr>
                <w:rFonts w:ascii="Arial" w:cs="Arial" w:eastAsia="Arial" w:hAnsi="Arial"/>
                <w:sz w:val="15"/>
                <w:szCs w:val="15"/>
                <w:color w:val="auto"/>
              </w:rPr>
              <w:t>—</w:t>
            </w:r>
          </w:p>
        </w:tc>
        <w:tc>
          <w:tcPr>
            <w:tcW w:w="320" w:type="dxa"/>
            <w:vAlign w:val="bottom"/>
            <w:tcBorders>
              <w:bottom w:val="single" w:sz="8" w:color="99B5CB"/>
            </w:tcBorders>
          </w:tcPr>
          <w:p>
            <w:pPr>
              <w:spacing w:after="0"/>
              <w:rPr>
                <w:sz w:val="21"/>
                <w:szCs w:val="21"/>
                <w:color w:val="auto"/>
              </w:rPr>
            </w:pPr>
          </w:p>
        </w:tc>
        <w:tc>
          <w:tcPr>
            <w:tcW w:w="1160" w:type="dxa"/>
            <w:vAlign w:val="bottom"/>
            <w:tcBorders>
              <w:bottom w:val="single" w:sz="8" w:color="99B5CB"/>
            </w:tcBorders>
          </w:tcPr>
          <w:p>
            <w:pPr>
              <w:jc w:val="right"/>
              <w:ind w:right="123"/>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20"/>
        </w:trPr>
        <w:tc>
          <w:tcPr>
            <w:tcW w:w="2620" w:type="dxa"/>
            <w:vAlign w:val="bottom"/>
          </w:tcPr>
          <w:p>
            <w:pPr>
              <w:spacing w:after="0"/>
              <w:rPr>
                <w:sz w:val="19"/>
                <w:szCs w:val="19"/>
                <w:color w:val="auto"/>
              </w:rPr>
            </w:pPr>
          </w:p>
        </w:tc>
        <w:tc>
          <w:tcPr>
            <w:tcW w:w="2020" w:type="dxa"/>
            <w:vAlign w:val="bottom"/>
          </w:tcPr>
          <w:p>
            <w:pPr>
              <w:ind w:left="340"/>
              <w:spacing w:after="0"/>
              <w:rPr>
                <w:sz w:val="20"/>
                <w:szCs w:val="20"/>
                <w:color w:val="auto"/>
              </w:rPr>
            </w:pPr>
            <w:r>
              <w:rPr>
                <w:rFonts w:ascii="Arial" w:cs="Arial" w:eastAsia="Arial" w:hAnsi="Arial"/>
                <w:sz w:val="15"/>
                <w:szCs w:val="15"/>
                <w:color w:val="auto"/>
              </w:rPr>
              <w:t>Value of accelerated</w:t>
            </w:r>
          </w:p>
        </w:tc>
        <w:tc>
          <w:tcPr>
            <w:tcW w:w="3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620" w:type="dxa"/>
            <w:vAlign w:val="bottom"/>
            <w:tcBorders>
              <w:bottom w:val="single" w:sz="8" w:color="00467D"/>
            </w:tcBorders>
          </w:tcPr>
          <w:p>
            <w:pPr>
              <w:spacing w:after="0"/>
              <w:rPr>
                <w:sz w:val="19"/>
                <w:szCs w:val="19"/>
                <w:color w:val="auto"/>
              </w:rPr>
            </w:pPr>
          </w:p>
        </w:tc>
        <w:tc>
          <w:tcPr>
            <w:tcW w:w="2020" w:type="dxa"/>
            <w:vAlign w:val="bottom"/>
            <w:tcBorders>
              <w:bottom w:val="single" w:sz="8" w:color="00467D"/>
            </w:tcBorders>
          </w:tcPr>
          <w:p>
            <w:pPr>
              <w:ind w:left="340"/>
              <w:spacing w:after="0" w:line="219" w:lineRule="exact"/>
              <w:rPr>
                <w:sz w:val="20"/>
                <w:szCs w:val="20"/>
                <w:color w:val="auto"/>
              </w:rPr>
            </w:pPr>
            <w:r>
              <w:rPr>
                <w:rFonts w:ascii="Arial" w:cs="Arial" w:eastAsia="Arial" w:hAnsi="Arial"/>
                <w:sz w:val="15"/>
                <w:szCs w:val="15"/>
                <w:color w:val="auto"/>
              </w:rPr>
              <w:t>Options and RSUs</w:t>
            </w:r>
            <w:r>
              <w:rPr>
                <w:rFonts w:ascii="Arial" w:cs="Arial" w:eastAsia="Arial" w:hAnsi="Arial"/>
                <w:sz w:val="23"/>
                <w:szCs w:val="23"/>
                <w:color w:val="auto"/>
                <w:vertAlign w:val="superscript"/>
              </w:rPr>
              <w:t>(8)</w:t>
            </w:r>
          </w:p>
        </w:tc>
        <w:tc>
          <w:tcPr>
            <w:tcW w:w="360" w:type="dxa"/>
            <w:vAlign w:val="bottom"/>
            <w:tcBorders>
              <w:bottom w:val="single" w:sz="8" w:color="00467D"/>
            </w:tcBorders>
          </w:tcPr>
          <w:p>
            <w:pPr>
              <w:ind w:left="240"/>
              <w:spacing w:after="0"/>
              <w:rPr>
                <w:sz w:val="20"/>
                <w:szCs w:val="20"/>
                <w:color w:val="auto"/>
              </w:rPr>
            </w:pPr>
            <w:r>
              <w:rPr>
                <w:rFonts w:ascii="Arial" w:cs="Arial" w:eastAsia="Arial" w:hAnsi="Arial"/>
                <w:sz w:val="15"/>
                <w:szCs w:val="15"/>
                <w:color w:val="auto"/>
              </w:rPr>
              <w:t>$</w:t>
            </w:r>
          </w:p>
        </w:tc>
        <w:tc>
          <w:tcPr>
            <w:tcW w:w="1300" w:type="dxa"/>
            <w:vAlign w:val="bottom"/>
            <w:tcBorders>
              <w:bottom w:val="single" w:sz="8" w:color="00467D"/>
            </w:tcBorders>
          </w:tcPr>
          <w:p>
            <w:pPr>
              <w:jc w:val="right"/>
              <w:ind w:right="123"/>
              <w:spacing w:after="0"/>
              <w:rPr>
                <w:sz w:val="20"/>
                <w:szCs w:val="20"/>
                <w:color w:val="auto"/>
              </w:rPr>
            </w:pPr>
            <w:r>
              <w:rPr>
                <w:rFonts w:ascii="Arial" w:cs="Arial" w:eastAsia="Arial" w:hAnsi="Arial"/>
                <w:sz w:val="15"/>
                <w:szCs w:val="15"/>
                <w:color w:val="auto"/>
              </w:rPr>
              <w:t>3,491,346</w:t>
            </w:r>
          </w:p>
        </w:tc>
        <w:tc>
          <w:tcPr>
            <w:tcW w:w="380" w:type="dxa"/>
            <w:vAlign w:val="bottom"/>
            <w:tcBorders>
              <w:bottom w:val="single" w:sz="8" w:color="00467D"/>
            </w:tcBorders>
          </w:tcPr>
          <w:p>
            <w:pPr>
              <w:ind w:left="200"/>
              <w:spacing w:after="0"/>
              <w:rPr>
                <w:sz w:val="20"/>
                <w:szCs w:val="20"/>
                <w:color w:val="auto"/>
              </w:rPr>
            </w:pPr>
            <w:r>
              <w:rPr>
                <w:rFonts w:ascii="Arial" w:cs="Arial" w:eastAsia="Arial" w:hAnsi="Arial"/>
                <w:sz w:val="15"/>
                <w:szCs w:val="15"/>
                <w:color w:val="auto"/>
              </w:rPr>
              <w:t>$</w:t>
            </w:r>
          </w:p>
        </w:tc>
        <w:tc>
          <w:tcPr>
            <w:tcW w:w="960" w:type="dxa"/>
            <w:vAlign w:val="bottom"/>
            <w:tcBorders>
              <w:bottom w:val="single" w:sz="8" w:color="00467D"/>
            </w:tcBorders>
          </w:tcPr>
          <w:p>
            <w:pPr>
              <w:jc w:val="right"/>
              <w:ind w:right="123"/>
              <w:spacing w:after="0"/>
              <w:rPr>
                <w:sz w:val="20"/>
                <w:szCs w:val="20"/>
                <w:color w:val="auto"/>
              </w:rPr>
            </w:pPr>
            <w:r>
              <w:rPr>
                <w:rFonts w:ascii="Arial" w:cs="Arial" w:eastAsia="Arial" w:hAnsi="Arial"/>
                <w:sz w:val="15"/>
                <w:szCs w:val="15"/>
                <w:color w:val="auto"/>
              </w:rPr>
              <w:t>3,491,346</w:t>
            </w:r>
          </w:p>
        </w:tc>
        <w:tc>
          <w:tcPr>
            <w:tcW w:w="1420" w:type="dxa"/>
            <w:vAlign w:val="bottom"/>
            <w:tcBorders>
              <w:bottom w:val="single" w:sz="8" w:color="00467D"/>
            </w:tcBorders>
          </w:tcPr>
          <w:p>
            <w:pPr>
              <w:jc w:val="right"/>
              <w:ind w:right="123"/>
              <w:spacing w:after="0"/>
              <w:rPr>
                <w:sz w:val="20"/>
                <w:szCs w:val="20"/>
                <w:color w:val="auto"/>
              </w:rPr>
            </w:pPr>
            <w:r>
              <w:rPr>
                <w:rFonts w:ascii="Arial" w:cs="Arial" w:eastAsia="Arial" w:hAnsi="Arial"/>
                <w:sz w:val="15"/>
                <w:szCs w:val="15"/>
                <w:color w:val="auto"/>
              </w:rPr>
              <w:t>—</w:t>
            </w:r>
          </w:p>
        </w:tc>
        <w:tc>
          <w:tcPr>
            <w:tcW w:w="320" w:type="dxa"/>
            <w:vAlign w:val="bottom"/>
            <w:tcBorders>
              <w:bottom w:val="single" w:sz="8" w:color="00467D"/>
            </w:tcBorders>
          </w:tcPr>
          <w:p>
            <w:pPr>
              <w:ind w:left="220"/>
              <w:spacing w:after="0"/>
              <w:rPr>
                <w:sz w:val="20"/>
                <w:szCs w:val="20"/>
                <w:color w:val="auto"/>
              </w:rPr>
            </w:pPr>
            <w:r>
              <w:rPr>
                <w:rFonts w:ascii="Arial" w:cs="Arial" w:eastAsia="Arial" w:hAnsi="Arial"/>
                <w:sz w:val="15"/>
                <w:szCs w:val="15"/>
                <w:color w:val="auto"/>
                <w:w w:val="95"/>
              </w:rPr>
              <w:t>$</w:t>
            </w:r>
          </w:p>
        </w:tc>
        <w:tc>
          <w:tcPr>
            <w:tcW w:w="1160" w:type="dxa"/>
            <w:vAlign w:val="bottom"/>
            <w:tcBorders>
              <w:bottom w:val="single" w:sz="8" w:color="00467D"/>
            </w:tcBorders>
          </w:tcPr>
          <w:p>
            <w:pPr>
              <w:jc w:val="right"/>
              <w:ind w:right="123"/>
              <w:spacing w:after="0"/>
              <w:rPr>
                <w:sz w:val="20"/>
                <w:szCs w:val="20"/>
                <w:color w:val="auto"/>
              </w:rPr>
            </w:pPr>
            <w:r>
              <w:rPr>
                <w:rFonts w:ascii="Arial" w:cs="Arial" w:eastAsia="Arial" w:hAnsi="Arial"/>
                <w:sz w:val="15"/>
                <w:szCs w:val="15"/>
                <w:color w:val="auto"/>
              </w:rPr>
              <w:t>3,491,346</w:t>
            </w:r>
          </w:p>
        </w:tc>
        <w:tc>
          <w:tcPr>
            <w:tcW w:w="0" w:type="dxa"/>
            <w:vAlign w:val="bottom"/>
          </w:tcPr>
          <w:p>
            <w:pPr>
              <w:spacing w:after="0"/>
              <w:rPr>
                <w:sz w:val="1"/>
                <w:szCs w:val="1"/>
                <w:color w:val="auto"/>
              </w:rPr>
            </w:pPr>
          </w:p>
        </w:tc>
      </w:tr>
      <w:tr>
        <w:trPr>
          <w:trHeight w:val="251"/>
        </w:trPr>
        <w:tc>
          <w:tcPr>
            <w:tcW w:w="2620" w:type="dxa"/>
            <w:vAlign w:val="bottom"/>
          </w:tcPr>
          <w:p>
            <w:pPr>
              <w:ind w:left="80"/>
              <w:spacing w:after="0"/>
              <w:rPr>
                <w:sz w:val="20"/>
                <w:szCs w:val="20"/>
                <w:color w:val="auto"/>
              </w:rPr>
            </w:pPr>
            <w:r>
              <w:rPr>
                <w:rFonts w:ascii="Arial" w:cs="Arial" w:eastAsia="Arial" w:hAnsi="Arial"/>
                <w:sz w:val="15"/>
                <w:szCs w:val="15"/>
                <w:color w:val="auto"/>
              </w:rPr>
              <w:t>Matthew J. Klaben</w:t>
            </w:r>
          </w:p>
        </w:tc>
        <w:tc>
          <w:tcPr>
            <w:tcW w:w="2020" w:type="dxa"/>
            <w:vAlign w:val="bottom"/>
            <w:tcBorders>
              <w:bottom w:val="single" w:sz="8" w:color="99B5CB"/>
            </w:tcBorders>
          </w:tcPr>
          <w:p>
            <w:pPr>
              <w:ind w:left="340"/>
              <w:spacing w:after="0" w:line="251" w:lineRule="exact"/>
              <w:rPr>
                <w:sz w:val="20"/>
                <w:szCs w:val="20"/>
                <w:color w:val="auto"/>
              </w:rPr>
            </w:pPr>
            <w:r>
              <w:rPr>
                <w:rFonts w:ascii="Arial" w:cs="Arial" w:eastAsia="Arial" w:hAnsi="Arial"/>
                <w:sz w:val="15"/>
                <w:szCs w:val="15"/>
                <w:color w:val="auto"/>
              </w:rPr>
              <w:t>Cash Severance</w:t>
            </w:r>
            <w:r>
              <w:rPr>
                <w:rFonts w:ascii="Arial" w:cs="Arial" w:eastAsia="Arial" w:hAnsi="Arial"/>
                <w:sz w:val="23"/>
                <w:szCs w:val="23"/>
                <w:color w:val="auto"/>
                <w:vertAlign w:val="superscript"/>
              </w:rPr>
              <w:t>(3)</w:t>
            </w:r>
          </w:p>
        </w:tc>
        <w:tc>
          <w:tcPr>
            <w:tcW w:w="360" w:type="dxa"/>
            <w:vAlign w:val="bottom"/>
            <w:tcBorders>
              <w:bottom w:val="single" w:sz="8" w:color="99B5CB"/>
            </w:tcBorders>
          </w:tcPr>
          <w:p>
            <w:pPr>
              <w:ind w:left="240"/>
              <w:spacing w:after="0"/>
              <w:rPr>
                <w:sz w:val="20"/>
                <w:szCs w:val="20"/>
                <w:color w:val="auto"/>
              </w:rPr>
            </w:pPr>
            <w:r>
              <w:rPr>
                <w:rFonts w:ascii="Arial" w:cs="Arial" w:eastAsia="Arial" w:hAnsi="Arial"/>
                <w:sz w:val="15"/>
                <w:szCs w:val="15"/>
                <w:color w:val="auto"/>
              </w:rPr>
              <w:t>$</w:t>
            </w:r>
          </w:p>
        </w:tc>
        <w:tc>
          <w:tcPr>
            <w:tcW w:w="1300" w:type="dxa"/>
            <w:vAlign w:val="bottom"/>
            <w:tcBorders>
              <w:bottom w:val="single" w:sz="8" w:color="99B5CB"/>
            </w:tcBorders>
          </w:tcPr>
          <w:p>
            <w:pPr>
              <w:jc w:val="right"/>
              <w:ind w:right="123"/>
              <w:spacing w:after="0"/>
              <w:rPr>
                <w:sz w:val="20"/>
                <w:szCs w:val="20"/>
                <w:color w:val="auto"/>
              </w:rPr>
            </w:pPr>
            <w:r>
              <w:rPr>
                <w:rFonts w:ascii="Arial" w:cs="Arial" w:eastAsia="Arial" w:hAnsi="Arial"/>
                <w:sz w:val="15"/>
                <w:szCs w:val="15"/>
                <w:color w:val="auto"/>
              </w:rPr>
              <w:t>303,000</w:t>
            </w:r>
          </w:p>
        </w:tc>
        <w:tc>
          <w:tcPr>
            <w:tcW w:w="380" w:type="dxa"/>
            <w:vAlign w:val="bottom"/>
            <w:tcBorders>
              <w:bottom w:val="single" w:sz="8" w:color="99B5CB"/>
            </w:tcBorders>
          </w:tcPr>
          <w:p>
            <w:pPr>
              <w:spacing w:after="0"/>
              <w:rPr>
                <w:sz w:val="21"/>
                <w:szCs w:val="21"/>
                <w:color w:val="auto"/>
              </w:rPr>
            </w:pPr>
          </w:p>
        </w:tc>
        <w:tc>
          <w:tcPr>
            <w:tcW w:w="960" w:type="dxa"/>
            <w:vAlign w:val="bottom"/>
            <w:tcBorders>
              <w:bottom w:val="single" w:sz="8" w:color="99B5CB"/>
            </w:tcBorders>
          </w:tcPr>
          <w:p>
            <w:pPr>
              <w:jc w:val="right"/>
              <w:ind w:right="423"/>
              <w:spacing w:after="0"/>
              <w:rPr>
                <w:sz w:val="20"/>
                <w:szCs w:val="20"/>
                <w:color w:val="auto"/>
              </w:rPr>
            </w:pPr>
            <w:r>
              <w:rPr>
                <w:rFonts w:ascii="Arial" w:cs="Arial" w:eastAsia="Arial" w:hAnsi="Arial"/>
                <w:sz w:val="15"/>
                <w:szCs w:val="15"/>
                <w:color w:val="auto"/>
              </w:rPr>
              <w:t>—</w:t>
            </w:r>
          </w:p>
        </w:tc>
        <w:tc>
          <w:tcPr>
            <w:tcW w:w="1420" w:type="dxa"/>
            <w:vAlign w:val="bottom"/>
            <w:tcBorders>
              <w:bottom w:val="single" w:sz="8" w:color="99B5CB"/>
            </w:tcBorders>
          </w:tcPr>
          <w:p>
            <w:pPr>
              <w:jc w:val="right"/>
              <w:ind w:right="123"/>
              <w:spacing w:after="0"/>
              <w:rPr>
                <w:sz w:val="20"/>
                <w:szCs w:val="20"/>
                <w:color w:val="auto"/>
              </w:rPr>
            </w:pPr>
            <w:r>
              <w:rPr>
                <w:rFonts w:ascii="Arial" w:cs="Arial" w:eastAsia="Arial" w:hAnsi="Arial"/>
                <w:sz w:val="15"/>
                <w:szCs w:val="15"/>
                <w:color w:val="auto"/>
              </w:rPr>
              <w:t>—</w:t>
            </w:r>
          </w:p>
        </w:tc>
        <w:tc>
          <w:tcPr>
            <w:tcW w:w="320" w:type="dxa"/>
            <w:vAlign w:val="bottom"/>
            <w:tcBorders>
              <w:bottom w:val="single" w:sz="8" w:color="99B5CB"/>
            </w:tcBorders>
          </w:tcPr>
          <w:p>
            <w:pPr>
              <w:ind w:left="220"/>
              <w:spacing w:after="0"/>
              <w:rPr>
                <w:sz w:val="20"/>
                <w:szCs w:val="20"/>
                <w:color w:val="auto"/>
              </w:rPr>
            </w:pPr>
            <w:r>
              <w:rPr>
                <w:rFonts w:ascii="Arial" w:cs="Arial" w:eastAsia="Arial" w:hAnsi="Arial"/>
                <w:sz w:val="15"/>
                <w:szCs w:val="15"/>
                <w:color w:val="auto"/>
                <w:w w:val="95"/>
              </w:rPr>
              <w:t>$</w:t>
            </w:r>
          </w:p>
        </w:tc>
        <w:tc>
          <w:tcPr>
            <w:tcW w:w="1160" w:type="dxa"/>
            <w:vAlign w:val="bottom"/>
            <w:tcBorders>
              <w:bottom w:val="single" w:sz="8" w:color="99B5CB"/>
            </w:tcBorders>
          </w:tcPr>
          <w:p>
            <w:pPr>
              <w:jc w:val="right"/>
              <w:ind w:right="123"/>
              <w:spacing w:after="0"/>
              <w:rPr>
                <w:sz w:val="20"/>
                <w:szCs w:val="20"/>
                <w:color w:val="auto"/>
              </w:rPr>
            </w:pPr>
            <w:r>
              <w:rPr>
                <w:rFonts w:ascii="Arial" w:cs="Arial" w:eastAsia="Arial" w:hAnsi="Arial"/>
                <w:sz w:val="15"/>
                <w:szCs w:val="15"/>
                <w:color w:val="auto"/>
              </w:rPr>
              <w:t>303,000</w:t>
            </w:r>
          </w:p>
        </w:tc>
        <w:tc>
          <w:tcPr>
            <w:tcW w:w="0" w:type="dxa"/>
            <w:vAlign w:val="bottom"/>
          </w:tcPr>
          <w:p>
            <w:pPr>
              <w:spacing w:after="0"/>
              <w:rPr>
                <w:sz w:val="1"/>
                <w:szCs w:val="1"/>
                <w:color w:val="auto"/>
              </w:rPr>
            </w:pPr>
          </w:p>
        </w:tc>
      </w:tr>
      <w:tr>
        <w:trPr>
          <w:trHeight w:val="244"/>
        </w:trPr>
        <w:tc>
          <w:tcPr>
            <w:tcW w:w="2620" w:type="dxa"/>
            <w:vAlign w:val="bottom"/>
          </w:tcPr>
          <w:p>
            <w:pPr>
              <w:spacing w:after="0"/>
              <w:rPr>
                <w:sz w:val="21"/>
                <w:szCs w:val="21"/>
                <w:color w:val="auto"/>
              </w:rPr>
            </w:pPr>
          </w:p>
        </w:tc>
        <w:tc>
          <w:tcPr>
            <w:tcW w:w="2020" w:type="dxa"/>
            <w:vAlign w:val="bottom"/>
            <w:tcBorders>
              <w:bottom w:val="single" w:sz="8" w:color="99B5CB"/>
            </w:tcBorders>
          </w:tcPr>
          <w:p>
            <w:pPr>
              <w:ind w:left="340"/>
              <w:spacing w:after="0"/>
              <w:rPr>
                <w:sz w:val="20"/>
                <w:szCs w:val="20"/>
                <w:color w:val="auto"/>
              </w:rPr>
            </w:pPr>
            <w:r>
              <w:rPr>
                <w:rFonts w:ascii="Arial" w:cs="Arial" w:eastAsia="Arial" w:hAnsi="Arial"/>
                <w:sz w:val="15"/>
                <w:szCs w:val="15"/>
                <w:color w:val="auto"/>
              </w:rPr>
              <w:t>COBRA continuation</w:t>
            </w:r>
          </w:p>
        </w:tc>
        <w:tc>
          <w:tcPr>
            <w:tcW w:w="360" w:type="dxa"/>
            <w:vAlign w:val="bottom"/>
            <w:tcBorders>
              <w:bottom w:val="single" w:sz="8" w:color="99B5CB"/>
            </w:tcBorders>
          </w:tcPr>
          <w:p>
            <w:pPr>
              <w:spacing w:after="0"/>
              <w:rPr>
                <w:sz w:val="21"/>
                <w:szCs w:val="21"/>
                <w:color w:val="auto"/>
              </w:rPr>
            </w:pPr>
          </w:p>
        </w:tc>
        <w:tc>
          <w:tcPr>
            <w:tcW w:w="1300" w:type="dxa"/>
            <w:vAlign w:val="bottom"/>
            <w:tcBorders>
              <w:bottom w:val="single" w:sz="8" w:color="99B5CB"/>
            </w:tcBorders>
          </w:tcPr>
          <w:p>
            <w:pPr>
              <w:jc w:val="right"/>
              <w:ind w:right="423"/>
              <w:spacing w:after="0"/>
              <w:rPr>
                <w:sz w:val="20"/>
                <w:szCs w:val="20"/>
                <w:color w:val="auto"/>
              </w:rPr>
            </w:pPr>
            <w:r>
              <w:rPr>
                <w:rFonts w:ascii="Arial" w:cs="Arial" w:eastAsia="Arial" w:hAnsi="Arial"/>
                <w:sz w:val="15"/>
                <w:szCs w:val="15"/>
                <w:color w:val="auto"/>
              </w:rPr>
              <w:t>—</w:t>
            </w:r>
          </w:p>
        </w:tc>
        <w:tc>
          <w:tcPr>
            <w:tcW w:w="380" w:type="dxa"/>
            <w:vAlign w:val="bottom"/>
            <w:tcBorders>
              <w:bottom w:val="single" w:sz="8" w:color="99B5CB"/>
            </w:tcBorders>
          </w:tcPr>
          <w:p>
            <w:pPr>
              <w:spacing w:after="0"/>
              <w:rPr>
                <w:sz w:val="21"/>
                <w:szCs w:val="21"/>
                <w:color w:val="auto"/>
              </w:rPr>
            </w:pPr>
          </w:p>
        </w:tc>
        <w:tc>
          <w:tcPr>
            <w:tcW w:w="960" w:type="dxa"/>
            <w:vAlign w:val="bottom"/>
            <w:tcBorders>
              <w:bottom w:val="single" w:sz="8" w:color="99B5CB"/>
            </w:tcBorders>
          </w:tcPr>
          <w:p>
            <w:pPr>
              <w:jc w:val="right"/>
              <w:ind w:right="423"/>
              <w:spacing w:after="0"/>
              <w:rPr>
                <w:sz w:val="20"/>
                <w:szCs w:val="20"/>
                <w:color w:val="auto"/>
              </w:rPr>
            </w:pPr>
            <w:r>
              <w:rPr>
                <w:rFonts w:ascii="Arial" w:cs="Arial" w:eastAsia="Arial" w:hAnsi="Arial"/>
                <w:sz w:val="15"/>
                <w:szCs w:val="15"/>
                <w:color w:val="auto"/>
              </w:rPr>
              <w:t>—</w:t>
            </w:r>
          </w:p>
        </w:tc>
        <w:tc>
          <w:tcPr>
            <w:tcW w:w="1420" w:type="dxa"/>
            <w:vAlign w:val="bottom"/>
            <w:tcBorders>
              <w:bottom w:val="single" w:sz="8" w:color="99B5CB"/>
            </w:tcBorders>
          </w:tcPr>
          <w:p>
            <w:pPr>
              <w:jc w:val="right"/>
              <w:ind w:right="123"/>
              <w:spacing w:after="0"/>
              <w:rPr>
                <w:sz w:val="20"/>
                <w:szCs w:val="20"/>
                <w:color w:val="auto"/>
              </w:rPr>
            </w:pPr>
            <w:r>
              <w:rPr>
                <w:rFonts w:ascii="Arial" w:cs="Arial" w:eastAsia="Arial" w:hAnsi="Arial"/>
                <w:sz w:val="15"/>
                <w:szCs w:val="15"/>
                <w:color w:val="auto"/>
              </w:rPr>
              <w:t>—</w:t>
            </w:r>
          </w:p>
        </w:tc>
        <w:tc>
          <w:tcPr>
            <w:tcW w:w="320" w:type="dxa"/>
            <w:vAlign w:val="bottom"/>
            <w:tcBorders>
              <w:bottom w:val="single" w:sz="8" w:color="99B5CB"/>
            </w:tcBorders>
          </w:tcPr>
          <w:p>
            <w:pPr>
              <w:spacing w:after="0"/>
              <w:rPr>
                <w:sz w:val="21"/>
                <w:szCs w:val="21"/>
                <w:color w:val="auto"/>
              </w:rPr>
            </w:pPr>
          </w:p>
        </w:tc>
        <w:tc>
          <w:tcPr>
            <w:tcW w:w="1160" w:type="dxa"/>
            <w:vAlign w:val="bottom"/>
            <w:tcBorders>
              <w:bottom w:val="single" w:sz="8" w:color="99B5CB"/>
            </w:tcBorders>
          </w:tcPr>
          <w:p>
            <w:pPr>
              <w:jc w:val="right"/>
              <w:ind w:right="123"/>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20"/>
        </w:trPr>
        <w:tc>
          <w:tcPr>
            <w:tcW w:w="2620" w:type="dxa"/>
            <w:vAlign w:val="bottom"/>
          </w:tcPr>
          <w:p>
            <w:pPr>
              <w:spacing w:after="0"/>
              <w:rPr>
                <w:sz w:val="19"/>
                <w:szCs w:val="19"/>
                <w:color w:val="auto"/>
              </w:rPr>
            </w:pPr>
          </w:p>
        </w:tc>
        <w:tc>
          <w:tcPr>
            <w:tcW w:w="2020" w:type="dxa"/>
            <w:vAlign w:val="bottom"/>
          </w:tcPr>
          <w:p>
            <w:pPr>
              <w:ind w:left="340"/>
              <w:spacing w:after="0"/>
              <w:rPr>
                <w:sz w:val="20"/>
                <w:szCs w:val="20"/>
                <w:color w:val="auto"/>
              </w:rPr>
            </w:pPr>
            <w:r>
              <w:rPr>
                <w:rFonts w:ascii="Arial" w:cs="Arial" w:eastAsia="Arial" w:hAnsi="Arial"/>
                <w:sz w:val="15"/>
                <w:szCs w:val="15"/>
                <w:color w:val="auto"/>
              </w:rPr>
              <w:t>Value of accelerated</w:t>
            </w:r>
          </w:p>
        </w:tc>
        <w:tc>
          <w:tcPr>
            <w:tcW w:w="3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1"/>
        </w:trPr>
        <w:tc>
          <w:tcPr>
            <w:tcW w:w="2620" w:type="dxa"/>
            <w:vAlign w:val="bottom"/>
          </w:tcPr>
          <w:p>
            <w:pPr>
              <w:spacing w:after="0"/>
              <w:rPr>
                <w:sz w:val="15"/>
                <w:szCs w:val="15"/>
                <w:color w:val="auto"/>
              </w:rPr>
            </w:pPr>
          </w:p>
        </w:tc>
        <w:tc>
          <w:tcPr>
            <w:tcW w:w="2020" w:type="dxa"/>
            <w:vAlign w:val="bottom"/>
          </w:tcPr>
          <w:p>
            <w:pPr>
              <w:ind w:left="340"/>
              <w:spacing w:after="0" w:line="181" w:lineRule="exact"/>
              <w:rPr>
                <w:sz w:val="20"/>
                <w:szCs w:val="20"/>
                <w:color w:val="auto"/>
              </w:rPr>
            </w:pPr>
            <w:r>
              <w:rPr>
                <w:rFonts w:ascii="Arial" w:cs="Arial" w:eastAsia="Arial" w:hAnsi="Arial"/>
                <w:sz w:val="14"/>
                <w:szCs w:val="14"/>
                <w:color w:val="auto"/>
              </w:rPr>
              <w:t>Options and RSUs</w:t>
            </w:r>
            <w:r>
              <w:rPr>
                <w:rFonts w:ascii="Arial" w:cs="Arial" w:eastAsia="Arial" w:hAnsi="Arial"/>
                <w:sz w:val="20"/>
                <w:szCs w:val="20"/>
                <w:color w:val="auto"/>
                <w:vertAlign w:val="superscript"/>
              </w:rPr>
              <w:t>(5)</w:t>
            </w:r>
          </w:p>
        </w:tc>
        <w:tc>
          <w:tcPr>
            <w:tcW w:w="360" w:type="dxa"/>
            <w:vAlign w:val="bottom"/>
          </w:tcPr>
          <w:p>
            <w:pPr>
              <w:spacing w:after="0"/>
              <w:rPr>
                <w:sz w:val="15"/>
                <w:szCs w:val="15"/>
                <w:color w:val="auto"/>
              </w:rPr>
            </w:pPr>
          </w:p>
        </w:tc>
        <w:tc>
          <w:tcPr>
            <w:tcW w:w="1300" w:type="dxa"/>
            <w:vAlign w:val="bottom"/>
            <w:vMerge w:val="restart"/>
          </w:tcPr>
          <w:p>
            <w:pPr>
              <w:jc w:val="right"/>
              <w:ind w:right="423"/>
              <w:spacing w:after="0"/>
              <w:rPr>
                <w:sz w:val="20"/>
                <w:szCs w:val="20"/>
                <w:color w:val="auto"/>
              </w:rPr>
            </w:pPr>
            <w:r>
              <w:rPr>
                <w:rFonts w:ascii="Arial" w:cs="Arial" w:eastAsia="Arial" w:hAnsi="Arial"/>
                <w:sz w:val="15"/>
                <w:szCs w:val="15"/>
                <w:color w:val="auto"/>
              </w:rPr>
              <w:t>—</w:t>
            </w:r>
          </w:p>
        </w:tc>
        <w:tc>
          <w:tcPr>
            <w:tcW w:w="380" w:type="dxa"/>
            <w:vAlign w:val="bottom"/>
            <w:vMerge w:val="restart"/>
          </w:tcPr>
          <w:p>
            <w:pPr>
              <w:ind w:left="200"/>
              <w:spacing w:after="0"/>
              <w:rPr>
                <w:sz w:val="20"/>
                <w:szCs w:val="20"/>
                <w:color w:val="auto"/>
              </w:rPr>
            </w:pPr>
            <w:r>
              <w:rPr>
                <w:rFonts w:ascii="Arial" w:cs="Arial" w:eastAsia="Arial" w:hAnsi="Arial"/>
                <w:sz w:val="15"/>
                <w:szCs w:val="15"/>
                <w:color w:val="auto"/>
              </w:rPr>
              <w:t>$</w:t>
            </w:r>
          </w:p>
        </w:tc>
        <w:tc>
          <w:tcPr>
            <w:tcW w:w="960" w:type="dxa"/>
            <w:vAlign w:val="bottom"/>
            <w:vMerge w:val="restart"/>
          </w:tcPr>
          <w:p>
            <w:pPr>
              <w:jc w:val="right"/>
              <w:ind w:right="123"/>
              <w:spacing w:after="0"/>
              <w:rPr>
                <w:sz w:val="20"/>
                <w:szCs w:val="20"/>
                <w:color w:val="auto"/>
              </w:rPr>
            </w:pPr>
            <w:r>
              <w:rPr>
                <w:rFonts w:ascii="Arial" w:cs="Arial" w:eastAsia="Arial" w:hAnsi="Arial"/>
                <w:sz w:val="15"/>
                <w:szCs w:val="15"/>
                <w:color w:val="auto"/>
              </w:rPr>
              <w:t>350,041</w:t>
            </w:r>
          </w:p>
        </w:tc>
        <w:tc>
          <w:tcPr>
            <w:tcW w:w="1420" w:type="dxa"/>
            <w:vAlign w:val="bottom"/>
            <w:vMerge w:val="restart"/>
          </w:tcPr>
          <w:p>
            <w:pPr>
              <w:jc w:val="right"/>
              <w:ind w:right="123"/>
              <w:spacing w:after="0"/>
              <w:rPr>
                <w:sz w:val="20"/>
                <w:szCs w:val="20"/>
                <w:color w:val="auto"/>
              </w:rPr>
            </w:pPr>
            <w:r>
              <w:rPr>
                <w:rFonts w:ascii="Arial" w:cs="Arial" w:eastAsia="Arial" w:hAnsi="Arial"/>
                <w:sz w:val="15"/>
                <w:szCs w:val="15"/>
                <w:color w:val="auto"/>
              </w:rPr>
              <w:t>—</w:t>
            </w:r>
          </w:p>
        </w:tc>
        <w:tc>
          <w:tcPr>
            <w:tcW w:w="320" w:type="dxa"/>
            <w:vAlign w:val="bottom"/>
          </w:tcPr>
          <w:p>
            <w:pPr>
              <w:spacing w:after="0"/>
              <w:rPr>
                <w:sz w:val="15"/>
                <w:szCs w:val="15"/>
                <w:color w:val="auto"/>
              </w:rPr>
            </w:pPr>
          </w:p>
        </w:tc>
        <w:tc>
          <w:tcPr>
            <w:tcW w:w="1160" w:type="dxa"/>
            <w:vAlign w:val="bottom"/>
            <w:vMerge w:val="restart"/>
          </w:tcPr>
          <w:p>
            <w:pPr>
              <w:jc w:val="right"/>
              <w:ind w:right="123"/>
              <w:spacing w:after="0"/>
              <w:rPr>
                <w:sz w:val="20"/>
                <w:szCs w:val="20"/>
                <w:color w:val="auto"/>
              </w:rPr>
            </w:pPr>
            <w:r>
              <w:rPr>
                <w:rFonts w:ascii="Arial" w:cs="Arial" w:eastAsia="Arial" w:hAnsi="Arial"/>
                <w:sz w:val="15"/>
                <w:szCs w:val="15"/>
                <w:color w:val="auto"/>
              </w:rPr>
              <w:t>546,415</w:t>
            </w:r>
          </w:p>
        </w:tc>
        <w:tc>
          <w:tcPr>
            <w:tcW w:w="0" w:type="dxa"/>
            <w:vAlign w:val="bottom"/>
          </w:tcPr>
          <w:p>
            <w:pPr>
              <w:spacing w:after="0"/>
              <w:rPr>
                <w:sz w:val="1"/>
                <w:szCs w:val="1"/>
                <w:color w:val="auto"/>
              </w:rPr>
            </w:pPr>
          </w:p>
        </w:tc>
      </w:tr>
      <w:tr>
        <w:trPr>
          <w:trHeight w:val="160"/>
        </w:trPr>
        <w:tc>
          <w:tcPr>
            <w:tcW w:w="2620" w:type="dxa"/>
            <w:vAlign w:val="bottom"/>
            <w:tcBorders>
              <w:bottom w:val="single" w:sz="8" w:color="00467D"/>
            </w:tcBorders>
          </w:tcPr>
          <w:p>
            <w:pPr>
              <w:spacing w:after="0"/>
              <w:rPr>
                <w:sz w:val="13"/>
                <w:szCs w:val="13"/>
                <w:color w:val="auto"/>
              </w:rPr>
            </w:pPr>
          </w:p>
        </w:tc>
        <w:tc>
          <w:tcPr>
            <w:tcW w:w="2020" w:type="dxa"/>
            <w:vAlign w:val="bottom"/>
            <w:tcBorders>
              <w:bottom w:val="single" w:sz="8" w:color="00467D"/>
            </w:tcBorders>
          </w:tcPr>
          <w:p>
            <w:pPr>
              <w:ind w:left="340"/>
              <w:spacing w:after="0"/>
              <w:rPr>
                <w:sz w:val="20"/>
                <w:szCs w:val="20"/>
                <w:color w:val="auto"/>
              </w:rPr>
            </w:pPr>
            <w:r>
              <w:rPr>
                <w:rFonts w:ascii="Arial" w:cs="Arial" w:eastAsia="Arial" w:hAnsi="Arial"/>
                <w:sz w:val="12"/>
                <w:szCs w:val="12"/>
                <w:color w:val="auto"/>
              </w:rPr>
              <w:t>(9)(10)</w:t>
            </w:r>
          </w:p>
        </w:tc>
        <w:tc>
          <w:tcPr>
            <w:tcW w:w="360" w:type="dxa"/>
            <w:vAlign w:val="bottom"/>
            <w:tcBorders>
              <w:bottom w:val="single" w:sz="8" w:color="00467D"/>
            </w:tcBorders>
          </w:tcPr>
          <w:p>
            <w:pPr>
              <w:spacing w:after="0"/>
              <w:rPr>
                <w:sz w:val="13"/>
                <w:szCs w:val="13"/>
                <w:color w:val="auto"/>
              </w:rPr>
            </w:pPr>
          </w:p>
        </w:tc>
        <w:tc>
          <w:tcPr>
            <w:tcW w:w="1300" w:type="dxa"/>
            <w:vAlign w:val="bottom"/>
            <w:tcBorders>
              <w:bottom w:val="single" w:sz="8" w:color="00467D"/>
            </w:tcBorders>
            <w:vMerge w:val="continue"/>
          </w:tcPr>
          <w:p>
            <w:pPr>
              <w:spacing w:after="0"/>
              <w:rPr>
                <w:sz w:val="13"/>
                <w:szCs w:val="13"/>
                <w:color w:val="auto"/>
              </w:rPr>
            </w:pPr>
          </w:p>
        </w:tc>
        <w:tc>
          <w:tcPr>
            <w:tcW w:w="380" w:type="dxa"/>
            <w:vAlign w:val="bottom"/>
            <w:tcBorders>
              <w:bottom w:val="single" w:sz="8" w:color="00467D"/>
            </w:tcBorders>
            <w:vMerge w:val="continue"/>
          </w:tcPr>
          <w:p>
            <w:pPr>
              <w:spacing w:after="0"/>
              <w:rPr>
                <w:sz w:val="13"/>
                <w:szCs w:val="13"/>
                <w:color w:val="auto"/>
              </w:rPr>
            </w:pPr>
          </w:p>
        </w:tc>
        <w:tc>
          <w:tcPr>
            <w:tcW w:w="960" w:type="dxa"/>
            <w:vAlign w:val="bottom"/>
            <w:tcBorders>
              <w:bottom w:val="single" w:sz="8" w:color="00467D"/>
            </w:tcBorders>
            <w:vMerge w:val="continue"/>
          </w:tcPr>
          <w:p>
            <w:pPr>
              <w:spacing w:after="0"/>
              <w:rPr>
                <w:sz w:val="13"/>
                <w:szCs w:val="13"/>
                <w:color w:val="auto"/>
              </w:rPr>
            </w:pPr>
          </w:p>
        </w:tc>
        <w:tc>
          <w:tcPr>
            <w:tcW w:w="1420" w:type="dxa"/>
            <w:vAlign w:val="bottom"/>
            <w:tcBorders>
              <w:bottom w:val="single" w:sz="8" w:color="00467D"/>
            </w:tcBorders>
            <w:vMerge w:val="continue"/>
          </w:tcPr>
          <w:p>
            <w:pPr>
              <w:spacing w:after="0"/>
              <w:rPr>
                <w:sz w:val="13"/>
                <w:szCs w:val="13"/>
                <w:color w:val="auto"/>
              </w:rPr>
            </w:pPr>
          </w:p>
        </w:tc>
        <w:tc>
          <w:tcPr>
            <w:tcW w:w="320" w:type="dxa"/>
            <w:vAlign w:val="bottom"/>
            <w:tcBorders>
              <w:bottom w:val="single" w:sz="8" w:color="00467D"/>
            </w:tcBorders>
          </w:tcPr>
          <w:p>
            <w:pPr>
              <w:spacing w:after="0"/>
              <w:rPr>
                <w:sz w:val="13"/>
                <w:szCs w:val="13"/>
                <w:color w:val="auto"/>
              </w:rPr>
            </w:pPr>
          </w:p>
        </w:tc>
        <w:tc>
          <w:tcPr>
            <w:tcW w:w="1160" w:type="dxa"/>
            <w:vAlign w:val="bottom"/>
            <w:tcBorders>
              <w:bottom w:val="single" w:sz="8" w:color="00467D"/>
            </w:tcBorders>
            <w:vMerge w:val="continue"/>
          </w:tcPr>
          <w:p>
            <w:pPr>
              <w:spacing w:after="0"/>
              <w:rPr>
                <w:sz w:val="13"/>
                <w:szCs w:val="13"/>
                <w:color w:val="auto"/>
              </w:rPr>
            </w:pPr>
          </w:p>
        </w:tc>
        <w:tc>
          <w:tcPr>
            <w:tcW w:w="0" w:type="dxa"/>
            <w:vAlign w:val="bottom"/>
          </w:tcPr>
          <w:p>
            <w:pPr>
              <w:spacing w:after="0"/>
              <w:rPr>
                <w:sz w:val="1"/>
                <w:szCs w:val="1"/>
                <w:color w:val="auto"/>
              </w:rPr>
            </w:pPr>
          </w:p>
        </w:tc>
      </w:tr>
    </w:tbl>
    <w:p>
      <w:pPr>
        <w:spacing w:after="0" w:line="70" w:lineRule="exact"/>
        <w:rPr>
          <w:sz w:val="20"/>
          <w:szCs w:val="20"/>
          <w:color w:val="auto"/>
        </w:rPr>
      </w:pPr>
    </w:p>
    <w:p>
      <w:pPr>
        <w:ind w:left="780" w:right="140" w:hanging="422"/>
        <w:spacing w:after="0"/>
        <w:tabs>
          <w:tab w:leader="none" w:pos="780" w:val="left"/>
        </w:tabs>
        <w:numPr>
          <w:ilvl w:val="0"/>
          <w:numId w:val="41"/>
        </w:numPr>
        <w:rPr>
          <w:rFonts w:ascii="Arial" w:cs="Arial" w:eastAsia="Arial" w:hAnsi="Arial"/>
          <w:sz w:val="14"/>
          <w:szCs w:val="14"/>
          <w:color w:val="auto"/>
        </w:rPr>
      </w:pPr>
      <w:r>
        <w:rPr>
          <w:rFonts w:ascii="Arial" w:cs="Arial" w:eastAsia="Arial" w:hAnsi="Arial"/>
          <w:sz w:val="14"/>
          <w:szCs w:val="14"/>
          <w:color w:val="auto"/>
        </w:rPr>
        <w:t>Qualifying retirement means, in the case of Mr. Petras, voluntary retirement following the date on which the sum of Mr. Petras’ attained age and years of service with the Company equals or exceeds 65, and in the case of Messrs. Rutz, Dimitrief and Klaben, voluntary retirement at or older than age 55 with 10 or more years of service to the Company. No NEO was eligible for retirement on December 31, 2022. Mr. Biehl is not party to any agreements that provide for benefits upon a qualifying retirement.</w:t>
      </w:r>
    </w:p>
    <w:p>
      <w:pPr>
        <w:spacing w:after="0" w:line="52" w:lineRule="exact"/>
        <w:rPr>
          <w:rFonts w:ascii="Arial" w:cs="Arial" w:eastAsia="Arial" w:hAnsi="Arial"/>
          <w:sz w:val="14"/>
          <w:szCs w:val="14"/>
          <w:color w:val="auto"/>
        </w:rPr>
      </w:pPr>
    </w:p>
    <w:p>
      <w:pPr>
        <w:ind w:left="780" w:right="100" w:hanging="422"/>
        <w:spacing w:after="0"/>
        <w:tabs>
          <w:tab w:leader="none" w:pos="780" w:val="left"/>
        </w:tabs>
        <w:numPr>
          <w:ilvl w:val="0"/>
          <w:numId w:val="41"/>
        </w:numPr>
        <w:rPr>
          <w:rFonts w:ascii="Arial" w:cs="Arial" w:eastAsia="Arial" w:hAnsi="Arial"/>
          <w:sz w:val="14"/>
          <w:szCs w:val="14"/>
          <w:color w:val="auto"/>
        </w:rPr>
      </w:pPr>
      <w:r>
        <w:rPr>
          <w:rFonts w:ascii="Arial" w:cs="Arial" w:eastAsia="Arial" w:hAnsi="Arial"/>
          <w:sz w:val="14"/>
          <w:szCs w:val="14"/>
          <w:color w:val="auto"/>
        </w:rPr>
        <w:t>Assumes termination of employment results from involuntary termination without “cause,” or in the case of Messrs. Petras or Rutz, resignation for “good reason,” in each case within 12 months following a Change in Control. With respect to each NEO’s equity awards, amounts reflect the value of the full vesting of unvested equity awards assumed or substituted by the acquirer upon a termination by the Company without “cause” or resignation by the executive with “good reason” within 12 months following a Change in Control.</w:t>
      </w:r>
    </w:p>
    <w:p>
      <w:pPr>
        <w:spacing w:after="0" w:line="52" w:lineRule="exact"/>
        <w:rPr>
          <w:rFonts w:ascii="Arial" w:cs="Arial" w:eastAsia="Arial" w:hAnsi="Arial"/>
          <w:sz w:val="14"/>
          <w:szCs w:val="14"/>
          <w:color w:val="auto"/>
        </w:rPr>
      </w:pPr>
    </w:p>
    <w:p>
      <w:pPr>
        <w:ind w:left="780" w:right="200" w:hanging="422"/>
        <w:spacing w:after="0" w:line="238" w:lineRule="auto"/>
        <w:tabs>
          <w:tab w:leader="none" w:pos="780" w:val="left"/>
        </w:tabs>
        <w:numPr>
          <w:ilvl w:val="0"/>
          <w:numId w:val="41"/>
        </w:numPr>
        <w:rPr>
          <w:rFonts w:ascii="Arial" w:cs="Arial" w:eastAsia="Arial" w:hAnsi="Arial"/>
          <w:sz w:val="14"/>
          <w:szCs w:val="14"/>
          <w:color w:val="auto"/>
        </w:rPr>
      </w:pPr>
      <w:r>
        <w:rPr>
          <w:rFonts w:ascii="Arial" w:cs="Arial" w:eastAsia="Arial" w:hAnsi="Arial"/>
          <w:sz w:val="14"/>
          <w:szCs w:val="14"/>
          <w:color w:val="auto"/>
        </w:rPr>
        <w:t>As further described above, cash severance is based on each executive’s annual base salary and the severance period specified in the executive’s employment agreement or offer letter and reflects the cash severance each NEO is entitled to upon a termination without “cause” or, in the case of Messrs. Petras or Rutz, resignation for “good reason.” With the exception of Mr. Petras who would receive any cash severance payments in a lump sum, each NEO’s cash severance is payable in the form of base salary continuation. Amounts shown reflect the following percentage of each executive’s annual base salary: Mr. Petras, 200%; Messrs. Rutz and Klaben: 100%. Each NEO is entitled to cash severance upon a qualifying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231775</wp:posOffset>
            </wp:positionH>
            <wp:positionV relativeFrom="paragraph">
              <wp:posOffset>95885</wp:posOffset>
            </wp:positionV>
            <wp:extent cx="6687820" cy="1651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687820" cy="16510"/>
                    </a:xfrm>
                    <a:prstGeom prst="rect">
                      <a:avLst/>
                    </a:prstGeom>
                    <a:noFill/>
                  </pic:spPr>
                </pic:pic>
              </a:graphicData>
            </a:graphic>
          </wp:anchor>
        </w:drawing>
      </w:r>
    </w:p>
    <w:p>
      <w:pPr>
        <w:sectPr>
          <w:pgSz w:w="11900" w:h="16838" w:orient="portrait"/>
          <w:cols w:equalWidth="0" w:num="1">
            <w:col w:w="10900"/>
          </w:cols>
          <w:pgMar w:left="320" w:top="468" w:right="679" w:bottom="1440" w:gutter="0" w:footer="0" w:header="0"/>
        </w:sectPr>
      </w:pPr>
    </w:p>
    <w:p>
      <w:pPr>
        <w:spacing w:after="0" w:line="341" w:lineRule="exact"/>
        <w:rPr>
          <w:sz w:val="20"/>
          <w:szCs w:val="20"/>
          <w:color w:val="auto"/>
        </w:rPr>
      </w:pPr>
    </w:p>
    <w:p>
      <w:pPr>
        <w:ind w:left="360"/>
        <w:spacing w:after="0"/>
        <w:tabs>
          <w:tab w:leader="none" w:pos="5560" w:val="left"/>
        </w:tabs>
        <w:rPr>
          <w:sz w:val="20"/>
          <w:szCs w:val="20"/>
          <w:color w:val="auto"/>
        </w:rPr>
      </w:pPr>
      <w:r>
        <w:rPr>
          <w:rFonts w:ascii="Arial" w:cs="Arial" w:eastAsia="Arial" w:hAnsi="Arial"/>
          <w:sz w:val="17"/>
          <w:szCs w:val="17"/>
          <w:color w:val="auto"/>
        </w:rPr>
        <w:t>2023 Notice and Proxy Statement</w:t>
      </w:r>
      <w:r>
        <w:rPr>
          <w:sz w:val="20"/>
          <w:szCs w:val="20"/>
          <w:color w:val="auto"/>
        </w:rPr>
        <w:tab/>
      </w:r>
      <w:r>
        <w:rPr>
          <w:rFonts w:ascii="Arial" w:cs="Arial" w:eastAsia="Arial" w:hAnsi="Arial"/>
          <w:sz w:val="17"/>
          <w:szCs w:val="17"/>
          <w:color w:val="auto"/>
        </w:rPr>
        <w:t>58</w:t>
      </w:r>
    </w:p>
    <w:p>
      <w:pPr>
        <w:sectPr>
          <w:pgSz w:w="11900" w:h="16838" w:orient="portrait"/>
          <w:cols w:equalWidth="0" w:num="1">
            <w:col w:w="10900"/>
          </w:cols>
          <w:pgMar w:left="320" w:top="468" w:right="679" w:bottom="1440" w:gutter="0" w:footer="0" w:header="0"/>
          <w:type w:val="continuous"/>
        </w:sectPr>
      </w:pPr>
    </w:p>
    <w:bookmarkStart w:id="67" w:name="page68"/>
    <w:bookmarkEnd w:id="6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5397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79945" cy="53975"/>
                    </a:xfrm>
                    <a:prstGeom prst="rect">
                      <a:avLst/>
                    </a:prstGeom>
                    <a:noFill/>
                  </pic:spPr>
                </pic:pic>
              </a:graphicData>
            </a:graphic>
          </wp:anchor>
        </w:drawing>
        <w:t>Table of Contents</w:t>
      </w:r>
    </w:p>
    <w:p>
      <w:pPr>
        <w:spacing w:after="0" w:line="296" w:lineRule="exact"/>
        <w:rPr>
          <w:sz w:val="20"/>
          <w:szCs w:val="20"/>
          <w:color w:val="auto"/>
        </w:rPr>
      </w:pPr>
    </w:p>
    <w:p>
      <w:pPr>
        <w:jc w:val="right"/>
        <w:ind w:right="20"/>
        <w:spacing w:after="0"/>
        <w:rPr>
          <w:sz w:val="20"/>
          <w:szCs w:val="20"/>
          <w:color w:val="auto"/>
        </w:rPr>
      </w:pPr>
      <w:r>
        <w:rPr>
          <w:rFonts w:ascii="Arial" w:cs="Arial" w:eastAsia="Arial" w:hAnsi="Arial"/>
          <w:sz w:val="17"/>
          <w:szCs w:val="17"/>
          <w:b w:val="1"/>
          <w:bCs w:val="1"/>
          <w:color w:val="auto"/>
        </w:rPr>
        <w:t>Potential Termination Payments</w:t>
      </w:r>
    </w:p>
    <w:p>
      <w:pPr>
        <w:spacing w:after="0" w:line="21" w:lineRule="exact"/>
        <w:rPr>
          <w:sz w:val="20"/>
          <w:szCs w:val="20"/>
          <w:color w:val="auto"/>
        </w:rPr>
      </w:pPr>
    </w:p>
    <w:p>
      <w:pPr>
        <w:ind w:left="8020"/>
        <w:spacing w:after="0"/>
        <w:rPr>
          <w:sz w:val="20"/>
          <w:szCs w:val="20"/>
          <w:color w:val="auto"/>
        </w:rPr>
      </w:pPr>
      <w:r>
        <w:rPr>
          <w:rFonts w:ascii="Arial" w:cs="Arial" w:eastAsia="Arial" w:hAnsi="Arial"/>
          <w:sz w:val="13"/>
          <w:szCs w:val="13"/>
          <w:b w:val="1"/>
          <w:bCs w:val="1"/>
          <w:color w:val="auto"/>
        </w:rPr>
        <w:t>Potential Post-Employment Payments Table</w:t>
      </w:r>
    </w:p>
    <w:p>
      <w:pPr>
        <w:spacing w:after="0" w:line="135" w:lineRule="exact"/>
        <w:rPr>
          <w:sz w:val="20"/>
          <w:szCs w:val="20"/>
          <w:color w:val="auto"/>
        </w:rPr>
      </w:pPr>
    </w:p>
    <w:p>
      <w:pPr>
        <w:ind w:left="780" w:right="280"/>
        <w:spacing w:after="0" w:line="245" w:lineRule="auto"/>
        <w:rPr>
          <w:sz w:val="20"/>
          <w:szCs w:val="20"/>
          <w:color w:val="auto"/>
        </w:rPr>
      </w:pPr>
      <w:r>
        <w:rPr>
          <w:rFonts w:ascii="Arial" w:cs="Arial" w:eastAsia="Arial" w:hAnsi="Arial"/>
          <w:sz w:val="14"/>
          <w:szCs w:val="14"/>
          <w:color w:val="auto"/>
        </w:rPr>
        <w:t>termination whether or not a Change in Control has occurred. Amounts in the table do not reflect accrued but unused vacation as the policy governing vacation for executive officers requires forfeiture of all accrued vacation for the current year not used by the end of the year, and each scenario assumes termination of employment on the last day of the year.</w:t>
      </w:r>
    </w:p>
    <w:p>
      <w:pPr>
        <w:spacing w:after="0" w:line="49" w:lineRule="exact"/>
        <w:rPr>
          <w:sz w:val="20"/>
          <w:szCs w:val="20"/>
          <w:color w:val="auto"/>
        </w:rPr>
      </w:pPr>
    </w:p>
    <w:p>
      <w:pPr>
        <w:ind w:left="780" w:right="140" w:hanging="422"/>
        <w:spacing w:after="0" w:line="245" w:lineRule="auto"/>
        <w:tabs>
          <w:tab w:leader="none" w:pos="780" w:val="left"/>
        </w:tabs>
        <w:numPr>
          <w:ilvl w:val="0"/>
          <w:numId w:val="42"/>
        </w:numPr>
        <w:rPr>
          <w:rFonts w:ascii="Arial" w:cs="Arial" w:eastAsia="Arial" w:hAnsi="Arial"/>
          <w:sz w:val="14"/>
          <w:szCs w:val="14"/>
          <w:color w:val="auto"/>
        </w:rPr>
      </w:pPr>
      <w:r>
        <w:rPr>
          <w:rFonts w:ascii="Arial" w:cs="Arial" w:eastAsia="Arial" w:hAnsi="Arial"/>
          <w:sz w:val="14"/>
          <w:szCs w:val="14"/>
          <w:color w:val="auto"/>
        </w:rPr>
        <w:t>Amounts reflect the Company’s portion of health and dental insurance premiums payable to each of Messrs. Petras and Rutz in the event of a qualifying termination. In such case, executives are entitled to payment of an amount equal to the difference between the monthly COBRA premium over the monthly premium he would have paid for such coverage under the Company’s health plans for the 12 month period following termination of employment.</w:t>
      </w:r>
    </w:p>
    <w:p>
      <w:pPr>
        <w:spacing w:after="0" w:line="49" w:lineRule="exact"/>
        <w:rPr>
          <w:rFonts w:ascii="Arial" w:cs="Arial" w:eastAsia="Arial" w:hAnsi="Arial"/>
          <w:sz w:val="14"/>
          <w:szCs w:val="14"/>
          <w:color w:val="auto"/>
        </w:rPr>
      </w:pPr>
    </w:p>
    <w:p>
      <w:pPr>
        <w:ind w:left="780" w:right="80" w:hanging="422"/>
        <w:spacing w:after="0" w:line="234" w:lineRule="auto"/>
        <w:tabs>
          <w:tab w:leader="none" w:pos="780" w:val="left"/>
        </w:tabs>
        <w:numPr>
          <w:ilvl w:val="0"/>
          <w:numId w:val="42"/>
        </w:numPr>
        <w:rPr>
          <w:rFonts w:ascii="Arial" w:cs="Arial" w:eastAsia="Arial" w:hAnsi="Arial"/>
          <w:sz w:val="14"/>
          <w:szCs w:val="14"/>
          <w:color w:val="auto"/>
        </w:rPr>
      </w:pPr>
      <w:r>
        <w:rPr>
          <w:rFonts w:ascii="Arial" w:cs="Arial" w:eastAsia="Arial" w:hAnsi="Arial"/>
          <w:sz w:val="14"/>
          <w:szCs w:val="14"/>
          <w:color w:val="auto"/>
        </w:rPr>
        <w:t>The IPO Equity Awards were granted on November 20, 2020 and vest in four equal installments on each of the first four anniversaries of the date of grant. Amounts shown here reflect the value of the acceleration of the following portion of each executive’s outstanding unvested IPO Equity Awards as of December 31, 2022: (i) for Mr. Petras, the remaining one-half, in the event of termination without “cause” or resignation for “good reason”; (ii) for each executive, the remaining one-half, in the event of termination due to death or Disability; and, (iii) for each executive, all of the outstanding unvested IPO Equity Awards in the event of a termination by the Company without “cause” or resignation by the executive for “good reason” (in each case as set out in the applicable equity award grant notice) within 12 months following a Change in Control. In each case, the value of accelerated stock options that vest is calculated as the number of shares underlying options that will vest on each qualifying termination multiplied by the difference between the strike price of outstanding options, which was $23 for the IPO Equity Awards, and the price of our stock on December 31, 2022, which was $8.33. The value of accelerated RSUs is calculated as the number of shares underlying RSUs that will vest on each qualifying termination multiplied by the price of our stock on December 31, 2022, which was $8.33. In the event an acquirer does not assume or substitute the IPO Equity Awards upon a Change in Control, the awards will vest in full.</w:t>
      </w:r>
    </w:p>
    <w:p>
      <w:pPr>
        <w:spacing w:after="0" w:line="56" w:lineRule="exact"/>
        <w:rPr>
          <w:rFonts w:ascii="Arial" w:cs="Arial" w:eastAsia="Arial" w:hAnsi="Arial"/>
          <w:sz w:val="14"/>
          <w:szCs w:val="14"/>
          <w:color w:val="auto"/>
        </w:rPr>
      </w:pPr>
    </w:p>
    <w:p>
      <w:pPr>
        <w:ind w:left="780" w:right="40" w:hanging="422"/>
        <w:spacing w:after="0" w:line="259" w:lineRule="auto"/>
        <w:tabs>
          <w:tab w:leader="none" w:pos="780" w:val="left"/>
        </w:tabs>
        <w:numPr>
          <w:ilvl w:val="0"/>
          <w:numId w:val="42"/>
        </w:numPr>
        <w:rPr>
          <w:rFonts w:ascii="Arial" w:cs="Arial" w:eastAsia="Arial" w:hAnsi="Arial"/>
          <w:sz w:val="14"/>
          <w:szCs w:val="14"/>
          <w:color w:val="auto"/>
        </w:rPr>
      </w:pPr>
      <w:r>
        <w:rPr>
          <w:rFonts w:ascii="Arial" w:cs="Arial" w:eastAsia="Arial" w:hAnsi="Arial"/>
          <w:sz w:val="14"/>
          <w:szCs w:val="14"/>
          <w:color w:val="auto"/>
        </w:rPr>
        <w:t>Mr. Rutz is entitled to receive a one-time lump sum cash payment equal to $1,500,000, less applicable tax withholdings, upon a change in control, contingent upon his continued employment through the consummation of a change in control.</w:t>
      </w:r>
    </w:p>
    <w:p>
      <w:pPr>
        <w:spacing w:after="0" w:line="39" w:lineRule="exact"/>
        <w:rPr>
          <w:rFonts w:ascii="Arial" w:cs="Arial" w:eastAsia="Arial" w:hAnsi="Arial"/>
          <w:sz w:val="14"/>
          <w:szCs w:val="14"/>
          <w:color w:val="auto"/>
        </w:rPr>
      </w:pPr>
    </w:p>
    <w:p>
      <w:pPr>
        <w:ind w:left="780" w:right="40" w:hanging="422"/>
        <w:spacing w:after="0" w:line="233" w:lineRule="auto"/>
        <w:tabs>
          <w:tab w:leader="none" w:pos="780" w:val="left"/>
        </w:tabs>
        <w:numPr>
          <w:ilvl w:val="0"/>
          <w:numId w:val="42"/>
        </w:numPr>
        <w:rPr>
          <w:rFonts w:ascii="Arial" w:cs="Arial" w:eastAsia="Arial" w:hAnsi="Arial"/>
          <w:sz w:val="14"/>
          <w:szCs w:val="14"/>
          <w:color w:val="auto"/>
        </w:rPr>
      </w:pPr>
      <w:r>
        <w:rPr>
          <w:rFonts w:ascii="Arial" w:cs="Arial" w:eastAsia="Arial" w:hAnsi="Arial"/>
          <w:sz w:val="14"/>
          <w:szCs w:val="14"/>
          <w:color w:val="auto"/>
        </w:rPr>
        <w:t>Mr. Petras was granted RSUs on March 2, 2022 that vest on the first three anniversaries of the date of grant. Mr. Petras was also granted stock options on November 7, 2022 that vest in three installments as follows: (i) 30% will vest 12 months from the date of grant; (ii) 30% will vest 18 months from the date of grant; and (iii) 40% will vest 24 months from the date of grant, subject to Mr. Petras’ continued employment with the Company through each applicable vesting date. Amounts shown here reflect the value of the acceleration of Mr. Petras’ equity awards as of December 31, 2022: (A) in the event of termination due to death or Disability, all unvested equity awards that would have vested in the 2 year period immediately following the date of such termination will vest as of the date of Mr. Petras’ termination of employment, (B) in the event that, following the first anniversary of the date of grant, Mr. Petras experiences a qualifying retirement all unvested equity awards will vest as of the date of his retirement and (C) in the event of a termination by the Company without “cause” or by Mr. Petras for “good reason” and subject to Mr. Petras satisfying the Release Requirement (as defined in the Amended and Restated Senior Management Agreement entered into between Mr. Petras and the Company dated as of November 10, 2020) and not breaching any of the provisions of the general release executed in connection therewith, all unvested equity awards that would have vested in the two-year period immediately following the date of such termination will vest as of the date of termination. The value of accelerated stock options that vest is calculated as the number of shares underlying options that will vest on each qualifying termination multiplied by the difference between the strike price of outstanding stock options, which was $6.37, and the price of our stock on December 31, 2022, which was $8.33. The value of accelerated RSUs is calculated as the number of shares underlying RSUs that will vest on each qualifying termination multiplied by the price of our stock on December 31, 2022, which was $8.33. In the event (i) an acquirer does not assume or substitute the equity awards upon a Change in Control, or (ii) the acquirer does assume or substitute the unvested portion of the equity award and Mr. Petras’ employment is terminated by him for “good reason” or by the acquiror without “cause” within 12 months following a Change in Control, in each case all unvested equity awards will vest in full.</w:t>
      </w:r>
    </w:p>
    <w:p>
      <w:pPr>
        <w:spacing w:after="0" w:line="54" w:lineRule="exact"/>
        <w:rPr>
          <w:rFonts w:ascii="Arial" w:cs="Arial" w:eastAsia="Arial" w:hAnsi="Arial"/>
          <w:sz w:val="14"/>
          <w:szCs w:val="14"/>
          <w:color w:val="auto"/>
        </w:rPr>
      </w:pPr>
    </w:p>
    <w:p>
      <w:pPr>
        <w:ind w:left="780" w:right="120" w:hanging="422"/>
        <w:spacing w:after="0" w:line="235" w:lineRule="auto"/>
        <w:tabs>
          <w:tab w:leader="none" w:pos="780" w:val="left"/>
        </w:tabs>
        <w:numPr>
          <w:ilvl w:val="0"/>
          <w:numId w:val="42"/>
        </w:numPr>
        <w:rPr>
          <w:rFonts w:ascii="Arial" w:cs="Arial" w:eastAsia="Arial" w:hAnsi="Arial"/>
          <w:sz w:val="14"/>
          <w:szCs w:val="14"/>
          <w:color w:val="auto"/>
        </w:rPr>
      </w:pPr>
      <w:r>
        <w:rPr>
          <w:rFonts w:ascii="Arial" w:cs="Arial" w:eastAsia="Arial" w:hAnsi="Arial"/>
          <w:sz w:val="14"/>
          <w:szCs w:val="14"/>
          <w:color w:val="auto"/>
        </w:rPr>
        <w:t>In connection with the commencement of Mr. Dimitrief’s employment, Mr. Dimitrief was granted stock options and restricted stock on November 7, 2022 that vest in equal installments on each of October 31, 2023 and October 31, 2024, subject to his continued employment with the Company through each applicable vesting date. Amounts shown here include the value of acceleration of the unvested awards in the event of a termination by the Company without “cause” or termination due to death or Disability. The value of accelerated stock options that vest is calculated as the number of shares underlying options that will vest on each qualifying termination multiplied by the difference between the strike price of outstanding stock options, which was $6.37 and the price of our stock on December 31, 2022, which was $8.33. The value of accelerated restricted stock is calculated as the number of shares underlying restricted stock that will vest on each qualifying termination multiplied by the price of our stock on December 31, 2022, which was $8.33. In the event an acquirer does not assume or substitute the award upon a Change in Control, the awards will vest in full.</w:t>
      </w:r>
    </w:p>
    <w:p>
      <w:pPr>
        <w:spacing w:after="0" w:line="55" w:lineRule="exact"/>
        <w:rPr>
          <w:rFonts w:ascii="Arial" w:cs="Arial" w:eastAsia="Arial" w:hAnsi="Arial"/>
          <w:sz w:val="14"/>
          <w:szCs w:val="14"/>
          <w:color w:val="auto"/>
        </w:rPr>
      </w:pPr>
    </w:p>
    <w:p>
      <w:pPr>
        <w:ind w:left="780" w:right="60" w:hanging="422"/>
        <w:spacing w:after="0" w:line="235" w:lineRule="auto"/>
        <w:tabs>
          <w:tab w:leader="none" w:pos="780" w:val="left"/>
        </w:tabs>
        <w:numPr>
          <w:ilvl w:val="0"/>
          <w:numId w:val="42"/>
        </w:numPr>
        <w:rPr>
          <w:rFonts w:ascii="Arial" w:cs="Arial" w:eastAsia="Arial" w:hAnsi="Arial"/>
          <w:sz w:val="14"/>
          <w:szCs w:val="14"/>
          <w:color w:val="auto"/>
        </w:rPr>
      </w:pPr>
      <w:r>
        <w:rPr>
          <w:rFonts w:ascii="Arial" w:cs="Arial" w:eastAsia="Arial" w:hAnsi="Arial"/>
          <w:sz w:val="14"/>
          <w:szCs w:val="14"/>
          <w:color w:val="auto"/>
        </w:rPr>
        <w:t>Each of Messrs. Rutz and Klaben was granted stock options and RSUs on March 2, 2022 that vest on the first three anniversaries of the date of grant. Amounts shown here include the value of acceleration of outstanding unvested equity awards in the event of a termination due to death or Disability. The value of accelerated stock options that vest is calculated as the number of shares underlying options that will vest on each qualifying termination multiplied by the difference between the strike price of outstanding stock options, which was $20.03 and the price of our stock on December 31, 2022, which was $8.33. The value of accelerated RSUs is calculated as the number of shares underlying RSUs that will vest on each qualifying termination multiplied by the price of our stock on December 31, 2022, which was $8.33. In the event (i) an acquirer does not assume or substitute the equity awards or (ii) the acquirer does assume or substitute the unvested portion of the equity award and the NEO’s employment is terminated by the acquiror without “cause” or, in the case or Mr. Rutz, by him for “good reason” within 12 months following a Change in Control, in each case all unvested equity awards will vest in full.</w:t>
      </w:r>
    </w:p>
    <w:p>
      <w:pPr>
        <w:spacing w:after="0" w:line="55" w:lineRule="exact"/>
        <w:rPr>
          <w:rFonts w:ascii="Arial" w:cs="Arial" w:eastAsia="Arial" w:hAnsi="Arial"/>
          <w:sz w:val="14"/>
          <w:szCs w:val="14"/>
          <w:color w:val="auto"/>
        </w:rPr>
      </w:pPr>
    </w:p>
    <w:p>
      <w:pPr>
        <w:ind w:left="780" w:right="80" w:hanging="422"/>
        <w:spacing w:after="0" w:line="237" w:lineRule="auto"/>
        <w:tabs>
          <w:tab w:leader="none" w:pos="780" w:val="left"/>
        </w:tabs>
        <w:numPr>
          <w:ilvl w:val="0"/>
          <w:numId w:val="42"/>
        </w:numPr>
        <w:rPr>
          <w:rFonts w:ascii="Arial" w:cs="Arial" w:eastAsia="Arial" w:hAnsi="Arial"/>
          <w:sz w:val="14"/>
          <w:szCs w:val="14"/>
          <w:color w:val="auto"/>
        </w:rPr>
      </w:pPr>
      <w:r>
        <w:rPr>
          <w:rFonts w:ascii="Arial" w:cs="Arial" w:eastAsia="Arial" w:hAnsi="Arial"/>
          <w:sz w:val="14"/>
          <w:szCs w:val="14"/>
          <w:color w:val="auto"/>
        </w:rPr>
        <w:t>Mr. Klaben was granted RSUs on November 7, 2022, 25% of which vest on each of the first two anniversaries of the date of grant and 50% of which vest on the third anniversary of the date of grant. Amounts shown here reflect the value of the acceleration of Mr. Klaben’s equity awards as of December 31, 2022. In the event of termination due to death or Disability, all unvested equity awards that would have vested in the 2 year period immediately following the date of such termination will vest as of the date of Mr. Klaben’s termination of employment. In the event (i) an acquirer does not assume or substitute the equity awards upon a Change in Control, or (ii) the acquirer does assume or substitute the unvested portion of the equity award and Mr. Klaben’s employment is terminated by the acquiror without “cause” within 12 months following a Change in Control, in each case all unvested equity awards will vest in full.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231775</wp:posOffset>
            </wp:positionH>
            <wp:positionV relativeFrom="paragraph">
              <wp:posOffset>95885</wp:posOffset>
            </wp:positionV>
            <wp:extent cx="6687820" cy="1651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687820" cy="16510"/>
                    </a:xfrm>
                    <a:prstGeom prst="rect">
                      <a:avLst/>
                    </a:prstGeom>
                    <a:noFill/>
                  </pic:spPr>
                </pic:pic>
              </a:graphicData>
            </a:graphic>
          </wp:anchor>
        </w:drawing>
      </w:r>
    </w:p>
    <w:p>
      <w:pPr>
        <w:spacing w:after="0" w:line="320"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6443980</wp:posOffset>
            </wp:positionH>
            <wp:positionV relativeFrom="paragraph">
              <wp:posOffset>-113030</wp:posOffset>
            </wp:positionV>
            <wp:extent cx="475615" cy="15557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475615" cy="155575"/>
                    </a:xfrm>
                    <a:prstGeom prst="rect">
                      <a:avLst/>
                    </a:prstGeom>
                    <a:noFill/>
                  </pic:spPr>
                </pic:pic>
              </a:graphicData>
            </a:graphic>
          </wp:anchor>
        </w:drawing>
      </w:r>
    </w:p>
    <w:p>
      <w:pPr>
        <w:sectPr>
          <w:pgSz w:w="11900" w:h="16838" w:orient="portrait"/>
          <w:cols w:equalWidth="0" w:num="1">
            <w:col w:w="10900"/>
          </w:cols>
          <w:pgMar w:left="320" w:top="468" w:right="67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5397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79945" cy="53975"/>
                    </a:xfrm>
                    <a:prstGeom prst="rect">
                      <a:avLst/>
                    </a:prstGeom>
                    <a:noFill/>
                  </pic:spPr>
                </pic:pic>
              </a:graphicData>
            </a:graphic>
          </wp:anchor>
        </w:drawing>
        <w:t>Table of Contents</w:t>
      </w:r>
    </w:p>
    <w:p>
      <w:pPr>
        <w:spacing w:after="0" w:line="296"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auto"/>
        </w:rPr>
        <w:t>Equity Compensation Plan Information</w:t>
      </w:r>
    </w:p>
    <w:p>
      <w:pPr>
        <w:spacing w:after="0" w:line="21" w:lineRule="exact"/>
        <w:rPr>
          <w:sz w:val="20"/>
          <w:szCs w:val="20"/>
          <w:color w:val="auto"/>
        </w:rPr>
      </w:pPr>
    </w:p>
    <w:p>
      <w:pPr>
        <w:ind w:left="360"/>
        <w:spacing w:after="0"/>
        <w:rPr>
          <w:sz w:val="20"/>
          <w:szCs w:val="20"/>
          <w:color w:val="auto"/>
        </w:rPr>
      </w:pPr>
      <w:r>
        <w:rPr>
          <w:rFonts w:ascii="Arial" w:cs="Arial" w:eastAsia="Arial" w:hAnsi="Arial"/>
          <w:sz w:val="14"/>
          <w:szCs w:val="14"/>
          <w:b w:val="1"/>
          <w:bCs w:val="1"/>
          <w:color w:val="auto"/>
        </w:rPr>
        <w:t>2020 Omnibus Incentive Plan</w:t>
      </w:r>
    </w:p>
    <w:p>
      <w:pPr>
        <w:spacing w:after="0" w:line="90" w:lineRule="exact"/>
        <w:rPr>
          <w:sz w:val="20"/>
          <w:szCs w:val="20"/>
          <w:color w:val="auto"/>
        </w:rPr>
      </w:pPr>
    </w:p>
    <w:p>
      <w:pPr>
        <w:ind w:left="360"/>
        <w:spacing w:after="0"/>
        <w:rPr>
          <w:sz w:val="20"/>
          <w:szCs w:val="20"/>
          <w:color w:val="auto"/>
        </w:rPr>
      </w:pPr>
      <w:r>
        <w:rPr>
          <w:rFonts w:ascii="Arial" w:cs="Arial" w:eastAsia="Arial" w:hAnsi="Arial"/>
          <w:sz w:val="41"/>
          <w:szCs w:val="41"/>
          <w:b w:val="1"/>
          <w:bCs w:val="1"/>
          <w:color w:val="00B0DB"/>
        </w:rPr>
        <w:t>EQUITY COMPENSATION PLAN INFORMATION</w:t>
      </w:r>
    </w:p>
    <w:p>
      <w:pPr>
        <w:spacing w:after="0" w:line="237" w:lineRule="exact"/>
        <w:rPr>
          <w:sz w:val="20"/>
          <w:szCs w:val="20"/>
          <w:color w:val="auto"/>
        </w:rPr>
      </w:pPr>
    </w:p>
    <w:p>
      <w:pPr>
        <w:ind w:left="360" w:right="380"/>
        <w:spacing w:after="0" w:line="274" w:lineRule="auto"/>
        <w:rPr>
          <w:sz w:val="20"/>
          <w:szCs w:val="20"/>
          <w:color w:val="auto"/>
        </w:rPr>
      </w:pPr>
      <w:r>
        <w:rPr>
          <w:rFonts w:ascii="Arial" w:cs="Arial" w:eastAsia="Arial" w:hAnsi="Arial"/>
          <w:sz w:val="17"/>
          <w:szCs w:val="17"/>
          <w:color w:val="auto"/>
        </w:rPr>
        <w:t>The following table provides information as of December 31, 2022 with respect to the shares of our common stock that may be issued under our 2020 Incentive Plan.</w:t>
      </w:r>
    </w:p>
    <w:p>
      <w:pPr>
        <w:spacing w:after="0" w:line="176" w:lineRule="exact"/>
        <w:rPr>
          <w:sz w:val="20"/>
          <w:szCs w:val="20"/>
          <w:color w:val="auto"/>
        </w:rPr>
      </w:pPr>
    </w:p>
    <w:tbl>
      <w:tblPr>
        <w:tblLayout w:type="fixed"/>
        <w:tblInd w:w="360" w:type="dxa"/>
        <w:tblCellMar>
          <w:top w:w="0" w:type="dxa"/>
          <w:left w:w="0" w:type="dxa"/>
          <w:bottom w:w="0" w:type="dxa"/>
          <w:right w:w="0" w:type="dxa"/>
        </w:tblCellMar>
      </w:tblPr>
      <w:tr>
        <w:trPr>
          <w:trHeight w:val="181"/>
        </w:trPr>
        <w:tc>
          <w:tcPr>
            <w:tcW w:w="3440" w:type="dxa"/>
            <w:vAlign w:val="bottom"/>
          </w:tcPr>
          <w:p>
            <w:pPr>
              <w:spacing w:after="0"/>
              <w:rPr>
                <w:sz w:val="15"/>
                <w:szCs w:val="15"/>
                <w:color w:val="auto"/>
              </w:rPr>
            </w:pPr>
          </w:p>
        </w:tc>
        <w:tc>
          <w:tcPr>
            <w:tcW w:w="2320" w:type="dxa"/>
            <w:vAlign w:val="bottom"/>
            <w:vMerge w:val="restart"/>
          </w:tcPr>
          <w:p>
            <w:pPr>
              <w:jc w:val="center"/>
              <w:ind w:left="23"/>
              <w:spacing w:after="0"/>
              <w:rPr>
                <w:sz w:val="20"/>
                <w:szCs w:val="20"/>
                <w:color w:val="auto"/>
              </w:rPr>
            </w:pPr>
            <w:r>
              <w:rPr>
                <w:rFonts w:ascii="Arial" w:cs="Arial" w:eastAsia="Arial" w:hAnsi="Arial"/>
                <w:sz w:val="15"/>
                <w:szCs w:val="15"/>
                <w:b w:val="1"/>
                <w:bCs w:val="1"/>
                <w:color w:val="00467D"/>
              </w:rPr>
              <w:t>Securities to be Issued</w:t>
            </w:r>
          </w:p>
        </w:tc>
        <w:tc>
          <w:tcPr>
            <w:tcW w:w="1900" w:type="dxa"/>
            <w:vAlign w:val="bottom"/>
          </w:tcPr>
          <w:p>
            <w:pPr>
              <w:jc w:val="center"/>
              <w:spacing w:after="0"/>
              <w:rPr>
                <w:sz w:val="20"/>
                <w:szCs w:val="20"/>
                <w:color w:val="auto"/>
              </w:rPr>
            </w:pPr>
            <w:r>
              <w:rPr>
                <w:rFonts w:ascii="Arial" w:cs="Arial" w:eastAsia="Arial" w:hAnsi="Arial"/>
                <w:sz w:val="15"/>
                <w:szCs w:val="15"/>
                <w:b w:val="1"/>
                <w:bCs w:val="1"/>
                <w:color w:val="00467D"/>
              </w:rPr>
              <w:t>Weighted-Average</w:t>
            </w:r>
          </w:p>
        </w:tc>
        <w:tc>
          <w:tcPr>
            <w:tcW w:w="2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3440" w:type="dxa"/>
            <w:vAlign w:val="bottom"/>
          </w:tcPr>
          <w:p>
            <w:pPr>
              <w:spacing w:after="0"/>
              <w:rPr>
                <w:sz w:val="14"/>
                <w:szCs w:val="14"/>
                <w:color w:val="auto"/>
              </w:rPr>
            </w:pPr>
          </w:p>
        </w:tc>
        <w:tc>
          <w:tcPr>
            <w:tcW w:w="2320" w:type="dxa"/>
            <w:vAlign w:val="bottom"/>
            <w:vMerge w:val="continue"/>
          </w:tcPr>
          <w:p>
            <w:pPr>
              <w:spacing w:after="0"/>
              <w:rPr>
                <w:sz w:val="14"/>
                <w:szCs w:val="14"/>
                <w:color w:val="auto"/>
              </w:rPr>
            </w:pPr>
          </w:p>
        </w:tc>
        <w:tc>
          <w:tcPr>
            <w:tcW w:w="1900" w:type="dxa"/>
            <w:vAlign w:val="bottom"/>
          </w:tcPr>
          <w:p>
            <w:pPr>
              <w:jc w:val="center"/>
              <w:spacing w:after="0" w:line="168" w:lineRule="exact"/>
              <w:rPr>
                <w:sz w:val="20"/>
                <w:szCs w:val="20"/>
                <w:color w:val="auto"/>
              </w:rPr>
            </w:pPr>
            <w:r>
              <w:rPr>
                <w:rFonts w:ascii="Arial" w:cs="Arial" w:eastAsia="Arial" w:hAnsi="Arial"/>
                <w:sz w:val="15"/>
                <w:szCs w:val="15"/>
                <w:b w:val="1"/>
                <w:bCs w:val="1"/>
                <w:color w:val="00467D"/>
              </w:rPr>
              <w:t>Exercise Price of</w:t>
            </w:r>
          </w:p>
        </w:tc>
        <w:tc>
          <w:tcPr>
            <w:tcW w:w="2880" w:type="dxa"/>
            <w:vAlign w:val="bottom"/>
          </w:tcPr>
          <w:p>
            <w:pPr>
              <w:jc w:val="center"/>
              <w:ind w:left="143"/>
              <w:spacing w:after="0" w:line="168" w:lineRule="exact"/>
              <w:rPr>
                <w:sz w:val="20"/>
                <w:szCs w:val="20"/>
                <w:color w:val="auto"/>
              </w:rPr>
            </w:pPr>
            <w:r>
              <w:rPr>
                <w:rFonts w:ascii="Arial" w:cs="Arial" w:eastAsia="Arial" w:hAnsi="Arial"/>
                <w:sz w:val="15"/>
                <w:szCs w:val="15"/>
                <w:b w:val="1"/>
                <w:bCs w:val="1"/>
                <w:color w:val="00467D"/>
              </w:rPr>
              <w:t>Securities Remaining Available for</w:t>
            </w:r>
          </w:p>
        </w:tc>
        <w:tc>
          <w:tcPr>
            <w:tcW w:w="0" w:type="dxa"/>
            <w:vAlign w:val="bottom"/>
          </w:tcPr>
          <w:p>
            <w:pPr>
              <w:spacing w:after="0"/>
              <w:rPr>
                <w:sz w:val="1"/>
                <w:szCs w:val="1"/>
                <w:color w:val="auto"/>
              </w:rPr>
            </w:pPr>
          </w:p>
        </w:tc>
      </w:tr>
      <w:tr>
        <w:trPr>
          <w:trHeight w:val="181"/>
        </w:trPr>
        <w:tc>
          <w:tcPr>
            <w:tcW w:w="3440" w:type="dxa"/>
            <w:vAlign w:val="bottom"/>
          </w:tcPr>
          <w:p>
            <w:pPr>
              <w:spacing w:after="0"/>
              <w:rPr>
                <w:sz w:val="15"/>
                <w:szCs w:val="15"/>
                <w:color w:val="auto"/>
              </w:rPr>
            </w:pPr>
          </w:p>
        </w:tc>
        <w:tc>
          <w:tcPr>
            <w:tcW w:w="2320" w:type="dxa"/>
            <w:vAlign w:val="bottom"/>
          </w:tcPr>
          <w:p>
            <w:pPr>
              <w:jc w:val="center"/>
              <w:ind w:left="23"/>
              <w:spacing w:after="0"/>
              <w:rPr>
                <w:sz w:val="20"/>
                <w:szCs w:val="20"/>
                <w:color w:val="auto"/>
              </w:rPr>
            </w:pPr>
            <w:r>
              <w:rPr>
                <w:rFonts w:ascii="Arial" w:cs="Arial" w:eastAsia="Arial" w:hAnsi="Arial"/>
                <w:sz w:val="15"/>
                <w:szCs w:val="15"/>
                <w:b w:val="1"/>
                <w:bCs w:val="1"/>
                <w:color w:val="00467D"/>
              </w:rPr>
              <w:t>Upon Exercise of</w:t>
            </w:r>
          </w:p>
        </w:tc>
        <w:tc>
          <w:tcPr>
            <w:tcW w:w="1900" w:type="dxa"/>
            <w:vAlign w:val="bottom"/>
          </w:tcPr>
          <w:p>
            <w:pPr>
              <w:jc w:val="center"/>
              <w:spacing w:after="0"/>
              <w:rPr>
                <w:sz w:val="20"/>
                <w:szCs w:val="20"/>
                <w:color w:val="auto"/>
              </w:rPr>
            </w:pPr>
            <w:r>
              <w:rPr>
                <w:rFonts w:ascii="Arial" w:cs="Arial" w:eastAsia="Arial" w:hAnsi="Arial"/>
                <w:sz w:val="15"/>
                <w:szCs w:val="15"/>
                <w:b w:val="1"/>
                <w:bCs w:val="1"/>
                <w:color w:val="00467D"/>
              </w:rPr>
              <w:t>Outstanding</w:t>
            </w:r>
          </w:p>
        </w:tc>
        <w:tc>
          <w:tcPr>
            <w:tcW w:w="2880" w:type="dxa"/>
            <w:vAlign w:val="bottom"/>
          </w:tcPr>
          <w:p>
            <w:pPr>
              <w:jc w:val="center"/>
              <w:ind w:left="123"/>
              <w:spacing w:after="0"/>
              <w:rPr>
                <w:sz w:val="20"/>
                <w:szCs w:val="20"/>
                <w:color w:val="auto"/>
              </w:rPr>
            </w:pPr>
            <w:r>
              <w:rPr>
                <w:rFonts w:ascii="Arial" w:cs="Arial" w:eastAsia="Arial" w:hAnsi="Arial"/>
                <w:sz w:val="15"/>
                <w:szCs w:val="15"/>
                <w:b w:val="1"/>
                <w:bCs w:val="1"/>
                <w:color w:val="00467D"/>
              </w:rPr>
              <w:t>Future Issuance Under Equity</w:t>
            </w:r>
          </w:p>
        </w:tc>
        <w:tc>
          <w:tcPr>
            <w:tcW w:w="0" w:type="dxa"/>
            <w:vAlign w:val="bottom"/>
          </w:tcPr>
          <w:p>
            <w:pPr>
              <w:spacing w:after="0"/>
              <w:rPr>
                <w:sz w:val="1"/>
                <w:szCs w:val="1"/>
                <w:color w:val="auto"/>
              </w:rPr>
            </w:pPr>
          </w:p>
        </w:tc>
      </w:tr>
      <w:tr>
        <w:trPr>
          <w:trHeight w:val="181"/>
        </w:trPr>
        <w:tc>
          <w:tcPr>
            <w:tcW w:w="3440" w:type="dxa"/>
            <w:vAlign w:val="bottom"/>
          </w:tcPr>
          <w:p>
            <w:pPr>
              <w:spacing w:after="0"/>
              <w:rPr>
                <w:sz w:val="15"/>
                <w:szCs w:val="15"/>
                <w:color w:val="auto"/>
              </w:rPr>
            </w:pPr>
          </w:p>
        </w:tc>
        <w:tc>
          <w:tcPr>
            <w:tcW w:w="2320" w:type="dxa"/>
            <w:vAlign w:val="bottom"/>
          </w:tcPr>
          <w:p>
            <w:pPr>
              <w:jc w:val="center"/>
              <w:ind w:left="23"/>
              <w:spacing w:after="0"/>
              <w:rPr>
                <w:sz w:val="20"/>
                <w:szCs w:val="20"/>
                <w:color w:val="auto"/>
              </w:rPr>
            </w:pPr>
            <w:r>
              <w:rPr>
                <w:rFonts w:ascii="Arial" w:cs="Arial" w:eastAsia="Arial" w:hAnsi="Arial"/>
                <w:sz w:val="15"/>
                <w:szCs w:val="15"/>
                <w:b w:val="1"/>
                <w:bCs w:val="1"/>
                <w:color w:val="00467D"/>
              </w:rPr>
              <w:t>Outstanding Options,</w:t>
            </w:r>
          </w:p>
        </w:tc>
        <w:tc>
          <w:tcPr>
            <w:tcW w:w="1900" w:type="dxa"/>
            <w:vAlign w:val="bottom"/>
          </w:tcPr>
          <w:p>
            <w:pPr>
              <w:jc w:val="center"/>
              <w:spacing w:after="0"/>
              <w:rPr>
                <w:sz w:val="20"/>
                <w:szCs w:val="20"/>
                <w:color w:val="auto"/>
              </w:rPr>
            </w:pPr>
            <w:r>
              <w:rPr>
                <w:rFonts w:ascii="Arial" w:cs="Arial" w:eastAsia="Arial" w:hAnsi="Arial"/>
                <w:sz w:val="15"/>
                <w:szCs w:val="15"/>
                <w:b w:val="1"/>
                <w:bCs w:val="1"/>
                <w:color w:val="00467D"/>
              </w:rPr>
              <w:t>Options, Warrants</w:t>
            </w:r>
          </w:p>
        </w:tc>
        <w:tc>
          <w:tcPr>
            <w:tcW w:w="2880" w:type="dxa"/>
            <w:vAlign w:val="bottom"/>
          </w:tcPr>
          <w:p>
            <w:pPr>
              <w:jc w:val="center"/>
              <w:ind w:left="143"/>
              <w:spacing w:after="0"/>
              <w:rPr>
                <w:sz w:val="20"/>
                <w:szCs w:val="20"/>
                <w:color w:val="auto"/>
              </w:rPr>
            </w:pPr>
            <w:r>
              <w:rPr>
                <w:rFonts w:ascii="Arial" w:cs="Arial" w:eastAsia="Arial" w:hAnsi="Arial"/>
                <w:sz w:val="15"/>
                <w:szCs w:val="15"/>
                <w:b w:val="1"/>
                <w:bCs w:val="1"/>
                <w:color w:val="00467D"/>
              </w:rPr>
              <w:t>Compensation Plans (excluding</w:t>
            </w:r>
          </w:p>
        </w:tc>
        <w:tc>
          <w:tcPr>
            <w:tcW w:w="0" w:type="dxa"/>
            <w:vAlign w:val="bottom"/>
          </w:tcPr>
          <w:p>
            <w:pPr>
              <w:spacing w:after="0"/>
              <w:rPr>
                <w:sz w:val="1"/>
                <w:szCs w:val="1"/>
                <w:color w:val="auto"/>
              </w:rPr>
            </w:pPr>
          </w:p>
        </w:tc>
      </w:tr>
      <w:tr>
        <w:trPr>
          <w:trHeight w:val="181"/>
        </w:trPr>
        <w:tc>
          <w:tcPr>
            <w:tcW w:w="3440" w:type="dxa"/>
            <w:vAlign w:val="bottom"/>
          </w:tcPr>
          <w:p>
            <w:pPr>
              <w:spacing w:after="0"/>
              <w:rPr>
                <w:sz w:val="15"/>
                <w:szCs w:val="15"/>
                <w:color w:val="auto"/>
              </w:rPr>
            </w:pPr>
          </w:p>
        </w:tc>
        <w:tc>
          <w:tcPr>
            <w:tcW w:w="2320" w:type="dxa"/>
            <w:vAlign w:val="bottom"/>
          </w:tcPr>
          <w:p>
            <w:pPr>
              <w:jc w:val="center"/>
              <w:ind w:left="23"/>
              <w:spacing w:after="0"/>
              <w:rPr>
                <w:sz w:val="20"/>
                <w:szCs w:val="20"/>
                <w:color w:val="auto"/>
              </w:rPr>
            </w:pPr>
            <w:r>
              <w:rPr>
                <w:rFonts w:ascii="Arial" w:cs="Arial" w:eastAsia="Arial" w:hAnsi="Arial"/>
                <w:sz w:val="15"/>
                <w:szCs w:val="15"/>
                <w:b w:val="1"/>
                <w:bCs w:val="1"/>
                <w:color w:val="00467D"/>
              </w:rPr>
              <w:t>Warrants and Rights</w:t>
            </w:r>
          </w:p>
        </w:tc>
        <w:tc>
          <w:tcPr>
            <w:tcW w:w="1900" w:type="dxa"/>
            <w:vAlign w:val="bottom"/>
          </w:tcPr>
          <w:p>
            <w:pPr>
              <w:jc w:val="center"/>
              <w:spacing w:after="0"/>
              <w:rPr>
                <w:sz w:val="20"/>
                <w:szCs w:val="20"/>
                <w:color w:val="auto"/>
              </w:rPr>
            </w:pPr>
            <w:r>
              <w:rPr>
                <w:rFonts w:ascii="Arial" w:cs="Arial" w:eastAsia="Arial" w:hAnsi="Arial"/>
                <w:sz w:val="15"/>
                <w:szCs w:val="15"/>
                <w:b w:val="1"/>
                <w:bCs w:val="1"/>
                <w:color w:val="00467D"/>
              </w:rPr>
              <w:t>and Rights</w:t>
            </w:r>
          </w:p>
        </w:tc>
        <w:tc>
          <w:tcPr>
            <w:tcW w:w="2880" w:type="dxa"/>
            <w:vAlign w:val="bottom"/>
          </w:tcPr>
          <w:p>
            <w:pPr>
              <w:jc w:val="center"/>
              <w:ind w:left="123"/>
              <w:spacing w:after="0"/>
              <w:rPr>
                <w:sz w:val="20"/>
                <w:szCs w:val="20"/>
                <w:color w:val="auto"/>
              </w:rPr>
            </w:pPr>
            <w:r>
              <w:rPr>
                <w:rFonts w:ascii="Arial" w:cs="Arial" w:eastAsia="Arial" w:hAnsi="Arial"/>
                <w:sz w:val="15"/>
                <w:szCs w:val="15"/>
                <w:b w:val="1"/>
                <w:bCs w:val="1"/>
                <w:color w:val="00467D"/>
              </w:rPr>
              <w:t>securities reflected in column)</w:t>
            </w:r>
          </w:p>
        </w:tc>
        <w:tc>
          <w:tcPr>
            <w:tcW w:w="0" w:type="dxa"/>
            <w:vAlign w:val="bottom"/>
          </w:tcPr>
          <w:p>
            <w:pPr>
              <w:spacing w:after="0"/>
              <w:rPr>
                <w:sz w:val="1"/>
                <w:szCs w:val="1"/>
                <w:color w:val="auto"/>
              </w:rPr>
            </w:pPr>
          </w:p>
        </w:tc>
      </w:tr>
      <w:tr>
        <w:trPr>
          <w:trHeight w:val="208"/>
        </w:trPr>
        <w:tc>
          <w:tcPr>
            <w:tcW w:w="3440" w:type="dxa"/>
            <w:vAlign w:val="bottom"/>
            <w:tcBorders>
              <w:bottom w:val="single" w:sz="8" w:color="00467D"/>
            </w:tcBorders>
          </w:tcPr>
          <w:p>
            <w:pPr>
              <w:ind w:left="60"/>
              <w:spacing w:after="0"/>
              <w:rPr>
                <w:sz w:val="20"/>
                <w:szCs w:val="20"/>
                <w:color w:val="auto"/>
              </w:rPr>
            </w:pPr>
            <w:r>
              <w:rPr>
                <w:rFonts w:ascii="Arial" w:cs="Arial" w:eastAsia="Arial" w:hAnsi="Arial"/>
                <w:sz w:val="15"/>
                <w:szCs w:val="15"/>
                <w:b w:val="1"/>
                <w:bCs w:val="1"/>
                <w:color w:val="00467D"/>
              </w:rPr>
              <w:t>Plan category</w:t>
            </w:r>
          </w:p>
        </w:tc>
        <w:tc>
          <w:tcPr>
            <w:tcW w:w="2320" w:type="dxa"/>
            <w:vAlign w:val="bottom"/>
            <w:tcBorders>
              <w:bottom w:val="single" w:sz="8" w:color="00467D"/>
            </w:tcBorders>
          </w:tcPr>
          <w:p>
            <w:pPr>
              <w:jc w:val="center"/>
              <w:ind w:left="23"/>
              <w:spacing w:after="0"/>
              <w:rPr>
                <w:sz w:val="20"/>
                <w:szCs w:val="20"/>
                <w:color w:val="auto"/>
              </w:rPr>
            </w:pPr>
            <w:r>
              <w:rPr>
                <w:rFonts w:ascii="Arial" w:cs="Arial" w:eastAsia="Arial" w:hAnsi="Arial"/>
                <w:sz w:val="15"/>
                <w:szCs w:val="15"/>
                <w:b w:val="1"/>
                <w:bCs w:val="1"/>
                <w:color w:val="00467D"/>
              </w:rPr>
              <w:t>(#)(a)</w:t>
            </w:r>
          </w:p>
        </w:tc>
        <w:tc>
          <w:tcPr>
            <w:tcW w:w="1900" w:type="dxa"/>
            <w:vAlign w:val="bottom"/>
            <w:tcBorders>
              <w:bottom w:val="single" w:sz="8" w:color="00467D"/>
            </w:tcBorders>
          </w:tcPr>
          <w:p>
            <w:pPr>
              <w:jc w:val="center"/>
              <w:spacing w:after="0"/>
              <w:rPr>
                <w:sz w:val="20"/>
                <w:szCs w:val="20"/>
                <w:color w:val="auto"/>
              </w:rPr>
            </w:pPr>
            <w:r>
              <w:rPr>
                <w:rFonts w:ascii="Arial" w:cs="Arial" w:eastAsia="Arial" w:hAnsi="Arial"/>
                <w:sz w:val="15"/>
                <w:szCs w:val="15"/>
                <w:b w:val="1"/>
                <w:bCs w:val="1"/>
                <w:color w:val="00467D"/>
              </w:rPr>
              <w:t>($)(b)</w:t>
            </w:r>
          </w:p>
        </w:tc>
        <w:tc>
          <w:tcPr>
            <w:tcW w:w="2880" w:type="dxa"/>
            <w:vAlign w:val="bottom"/>
            <w:tcBorders>
              <w:bottom w:val="single" w:sz="8" w:color="00467D"/>
            </w:tcBorders>
          </w:tcPr>
          <w:p>
            <w:pPr>
              <w:jc w:val="center"/>
              <w:ind w:left="143"/>
              <w:spacing w:after="0"/>
              <w:rPr>
                <w:sz w:val="20"/>
                <w:szCs w:val="20"/>
                <w:color w:val="auto"/>
              </w:rPr>
            </w:pPr>
            <w:r>
              <w:rPr>
                <w:rFonts w:ascii="Arial" w:cs="Arial" w:eastAsia="Arial" w:hAnsi="Arial"/>
                <w:sz w:val="15"/>
                <w:szCs w:val="15"/>
                <w:b w:val="1"/>
                <w:bCs w:val="1"/>
                <w:color w:val="00467D"/>
              </w:rPr>
              <w:t>(a)(c)</w:t>
            </w:r>
          </w:p>
        </w:tc>
        <w:tc>
          <w:tcPr>
            <w:tcW w:w="0" w:type="dxa"/>
            <w:vAlign w:val="bottom"/>
          </w:tcPr>
          <w:p>
            <w:pPr>
              <w:spacing w:after="0"/>
              <w:rPr>
                <w:sz w:val="1"/>
                <w:szCs w:val="1"/>
                <w:color w:val="auto"/>
              </w:rPr>
            </w:pPr>
          </w:p>
        </w:tc>
      </w:tr>
      <w:tr>
        <w:trPr>
          <w:trHeight w:val="213"/>
        </w:trPr>
        <w:tc>
          <w:tcPr>
            <w:tcW w:w="3440" w:type="dxa"/>
            <w:vAlign w:val="bottom"/>
          </w:tcPr>
          <w:p>
            <w:pPr>
              <w:ind w:left="60"/>
              <w:spacing w:after="0"/>
              <w:rPr>
                <w:sz w:val="20"/>
                <w:szCs w:val="20"/>
                <w:color w:val="auto"/>
              </w:rPr>
            </w:pPr>
            <w:r>
              <w:rPr>
                <w:rFonts w:ascii="Arial" w:cs="Arial" w:eastAsia="Arial" w:hAnsi="Arial"/>
                <w:sz w:val="15"/>
                <w:szCs w:val="15"/>
                <w:color w:val="auto"/>
              </w:rPr>
              <w:t>Equity compensation plans approved by</w:t>
            </w:r>
          </w:p>
        </w:tc>
        <w:tc>
          <w:tcPr>
            <w:tcW w:w="23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440" w:type="dxa"/>
            <w:vAlign w:val="bottom"/>
            <w:tcBorders>
              <w:bottom w:val="single" w:sz="8" w:color="99B5CB"/>
            </w:tcBorders>
          </w:tcPr>
          <w:p>
            <w:pPr>
              <w:ind w:left="220"/>
              <w:spacing w:after="0"/>
              <w:rPr>
                <w:sz w:val="20"/>
                <w:szCs w:val="20"/>
                <w:color w:val="auto"/>
              </w:rPr>
            </w:pPr>
            <w:r>
              <w:rPr>
                <w:rFonts w:ascii="Arial" w:cs="Arial" w:eastAsia="Arial" w:hAnsi="Arial"/>
                <w:sz w:val="15"/>
                <w:szCs w:val="15"/>
                <w:color w:val="auto"/>
              </w:rPr>
              <w:t>security holders</w:t>
            </w:r>
          </w:p>
        </w:tc>
        <w:tc>
          <w:tcPr>
            <w:tcW w:w="2320" w:type="dxa"/>
            <w:vAlign w:val="bottom"/>
            <w:tcBorders>
              <w:bottom w:val="single" w:sz="8" w:color="99B5CB"/>
            </w:tcBorders>
          </w:tcPr>
          <w:p>
            <w:pPr>
              <w:ind w:left="880"/>
              <w:spacing w:after="0" w:line="219" w:lineRule="exact"/>
              <w:rPr>
                <w:sz w:val="20"/>
                <w:szCs w:val="20"/>
                <w:color w:val="auto"/>
              </w:rPr>
            </w:pPr>
            <w:r>
              <w:rPr>
                <w:rFonts w:ascii="Arial" w:cs="Arial" w:eastAsia="Arial" w:hAnsi="Arial"/>
                <w:sz w:val="15"/>
                <w:szCs w:val="15"/>
                <w:color w:val="auto"/>
              </w:rPr>
              <w:t>8,457,539</w:t>
            </w:r>
            <w:r>
              <w:rPr>
                <w:rFonts w:ascii="Arial" w:cs="Arial" w:eastAsia="Arial" w:hAnsi="Arial"/>
                <w:sz w:val="23"/>
                <w:szCs w:val="23"/>
                <w:color w:val="auto"/>
                <w:vertAlign w:val="superscript"/>
              </w:rPr>
              <w:t>(1)</w:t>
            </w:r>
          </w:p>
        </w:tc>
        <w:tc>
          <w:tcPr>
            <w:tcW w:w="1900" w:type="dxa"/>
            <w:vAlign w:val="bottom"/>
            <w:tcBorders>
              <w:bottom w:val="single" w:sz="8" w:color="99B5CB"/>
            </w:tcBorders>
          </w:tcPr>
          <w:p>
            <w:pPr>
              <w:ind w:left="680"/>
              <w:spacing w:after="0" w:line="219" w:lineRule="exact"/>
              <w:rPr>
                <w:sz w:val="20"/>
                <w:szCs w:val="20"/>
                <w:color w:val="auto"/>
              </w:rPr>
            </w:pPr>
            <w:r>
              <w:rPr>
                <w:rFonts w:ascii="Arial" w:cs="Arial" w:eastAsia="Arial" w:hAnsi="Arial"/>
                <w:sz w:val="15"/>
                <w:szCs w:val="15"/>
                <w:color w:val="auto"/>
              </w:rPr>
              <w:t>$14.33</w:t>
            </w:r>
            <w:r>
              <w:rPr>
                <w:rFonts w:ascii="Arial" w:cs="Arial" w:eastAsia="Arial" w:hAnsi="Arial"/>
                <w:sz w:val="23"/>
                <w:szCs w:val="23"/>
                <w:color w:val="auto"/>
                <w:vertAlign w:val="superscript"/>
              </w:rPr>
              <w:t>(2)</w:t>
            </w:r>
          </w:p>
        </w:tc>
        <w:tc>
          <w:tcPr>
            <w:tcW w:w="2880" w:type="dxa"/>
            <w:vAlign w:val="bottom"/>
            <w:tcBorders>
              <w:bottom w:val="single" w:sz="8" w:color="99B5CB"/>
            </w:tcBorders>
          </w:tcPr>
          <w:p>
            <w:pPr>
              <w:ind w:left="1040"/>
              <w:spacing w:after="0" w:line="219" w:lineRule="exact"/>
              <w:rPr>
                <w:sz w:val="20"/>
                <w:szCs w:val="20"/>
                <w:color w:val="auto"/>
              </w:rPr>
            </w:pPr>
            <w:r>
              <w:rPr>
                <w:rFonts w:ascii="Arial" w:cs="Arial" w:eastAsia="Arial" w:hAnsi="Arial"/>
                <w:sz w:val="15"/>
                <w:szCs w:val="15"/>
                <w:color w:val="auto"/>
              </w:rPr>
              <w:t>19,103,070</w:t>
            </w:r>
            <w:r>
              <w:rPr>
                <w:rFonts w:ascii="Arial" w:cs="Arial" w:eastAsia="Arial" w:hAnsi="Arial"/>
                <w:sz w:val="23"/>
                <w:szCs w:val="23"/>
                <w:color w:val="auto"/>
                <w:vertAlign w:val="superscript"/>
              </w:rPr>
              <w:t>(3)</w:t>
            </w:r>
          </w:p>
        </w:tc>
        <w:tc>
          <w:tcPr>
            <w:tcW w:w="0" w:type="dxa"/>
            <w:vAlign w:val="bottom"/>
          </w:tcPr>
          <w:p>
            <w:pPr>
              <w:spacing w:after="0"/>
              <w:rPr>
                <w:sz w:val="1"/>
                <w:szCs w:val="1"/>
                <w:color w:val="auto"/>
              </w:rPr>
            </w:pPr>
          </w:p>
        </w:tc>
      </w:tr>
      <w:tr>
        <w:trPr>
          <w:trHeight w:val="213"/>
        </w:trPr>
        <w:tc>
          <w:tcPr>
            <w:tcW w:w="3440" w:type="dxa"/>
            <w:vAlign w:val="bottom"/>
          </w:tcPr>
          <w:p>
            <w:pPr>
              <w:ind w:left="80"/>
              <w:spacing w:after="0"/>
              <w:rPr>
                <w:sz w:val="20"/>
                <w:szCs w:val="20"/>
                <w:color w:val="auto"/>
              </w:rPr>
            </w:pPr>
            <w:r>
              <w:rPr>
                <w:rFonts w:ascii="Arial" w:cs="Arial" w:eastAsia="Arial" w:hAnsi="Arial"/>
                <w:sz w:val="15"/>
                <w:szCs w:val="15"/>
                <w:color w:val="auto"/>
              </w:rPr>
              <w:t>Equity compensation plans not approved by</w:t>
            </w:r>
          </w:p>
        </w:tc>
        <w:tc>
          <w:tcPr>
            <w:tcW w:w="23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440" w:type="dxa"/>
            <w:vAlign w:val="bottom"/>
            <w:tcBorders>
              <w:bottom w:val="single" w:sz="8" w:color="99B5CB"/>
            </w:tcBorders>
          </w:tcPr>
          <w:p>
            <w:pPr>
              <w:ind w:left="240"/>
              <w:spacing w:after="0"/>
              <w:rPr>
                <w:sz w:val="20"/>
                <w:szCs w:val="20"/>
                <w:color w:val="auto"/>
              </w:rPr>
            </w:pPr>
            <w:r>
              <w:rPr>
                <w:rFonts w:ascii="Arial" w:cs="Arial" w:eastAsia="Arial" w:hAnsi="Arial"/>
                <w:sz w:val="15"/>
                <w:szCs w:val="15"/>
                <w:color w:val="auto"/>
              </w:rPr>
              <w:t>security holders</w:t>
            </w:r>
          </w:p>
        </w:tc>
        <w:tc>
          <w:tcPr>
            <w:tcW w:w="2320" w:type="dxa"/>
            <w:vAlign w:val="bottom"/>
            <w:tcBorders>
              <w:bottom w:val="single" w:sz="8" w:color="99B5CB"/>
            </w:tcBorders>
          </w:tcPr>
          <w:p>
            <w:pPr>
              <w:ind w:left="1180"/>
              <w:spacing w:after="0"/>
              <w:rPr>
                <w:sz w:val="20"/>
                <w:szCs w:val="20"/>
                <w:color w:val="auto"/>
              </w:rPr>
            </w:pPr>
            <w:r>
              <w:rPr>
                <w:rFonts w:ascii="Arial" w:cs="Arial" w:eastAsia="Arial" w:hAnsi="Arial"/>
                <w:sz w:val="15"/>
                <w:szCs w:val="15"/>
                <w:color w:val="auto"/>
              </w:rPr>
              <w:t>—</w:t>
            </w:r>
          </w:p>
        </w:tc>
        <w:tc>
          <w:tcPr>
            <w:tcW w:w="1900" w:type="dxa"/>
            <w:vAlign w:val="bottom"/>
            <w:tcBorders>
              <w:bottom w:val="single" w:sz="8" w:color="99B5CB"/>
            </w:tcBorders>
          </w:tcPr>
          <w:p>
            <w:pPr>
              <w:ind w:left="840"/>
              <w:spacing w:after="0"/>
              <w:rPr>
                <w:sz w:val="20"/>
                <w:szCs w:val="20"/>
                <w:color w:val="auto"/>
              </w:rPr>
            </w:pPr>
            <w:r>
              <w:rPr>
                <w:rFonts w:ascii="Arial" w:cs="Arial" w:eastAsia="Arial" w:hAnsi="Arial"/>
                <w:sz w:val="15"/>
                <w:szCs w:val="15"/>
                <w:color w:val="auto"/>
              </w:rPr>
              <w:t>—</w:t>
            </w:r>
          </w:p>
        </w:tc>
        <w:tc>
          <w:tcPr>
            <w:tcW w:w="2880" w:type="dxa"/>
            <w:vAlign w:val="bottom"/>
            <w:tcBorders>
              <w:bottom w:val="single" w:sz="8" w:color="99B5CB"/>
            </w:tcBorders>
          </w:tcPr>
          <w:p>
            <w:pPr>
              <w:ind w:left="14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51"/>
        </w:trPr>
        <w:tc>
          <w:tcPr>
            <w:tcW w:w="3440" w:type="dxa"/>
            <w:vAlign w:val="bottom"/>
            <w:tcBorders>
              <w:bottom w:val="single" w:sz="8" w:color="00467D"/>
            </w:tcBorders>
          </w:tcPr>
          <w:p>
            <w:pPr>
              <w:ind w:left="80"/>
              <w:spacing w:after="0"/>
              <w:rPr>
                <w:sz w:val="20"/>
                <w:szCs w:val="20"/>
                <w:color w:val="auto"/>
              </w:rPr>
            </w:pPr>
            <w:r>
              <w:rPr>
                <w:rFonts w:ascii="Arial" w:cs="Arial" w:eastAsia="Arial" w:hAnsi="Arial"/>
                <w:sz w:val="15"/>
                <w:szCs w:val="15"/>
                <w:color w:val="auto"/>
              </w:rPr>
              <w:t>Total</w:t>
            </w:r>
          </w:p>
        </w:tc>
        <w:tc>
          <w:tcPr>
            <w:tcW w:w="2320" w:type="dxa"/>
            <w:vAlign w:val="bottom"/>
            <w:tcBorders>
              <w:bottom w:val="single" w:sz="8" w:color="00467D"/>
            </w:tcBorders>
          </w:tcPr>
          <w:p>
            <w:pPr>
              <w:ind w:left="900"/>
              <w:spacing w:after="0"/>
              <w:rPr>
                <w:sz w:val="20"/>
                <w:szCs w:val="20"/>
                <w:color w:val="auto"/>
              </w:rPr>
            </w:pPr>
            <w:r>
              <w:rPr>
                <w:rFonts w:ascii="Arial" w:cs="Arial" w:eastAsia="Arial" w:hAnsi="Arial"/>
                <w:sz w:val="15"/>
                <w:szCs w:val="15"/>
                <w:color w:val="auto"/>
              </w:rPr>
              <w:t>8,457,539</w:t>
            </w:r>
          </w:p>
        </w:tc>
        <w:tc>
          <w:tcPr>
            <w:tcW w:w="1900" w:type="dxa"/>
            <w:vAlign w:val="bottom"/>
            <w:tcBorders>
              <w:bottom w:val="single" w:sz="8" w:color="00467D"/>
            </w:tcBorders>
          </w:tcPr>
          <w:p>
            <w:pPr>
              <w:ind w:left="680"/>
              <w:spacing w:after="0"/>
              <w:rPr>
                <w:sz w:val="20"/>
                <w:szCs w:val="20"/>
                <w:color w:val="auto"/>
              </w:rPr>
            </w:pPr>
            <w:r>
              <w:rPr>
                <w:rFonts w:ascii="Arial" w:cs="Arial" w:eastAsia="Arial" w:hAnsi="Arial"/>
                <w:sz w:val="15"/>
                <w:szCs w:val="15"/>
                <w:color w:val="auto"/>
              </w:rPr>
              <w:t>$14.33</w:t>
            </w:r>
          </w:p>
        </w:tc>
        <w:tc>
          <w:tcPr>
            <w:tcW w:w="2880" w:type="dxa"/>
            <w:vAlign w:val="bottom"/>
            <w:tcBorders>
              <w:bottom w:val="single" w:sz="8" w:color="00467D"/>
            </w:tcBorders>
          </w:tcPr>
          <w:p>
            <w:pPr>
              <w:ind w:left="1060"/>
              <w:spacing w:after="0"/>
              <w:rPr>
                <w:sz w:val="20"/>
                <w:szCs w:val="20"/>
                <w:color w:val="auto"/>
              </w:rPr>
            </w:pPr>
            <w:r>
              <w:rPr>
                <w:rFonts w:ascii="Arial" w:cs="Arial" w:eastAsia="Arial" w:hAnsi="Arial"/>
                <w:sz w:val="15"/>
                <w:szCs w:val="15"/>
                <w:color w:val="auto"/>
              </w:rPr>
              <w:t>19,103,070</w:t>
            </w:r>
          </w:p>
        </w:tc>
        <w:tc>
          <w:tcPr>
            <w:tcW w:w="0" w:type="dxa"/>
            <w:vAlign w:val="bottom"/>
          </w:tcPr>
          <w:p>
            <w:pPr>
              <w:spacing w:after="0"/>
              <w:rPr>
                <w:sz w:val="1"/>
                <w:szCs w:val="1"/>
                <w:color w:val="auto"/>
              </w:rPr>
            </w:pPr>
          </w:p>
        </w:tc>
      </w:tr>
    </w:tbl>
    <w:p>
      <w:pPr>
        <w:spacing w:after="0" w:line="70" w:lineRule="exact"/>
        <w:rPr>
          <w:sz w:val="20"/>
          <w:szCs w:val="20"/>
          <w:color w:val="auto"/>
        </w:rPr>
      </w:pPr>
    </w:p>
    <w:p>
      <w:pPr>
        <w:ind w:left="780" w:right="20" w:hanging="422"/>
        <w:spacing w:after="0" w:line="259" w:lineRule="auto"/>
        <w:tabs>
          <w:tab w:leader="none" w:pos="780" w:val="left"/>
        </w:tabs>
        <w:numPr>
          <w:ilvl w:val="0"/>
          <w:numId w:val="43"/>
        </w:numPr>
        <w:rPr>
          <w:rFonts w:ascii="Arial" w:cs="Arial" w:eastAsia="Arial" w:hAnsi="Arial"/>
          <w:sz w:val="14"/>
          <w:szCs w:val="14"/>
          <w:color w:val="auto"/>
        </w:rPr>
      </w:pPr>
      <w:r>
        <w:rPr>
          <w:rFonts w:ascii="Arial" w:cs="Arial" w:eastAsia="Arial" w:hAnsi="Arial"/>
          <w:sz w:val="14"/>
          <w:szCs w:val="14"/>
          <w:color w:val="auto"/>
        </w:rPr>
        <w:t>Includes (i) 2,467,069 shares of common stock issuable upon the vesting of RSUs awarded under our 2020 Incentive Plan; and (ii) 5,990,470 shares of common stock issuable upon the exercise of outstanding options granted under our 2020 Incentive Plan.</w:t>
      </w:r>
    </w:p>
    <w:p>
      <w:pPr>
        <w:spacing w:after="0" w:line="39" w:lineRule="exact"/>
        <w:rPr>
          <w:rFonts w:ascii="Arial" w:cs="Arial" w:eastAsia="Arial" w:hAnsi="Arial"/>
          <w:sz w:val="14"/>
          <w:szCs w:val="14"/>
          <w:color w:val="auto"/>
        </w:rPr>
      </w:pPr>
    </w:p>
    <w:p>
      <w:pPr>
        <w:ind w:left="780" w:hanging="422"/>
        <w:spacing w:after="0"/>
        <w:tabs>
          <w:tab w:leader="none" w:pos="780" w:val="left"/>
        </w:tabs>
        <w:numPr>
          <w:ilvl w:val="0"/>
          <w:numId w:val="43"/>
        </w:numPr>
        <w:rPr>
          <w:rFonts w:ascii="Arial" w:cs="Arial" w:eastAsia="Arial" w:hAnsi="Arial"/>
          <w:sz w:val="14"/>
          <w:szCs w:val="14"/>
          <w:color w:val="auto"/>
        </w:rPr>
      </w:pPr>
      <w:r>
        <w:rPr>
          <w:rFonts w:ascii="Arial" w:cs="Arial" w:eastAsia="Arial" w:hAnsi="Arial"/>
          <w:sz w:val="14"/>
          <w:szCs w:val="14"/>
          <w:color w:val="auto"/>
        </w:rPr>
        <w:t>Excludes RSUs as they have no exercise price.</w:t>
      </w:r>
    </w:p>
    <w:p>
      <w:pPr>
        <w:spacing w:after="0" w:line="71" w:lineRule="exact"/>
        <w:rPr>
          <w:rFonts w:ascii="Arial" w:cs="Arial" w:eastAsia="Arial" w:hAnsi="Arial"/>
          <w:sz w:val="14"/>
          <w:szCs w:val="14"/>
          <w:color w:val="auto"/>
        </w:rPr>
      </w:pPr>
    </w:p>
    <w:p>
      <w:pPr>
        <w:ind w:left="780" w:hanging="422"/>
        <w:spacing w:after="0"/>
        <w:tabs>
          <w:tab w:leader="none" w:pos="780" w:val="left"/>
        </w:tabs>
        <w:numPr>
          <w:ilvl w:val="0"/>
          <w:numId w:val="43"/>
        </w:numPr>
        <w:rPr>
          <w:rFonts w:ascii="Arial" w:cs="Arial" w:eastAsia="Arial" w:hAnsi="Arial"/>
          <w:sz w:val="14"/>
          <w:szCs w:val="14"/>
          <w:color w:val="auto"/>
        </w:rPr>
      </w:pPr>
      <w:r>
        <w:rPr>
          <w:rFonts w:ascii="Arial" w:cs="Arial" w:eastAsia="Arial" w:hAnsi="Arial"/>
          <w:sz w:val="14"/>
          <w:szCs w:val="14"/>
          <w:color w:val="auto"/>
        </w:rPr>
        <w:t>Reflects shares available for future issuance under the 2020 Incentive Plan, excluding shares underlying outstanding awards.</w:t>
      </w:r>
    </w:p>
    <w:p>
      <w:pPr>
        <w:spacing w:after="0" w:line="285" w:lineRule="exact"/>
        <w:rPr>
          <w:sz w:val="20"/>
          <w:szCs w:val="20"/>
          <w:color w:val="auto"/>
        </w:rPr>
      </w:pPr>
    </w:p>
    <w:p>
      <w:pPr>
        <w:ind w:left="360"/>
        <w:spacing w:after="0"/>
        <w:rPr>
          <w:sz w:val="20"/>
          <w:szCs w:val="20"/>
          <w:color w:val="auto"/>
        </w:rPr>
      </w:pPr>
      <w:r>
        <w:rPr>
          <w:rFonts w:ascii="Arial" w:cs="Arial" w:eastAsia="Arial" w:hAnsi="Arial"/>
          <w:sz w:val="31"/>
          <w:szCs w:val="31"/>
          <w:color w:val="00B0DB"/>
        </w:rPr>
        <w:t>2020 Omnibus Incentive Plan</w:t>
      </w:r>
    </w:p>
    <w:p>
      <w:pPr>
        <w:spacing w:after="0" w:line="221" w:lineRule="exact"/>
        <w:rPr>
          <w:sz w:val="20"/>
          <w:szCs w:val="20"/>
          <w:color w:val="auto"/>
        </w:rPr>
      </w:pPr>
    </w:p>
    <w:p>
      <w:pPr>
        <w:ind w:left="360" w:right="100"/>
        <w:spacing w:after="0" w:line="274" w:lineRule="auto"/>
        <w:rPr>
          <w:sz w:val="20"/>
          <w:szCs w:val="20"/>
          <w:color w:val="auto"/>
        </w:rPr>
      </w:pPr>
      <w:r>
        <w:rPr>
          <w:rFonts w:ascii="Arial" w:cs="Arial" w:eastAsia="Arial" w:hAnsi="Arial"/>
          <w:sz w:val="17"/>
          <w:szCs w:val="17"/>
          <w:color w:val="auto"/>
        </w:rPr>
        <w:t>Prior to our IPO, our Board adopted, and our sole shareholder approved, our 2020 Incentive Plan. The maximum number of shares of our common stock that may be issued under our 2020 Incentive Plan is 27,900,000 shares.</w:t>
      </w:r>
    </w:p>
    <w:p>
      <w:pPr>
        <w:spacing w:after="0" w:line="147" w:lineRule="exact"/>
        <w:rPr>
          <w:sz w:val="20"/>
          <w:szCs w:val="20"/>
          <w:color w:val="auto"/>
        </w:rPr>
      </w:pPr>
    </w:p>
    <w:p>
      <w:pPr>
        <w:ind w:left="360" w:right="320"/>
        <w:spacing w:after="0" w:line="246" w:lineRule="auto"/>
        <w:rPr>
          <w:sz w:val="20"/>
          <w:szCs w:val="20"/>
          <w:color w:val="auto"/>
        </w:rPr>
      </w:pPr>
      <w:r>
        <w:rPr>
          <w:rFonts w:ascii="Arial" w:cs="Arial" w:eastAsia="Arial" w:hAnsi="Arial"/>
          <w:sz w:val="17"/>
          <w:szCs w:val="17"/>
          <w:color w:val="auto"/>
        </w:rPr>
        <w:t>Any employee, director or consultant of the Company is eligible to receive an award under the 2020 Incentive Plan, to the extent that a grant of such award is permitted by applicable law, stock market or exchange rules and regulations, or any accounting or tax rules and regulations. The 2020 Incentive Plan provides for the grant of stock options (including incentive stock options and nonqualified stock options), restricted stock awards, RSUs and other cash-based, equity-based or equity-related awards. Each award granted under the 2020 Incentive Plan will be set forth in a separate award agreement and will indicate the type and terms and conditions of the award.</w:t>
      </w:r>
    </w:p>
    <w:p>
      <w:pPr>
        <w:spacing w:after="0" w:line="173" w:lineRule="exact"/>
        <w:rPr>
          <w:sz w:val="20"/>
          <w:szCs w:val="20"/>
          <w:color w:val="auto"/>
        </w:rPr>
      </w:pPr>
    </w:p>
    <w:p>
      <w:pPr>
        <w:ind w:left="360" w:right="100"/>
        <w:spacing w:after="0" w:line="242" w:lineRule="auto"/>
        <w:rPr>
          <w:sz w:val="20"/>
          <w:szCs w:val="20"/>
          <w:color w:val="auto"/>
        </w:rPr>
      </w:pPr>
      <w:r>
        <w:rPr>
          <w:rFonts w:ascii="Arial" w:cs="Arial" w:eastAsia="Arial" w:hAnsi="Arial"/>
          <w:sz w:val="17"/>
          <w:szCs w:val="17"/>
          <w:color w:val="auto"/>
        </w:rPr>
        <w:t>As provided for under the 2020 Incentive Plan, the administrator of the 2020 Incentive Plan shall be either the Board or a committee appointed by the Board to administer the 2020 Incentive Plan. The Board has designated the LD&amp;C Committee to administer the 2020 Incentive Plan and grant awards thereunder. Pursuant to the terms of the 2020 Incentive Plan, the administrator has the authority to authorize a subcommittee consisting of one or more members of the Board (including members who are employees of the Company) or employees of the Company to grant awards to persons who are not “executive officers” of the Company. The LD&amp;C Committee has delegated to Mr. Petras, in his capacity as both a Board member and employee, the power to grant, without any further action required by the LD&amp;C Committee, a predetermined number of equity awards to employees who are not executive officers of the Company. The purpose of this delegation of authority is to enhance the flexibility of equity award administration within the Company and to facilitate the timely grant of equity incentives to non-executive officer employees, within the limits approved by the LD&amp;C Committee or the Board.</w:t>
      </w:r>
    </w:p>
    <w:p>
      <w:pPr>
        <w:spacing w:after="0" w:line="269" w:lineRule="exact"/>
        <w:rPr>
          <w:sz w:val="20"/>
          <w:szCs w:val="20"/>
          <w:color w:val="auto"/>
        </w:rPr>
      </w:pPr>
    </w:p>
    <w:p>
      <w:pPr>
        <w:ind w:left="360"/>
        <w:spacing w:after="0"/>
        <w:rPr>
          <w:sz w:val="20"/>
          <w:szCs w:val="20"/>
          <w:color w:val="auto"/>
        </w:rPr>
      </w:pPr>
      <w:r>
        <w:rPr>
          <w:rFonts w:ascii="Arial" w:cs="Arial" w:eastAsia="Arial" w:hAnsi="Arial"/>
          <w:sz w:val="31"/>
          <w:szCs w:val="31"/>
          <w:color w:val="00B0DB"/>
        </w:rPr>
        <w:t>Corporate Reorganization &amp; Distribution of Shares</w:t>
      </w:r>
    </w:p>
    <w:p>
      <w:pPr>
        <w:spacing w:after="0" w:line="221" w:lineRule="exact"/>
        <w:rPr>
          <w:sz w:val="20"/>
          <w:szCs w:val="20"/>
          <w:color w:val="auto"/>
        </w:rPr>
      </w:pPr>
    </w:p>
    <w:p>
      <w:pPr>
        <w:ind w:left="360" w:right="100"/>
        <w:spacing w:after="0" w:line="246" w:lineRule="auto"/>
        <w:rPr>
          <w:sz w:val="20"/>
          <w:szCs w:val="20"/>
          <w:color w:val="auto"/>
        </w:rPr>
      </w:pPr>
      <w:r>
        <w:rPr>
          <w:rFonts w:ascii="Arial" w:cs="Arial" w:eastAsia="Arial" w:hAnsi="Arial"/>
          <w:sz w:val="17"/>
          <w:szCs w:val="17"/>
          <w:color w:val="auto"/>
        </w:rPr>
        <w:t>Before our IPO, we were a wholly owned subsidiary of Topco Parent, a Delaware limited partnership. Pursuant to the terms of the corporate reorganization that we completed prior to our IPO, Topco Parent dissolved and in liquidation distributed shares of Sotera Health Company common stock to its limited partners in accordance with the limited partnership agreement of Topco Parent. Each holder of limited partnership interests in Topco Parent prior to our IPO, including Messrs. Petras, Leffler, Rutz and Klaben, Ms. Klee and the Sponsors, received an in-kind distribution of shares of our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231775</wp:posOffset>
            </wp:positionH>
            <wp:positionV relativeFrom="paragraph">
              <wp:posOffset>95885</wp:posOffset>
            </wp:positionV>
            <wp:extent cx="6687820" cy="1651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687820" cy="16510"/>
                    </a:xfrm>
                    <a:prstGeom prst="rect">
                      <a:avLst/>
                    </a:prstGeom>
                    <a:noFill/>
                  </pic:spPr>
                </pic:pic>
              </a:graphicData>
            </a:graphic>
          </wp:anchor>
        </w:drawing>
      </w:r>
    </w:p>
    <w:p>
      <w:pPr>
        <w:spacing w:after="0" w:line="320" w:lineRule="exact"/>
        <w:rPr>
          <w:sz w:val="20"/>
          <w:szCs w:val="20"/>
          <w:color w:val="auto"/>
        </w:rPr>
      </w:pPr>
    </w:p>
    <w:tbl>
      <w:tblPr>
        <w:tblLayout w:type="fixed"/>
        <w:tblInd w:w="360" w:type="dxa"/>
        <w:tblCellMar>
          <w:top w:w="0" w:type="dxa"/>
          <w:left w:w="0" w:type="dxa"/>
          <w:bottom w:w="0" w:type="dxa"/>
          <w:right w:w="0" w:type="dxa"/>
        </w:tblCellMar>
      </w:tblPr>
      <w:tr>
        <w:trPr>
          <w:trHeight w:val="226"/>
        </w:trPr>
        <w:tc>
          <w:tcPr>
            <w:tcW w:w="3900" w:type="dxa"/>
            <w:vAlign w:val="bottom"/>
          </w:tcPr>
          <w:p>
            <w:pPr>
              <w:spacing w:after="0"/>
              <w:rPr>
                <w:sz w:val="20"/>
                <w:szCs w:val="20"/>
                <w:color w:val="auto"/>
              </w:rPr>
            </w:pPr>
            <w:r>
              <w:rPr>
                <w:rFonts w:ascii="Arial" w:cs="Arial" w:eastAsia="Arial" w:hAnsi="Arial"/>
                <w:sz w:val="17"/>
                <w:szCs w:val="17"/>
                <w:color w:val="auto"/>
              </w:rPr>
              <w:t>2023 Notice and Proxy Statement</w:t>
            </w:r>
          </w:p>
        </w:tc>
        <w:tc>
          <w:tcPr>
            <w:tcW w:w="1520" w:type="dxa"/>
            <w:vAlign w:val="bottom"/>
          </w:tcPr>
          <w:p>
            <w:pPr>
              <w:jc w:val="right"/>
              <w:spacing w:after="0"/>
              <w:rPr>
                <w:sz w:val="20"/>
                <w:szCs w:val="20"/>
                <w:color w:val="auto"/>
              </w:rPr>
            </w:pPr>
            <w:r>
              <w:rPr>
                <w:rFonts w:ascii="Arial" w:cs="Arial" w:eastAsia="Arial" w:hAnsi="Arial"/>
                <w:sz w:val="17"/>
                <w:szCs w:val="17"/>
                <w:color w:val="auto"/>
              </w:rPr>
              <w:t>60</w:t>
            </w:r>
          </w:p>
        </w:tc>
      </w:tr>
    </w:tbl>
    <w:p>
      <w:pPr>
        <w:sectPr>
          <w:pgSz w:w="11900" w:h="16838" w:orient="portrait"/>
          <w:cols w:equalWidth="0" w:num="1">
            <w:col w:w="10900"/>
          </w:cols>
          <w:pgMar w:left="320" w:top="468" w:right="67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5397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79945" cy="53975"/>
                    </a:xfrm>
                    <a:prstGeom prst="rect">
                      <a:avLst/>
                    </a:prstGeom>
                    <a:noFill/>
                  </pic:spPr>
                </pic:pic>
              </a:graphicData>
            </a:graphic>
          </wp:anchor>
        </w:drawing>
        <w:t>Table of Contents</w:t>
      </w:r>
    </w:p>
    <w:p>
      <w:pPr>
        <w:spacing w:after="0" w:line="296"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Equity Compensation Plan Information</w:t>
      </w:r>
    </w:p>
    <w:p>
      <w:pPr>
        <w:spacing w:after="0" w:line="21" w:lineRule="exact"/>
        <w:rPr>
          <w:sz w:val="20"/>
          <w:szCs w:val="20"/>
          <w:color w:val="auto"/>
        </w:rPr>
      </w:pPr>
    </w:p>
    <w:p>
      <w:pPr>
        <w:ind w:left="7580"/>
        <w:spacing w:after="0"/>
        <w:rPr>
          <w:sz w:val="20"/>
          <w:szCs w:val="20"/>
          <w:color w:val="auto"/>
        </w:rPr>
      </w:pPr>
      <w:r>
        <w:rPr>
          <w:rFonts w:ascii="Arial" w:cs="Arial" w:eastAsia="Arial" w:hAnsi="Arial"/>
          <w:sz w:val="13"/>
          <w:szCs w:val="13"/>
          <w:b w:val="1"/>
          <w:bCs w:val="1"/>
          <w:color w:val="auto"/>
        </w:rPr>
        <w:t>Corporate Reorganization &amp; Distribution of Shares</w:t>
      </w:r>
    </w:p>
    <w:p>
      <w:pPr>
        <w:spacing w:after="0" w:line="126" w:lineRule="exact"/>
        <w:rPr>
          <w:sz w:val="20"/>
          <w:szCs w:val="20"/>
          <w:color w:val="auto"/>
        </w:rPr>
      </w:pPr>
    </w:p>
    <w:p>
      <w:pPr>
        <w:ind w:left="360"/>
        <w:spacing w:after="0"/>
        <w:rPr>
          <w:sz w:val="20"/>
          <w:szCs w:val="20"/>
          <w:color w:val="auto"/>
        </w:rPr>
      </w:pPr>
      <w:r>
        <w:rPr>
          <w:rFonts w:ascii="Arial" w:cs="Arial" w:eastAsia="Arial" w:hAnsi="Arial"/>
          <w:sz w:val="17"/>
          <w:szCs w:val="17"/>
          <w:color w:val="auto"/>
        </w:rPr>
        <w:t>(in certain circumstances subject to restrictions as described below) with respect to those interests as part of the corporate reorganization.</w:t>
      </w:r>
    </w:p>
    <w:p>
      <w:pPr>
        <w:spacing w:after="0" w:line="205" w:lineRule="exact"/>
        <w:rPr>
          <w:sz w:val="20"/>
          <w:szCs w:val="20"/>
          <w:color w:val="auto"/>
        </w:rPr>
      </w:pPr>
    </w:p>
    <w:p>
      <w:pPr>
        <w:ind w:left="360" w:right="20"/>
        <w:spacing w:after="0" w:line="242" w:lineRule="auto"/>
        <w:rPr>
          <w:sz w:val="20"/>
          <w:szCs w:val="20"/>
          <w:color w:val="auto"/>
        </w:rPr>
      </w:pPr>
      <w:r>
        <w:rPr>
          <w:rFonts w:ascii="Arial" w:cs="Arial" w:eastAsia="Arial" w:hAnsi="Arial"/>
          <w:sz w:val="17"/>
          <w:szCs w:val="17"/>
          <w:color w:val="auto"/>
        </w:rPr>
        <w:t>In connection with such distribution, each individual holder of limited partnership interests in Topco Parent prior to the IPO, including our named executive officers and Ms. Klee, executed the Restricted Stock Agreement and Acknowledgment (the “RSA”) in the form filed as an exhibit to our registration statement. The RSA provides that any shares of our common stock distributed to an individual in respect of any partnership interests that were vested as of the distribution were not subject to any vesting or forfeiture restrictions following the IPO. With respect to shares of common stock distributed in respect of any partnership interests that were unvested as of the distribution, the RSA generally provides that such shares shall be subject to the same vesting and forfeiture restrictions that applied to such unvested partnership interests prior to the distribution. Pursuant to the terms of our Stockholders’ Agreement, following the distribution, shares of our common stock held by members of our management team and certain members of our Board (including Mr. Petras) are subject to transfer restrictions unless such restrictions are otherwise waived by the LD&amp;C Committee. See “Stockholders’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231775</wp:posOffset>
            </wp:positionH>
            <wp:positionV relativeFrom="paragraph">
              <wp:posOffset>97155</wp:posOffset>
            </wp:positionV>
            <wp:extent cx="6687820" cy="1651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687820" cy="16510"/>
                    </a:xfrm>
                    <a:prstGeom prst="rect">
                      <a:avLst/>
                    </a:prstGeom>
                    <a:noFill/>
                  </pic:spPr>
                </pic:pic>
              </a:graphicData>
            </a:graphic>
          </wp:anchor>
        </w:drawing>
      </w:r>
    </w:p>
    <w:p>
      <w:pPr>
        <w:spacing w:after="0" w:line="323"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6443980</wp:posOffset>
            </wp:positionH>
            <wp:positionV relativeFrom="paragraph">
              <wp:posOffset>-113030</wp:posOffset>
            </wp:positionV>
            <wp:extent cx="475615" cy="15557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475615" cy="155575"/>
                    </a:xfrm>
                    <a:prstGeom prst="rect">
                      <a:avLst/>
                    </a:prstGeom>
                    <a:noFill/>
                  </pic:spPr>
                </pic:pic>
              </a:graphicData>
            </a:graphic>
          </wp:anchor>
        </w:drawing>
      </w:r>
    </w:p>
    <w:p>
      <w:pPr>
        <w:sectPr>
          <w:pgSz w:w="11900" w:h="16838" w:orient="portrait"/>
          <w:cols w:equalWidth="0" w:num="1">
            <w:col w:w="10900"/>
          </w:cols>
          <w:pgMar w:left="320" w:top="468" w:right="67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5397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79945" cy="53975"/>
                    </a:xfrm>
                    <a:prstGeom prst="rect">
                      <a:avLst/>
                    </a:prstGeom>
                    <a:noFill/>
                  </pic:spPr>
                </pic:pic>
              </a:graphicData>
            </a:graphic>
          </wp:anchor>
        </w:drawing>
        <w:t>Table of Contents</w:t>
      </w:r>
    </w:p>
    <w:p>
      <w:pPr>
        <w:spacing w:after="0" w:line="296"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auto"/>
        </w:rPr>
        <w:t>Pay Versus Performance</w:t>
      </w:r>
    </w:p>
    <w:p>
      <w:pPr>
        <w:spacing w:after="0" w:line="21" w:lineRule="exact"/>
        <w:rPr>
          <w:sz w:val="20"/>
          <w:szCs w:val="20"/>
          <w:color w:val="auto"/>
        </w:rPr>
      </w:pPr>
    </w:p>
    <w:p>
      <w:pPr>
        <w:ind w:left="360"/>
        <w:spacing w:after="0"/>
        <w:rPr>
          <w:sz w:val="20"/>
          <w:szCs w:val="20"/>
          <w:color w:val="auto"/>
        </w:rPr>
      </w:pPr>
      <w:r>
        <w:rPr>
          <w:rFonts w:ascii="Arial" w:cs="Arial" w:eastAsia="Arial" w:hAnsi="Arial"/>
          <w:sz w:val="14"/>
          <w:szCs w:val="14"/>
          <w:b w:val="1"/>
          <w:bCs w:val="1"/>
          <w:color w:val="auto"/>
        </w:rPr>
        <w:t>Pay versus Performance Table</w:t>
      </w:r>
    </w:p>
    <w:p>
      <w:pPr>
        <w:spacing w:after="0" w:line="90" w:lineRule="exact"/>
        <w:rPr>
          <w:sz w:val="20"/>
          <w:szCs w:val="20"/>
          <w:color w:val="auto"/>
        </w:rPr>
      </w:pPr>
    </w:p>
    <w:p>
      <w:pPr>
        <w:ind w:left="360"/>
        <w:spacing w:after="0"/>
        <w:rPr>
          <w:sz w:val="20"/>
          <w:szCs w:val="20"/>
          <w:color w:val="auto"/>
        </w:rPr>
      </w:pPr>
      <w:r>
        <w:rPr>
          <w:rFonts w:ascii="Arial" w:cs="Arial" w:eastAsia="Arial" w:hAnsi="Arial"/>
          <w:sz w:val="41"/>
          <w:szCs w:val="41"/>
          <w:b w:val="1"/>
          <w:bCs w:val="1"/>
          <w:color w:val="00B0DB"/>
        </w:rPr>
        <w:t>PAY VERSUS PERFORMANCE</w:t>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31"/>
          <w:szCs w:val="31"/>
          <w:color w:val="00B0DB"/>
        </w:rPr>
        <w:t>Pay versus Performance Table</w:t>
      </w:r>
    </w:p>
    <w:p>
      <w:pPr>
        <w:spacing w:after="0" w:line="221" w:lineRule="exact"/>
        <w:rPr>
          <w:sz w:val="20"/>
          <w:szCs w:val="20"/>
          <w:color w:val="auto"/>
        </w:rPr>
      </w:pPr>
    </w:p>
    <w:p>
      <w:pPr>
        <w:ind w:left="360" w:right="20"/>
        <w:spacing w:after="0" w:line="250" w:lineRule="auto"/>
        <w:rPr>
          <w:sz w:val="20"/>
          <w:szCs w:val="20"/>
          <w:color w:val="auto"/>
        </w:rPr>
      </w:pPr>
      <w:r>
        <w:rPr>
          <w:rFonts w:ascii="Arial" w:cs="Arial" w:eastAsia="Arial" w:hAnsi="Arial"/>
          <w:sz w:val="17"/>
          <w:szCs w:val="17"/>
          <w:color w:val="auto"/>
        </w:rPr>
        <w:t>The following section has been prepared in accordance with the SEC’s new rules requiring annual disclosure of pay-versus-performance (“PvP”) which shows the relationship between executive compensation actually paid (“CAP”) and the Company’s performance. The following pay versus performance disclosure is based on upon permitted methodology, pursuant to the SEC guidance under Item 402(v) of Regulation S-K for 2022:</w:t>
      </w:r>
    </w:p>
    <w:p>
      <w:pPr>
        <w:spacing w:after="0" w:line="195" w:lineRule="exact"/>
        <w:rPr>
          <w:sz w:val="20"/>
          <w:szCs w:val="20"/>
          <w:color w:val="auto"/>
        </w:rPr>
      </w:pPr>
    </w:p>
    <w:tbl>
      <w:tblPr>
        <w:tblLayout w:type="fixed"/>
        <w:tblInd w:w="360" w:type="dxa"/>
        <w:tblCellMar>
          <w:top w:w="0" w:type="dxa"/>
          <w:left w:w="0" w:type="dxa"/>
          <w:bottom w:w="0" w:type="dxa"/>
          <w:right w:w="0" w:type="dxa"/>
        </w:tblCellMar>
      </w:tblPr>
      <w:tr>
        <w:trPr>
          <w:trHeight w:val="247"/>
        </w:trPr>
        <w:tc>
          <w:tcPr>
            <w:tcW w:w="720" w:type="dxa"/>
            <w:vAlign w:val="bottom"/>
            <w:tcBorders>
              <w:bottom w:val="single" w:sz="8" w:color="00467D"/>
            </w:tcBorders>
          </w:tcPr>
          <w:p>
            <w:pPr>
              <w:ind w:left="60"/>
              <w:spacing w:after="0"/>
              <w:rPr>
                <w:sz w:val="20"/>
                <w:szCs w:val="20"/>
                <w:color w:val="auto"/>
              </w:rPr>
            </w:pPr>
            <w:r>
              <w:rPr>
                <w:rFonts w:ascii="Arial" w:cs="Arial" w:eastAsia="Arial" w:hAnsi="Arial"/>
                <w:sz w:val="15"/>
                <w:szCs w:val="15"/>
                <w:b w:val="1"/>
                <w:bCs w:val="1"/>
                <w:color w:val="00467D"/>
              </w:rPr>
              <w:t>(a)</w:t>
            </w:r>
          </w:p>
        </w:tc>
        <w:tc>
          <w:tcPr>
            <w:tcW w:w="1380" w:type="dxa"/>
            <w:vAlign w:val="bottom"/>
            <w:tcBorders>
              <w:bottom w:val="single" w:sz="8" w:color="00467D"/>
            </w:tcBorders>
          </w:tcPr>
          <w:p>
            <w:pPr>
              <w:jc w:val="center"/>
              <w:spacing w:after="0"/>
              <w:rPr>
                <w:sz w:val="20"/>
                <w:szCs w:val="20"/>
                <w:color w:val="auto"/>
              </w:rPr>
            </w:pPr>
            <w:r>
              <w:rPr>
                <w:rFonts w:ascii="Arial" w:cs="Arial" w:eastAsia="Arial" w:hAnsi="Arial"/>
                <w:sz w:val="15"/>
                <w:szCs w:val="15"/>
                <w:b w:val="1"/>
                <w:bCs w:val="1"/>
                <w:color w:val="00467D"/>
                <w:w w:val="92"/>
              </w:rPr>
              <w:t>(b)</w:t>
            </w:r>
            <w:r>
              <w:rPr>
                <w:rFonts w:ascii="Arial" w:cs="Arial" w:eastAsia="Arial" w:hAnsi="Arial"/>
                <w:sz w:val="19"/>
                <w:szCs w:val="19"/>
                <w:b w:val="1"/>
                <w:bCs w:val="1"/>
                <w:color w:val="00467D"/>
                <w:w w:val="92"/>
                <w:vertAlign w:val="superscript"/>
              </w:rPr>
              <w:t>(1)</w:t>
            </w:r>
          </w:p>
        </w:tc>
        <w:tc>
          <w:tcPr>
            <w:tcW w:w="1340" w:type="dxa"/>
            <w:vAlign w:val="bottom"/>
            <w:tcBorders>
              <w:bottom w:val="single" w:sz="8" w:color="00467D"/>
            </w:tcBorders>
          </w:tcPr>
          <w:p>
            <w:pPr>
              <w:jc w:val="center"/>
              <w:spacing w:after="0"/>
              <w:rPr>
                <w:sz w:val="20"/>
                <w:szCs w:val="20"/>
                <w:color w:val="auto"/>
              </w:rPr>
            </w:pPr>
            <w:r>
              <w:rPr>
                <w:rFonts w:ascii="Arial" w:cs="Arial" w:eastAsia="Arial" w:hAnsi="Arial"/>
                <w:sz w:val="15"/>
                <w:szCs w:val="15"/>
                <w:b w:val="1"/>
                <w:bCs w:val="1"/>
                <w:color w:val="00467D"/>
                <w:w w:val="88"/>
              </w:rPr>
              <w:t>(c)</w:t>
            </w:r>
            <w:r>
              <w:rPr>
                <w:rFonts w:ascii="Arial" w:cs="Arial" w:eastAsia="Arial" w:hAnsi="Arial"/>
                <w:sz w:val="19"/>
                <w:szCs w:val="19"/>
                <w:b w:val="1"/>
                <w:bCs w:val="1"/>
                <w:color w:val="00467D"/>
                <w:w w:val="88"/>
                <w:vertAlign w:val="superscript"/>
              </w:rPr>
              <w:t>(2)</w:t>
            </w:r>
          </w:p>
        </w:tc>
        <w:tc>
          <w:tcPr>
            <w:tcW w:w="260" w:type="dxa"/>
            <w:vAlign w:val="bottom"/>
            <w:tcBorders>
              <w:bottom w:val="single" w:sz="8" w:color="00467D"/>
            </w:tcBorders>
          </w:tcPr>
          <w:p>
            <w:pPr>
              <w:spacing w:after="0"/>
              <w:rPr>
                <w:sz w:val="21"/>
                <w:szCs w:val="21"/>
                <w:color w:val="auto"/>
              </w:rPr>
            </w:pPr>
          </w:p>
        </w:tc>
        <w:tc>
          <w:tcPr>
            <w:tcW w:w="1100" w:type="dxa"/>
            <w:vAlign w:val="bottom"/>
            <w:tcBorders>
              <w:bottom w:val="single" w:sz="8" w:color="00467D"/>
            </w:tcBorders>
          </w:tcPr>
          <w:p>
            <w:pPr>
              <w:jc w:val="center"/>
              <w:ind w:right="178"/>
              <w:spacing w:after="0"/>
              <w:rPr>
                <w:sz w:val="20"/>
                <w:szCs w:val="20"/>
                <w:color w:val="auto"/>
              </w:rPr>
            </w:pPr>
            <w:r>
              <w:rPr>
                <w:rFonts w:ascii="Arial" w:cs="Arial" w:eastAsia="Arial" w:hAnsi="Arial"/>
                <w:sz w:val="15"/>
                <w:szCs w:val="15"/>
                <w:b w:val="1"/>
                <w:bCs w:val="1"/>
                <w:color w:val="00467D"/>
                <w:w w:val="92"/>
              </w:rPr>
              <w:t>(d)</w:t>
            </w:r>
            <w:r>
              <w:rPr>
                <w:rFonts w:ascii="Arial" w:cs="Arial" w:eastAsia="Arial" w:hAnsi="Arial"/>
                <w:sz w:val="19"/>
                <w:szCs w:val="19"/>
                <w:b w:val="1"/>
                <w:bCs w:val="1"/>
                <w:color w:val="00467D"/>
                <w:w w:val="92"/>
                <w:vertAlign w:val="superscript"/>
              </w:rPr>
              <w:t>(3)</w:t>
            </w:r>
          </w:p>
        </w:tc>
        <w:tc>
          <w:tcPr>
            <w:tcW w:w="300" w:type="dxa"/>
            <w:vAlign w:val="bottom"/>
            <w:tcBorders>
              <w:bottom w:val="single" w:sz="8" w:color="00467D"/>
            </w:tcBorders>
          </w:tcPr>
          <w:p>
            <w:pPr>
              <w:spacing w:after="0"/>
              <w:rPr>
                <w:sz w:val="21"/>
                <w:szCs w:val="21"/>
                <w:color w:val="auto"/>
              </w:rPr>
            </w:pPr>
          </w:p>
        </w:tc>
        <w:tc>
          <w:tcPr>
            <w:tcW w:w="1120" w:type="dxa"/>
            <w:vAlign w:val="bottom"/>
            <w:tcBorders>
              <w:bottom w:val="single" w:sz="8" w:color="00467D"/>
            </w:tcBorders>
          </w:tcPr>
          <w:p>
            <w:pPr>
              <w:jc w:val="center"/>
              <w:ind w:right="237"/>
              <w:spacing w:after="0"/>
              <w:rPr>
                <w:sz w:val="20"/>
                <w:szCs w:val="20"/>
                <w:color w:val="auto"/>
              </w:rPr>
            </w:pPr>
            <w:r>
              <w:rPr>
                <w:rFonts w:ascii="Arial" w:cs="Arial" w:eastAsia="Arial" w:hAnsi="Arial"/>
                <w:sz w:val="15"/>
                <w:szCs w:val="15"/>
                <w:b w:val="1"/>
                <w:bCs w:val="1"/>
                <w:color w:val="00467D"/>
                <w:w w:val="94"/>
              </w:rPr>
              <w:t>(e)</w:t>
            </w:r>
            <w:r>
              <w:rPr>
                <w:rFonts w:ascii="Arial" w:cs="Arial" w:eastAsia="Arial" w:hAnsi="Arial"/>
                <w:sz w:val="19"/>
                <w:szCs w:val="19"/>
                <w:b w:val="1"/>
                <w:bCs w:val="1"/>
                <w:color w:val="00467D"/>
                <w:w w:val="94"/>
                <w:vertAlign w:val="superscript"/>
              </w:rPr>
              <w:t>(4)</w:t>
            </w:r>
          </w:p>
        </w:tc>
        <w:tc>
          <w:tcPr>
            <w:tcW w:w="260" w:type="dxa"/>
            <w:vAlign w:val="bottom"/>
            <w:tcBorders>
              <w:bottom w:val="single" w:sz="8" w:color="00467D"/>
            </w:tcBorders>
          </w:tcPr>
          <w:p>
            <w:pPr>
              <w:spacing w:after="0"/>
              <w:rPr>
                <w:sz w:val="21"/>
                <w:szCs w:val="21"/>
                <w:color w:val="auto"/>
              </w:rPr>
            </w:pPr>
          </w:p>
        </w:tc>
        <w:tc>
          <w:tcPr>
            <w:tcW w:w="880" w:type="dxa"/>
            <w:vAlign w:val="bottom"/>
            <w:tcBorders>
              <w:bottom w:val="single" w:sz="8" w:color="00467D"/>
            </w:tcBorders>
          </w:tcPr>
          <w:p>
            <w:pPr>
              <w:jc w:val="center"/>
              <w:ind w:right="179"/>
              <w:spacing w:after="0"/>
              <w:rPr>
                <w:sz w:val="20"/>
                <w:szCs w:val="20"/>
                <w:color w:val="auto"/>
              </w:rPr>
            </w:pPr>
            <w:r>
              <w:rPr>
                <w:rFonts w:ascii="Arial" w:cs="Arial" w:eastAsia="Arial" w:hAnsi="Arial"/>
                <w:sz w:val="15"/>
                <w:szCs w:val="15"/>
                <w:b w:val="1"/>
                <w:bCs w:val="1"/>
                <w:color w:val="00467D"/>
                <w:w w:val="85"/>
              </w:rPr>
              <w:t>(f)</w:t>
            </w:r>
            <w:r>
              <w:rPr>
                <w:rFonts w:ascii="Arial" w:cs="Arial" w:eastAsia="Arial" w:hAnsi="Arial"/>
                <w:sz w:val="19"/>
                <w:szCs w:val="19"/>
                <w:b w:val="1"/>
                <w:bCs w:val="1"/>
                <w:color w:val="00467D"/>
                <w:w w:val="85"/>
                <w:vertAlign w:val="superscript"/>
              </w:rPr>
              <w:t>(5)</w:t>
            </w:r>
          </w:p>
        </w:tc>
        <w:tc>
          <w:tcPr>
            <w:tcW w:w="260" w:type="dxa"/>
            <w:vAlign w:val="bottom"/>
            <w:tcBorders>
              <w:bottom w:val="single" w:sz="8" w:color="00467D"/>
            </w:tcBorders>
          </w:tcPr>
          <w:p>
            <w:pPr>
              <w:spacing w:after="0"/>
              <w:rPr>
                <w:sz w:val="21"/>
                <w:szCs w:val="21"/>
                <w:color w:val="auto"/>
              </w:rPr>
            </w:pPr>
          </w:p>
        </w:tc>
        <w:tc>
          <w:tcPr>
            <w:tcW w:w="820" w:type="dxa"/>
            <w:vAlign w:val="bottom"/>
            <w:tcBorders>
              <w:bottom w:val="single" w:sz="8" w:color="00467D"/>
            </w:tcBorders>
          </w:tcPr>
          <w:p>
            <w:pPr>
              <w:jc w:val="center"/>
              <w:ind w:right="118"/>
              <w:spacing w:after="0"/>
              <w:rPr>
                <w:sz w:val="20"/>
                <w:szCs w:val="20"/>
                <w:color w:val="auto"/>
              </w:rPr>
            </w:pPr>
            <w:r>
              <w:rPr>
                <w:rFonts w:ascii="Arial" w:cs="Arial" w:eastAsia="Arial" w:hAnsi="Arial"/>
                <w:sz w:val="15"/>
                <w:szCs w:val="15"/>
                <w:b w:val="1"/>
                <w:bCs w:val="1"/>
                <w:color w:val="00467D"/>
                <w:w w:val="86"/>
              </w:rPr>
              <w:t>(g)</w:t>
            </w:r>
            <w:r>
              <w:rPr>
                <w:rFonts w:ascii="Arial" w:cs="Arial" w:eastAsia="Arial" w:hAnsi="Arial"/>
                <w:sz w:val="19"/>
                <w:szCs w:val="19"/>
                <w:b w:val="1"/>
                <w:bCs w:val="1"/>
                <w:color w:val="00467D"/>
                <w:w w:val="86"/>
                <w:vertAlign w:val="superscript"/>
              </w:rPr>
              <w:t>(6)</w:t>
            </w:r>
          </w:p>
        </w:tc>
        <w:tc>
          <w:tcPr>
            <w:tcW w:w="1100" w:type="dxa"/>
            <w:vAlign w:val="bottom"/>
            <w:tcBorders>
              <w:bottom w:val="single" w:sz="8" w:color="00467D"/>
            </w:tcBorders>
          </w:tcPr>
          <w:p>
            <w:pPr>
              <w:jc w:val="center"/>
              <w:spacing w:after="0"/>
              <w:rPr>
                <w:sz w:val="20"/>
                <w:szCs w:val="20"/>
                <w:color w:val="auto"/>
              </w:rPr>
            </w:pPr>
            <w:r>
              <w:rPr>
                <w:rFonts w:ascii="Arial" w:cs="Arial" w:eastAsia="Arial" w:hAnsi="Arial"/>
                <w:sz w:val="15"/>
                <w:szCs w:val="15"/>
                <w:b w:val="1"/>
                <w:bCs w:val="1"/>
                <w:color w:val="00467D"/>
                <w:w w:val="92"/>
              </w:rPr>
              <w:t>(h)</w:t>
            </w:r>
            <w:r>
              <w:rPr>
                <w:rFonts w:ascii="Arial" w:cs="Arial" w:eastAsia="Arial" w:hAnsi="Arial"/>
                <w:sz w:val="19"/>
                <w:szCs w:val="19"/>
                <w:b w:val="1"/>
                <w:bCs w:val="1"/>
                <w:color w:val="00467D"/>
                <w:w w:val="92"/>
                <w:vertAlign w:val="superscript"/>
              </w:rPr>
              <w:t>(7)</w:t>
            </w:r>
          </w:p>
        </w:tc>
        <w:tc>
          <w:tcPr>
            <w:tcW w:w="1000" w:type="dxa"/>
            <w:vAlign w:val="bottom"/>
            <w:tcBorders>
              <w:bottom w:val="single" w:sz="8" w:color="00467D"/>
            </w:tcBorders>
          </w:tcPr>
          <w:p>
            <w:pPr>
              <w:jc w:val="center"/>
              <w:spacing w:after="0"/>
              <w:rPr>
                <w:sz w:val="20"/>
                <w:szCs w:val="20"/>
                <w:color w:val="auto"/>
              </w:rPr>
            </w:pPr>
            <w:r>
              <w:rPr>
                <w:rFonts w:ascii="Arial" w:cs="Arial" w:eastAsia="Arial" w:hAnsi="Arial"/>
                <w:sz w:val="15"/>
                <w:szCs w:val="15"/>
                <w:b w:val="1"/>
                <w:bCs w:val="1"/>
                <w:color w:val="00467D"/>
                <w:w w:val="94"/>
              </w:rPr>
              <w:t>(i)</w:t>
            </w:r>
            <w:r>
              <w:rPr>
                <w:rFonts w:ascii="Arial" w:cs="Arial" w:eastAsia="Arial" w:hAnsi="Arial"/>
                <w:sz w:val="19"/>
                <w:szCs w:val="19"/>
                <w:b w:val="1"/>
                <w:bCs w:val="1"/>
                <w:color w:val="00467D"/>
                <w:w w:val="94"/>
                <w:vertAlign w:val="superscript"/>
              </w:rPr>
              <w:t>(8)</w:t>
            </w:r>
          </w:p>
        </w:tc>
        <w:tc>
          <w:tcPr>
            <w:tcW w:w="0" w:type="dxa"/>
            <w:vAlign w:val="bottom"/>
          </w:tcPr>
          <w:p>
            <w:pPr>
              <w:spacing w:after="0"/>
              <w:rPr>
                <w:sz w:val="1"/>
                <w:szCs w:val="1"/>
                <w:color w:val="auto"/>
              </w:rPr>
            </w:pPr>
          </w:p>
        </w:tc>
      </w:tr>
      <w:tr>
        <w:trPr>
          <w:trHeight w:val="198"/>
        </w:trPr>
        <w:tc>
          <w:tcPr>
            <w:tcW w:w="7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960" w:type="dxa"/>
            <w:vAlign w:val="bottom"/>
            <w:gridSpan w:val="3"/>
          </w:tcPr>
          <w:p>
            <w:pPr>
              <w:jc w:val="right"/>
              <w:ind w:right="278"/>
              <w:spacing w:after="0"/>
              <w:rPr>
                <w:sz w:val="20"/>
                <w:szCs w:val="20"/>
                <w:color w:val="auto"/>
              </w:rPr>
            </w:pPr>
            <w:r>
              <w:rPr>
                <w:rFonts w:ascii="Arial" w:cs="Arial" w:eastAsia="Arial" w:hAnsi="Arial"/>
                <w:sz w:val="15"/>
                <w:szCs w:val="15"/>
                <w:b w:val="1"/>
                <w:bCs w:val="1"/>
                <w:color w:val="00467D"/>
              </w:rPr>
              <w:t>Value of initial fixed</w:t>
            </w:r>
          </w:p>
        </w:tc>
        <w:tc>
          <w:tcPr>
            <w:tcW w:w="1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7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vMerge w:val="restart"/>
          </w:tcPr>
          <w:p>
            <w:pPr>
              <w:jc w:val="center"/>
              <w:ind w:right="178"/>
              <w:spacing w:after="0"/>
              <w:rPr>
                <w:sz w:val="20"/>
                <w:szCs w:val="20"/>
                <w:color w:val="auto"/>
              </w:rPr>
            </w:pPr>
            <w:r>
              <w:rPr>
                <w:rFonts w:ascii="Arial" w:cs="Arial" w:eastAsia="Arial" w:hAnsi="Arial"/>
                <w:sz w:val="15"/>
                <w:szCs w:val="15"/>
                <w:b w:val="1"/>
                <w:bCs w:val="1"/>
                <w:color w:val="00467D"/>
              </w:rPr>
              <w:t>Average</w:t>
            </w: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20" w:type="dxa"/>
            <w:vAlign w:val="bottom"/>
            <w:gridSpan w:val="4"/>
          </w:tcPr>
          <w:p>
            <w:pPr>
              <w:jc w:val="right"/>
              <w:spacing w:after="0"/>
              <w:rPr>
                <w:sz w:val="20"/>
                <w:szCs w:val="20"/>
                <w:color w:val="auto"/>
              </w:rPr>
            </w:pPr>
            <w:r>
              <w:rPr>
                <w:rFonts w:ascii="Arial" w:cs="Arial" w:eastAsia="Arial" w:hAnsi="Arial"/>
                <w:sz w:val="15"/>
                <w:szCs w:val="15"/>
                <w:b w:val="1"/>
                <w:bCs w:val="1"/>
                <w:color w:val="00467D"/>
              </w:rPr>
              <w:t>$100 investment based on:</w:t>
            </w:r>
          </w:p>
        </w:tc>
        <w:tc>
          <w:tcPr>
            <w:tcW w:w="1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
        </w:trPr>
        <w:tc>
          <w:tcPr>
            <w:tcW w:w="7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vMerge w:val="continue"/>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60" w:type="dxa"/>
            <w:vAlign w:val="bottom"/>
            <w:tcBorders>
              <w:bottom w:val="single" w:sz="8" w:color="00467D"/>
            </w:tcBorders>
          </w:tcPr>
          <w:p>
            <w:pPr>
              <w:spacing w:after="0"/>
              <w:rPr>
                <w:sz w:val="2"/>
                <w:szCs w:val="2"/>
                <w:color w:val="auto"/>
              </w:rPr>
            </w:pPr>
          </w:p>
        </w:tc>
        <w:tc>
          <w:tcPr>
            <w:tcW w:w="880" w:type="dxa"/>
            <w:vAlign w:val="bottom"/>
            <w:tcBorders>
              <w:bottom w:val="single" w:sz="8" w:color="00467D"/>
            </w:tcBorders>
          </w:tcPr>
          <w:p>
            <w:pPr>
              <w:spacing w:after="0"/>
              <w:rPr>
                <w:sz w:val="2"/>
                <w:szCs w:val="2"/>
                <w:color w:val="auto"/>
              </w:rPr>
            </w:pPr>
          </w:p>
        </w:tc>
        <w:tc>
          <w:tcPr>
            <w:tcW w:w="260" w:type="dxa"/>
            <w:vAlign w:val="bottom"/>
            <w:tcBorders>
              <w:bottom w:val="single" w:sz="8" w:color="00467D"/>
            </w:tcBorders>
          </w:tcPr>
          <w:p>
            <w:pPr>
              <w:spacing w:after="0"/>
              <w:rPr>
                <w:sz w:val="2"/>
                <w:szCs w:val="2"/>
                <w:color w:val="auto"/>
              </w:rPr>
            </w:pPr>
          </w:p>
        </w:tc>
        <w:tc>
          <w:tcPr>
            <w:tcW w:w="820" w:type="dxa"/>
            <w:vAlign w:val="bottom"/>
            <w:tcBorders>
              <w:bottom w:val="single" w:sz="8" w:color="00467D"/>
            </w:tcBorders>
          </w:tcPr>
          <w:p>
            <w:pPr>
              <w:spacing w:after="0"/>
              <w:rPr>
                <w:sz w:val="2"/>
                <w:szCs w:val="2"/>
                <w:color w:val="auto"/>
              </w:rPr>
            </w:pPr>
          </w:p>
        </w:tc>
        <w:tc>
          <w:tcPr>
            <w:tcW w:w="1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1"/>
        </w:trPr>
        <w:tc>
          <w:tcPr>
            <w:tcW w:w="720" w:type="dxa"/>
            <w:vAlign w:val="bottom"/>
          </w:tcPr>
          <w:p>
            <w:pPr>
              <w:spacing w:after="0"/>
              <w:rPr>
                <w:sz w:val="13"/>
                <w:szCs w:val="13"/>
                <w:color w:val="auto"/>
              </w:rPr>
            </w:pPr>
          </w:p>
        </w:tc>
        <w:tc>
          <w:tcPr>
            <w:tcW w:w="1380" w:type="dxa"/>
            <w:vAlign w:val="bottom"/>
          </w:tcPr>
          <w:p>
            <w:pPr>
              <w:jc w:val="center"/>
              <w:spacing w:after="0" w:line="161" w:lineRule="exact"/>
              <w:rPr>
                <w:sz w:val="20"/>
                <w:szCs w:val="20"/>
                <w:color w:val="auto"/>
              </w:rPr>
            </w:pPr>
            <w:r>
              <w:rPr>
                <w:rFonts w:ascii="Arial" w:cs="Arial" w:eastAsia="Arial" w:hAnsi="Arial"/>
                <w:sz w:val="15"/>
                <w:szCs w:val="15"/>
                <w:b w:val="1"/>
                <w:bCs w:val="1"/>
                <w:color w:val="00467D"/>
              </w:rPr>
              <w:t>Summary</w:t>
            </w:r>
          </w:p>
        </w:tc>
        <w:tc>
          <w:tcPr>
            <w:tcW w:w="1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00" w:type="dxa"/>
            <w:vAlign w:val="bottom"/>
          </w:tcPr>
          <w:p>
            <w:pPr>
              <w:jc w:val="center"/>
              <w:ind w:right="198"/>
              <w:spacing w:after="0" w:line="161" w:lineRule="exact"/>
              <w:rPr>
                <w:sz w:val="20"/>
                <w:szCs w:val="20"/>
                <w:color w:val="auto"/>
              </w:rPr>
            </w:pPr>
            <w:r>
              <w:rPr>
                <w:rFonts w:ascii="Arial" w:cs="Arial" w:eastAsia="Arial" w:hAnsi="Arial"/>
                <w:sz w:val="15"/>
                <w:szCs w:val="15"/>
                <w:b w:val="1"/>
                <w:bCs w:val="1"/>
                <w:color w:val="00467D"/>
              </w:rPr>
              <w:t>Summary</w:t>
            </w:r>
          </w:p>
        </w:tc>
        <w:tc>
          <w:tcPr>
            <w:tcW w:w="300" w:type="dxa"/>
            <w:vAlign w:val="bottom"/>
          </w:tcPr>
          <w:p>
            <w:pPr>
              <w:spacing w:after="0"/>
              <w:rPr>
                <w:sz w:val="13"/>
                <w:szCs w:val="13"/>
                <w:color w:val="auto"/>
              </w:rPr>
            </w:pPr>
          </w:p>
        </w:tc>
        <w:tc>
          <w:tcPr>
            <w:tcW w:w="1120" w:type="dxa"/>
            <w:vAlign w:val="bottom"/>
          </w:tcPr>
          <w:p>
            <w:pPr>
              <w:jc w:val="center"/>
              <w:ind w:right="237"/>
              <w:spacing w:after="0" w:line="161" w:lineRule="exact"/>
              <w:rPr>
                <w:sz w:val="20"/>
                <w:szCs w:val="20"/>
                <w:color w:val="auto"/>
              </w:rPr>
            </w:pPr>
            <w:r>
              <w:rPr>
                <w:rFonts w:ascii="Arial" w:cs="Arial" w:eastAsia="Arial" w:hAnsi="Arial"/>
                <w:sz w:val="15"/>
                <w:szCs w:val="15"/>
                <w:b w:val="1"/>
                <w:bCs w:val="1"/>
                <w:color w:val="00467D"/>
              </w:rPr>
              <w:t>Average</w:t>
            </w: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80" w:type="dxa"/>
            <w:vAlign w:val="bottom"/>
            <w:gridSpan w:val="2"/>
          </w:tcPr>
          <w:p>
            <w:pPr>
              <w:jc w:val="center"/>
              <w:spacing w:after="0" w:line="161" w:lineRule="exact"/>
              <w:rPr>
                <w:sz w:val="20"/>
                <w:szCs w:val="20"/>
                <w:color w:val="auto"/>
              </w:rPr>
            </w:pPr>
            <w:r>
              <w:rPr>
                <w:rFonts w:ascii="Arial" w:cs="Arial" w:eastAsia="Arial" w:hAnsi="Arial"/>
                <w:sz w:val="15"/>
                <w:szCs w:val="15"/>
                <w:b w:val="1"/>
                <w:bCs w:val="1"/>
                <w:color w:val="00467D"/>
              </w:rPr>
              <w:t>Peer Group</w:t>
            </w:r>
          </w:p>
        </w:tc>
        <w:tc>
          <w:tcPr>
            <w:tcW w:w="1100" w:type="dxa"/>
            <w:vAlign w:val="bottom"/>
          </w:tcPr>
          <w:p>
            <w:pPr>
              <w:jc w:val="center"/>
              <w:spacing w:after="0" w:line="161" w:lineRule="exact"/>
              <w:rPr>
                <w:sz w:val="20"/>
                <w:szCs w:val="20"/>
                <w:color w:val="auto"/>
              </w:rPr>
            </w:pPr>
            <w:r>
              <w:rPr>
                <w:rFonts w:ascii="Arial" w:cs="Arial" w:eastAsia="Arial" w:hAnsi="Arial"/>
                <w:sz w:val="15"/>
                <w:szCs w:val="15"/>
                <w:b w:val="1"/>
                <w:bCs w:val="1"/>
                <w:color w:val="00467D"/>
              </w:rPr>
              <w:t>Net</w:t>
            </w: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720" w:type="dxa"/>
            <w:vAlign w:val="bottom"/>
          </w:tcPr>
          <w:p>
            <w:pPr>
              <w:spacing w:after="0"/>
              <w:rPr>
                <w:sz w:val="15"/>
                <w:szCs w:val="15"/>
                <w:color w:val="auto"/>
              </w:rPr>
            </w:pPr>
          </w:p>
        </w:tc>
        <w:tc>
          <w:tcPr>
            <w:tcW w:w="1380" w:type="dxa"/>
            <w:vAlign w:val="bottom"/>
          </w:tcPr>
          <w:p>
            <w:pPr>
              <w:jc w:val="center"/>
              <w:spacing w:after="0"/>
              <w:rPr>
                <w:sz w:val="20"/>
                <w:szCs w:val="20"/>
                <w:color w:val="auto"/>
              </w:rPr>
            </w:pPr>
            <w:r>
              <w:rPr>
                <w:rFonts w:ascii="Arial" w:cs="Arial" w:eastAsia="Arial" w:hAnsi="Arial"/>
                <w:sz w:val="15"/>
                <w:szCs w:val="15"/>
                <w:b w:val="1"/>
                <w:bCs w:val="1"/>
                <w:color w:val="00467D"/>
              </w:rPr>
              <w:t>Compensation</w:t>
            </w:r>
          </w:p>
        </w:tc>
        <w:tc>
          <w:tcPr>
            <w:tcW w:w="1340" w:type="dxa"/>
            <w:vAlign w:val="bottom"/>
          </w:tcPr>
          <w:p>
            <w:pPr>
              <w:jc w:val="center"/>
              <w:spacing w:after="0"/>
              <w:rPr>
                <w:sz w:val="20"/>
                <w:szCs w:val="20"/>
                <w:color w:val="auto"/>
              </w:rPr>
            </w:pPr>
            <w:r>
              <w:rPr>
                <w:rFonts w:ascii="Arial" w:cs="Arial" w:eastAsia="Arial" w:hAnsi="Arial"/>
                <w:sz w:val="15"/>
                <w:szCs w:val="15"/>
                <w:b w:val="1"/>
                <w:bCs w:val="1"/>
                <w:color w:val="00467D"/>
              </w:rPr>
              <w:t>Compensation</w:t>
            </w:r>
          </w:p>
        </w:tc>
        <w:tc>
          <w:tcPr>
            <w:tcW w:w="1360" w:type="dxa"/>
            <w:vAlign w:val="bottom"/>
            <w:gridSpan w:val="2"/>
          </w:tcPr>
          <w:p>
            <w:pPr>
              <w:jc w:val="center"/>
              <w:spacing w:after="0"/>
              <w:rPr>
                <w:sz w:val="20"/>
                <w:szCs w:val="20"/>
                <w:color w:val="auto"/>
              </w:rPr>
            </w:pPr>
            <w:r>
              <w:rPr>
                <w:rFonts w:ascii="Arial" w:cs="Arial" w:eastAsia="Arial" w:hAnsi="Arial"/>
                <w:sz w:val="15"/>
                <w:szCs w:val="15"/>
                <w:b w:val="1"/>
                <w:bCs w:val="1"/>
                <w:color w:val="00467D"/>
              </w:rPr>
              <w:t>Compensation</w:t>
            </w:r>
          </w:p>
        </w:tc>
        <w:tc>
          <w:tcPr>
            <w:tcW w:w="1420" w:type="dxa"/>
            <w:vAlign w:val="bottom"/>
            <w:gridSpan w:val="2"/>
          </w:tcPr>
          <w:p>
            <w:pPr>
              <w:jc w:val="center"/>
              <w:spacing w:after="0"/>
              <w:rPr>
                <w:sz w:val="20"/>
                <w:szCs w:val="20"/>
                <w:color w:val="auto"/>
              </w:rPr>
            </w:pPr>
            <w:r>
              <w:rPr>
                <w:rFonts w:ascii="Arial" w:cs="Arial" w:eastAsia="Arial" w:hAnsi="Arial"/>
                <w:sz w:val="15"/>
                <w:szCs w:val="15"/>
                <w:b w:val="1"/>
                <w:bCs w:val="1"/>
                <w:color w:val="00467D"/>
              </w:rPr>
              <w:t>Compensation</w:t>
            </w:r>
          </w:p>
        </w:tc>
        <w:tc>
          <w:tcPr>
            <w:tcW w:w="260" w:type="dxa"/>
            <w:vAlign w:val="bottom"/>
          </w:tcPr>
          <w:p>
            <w:pPr>
              <w:spacing w:after="0"/>
              <w:rPr>
                <w:sz w:val="15"/>
                <w:szCs w:val="15"/>
                <w:color w:val="auto"/>
              </w:rPr>
            </w:pPr>
          </w:p>
        </w:tc>
        <w:tc>
          <w:tcPr>
            <w:tcW w:w="880" w:type="dxa"/>
            <w:vAlign w:val="bottom"/>
          </w:tcPr>
          <w:p>
            <w:pPr>
              <w:jc w:val="center"/>
              <w:ind w:right="159"/>
              <w:spacing w:after="0"/>
              <w:rPr>
                <w:sz w:val="20"/>
                <w:szCs w:val="20"/>
                <w:color w:val="auto"/>
              </w:rPr>
            </w:pPr>
            <w:r>
              <w:rPr>
                <w:rFonts w:ascii="Arial" w:cs="Arial" w:eastAsia="Arial" w:hAnsi="Arial"/>
                <w:sz w:val="15"/>
                <w:szCs w:val="15"/>
                <w:b w:val="1"/>
                <w:bCs w:val="1"/>
                <w:color w:val="00467D"/>
              </w:rPr>
              <w:t>Total</w:t>
            </w:r>
          </w:p>
        </w:tc>
        <w:tc>
          <w:tcPr>
            <w:tcW w:w="260" w:type="dxa"/>
            <w:vAlign w:val="bottom"/>
          </w:tcPr>
          <w:p>
            <w:pPr>
              <w:spacing w:after="0"/>
              <w:rPr>
                <w:sz w:val="15"/>
                <w:szCs w:val="15"/>
                <w:color w:val="auto"/>
              </w:rPr>
            </w:pPr>
          </w:p>
        </w:tc>
        <w:tc>
          <w:tcPr>
            <w:tcW w:w="820" w:type="dxa"/>
            <w:vAlign w:val="bottom"/>
          </w:tcPr>
          <w:p>
            <w:pPr>
              <w:jc w:val="center"/>
              <w:ind w:right="138"/>
              <w:spacing w:after="0"/>
              <w:rPr>
                <w:sz w:val="20"/>
                <w:szCs w:val="20"/>
                <w:color w:val="auto"/>
              </w:rPr>
            </w:pPr>
            <w:r>
              <w:rPr>
                <w:rFonts w:ascii="Arial" w:cs="Arial" w:eastAsia="Arial" w:hAnsi="Arial"/>
                <w:sz w:val="15"/>
                <w:szCs w:val="15"/>
                <w:b w:val="1"/>
                <w:bCs w:val="1"/>
                <w:color w:val="00467D"/>
              </w:rPr>
              <w:t>Total</w:t>
            </w:r>
          </w:p>
        </w:tc>
        <w:tc>
          <w:tcPr>
            <w:tcW w:w="1100" w:type="dxa"/>
            <w:vAlign w:val="bottom"/>
          </w:tcPr>
          <w:p>
            <w:pPr>
              <w:jc w:val="center"/>
              <w:spacing w:after="0"/>
              <w:rPr>
                <w:sz w:val="20"/>
                <w:szCs w:val="20"/>
                <w:color w:val="auto"/>
              </w:rPr>
            </w:pPr>
            <w:r>
              <w:rPr>
                <w:rFonts w:ascii="Arial" w:cs="Arial" w:eastAsia="Arial" w:hAnsi="Arial"/>
                <w:sz w:val="15"/>
                <w:szCs w:val="15"/>
                <w:b w:val="1"/>
                <w:bCs w:val="1"/>
                <w:color w:val="00467D"/>
              </w:rPr>
              <w:t>Income</w:t>
            </w:r>
          </w:p>
        </w:tc>
        <w:tc>
          <w:tcPr>
            <w:tcW w:w="1000" w:type="dxa"/>
            <w:vAlign w:val="bottom"/>
          </w:tcPr>
          <w:p>
            <w:pPr>
              <w:jc w:val="center"/>
              <w:spacing w:after="0"/>
              <w:rPr>
                <w:sz w:val="20"/>
                <w:szCs w:val="20"/>
                <w:color w:val="auto"/>
              </w:rPr>
            </w:pPr>
            <w:r>
              <w:rPr>
                <w:rFonts w:ascii="Arial" w:cs="Arial" w:eastAsia="Arial" w:hAnsi="Arial"/>
                <w:sz w:val="15"/>
                <w:szCs w:val="15"/>
                <w:b w:val="1"/>
                <w:bCs w:val="1"/>
                <w:color w:val="00467D"/>
              </w:rPr>
              <w:t>Adjusted</w:t>
            </w:r>
          </w:p>
        </w:tc>
        <w:tc>
          <w:tcPr>
            <w:tcW w:w="0" w:type="dxa"/>
            <w:vAlign w:val="bottom"/>
          </w:tcPr>
          <w:p>
            <w:pPr>
              <w:spacing w:after="0"/>
              <w:rPr>
                <w:sz w:val="1"/>
                <w:szCs w:val="1"/>
                <w:color w:val="auto"/>
              </w:rPr>
            </w:pPr>
          </w:p>
        </w:tc>
      </w:tr>
      <w:tr>
        <w:trPr>
          <w:trHeight w:val="181"/>
        </w:trPr>
        <w:tc>
          <w:tcPr>
            <w:tcW w:w="720" w:type="dxa"/>
            <w:vAlign w:val="bottom"/>
          </w:tcPr>
          <w:p>
            <w:pPr>
              <w:spacing w:after="0"/>
              <w:rPr>
                <w:sz w:val="15"/>
                <w:szCs w:val="15"/>
                <w:color w:val="auto"/>
              </w:rPr>
            </w:pPr>
          </w:p>
        </w:tc>
        <w:tc>
          <w:tcPr>
            <w:tcW w:w="1380" w:type="dxa"/>
            <w:vAlign w:val="bottom"/>
          </w:tcPr>
          <w:p>
            <w:pPr>
              <w:jc w:val="center"/>
              <w:spacing w:after="0"/>
              <w:rPr>
                <w:sz w:val="20"/>
                <w:szCs w:val="20"/>
                <w:color w:val="auto"/>
              </w:rPr>
            </w:pPr>
            <w:r>
              <w:rPr>
                <w:rFonts w:ascii="Arial" w:cs="Arial" w:eastAsia="Arial" w:hAnsi="Arial"/>
                <w:sz w:val="15"/>
                <w:szCs w:val="15"/>
                <w:b w:val="1"/>
                <w:bCs w:val="1"/>
                <w:color w:val="00467D"/>
              </w:rPr>
              <w:t>Table Total for</w:t>
            </w:r>
          </w:p>
        </w:tc>
        <w:tc>
          <w:tcPr>
            <w:tcW w:w="1340" w:type="dxa"/>
            <w:vAlign w:val="bottom"/>
          </w:tcPr>
          <w:p>
            <w:pPr>
              <w:jc w:val="center"/>
              <w:spacing w:after="0"/>
              <w:rPr>
                <w:sz w:val="20"/>
                <w:szCs w:val="20"/>
                <w:color w:val="auto"/>
              </w:rPr>
            </w:pPr>
            <w:r>
              <w:rPr>
                <w:rFonts w:ascii="Arial" w:cs="Arial" w:eastAsia="Arial" w:hAnsi="Arial"/>
                <w:sz w:val="15"/>
                <w:szCs w:val="15"/>
                <w:b w:val="1"/>
                <w:bCs w:val="1"/>
                <w:color w:val="00467D"/>
              </w:rPr>
              <w:t>Actually Paid</w:t>
            </w:r>
          </w:p>
        </w:tc>
        <w:tc>
          <w:tcPr>
            <w:tcW w:w="1360" w:type="dxa"/>
            <w:vAlign w:val="bottom"/>
            <w:gridSpan w:val="2"/>
          </w:tcPr>
          <w:p>
            <w:pPr>
              <w:jc w:val="center"/>
              <w:spacing w:after="0"/>
              <w:rPr>
                <w:sz w:val="20"/>
                <w:szCs w:val="20"/>
                <w:color w:val="auto"/>
              </w:rPr>
            </w:pPr>
            <w:r>
              <w:rPr>
                <w:rFonts w:ascii="Arial" w:cs="Arial" w:eastAsia="Arial" w:hAnsi="Arial"/>
                <w:sz w:val="15"/>
                <w:szCs w:val="15"/>
                <w:b w:val="1"/>
                <w:bCs w:val="1"/>
                <w:color w:val="00467D"/>
              </w:rPr>
              <w:t>Table Total for</w:t>
            </w:r>
          </w:p>
        </w:tc>
        <w:tc>
          <w:tcPr>
            <w:tcW w:w="1420" w:type="dxa"/>
            <w:vAlign w:val="bottom"/>
            <w:gridSpan w:val="2"/>
          </w:tcPr>
          <w:p>
            <w:pPr>
              <w:jc w:val="center"/>
              <w:spacing w:after="0"/>
              <w:rPr>
                <w:sz w:val="20"/>
                <w:szCs w:val="20"/>
                <w:color w:val="auto"/>
              </w:rPr>
            </w:pPr>
            <w:r>
              <w:rPr>
                <w:rFonts w:ascii="Arial" w:cs="Arial" w:eastAsia="Arial" w:hAnsi="Arial"/>
                <w:sz w:val="15"/>
                <w:szCs w:val="15"/>
                <w:b w:val="1"/>
                <w:bCs w:val="1"/>
                <w:color w:val="00467D"/>
              </w:rPr>
              <w:t>Actually Paid to</w:t>
            </w:r>
          </w:p>
        </w:tc>
        <w:tc>
          <w:tcPr>
            <w:tcW w:w="1140" w:type="dxa"/>
            <w:vAlign w:val="bottom"/>
            <w:gridSpan w:val="2"/>
          </w:tcPr>
          <w:p>
            <w:pPr>
              <w:jc w:val="center"/>
              <w:spacing w:after="0"/>
              <w:rPr>
                <w:sz w:val="20"/>
                <w:szCs w:val="20"/>
                <w:color w:val="auto"/>
              </w:rPr>
            </w:pPr>
            <w:r>
              <w:rPr>
                <w:rFonts w:ascii="Arial" w:cs="Arial" w:eastAsia="Arial" w:hAnsi="Arial"/>
                <w:sz w:val="15"/>
                <w:szCs w:val="15"/>
                <w:b w:val="1"/>
                <w:bCs w:val="1"/>
                <w:color w:val="00467D"/>
              </w:rPr>
              <w:t>Shareholder</w:t>
            </w:r>
          </w:p>
        </w:tc>
        <w:tc>
          <w:tcPr>
            <w:tcW w:w="1080" w:type="dxa"/>
            <w:vAlign w:val="bottom"/>
            <w:gridSpan w:val="2"/>
          </w:tcPr>
          <w:p>
            <w:pPr>
              <w:jc w:val="center"/>
              <w:spacing w:after="0"/>
              <w:rPr>
                <w:sz w:val="20"/>
                <w:szCs w:val="20"/>
                <w:color w:val="auto"/>
              </w:rPr>
            </w:pPr>
            <w:r>
              <w:rPr>
                <w:rFonts w:ascii="Arial" w:cs="Arial" w:eastAsia="Arial" w:hAnsi="Arial"/>
                <w:sz w:val="15"/>
                <w:szCs w:val="15"/>
                <w:b w:val="1"/>
                <w:bCs w:val="1"/>
                <w:color w:val="00467D"/>
              </w:rPr>
              <w:t>Shareholder</w:t>
            </w:r>
          </w:p>
        </w:tc>
        <w:tc>
          <w:tcPr>
            <w:tcW w:w="1100" w:type="dxa"/>
            <w:vAlign w:val="bottom"/>
          </w:tcPr>
          <w:p>
            <w:pPr>
              <w:jc w:val="center"/>
              <w:spacing w:after="0"/>
              <w:rPr>
                <w:sz w:val="20"/>
                <w:szCs w:val="20"/>
                <w:color w:val="auto"/>
              </w:rPr>
            </w:pPr>
            <w:r>
              <w:rPr>
                <w:rFonts w:ascii="Arial" w:cs="Arial" w:eastAsia="Arial" w:hAnsi="Arial"/>
                <w:sz w:val="15"/>
                <w:szCs w:val="15"/>
                <w:b w:val="1"/>
                <w:bCs w:val="1"/>
                <w:color w:val="00467D"/>
              </w:rPr>
              <w:t>(Loss)</w:t>
            </w:r>
          </w:p>
        </w:tc>
        <w:tc>
          <w:tcPr>
            <w:tcW w:w="1000" w:type="dxa"/>
            <w:vAlign w:val="bottom"/>
          </w:tcPr>
          <w:p>
            <w:pPr>
              <w:jc w:val="center"/>
              <w:spacing w:after="0"/>
              <w:rPr>
                <w:sz w:val="20"/>
                <w:szCs w:val="20"/>
                <w:color w:val="auto"/>
              </w:rPr>
            </w:pPr>
            <w:r>
              <w:rPr>
                <w:rFonts w:ascii="Arial" w:cs="Arial" w:eastAsia="Arial" w:hAnsi="Arial"/>
                <w:sz w:val="15"/>
                <w:szCs w:val="15"/>
                <w:b w:val="1"/>
                <w:bCs w:val="1"/>
                <w:color w:val="00467D"/>
              </w:rPr>
              <w:t>EBITDA</w:t>
            </w:r>
          </w:p>
        </w:tc>
        <w:tc>
          <w:tcPr>
            <w:tcW w:w="0" w:type="dxa"/>
            <w:vAlign w:val="bottom"/>
          </w:tcPr>
          <w:p>
            <w:pPr>
              <w:spacing w:after="0"/>
              <w:rPr>
                <w:sz w:val="1"/>
                <w:szCs w:val="1"/>
                <w:color w:val="auto"/>
              </w:rPr>
            </w:pPr>
          </w:p>
        </w:tc>
      </w:tr>
      <w:tr>
        <w:trPr>
          <w:trHeight w:val="239"/>
        </w:trPr>
        <w:tc>
          <w:tcPr>
            <w:tcW w:w="720" w:type="dxa"/>
            <w:vAlign w:val="bottom"/>
          </w:tcPr>
          <w:p>
            <w:pPr>
              <w:ind w:left="200"/>
              <w:spacing w:after="0"/>
              <w:rPr>
                <w:sz w:val="20"/>
                <w:szCs w:val="20"/>
                <w:color w:val="auto"/>
              </w:rPr>
            </w:pPr>
            <w:r>
              <w:rPr>
                <w:rFonts w:ascii="Arial" w:cs="Arial" w:eastAsia="Arial" w:hAnsi="Arial"/>
                <w:sz w:val="15"/>
                <w:szCs w:val="15"/>
                <w:b w:val="1"/>
                <w:bCs w:val="1"/>
                <w:color w:val="00467D"/>
              </w:rPr>
              <w:t>Year</w:t>
            </w:r>
          </w:p>
        </w:tc>
        <w:tc>
          <w:tcPr>
            <w:tcW w:w="1380" w:type="dxa"/>
            <w:vAlign w:val="bottom"/>
          </w:tcPr>
          <w:p>
            <w:pPr>
              <w:jc w:val="center"/>
              <w:spacing w:after="0"/>
              <w:rPr>
                <w:sz w:val="20"/>
                <w:szCs w:val="20"/>
                <w:color w:val="auto"/>
              </w:rPr>
            </w:pPr>
            <w:r>
              <w:rPr>
                <w:rFonts w:ascii="Arial" w:cs="Arial" w:eastAsia="Arial" w:hAnsi="Arial"/>
                <w:sz w:val="15"/>
                <w:szCs w:val="15"/>
                <w:b w:val="1"/>
                <w:bCs w:val="1"/>
                <w:color w:val="00467D"/>
              </w:rPr>
              <w:t>CEO</w:t>
            </w:r>
          </w:p>
        </w:tc>
        <w:tc>
          <w:tcPr>
            <w:tcW w:w="1340" w:type="dxa"/>
            <w:vAlign w:val="bottom"/>
          </w:tcPr>
          <w:p>
            <w:pPr>
              <w:jc w:val="center"/>
              <w:spacing w:after="0"/>
              <w:rPr>
                <w:sz w:val="20"/>
                <w:szCs w:val="20"/>
                <w:color w:val="auto"/>
              </w:rPr>
            </w:pPr>
            <w:r>
              <w:rPr>
                <w:rFonts w:ascii="Arial" w:cs="Arial" w:eastAsia="Arial" w:hAnsi="Arial"/>
                <w:sz w:val="15"/>
                <w:szCs w:val="15"/>
                <w:b w:val="1"/>
                <w:bCs w:val="1"/>
                <w:color w:val="00467D"/>
              </w:rPr>
              <w:t>to CEO</w:t>
            </w:r>
          </w:p>
        </w:tc>
        <w:tc>
          <w:tcPr>
            <w:tcW w:w="1360" w:type="dxa"/>
            <w:vAlign w:val="bottom"/>
            <w:gridSpan w:val="2"/>
          </w:tcPr>
          <w:p>
            <w:pPr>
              <w:jc w:val="center"/>
              <w:spacing w:after="0"/>
              <w:rPr>
                <w:sz w:val="20"/>
                <w:szCs w:val="20"/>
                <w:color w:val="auto"/>
              </w:rPr>
            </w:pPr>
            <w:r>
              <w:rPr>
                <w:rFonts w:ascii="Arial" w:cs="Arial" w:eastAsia="Arial" w:hAnsi="Arial"/>
                <w:sz w:val="15"/>
                <w:szCs w:val="15"/>
                <w:b w:val="1"/>
                <w:bCs w:val="1"/>
                <w:color w:val="00467D"/>
              </w:rPr>
              <w:t>Non-CEO NEOs</w:t>
            </w:r>
          </w:p>
        </w:tc>
        <w:tc>
          <w:tcPr>
            <w:tcW w:w="1420" w:type="dxa"/>
            <w:vAlign w:val="bottom"/>
            <w:gridSpan w:val="2"/>
          </w:tcPr>
          <w:p>
            <w:pPr>
              <w:jc w:val="center"/>
              <w:spacing w:after="0"/>
              <w:rPr>
                <w:sz w:val="20"/>
                <w:szCs w:val="20"/>
                <w:color w:val="auto"/>
              </w:rPr>
            </w:pPr>
            <w:r>
              <w:rPr>
                <w:rFonts w:ascii="Arial" w:cs="Arial" w:eastAsia="Arial" w:hAnsi="Arial"/>
                <w:sz w:val="15"/>
                <w:szCs w:val="15"/>
                <w:b w:val="1"/>
                <w:bCs w:val="1"/>
                <w:color w:val="00467D"/>
              </w:rPr>
              <w:t>Non-CEO NEOs</w:t>
            </w:r>
          </w:p>
        </w:tc>
        <w:tc>
          <w:tcPr>
            <w:tcW w:w="260" w:type="dxa"/>
            <w:vAlign w:val="bottom"/>
          </w:tcPr>
          <w:p>
            <w:pPr>
              <w:spacing w:after="0"/>
              <w:rPr>
                <w:sz w:val="20"/>
                <w:szCs w:val="20"/>
                <w:color w:val="auto"/>
              </w:rPr>
            </w:pPr>
          </w:p>
        </w:tc>
        <w:tc>
          <w:tcPr>
            <w:tcW w:w="880" w:type="dxa"/>
            <w:vAlign w:val="bottom"/>
          </w:tcPr>
          <w:p>
            <w:pPr>
              <w:jc w:val="center"/>
              <w:ind w:right="179"/>
              <w:spacing w:after="0"/>
              <w:rPr>
                <w:sz w:val="20"/>
                <w:szCs w:val="20"/>
                <w:color w:val="auto"/>
              </w:rPr>
            </w:pPr>
            <w:r>
              <w:rPr>
                <w:rFonts w:ascii="Arial" w:cs="Arial" w:eastAsia="Arial" w:hAnsi="Arial"/>
                <w:sz w:val="15"/>
                <w:szCs w:val="15"/>
                <w:b w:val="1"/>
                <w:bCs w:val="1"/>
                <w:color w:val="00467D"/>
              </w:rPr>
              <w:t>Return</w:t>
            </w:r>
          </w:p>
        </w:tc>
        <w:tc>
          <w:tcPr>
            <w:tcW w:w="260" w:type="dxa"/>
            <w:vAlign w:val="bottom"/>
          </w:tcPr>
          <w:p>
            <w:pPr>
              <w:spacing w:after="0"/>
              <w:rPr>
                <w:sz w:val="20"/>
                <w:szCs w:val="20"/>
                <w:color w:val="auto"/>
              </w:rPr>
            </w:pPr>
          </w:p>
        </w:tc>
        <w:tc>
          <w:tcPr>
            <w:tcW w:w="820" w:type="dxa"/>
            <w:vAlign w:val="bottom"/>
          </w:tcPr>
          <w:p>
            <w:pPr>
              <w:jc w:val="center"/>
              <w:ind w:right="118"/>
              <w:spacing w:after="0"/>
              <w:rPr>
                <w:sz w:val="20"/>
                <w:szCs w:val="20"/>
                <w:color w:val="auto"/>
              </w:rPr>
            </w:pPr>
            <w:r>
              <w:rPr>
                <w:rFonts w:ascii="Arial" w:cs="Arial" w:eastAsia="Arial" w:hAnsi="Arial"/>
                <w:sz w:val="15"/>
                <w:szCs w:val="15"/>
                <w:b w:val="1"/>
                <w:bCs w:val="1"/>
                <w:color w:val="00467D"/>
              </w:rPr>
              <w:t>Return</w:t>
            </w:r>
          </w:p>
        </w:tc>
        <w:tc>
          <w:tcPr>
            <w:tcW w:w="1100" w:type="dxa"/>
            <w:vAlign w:val="bottom"/>
          </w:tcPr>
          <w:p>
            <w:pPr>
              <w:jc w:val="center"/>
              <w:spacing w:after="0"/>
              <w:rPr>
                <w:sz w:val="20"/>
                <w:szCs w:val="20"/>
                <w:color w:val="auto"/>
              </w:rPr>
            </w:pPr>
            <w:r>
              <w:rPr>
                <w:rFonts w:ascii="Arial" w:cs="Arial" w:eastAsia="Arial" w:hAnsi="Arial"/>
                <w:sz w:val="15"/>
                <w:szCs w:val="15"/>
                <w:b w:val="1"/>
                <w:bCs w:val="1"/>
                <w:color w:val="00467D"/>
              </w:rPr>
              <w:t>($ Millions)</w:t>
            </w:r>
          </w:p>
        </w:tc>
        <w:tc>
          <w:tcPr>
            <w:tcW w:w="1000" w:type="dxa"/>
            <w:vAlign w:val="bottom"/>
          </w:tcPr>
          <w:p>
            <w:pPr>
              <w:jc w:val="center"/>
              <w:spacing w:after="0"/>
              <w:rPr>
                <w:sz w:val="20"/>
                <w:szCs w:val="20"/>
                <w:color w:val="auto"/>
              </w:rPr>
            </w:pPr>
            <w:r>
              <w:rPr>
                <w:rFonts w:ascii="Arial" w:cs="Arial" w:eastAsia="Arial" w:hAnsi="Arial"/>
                <w:sz w:val="15"/>
                <w:szCs w:val="15"/>
                <w:b w:val="1"/>
                <w:bCs w:val="1"/>
                <w:color w:val="00467D"/>
              </w:rPr>
              <w:t>($ Millions)</w:t>
            </w:r>
          </w:p>
        </w:tc>
        <w:tc>
          <w:tcPr>
            <w:tcW w:w="0" w:type="dxa"/>
            <w:vAlign w:val="bottom"/>
          </w:tcPr>
          <w:p>
            <w:pPr>
              <w:spacing w:after="0"/>
              <w:rPr>
                <w:sz w:val="1"/>
                <w:szCs w:val="1"/>
                <w:color w:val="auto"/>
              </w:rPr>
            </w:pPr>
          </w:p>
        </w:tc>
      </w:tr>
      <w:tr>
        <w:trPr>
          <w:trHeight w:val="32"/>
        </w:trPr>
        <w:tc>
          <w:tcPr>
            <w:tcW w:w="720" w:type="dxa"/>
            <w:vAlign w:val="bottom"/>
            <w:tcBorders>
              <w:bottom w:val="single" w:sz="8" w:color="00467D"/>
            </w:tcBorders>
          </w:tcPr>
          <w:p>
            <w:pPr>
              <w:spacing w:after="0"/>
              <w:rPr>
                <w:sz w:val="2"/>
                <w:szCs w:val="2"/>
                <w:color w:val="auto"/>
              </w:rPr>
            </w:pPr>
          </w:p>
        </w:tc>
        <w:tc>
          <w:tcPr>
            <w:tcW w:w="1380" w:type="dxa"/>
            <w:vAlign w:val="bottom"/>
            <w:tcBorders>
              <w:bottom w:val="single" w:sz="8" w:color="00467D"/>
            </w:tcBorders>
          </w:tcPr>
          <w:p>
            <w:pPr>
              <w:spacing w:after="0"/>
              <w:rPr>
                <w:sz w:val="2"/>
                <w:szCs w:val="2"/>
                <w:color w:val="auto"/>
              </w:rPr>
            </w:pPr>
          </w:p>
        </w:tc>
        <w:tc>
          <w:tcPr>
            <w:tcW w:w="1340" w:type="dxa"/>
            <w:vAlign w:val="bottom"/>
            <w:tcBorders>
              <w:bottom w:val="single" w:sz="8" w:color="00467D"/>
            </w:tcBorders>
          </w:tcPr>
          <w:p>
            <w:pPr>
              <w:spacing w:after="0"/>
              <w:rPr>
                <w:sz w:val="2"/>
                <w:szCs w:val="2"/>
                <w:color w:val="auto"/>
              </w:rPr>
            </w:pPr>
          </w:p>
        </w:tc>
        <w:tc>
          <w:tcPr>
            <w:tcW w:w="260" w:type="dxa"/>
            <w:vAlign w:val="bottom"/>
            <w:tcBorders>
              <w:bottom w:val="single" w:sz="8" w:color="00467D"/>
            </w:tcBorders>
          </w:tcPr>
          <w:p>
            <w:pPr>
              <w:spacing w:after="0"/>
              <w:rPr>
                <w:sz w:val="2"/>
                <w:szCs w:val="2"/>
                <w:color w:val="auto"/>
              </w:rPr>
            </w:pPr>
          </w:p>
        </w:tc>
        <w:tc>
          <w:tcPr>
            <w:tcW w:w="1100" w:type="dxa"/>
            <w:vAlign w:val="bottom"/>
            <w:tcBorders>
              <w:bottom w:val="single" w:sz="8" w:color="00467D"/>
            </w:tcBorders>
          </w:tcPr>
          <w:p>
            <w:pPr>
              <w:spacing w:after="0"/>
              <w:rPr>
                <w:sz w:val="2"/>
                <w:szCs w:val="2"/>
                <w:color w:val="auto"/>
              </w:rPr>
            </w:pPr>
          </w:p>
        </w:tc>
        <w:tc>
          <w:tcPr>
            <w:tcW w:w="300" w:type="dxa"/>
            <w:vAlign w:val="bottom"/>
            <w:tcBorders>
              <w:bottom w:val="single" w:sz="8" w:color="00467D"/>
            </w:tcBorders>
          </w:tcPr>
          <w:p>
            <w:pPr>
              <w:spacing w:after="0"/>
              <w:rPr>
                <w:sz w:val="2"/>
                <w:szCs w:val="2"/>
                <w:color w:val="auto"/>
              </w:rPr>
            </w:pPr>
          </w:p>
        </w:tc>
        <w:tc>
          <w:tcPr>
            <w:tcW w:w="1120" w:type="dxa"/>
            <w:vAlign w:val="bottom"/>
            <w:tcBorders>
              <w:bottom w:val="single" w:sz="8" w:color="00467D"/>
            </w:tcBorders>
          </w:tcPr>
          <w:p>
            <w:pPr>
              <w:spacing w:after="0"/>
              <w:rPr>
                <w:sz w:val="2"/>
                <w:szCs w:val="2"/>
                <w:color w:val="auto"/>
              </w:rPr>
            </w:pPr>
          </w:p>
        </w:tc>
        <w:tc>
          <w:tcPr>
            <w:tcW w:w="260" w:type="dxa"/>
            <w:vAlign w:val="bottom"/>
            <w:tcBorders>
              <w:bottom w:val="single" w:sz="8" w:color="00467D"/>
            </w:tcBorders>
          </w:tcPr>
          <w:p>
            <w:pPr>
              <w:spacing w:after="0"/>
              <w:rPr>
                <w:sz w:val="2"/>
                <w:szCs w:val="2"/>
                <w:color w:val="auto"/>
              </w:rPr>
            </w:pPr>
          </w:p>
        </w:tc>
        <w:tc>
          <w:tcPr>
            <w:tcW w:w="880" w:type="dxa"/>
            <w:vAlign w:val="bottom"/>
            <w:tcBorders>
              <w:bottom w:val="single" w:sz="8" w:color="00467D"/>
            </w:tcBorders>
          </w:tcPr>
          <w:p>
            <w:pPr>
              <w:spacing w:after="0"/>
              <w:rPr>
                <w:sz w:val="2"/>
                <w:szCs w:val="2"/>
                <w:color w:val="auto"/>
              </w:rPr>
            </w:pPr>
          </w:p>
        </w:tc>
        <w:tc>
          <w:tcPr>
            <w:tcW w:w="260" w:type="dxa"/>
            <w:vAlign w:val="bottom"/>
            <w:tcBorders>
              <w:bottom w:val="single" w:sz="8" w:color="00467D"/>
            </w:tcBorders>
          </w:tcPr>
          <w:p>
            <w:pPr>
              <w:spacing w:after="0"/>
              <w:rPr>
                <w:sz w:val="2"/>
                <w:szCs w:val="2"/>
                <w:color w:val="auto"/>
              </w:rPr>
            </w:pPr>
          </w:p>
        </w:tc>
        <w:tc>
          <w:tcPr>
            <w:tcW w:w="820" w:type="dxa"/>
            <w:vAlign w:val="bottom"/>
            <w:tcBorders>
              <w:bottom w:val="single" w:sz="8" w:color="00467D"/>
            </w:tcBorders>
          </w:tcPr>
          <w:p>
            <w:pPr>
              <w:spacing w:after="0"/>
              <w:rPr>
                <w:sz w:val="2"/>
                <w:szCs w:val="2"/>
                <w:color w:val="auto"/>
              </w:rPr>
            </w:pPr>
          </w:p>
        </w:tc>
        <w:tc>
          <w:tcPr>
            <w:tcW w:w="1100" w:type="dxa"/>
            <w:vAlign w:val="bottom"/>
            <w:tcBorders>
              <w:bottom w:val="single" w:sz="8" w:color="00467D"/>
            </w:tcBorders>
          </w:tcPr>
          <w:p>
            <w:pPr>
              <w:spacing w:after="0"/>
              <w:rPr>
                <w:sz w:val="2"/>
                <w:szCs w:val="2"/>
                <w:color w:val="auto"/>
              </w:rPr>
            </w:pPr>
          </w:p>
        </w:tc>
        <w:tc>
          <w:tcPr>
            <w:tcW w:w="1000" w:type="dxa"/>
            <w:vAlign w:val="bottom"/>
            <w:tcBorders>
              <w:bottom w:val="single" w:sz="8" w:color="00467D"/>
            </w:tcBorders>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720" w:type="dxa"/>
            <w:vAlign w:val="bottom"/>
            <w:tcBorders>
              <w:bottom w:val="single" w:sz="8" w:color="99B5CB"/>
            </w:tcBorders>
          </w:tcPr>
          <w:p>
            <w:pPr>
              <w:ind w:left="60"/>
              <w:spacing w:after="0" w:line="186" w:lineRule="exact"/>
              <w:rPr>
                <w:sz w:val="20"/>
                <w:szCs w:val="20"/>
                <w:color w:val="auto"/>
              </w:rPr>
            </w:pPr>
            <w:r>
              <w:rPr>
                <w:rFonts w:ascii="Arial" w:cs="Arial" w:eastAsia="Arial" w:hAnsi="Arial"/>
                <w:sz w:val="17"/>
                <w:szCs w:val="17"/>
                <w:color w:val="auto"/>
              </w:rPr>
              <w:t>2022</w:t>
            </w:r>
          </w:p>
        </w:tc>
        <w:tc>
          <w:tcPr>
            <w:tcW w:w="1380" w:type="dxa"/>
            <w:vAlign w:val="bottom"/>
            <w:tcBorders>
              <w:bottom w:val="single" w:sz="8" w:color="99B5CB"/>
            </w:tcBorders>
          </w:tcPr>
          <w:p>
            <w:pPr>
              <w:jc w:val="right"/>
              <w:ind w:right="39"/>
              <w:spacing w:after="0" w:line="186" w:lineRule="exact"/>
              <w:rPr>
                <w:sz w:val="20"/>
                <w:szCs w:val="20"/>
                <w:color w:val="auto"/>
              </w:rPr>
            </w:pPr>
            <w:r>
              <w:rPr>
                <w:rFonts w:ascii="Arial" w:cs="Arial" w:eastAsia="Arial" w:hAnsi="Arial"/>
                <w:sz w:val="17"/>
                <w:szCs w:val="17"/>
                <w:color w:val="auto"/>
              </w:rPr>
              <w:t>$  16,659,858</w:t>
            </w:r>
          </w:p>
        </w:tc>
        <w:tc>
          <w:tcPr>
            <w:tcW w:w="1340" w:type="dxa"/>
            <w:vAlign w:val="bottom"/>
            <w:tcBorders>
              <w:bottom w:val="single" w:sz="8" w:color="99B5CB"/>
            </w:tcBorders>
          </w:tcPr>
          <w:p>
            <w:pPr>
              <w:jc w:val="right"/>
              <w:ind w:right="79"/>
              <w:spacing w:after="0" w:line="186" w:lineRule="exact"/>
              <w:rPr>
                <w:sz w:val="20"/>
                <w:szCs w:val="20"/>
                <w:color w:val="auto"/>
              </w:rPr>
            </w:pPr>
            <w:r>
              <w:rPr>
                <w:rFonts w:ascii="Arial" w:cs="Arial" w:eastAsia="Arial" w:hAnsi="Arial"/>
                <w:sz w:val="17"/>
                <w:szCs w:val="17"/>
                <w:color w:val="auto"/>
              </w:rPr>
              <w:t>$   5,908,688</w:t>
            </w:r>
          </w:p>
        </w:tc>
        <w:tc>
          <w:tcPr>
            <w:tcW w:w="260" w:type="dxa"/>
            <w:vAlign w:val="bottom"/>
            <w:tcBorders>
              <w:bottom w:val="single" w:sz="8" w:color="99B5CB"/>
            </w:tcBorders>
          </w:tcPr>
          <w:p>
            <w:pPr>
              <w:jc w:val="right"/>
              <w:spacing w:after="0" w:line="186" w:lineRule="exact"/>
              <w:rPr>
                <w:sz w:val="20"/>
                <w:szCs w:val="20"/>
                <w:color w:val="auto"/>
              </w:rPr>
            </w:pPr>
            <w:r>
              <w:rPr>
                <w:rFonts w:ascii="Arial" w:cs="Arial" w:eastAsia="Arial" w:hAnsi="Arial"/>
                <w:sz w:val="17"/>
                <w:szCs w:val="17"/>
                <w:color w:val="auto"/>
              </w:rPr>
              <w:t>$</w:t>
            </w:r>
          </w:p>
        </w:tc>
        <w:tc>
          <w:tcPr>
            <w:tcW w:w="1100" w:type="dxa"/>
            <w:vAlign w:val="bottom"/>
            <w:tcBorders>
              <w:bottom w:val="single" w:sz="8" w:color="99B5CB"/>
            </w:tcBorders>
          </w:tcPr>
          <w:p>
            <w:pPr>
              <w:jc w:val="right"/>
              <w:ind w:right="18"/>
              <w:spacing w:after="0" w:line="186" w:lineRule="exact"/>
              <w:rPr>
                <w:sz w:val="20"/>
                <w:szCs w:val="20"/>
                <w:color w:val="auto"/>
              </w:rPr>
            </w:pPr>
            <w:r>
              <w:rPr>
                <w:rFonts w:ascii="Arial" w:cs="Arial" w:eastAsia="Arial" w:hAnsi="Arial"/>
                <w:sz w:val="17"/>
                <w:szCs w:val="17"/>
                <w:color w:val="auto"/>
              </w:rPr>
              <w:t>2,000,869</w:t>
            </w:r>
          </w:p>
        </w:tc>
        <w:tc>
          <w:tcPr>
            <w:tcW w:w="300" w:type="dxa"/>
            <w:vAlign w:val="bottom"/>
            <w:tcBorders>
              <w:bottom w:val="single" w:sz="8" w:color="99B5CB"/>
            </w:tcBorders>
          </w:tcPr>
          <w:p>
            <w:pPr>
              <w:jc w:val="right"/>
              <w:spacing w:after="0" w:line="186" w:lineRule="exact"/>
              <w:rPr>
                <w:sz w:val="20"/>
                <w:szCs w:val="20"/>
                <w:color w:val="auto"/>
              </w:rPr>
            </w:pPr>
            <w:r>
              <w:rPr>
                <w:rFonts w:ascii="Arial" w:cs="Arial" w:eastAsia="Arial" w:hAnsi="Arial"/>
                <w:sz w:val="17"/>
                <w:szCs w:val="17"/>
                <w:color w:val="auto"/>
              </w:rPr>
              <w:t>$</w:t>
            </w:r>
          </w:p>
        </w:tc>
        <w:tc>
          <w:tcPr>
            <w:tcW w:w="1120" w:type="dxa"/>
            <w:vAlign w:val="bottom"/>
            <w:tcBorders>
              <w:bottom w:val="single" w:sz="8" w:color="99B5CB"/>
            </w:tcBorders>
          </w:tcPr>
          <w:p>
            <w:pPr>
              <w:jc w:val="right"/>
              <w:spacing w:after="0" w:line="186" w:lineRule="exact"/>
              <w:rPr>
                <w:sz w:val="20"/>
                <w:szCs w:val="20"/>
                <w:color w:val="auto"/>
              </w:rPr>
            </w:pPr>
            <w:r>
              <w:rPr>
                <w:rFonts w:ascii="Arial" w:cs="Arial" w:eastAsia="Arial" w:hAnsi="Arial"/>
                <w:sz w:val="17"/>
                <w:szCs w:val="17"/>
                <w:color w:val="auto"/>
              </w:rPr>
              <w:t>(872,149)</w:t>
            </w:r>
          </w:p>
        </w:tc>
        <w:tc>
          <w:tcPr>
            <w:tcW w:w="260" w:type="dxa"/>
            <w:vAlign w:val="bottom"/>
            <w:tcBorders>
              <w:bottom w:val="single" w:sz="8" w:color="99B5CB"/>
            </w:tcBorders>
          </w:tcPr>
          <w:p>
            <w:pPr>
              <w:jc w:val="right"/>
              <w:spacing w:after="0" w:line="186" w:lineRule="exact"/>
              <w:rPr>
                <w:sz w:val="20"/>
                <w:szCs w:val="20"/>
                <w:color w:val="auto"/>
              </w:rPr>
            </w:pPr>
            <w:r>
              <w:rPr>
                <w:rFonts w:ascii="Arial" w:cs="Arial" w:eastAsia="Arial" w:hAnsi="Arial"/>
                <w:sz w:val="17"/>
                <w:szCs w:val="17"/>
                <w:color w:val="auto"/>
              </w:rPr>
              <w:t>$</w:t>
            </w:r>
          </w:p>
        </w:tc>
        <w:tc>
          <w:tcPr>
            <w:tcW w:w="880" w:type="dxa"/>
            <w:vAlign w:val="bottom"/>
            <w:tcBorders>
              <w:bottom w:val="single" w:sz="8" w:color="99B5CB"/>
            </w:tcBorders>
          </w:tcPr>
          <w:p>
            <w:pPr>
              <w:jc w:val="right"/>
              <w:ind w:right="19"/>
              <w:spacing w:after="0" w:line="186" w:lineRule="exact"/>
              <w:rPr>
                <w:sz w:val="20"/>
                <w:szCs w:val="20"/>
                <w:color w:val="auto"/>
              </w:rPr>
            </w:pPr>
            <w:r>
              <w:rPr>
                <w:rFonts w:ascii="Arial" w:cs="Arial" w:eastAsia="Arial" w:hAnsi="Arial"/>
                <w:sz w:val="17"/>
                <w:szCs w:val="17"/>
                <w:color w:val="auto"/>
              </w:rPr>
              <w:t>33</w:t>
            </w:r>
          </w:p>
        </w:tc>
        <w:tc>
          <w:tcPr>
            <w:tcW w:w="260" w:type="dxa"/>
            <w:vAlign w:val="bottom"/>
            <w:tcBorders>
              <w:bottom w:val="single" w:sz="8" w:color="99B5CB"/>
            </w:tcBorders>
          </w:tcPr>
          <w:p>
            <w:pPr>
              <w:jc w:val="right"/>
              <w:spacing w:after="0" w:line="186" w:lineRule="exact"/>
              <w:rPr>
                <w:sz w:val="20"/>
                <w:szCs w:val="20"/>
                <w:color w:val="auto"/>
              </w:rPr>
            </w:pPr>
            <w:r>
              <w:rPr>
                <w:rFonts w:ascii="Arial" w:cs="Arial" w:eastAsia="Arial" w:hAnsi="Arial"/>
                <w:sz w:val="17"/>
                <w:szCs w:val="17"/>
                <w:color w:val="auto"/>
              </w:rPr>
              <w:t>$</w:t>
            </w:r>
          </w:p>
        </w:tc>
        <w:tc>
          <w:tcPr>
            <w:tcW w:w="820" w:type="dxa"/>
            <w:vAlign w:val="bottom"/>
            <w:tcBorders>
              <w:bottom w:val="single" w:sz="8" w:color="99B5CB"/>
            </w:tcBorders>
          </w:tcPr>
          <w:p>
            <w:pPr>
              <w:jc w:val="right"/>
              <w:spacing w:after="0" w:line="186" w:lineRule="exact"/>
              <w:rPr>
                <w:sz w:val="20"/>
                <w:szCs w:val="20"/>
                <w:color w:val="auto"/>
              </w:rPr>
            </w:pPr>
            <w:r>
              <w:rPr>
                <w:rFonts w:ascii="Arial" w:cs="Arial" w:eastAsia="Arial" w:hAnsi="Arial"/>
                <w:sz w:val="17"/>
                <w:szCs w:val="17"/>
                <w:color w:val="auto"/>
              </w:rPr>
              <w:t>130</w:t>
            </w:r>
          </w:p>
        </w:tc>
        <w:tc>
          <w:tcPr>
            <w:tcW w:w="1100" w:type="dxa"/>
            <w:vAlign w:val="bottom"/>
            <w:tcBorders>
              <w:bottom w:val="single" w:sz="8" w:color="99B5CB"/>
            </w:tcBorders>
          </w:tcPr>
          <w:p>
            <w:pPr>
              <w:jc w:val="right"/>
              <w:spacing w:after="0" w:line="186" w:lineRule="exact"/>
              <w:rPr>
                <w:sz w:val="20"/>
                <w:szCs w:val="20"/>
                <w:color w:val="auto"/>
              </w:rPr>
            </w:pPr>
            <w:r>
              <w:rPr>
                <w:rFonts w:ascii="Arial" w:cs="Arial" w:eastAsia="Arial" w:hAnsi="Arial"/>
                <w:sz w:val="17"/>
                <w:szCs w:val="17"/>
                <w:color w:val="auto"/>
              </w:rPr>
              <w:t>$ (233,570)</w:t>
            </w:r>
          </w:p>
        </w:tc>
        <w:tc>
          <w:tcPr>
            <w:tcW w:w="1000" w:type="dxa"/>
            <w:vAlign w:val="bottom"/>
            <w:tcBorders>
              <w:bottom w:val="single" w:sz="8" w:color="99B5CB"/>
            </w:tcBorders>
          </w:tcPr>
          <w:p>
            <w:pPr>
              <w:jc w:val="right"/>
              <w:ind w:right="39"/>
              <w:spacing w:after="0" w:line="186" w:lineRule="exact"/>
              <w:rPr>
                <w:sz w:val="20"/>
                <w:szCs w:val="20"/>
                <w:color w:val="auto"/>
              </w:rPr>
            </w:pPr>
            <w:r>
              <w:rPr>
                <w:rFonts w:ascii="Arial" w:cs="Arial" w:eastAsia="Arial" w:hAnsi="Arial"/>
                <w:sz w:val="17"/>
                <w:szCs w:val="17"/>
                <w:color w:val="auto"/>
              </w:rPr>
              <w:t>$ 506,249</w:t>
            </w:r>
          </w:p>
        </w:tc>
        <w:tc>
          <w:tcPr>
            <w:tcW w:w="0" w:type="dxa"/>
            <w:vAlign w:val="bottom"/>
          </w:tcPr>
          <w:p>
            <w:pPr>
              <w:spacing w:after="0"/>
              <w:rPr>
                <w:sz w:val="1"/>
                <w:szCs w:val="1"/>
                <w:color w:val="auto"/>
              </w:rPr>
            </w:pPr>
          </w:p>
        </w:tc>
      </w:tr>
      <w:tr>
        <w:trPr>
          <w:trHeight w:val="187"/>
        </w:trPr>
        <w:tc>
          <w:tcPr>
            <w:tcW w:w="720" w:type="dxa"/>
            <w:vAlign w:val="bottom"/>
            <w:tcBorders>
              <w:bottom w:val="single" w:sz="8" w:color="99B5CB"/>
            </w:tcBorders>
          </w:tcPr>
          <w:p>
            <w:pPr>
              <w:ind w:left="60"/>
              <w:spacing w:after="0" w:line="186" w:lineRule="exact"/>
              <w:rPr>
                <w:sz w:val="20"/>
                <w:szCs w:val="20"/>
                <w:color w:val="auto"/>
              </w:rPr>
            </w:pPr>
            <w:r>
              <w:rPr>
                <w:rFonts w:ascii="Arial" w:cs="Arial" w:eastAsia="Arial" w:hAnsi="Arial"/>
                <w:sz w:val="17"/>
                <w:szCs w:val="17"/>
                <w:color w:val="auto"/>
              </w:rPr>
              <w:t>2021</w:t>
            </w:r>
          </w:p>
        </w:tc>
        <w:tc>
          <w:tcPr>
            <w:tcW w:w="1380" w:type="dxa"/>
            <w:vAlign w:val="bottom"/>
            <w:tcBorders>
              <w:bottom w:val="single" w:sz="8" w:color="99B5CB"/>
            </w:tcBorders>
          </w:tcPr>
          <w:p>
            <w:pPr>
              <w:jc w:val="right"/>
              <w:ind w:right="39"/>
              <w:spacing w:after="0" w:line="186" w:lineRule="exact"/>
              <w:rPr>
                <w:sz w:val="20"/>
                <w:szCs w:val="20"/>
                <w:color w:val="auto"/>
              </w:rPr>
            </w:pPr>
            <w:r>
              <w:rPr>
                <w:rFonts w:ascii="Arial" w:cs="Arial" w:eastAsia="Arial" w:hAnsi="Arial"/>
                <w:sz w:val="17"/>
                <w:szCs w:val="17"/>
                <w:color w:val="auto"/>
              </w:rPr>
              <w:t>2,197,574</w:t>
            </w:r>
          </w:p>
        </w:tc>
        <w:tc>
          <w:tcPr>
            <w:tcW w:w="1340" w:type="dxa"/>
            <w:vAlign w:val="bottom"/>
            <w:tcBorders>
              <w:bottom w:val="single" w:sz="8" w:color="99B5CB"/>
            </w:tcBorders>
          </w:tcPr>
          <w:p>
            <w:pPr>
              <w:jc w:val="right"/>
              <w:ind w:right="19"/>
              <w:spacing w:after="0" w:line="186" w:lineRule="exact"/>
              <w:rPr>
                <w:sz w:val="20"/>
                <w:szCs w:val="20"/>
                <w:color w:val="auto"/>
              </w:rPr>
            </w:pPr>
            <w:r>
              <w:rPr>
                <w:rFonts w:ascii="Arial" w:cs="Arial" w:eastAsia="Arial" w:hAnsi="Arial"/>
                <w:sz w:val="17"/>
                <w:szCs w:val="17"/>
                <w:color w:val="auto"/>
              </w:rPr>
              <w:t>(2,362,888)</w:t>
            </w:r>
          </w:p>
        </w:tc>
        <w:tc>
          <w:tcPr>
            <w:tcW w:w="260" w:type="dxa"/>
            <w:vAlign w:val="bottom"/>
            <w:tcBorders>
              <w:bottom w:val="single" w:sz="8" w:color="99B5CB"/>
            </w:tcBorders>
          </w:tcPr>
          <w:p>
            <w:pPr>
              <w:spacing w:after="0"/>
              <w:rPr>
                <w:sz w:val="16"/>
                <w:szCs w:val="16"/>
                <w:color w:val="auto"/>
              </w:rPr>
            </w:pPr>
          </w:p>
        </w:tc>
        <w:tc>
          <w:tcPr>
            <w:tcW w:w="1100" w:type="dxa"/>
            <w:vAlign w:val="bottom"/>
            <w:tcBorders>
              <w:bottom w:val="single" w:sz="8" w:color="99B5CB"/>
            </w:tcBorders>
          </w:tcPr>
          <w:p>
            <w:pPr>
              <w:jc w:val="right"/>
              <w:ind w:right="18"/>
              <w:spacing w:after="0" w:line="186" w:lineRule="exact"/>
              <w:rPr>
                <w:sz w:val="20"/>
                <w:szCs w:val="20"/>
                <w:color w:val="auto"/>
              </w:rPr>
            </w:pPr>
            <w:r>
              <w:rPr>
                <w:rFonts w:ascii="Arial" w:cs="Arial" w:eastAsia="Arial" w:hAnsi="Arial"/>
                <w:sz w:val="17"/>
                <w:szCs w:val="17"/>
                <w:color w:val="auto"/>
              </w:rPr>
              <w:t>658,885</w:t>
            </w:r>
          </w:p>
        </w:tc>
        <w:tc>
          <w:tcPr>
            <w:tcW w:w="300" w:type="dxa"/>
            <w:vAlign w:val="bottom"/>
            <w:tcBorders>
              <w:bottom w:val="single" w:sz="8" w:color="99B5CB"/>
            </w:tcBorders>
          </w:tcPr>
          <w:p>
            <w:pPr>
              <w:spacing w:after="0"/>
              <w:rPr>
                <w:sz w:val="16"/>
                <w:szCs w:val="16"/>
                <w:color w:val="auto"/>
              </w:rPr>
            </w:pPr>
          </w:p>
        </w:tc>
        <w:tc>
          <w:tcPr>
            <w:tcW w:w="1120" w:type="dxa"/>
            <w:vAlign w:val="bottom"/>
            <w:tcBorders>
              <w:bottom w:val="single" w:sz="8" w:color="99B5CB"/>
            </w:tcBorders>
          </w:tcPr>
          <w:p>
            <w:pPr>
              <w:jc w:val="right"/>
              <w:spacing w:after="0" w:line="186" w:lineRule="exact"/>
              <w:rPr>
                <w:sz w:val="20"/>
                <w:szCs w:val="20"/>
                <w:color w:val="auto"/>
              </w:rPr>
            </w:pPr>
            <w:r>
              <w:rPr>
                <w:rFonts w:ascii="Arial" w:cs="Arial" w:eastAsia="Arial" w:hAnsi="Arial"/>
                <w:sz w:val="17"/>
                <w:szCs w:val="17"/>
                <w:color w:val="auto"/>
              </w:rPr>
              <w:t>(789,682)</w:t>
            </w:r>
          </w:p>
        </w:tc>
        <w:tc>
          <w:tcPr>
            <w:tcW w:w="260" w:type="dxa"/>
            <w:vAlign w:val="bottom"/>
            <w:tcBorders>
              <w:bottom w:val="single" w:sz="8" w:color="99B5CB"/>
            </w:tcBorders>
          </w:tcPr>
          <w:p>
            <w:pPr>
              <w:spacing w:after="0"/>
              <w:rPr>
                <w:sz w:val="16"/>
                <w:szCs w:val="16"/>
                <w:color w:val="auto"/>
              </w:rPr>
            </w:pPr>
          </w:p>
        </w:tc>
        <w:tc>
          <w:tcPr>
            <w:tcW w:w="880" w:type="dxa"/>
            <w:vAlign w:val="bottom"/>
            <w:tcBorders>
              <w:bottom w:val="single" w:sz="8" w:color="99B5CB"/>
            </w:tcBorders>
          </w:tcPr>
          <w:p>
            <w:pPr>
              <w:jc w:val="right"/>
              <w:ind w:right="19"/>
              <w:spacing w:after="0" w:line="186" w:lineRule="exact"/>
              <w:rPr>
                <w:sz w:val="20"/>
                <w:szCs w:val="20"/>
                <w:color w:val="auto"/>
              </w:rPr>
            </w:pPr>
            <w:r>
              <w:rPr>
                <w:rFonts w:ascii="Arial" w:cs="Arial" w:eastAsia="Arial" w:hAnsi="Arial"/>
                <w:sz w:val="17"/>
                <w:szCs w:val="17"/>
                <w:color w:val="auto"/>
              </w:rPr>
              <w:t>94</w:t>
            </w:r>
          </w:p>
        </w:tc>
        <w:tc>
          <w:tcPr>
            <w:tcW w:w="260" w:type="dxa"/>
            <w:vAlign w:val="bottom"/>
            <w:tcBorders>
              <w:bottom w:val="single" w:sz="8" w:color="99B5CB"/>
            </w:tcBorders>
          </w:tcPr>
          <w:p>
            <w:pPr>
              <w:spacing w:after="0"/>
              <w:rPr>
                <w:sz w:val="16"/>
                <w:szCs w:val="16"/>
                <w:color w:val="auto"/>
              </w:rPr>
            </w:pPr>
          </w:p>
        </w:tc>
        <w:tc>
          <w:tcPr>
            <w:tcW w:w="820" w:type="dxa"/>
            <w:vAlign w:val="bottom"/>
            <w:tcBorders>
              <w:bottom w:val="single" w:sz="8" w:color="99B5CB"/>
            </w:tcBorders>
          </w:tcPr>
          <w:p>
            <w:pPr>
              <w:jc w:val="right"/>
              <w:spacing w:after="0" w:line="186" w:lineRule="exact"/>
              <w:rPr>
                <w:sz w:val="20"/>
                <w:szCs w:val="20"/>
                <w:color w:val="auto"/>
              </w:rPr>
            </w:pPr>
            <w:r>
              <w:rPr>
                <w:rFonts w:ascii="Arial" w:cs="Arial" w:eastAsia="Arial" w:hAnsi="Arial"/>
                <w:sz w:val="17"/>
                <w:szCs w:val="17"/>
                <w:color w:val="auto"/>
              </w:rPr>
              <w:t>132</w:t>
            </w:r>
          </w:p>
        </w:tc>
        <w:tc>
          <w:tcPr>
            <w:tcW w:w="1100" w:type="dxa"/>
            <w:vAlign w:val="bottom"/>
            <w:tcBorders>
              <w:bottom w:val="single" w:sz="8" w:color="99B5CB"/>
            </w:tcBorders>
          </w:tcPr>
          <w:p>
            <w:pPr>
              <w:jc w:val="right"/>
              <w:ind w:right="39"/>
              <w:spacing w:after="0" w:line="186" w:lineRule="exact"/>
              <w:rPr>
                <w:sz w:val="20"/>
                <w:szCs w:val="20"/>
                <w:color w:val="auto"/>
              </w:rPr>
            </w:pPr>
            <w:r>
              <w:rPr>
                <w:rFonts w:ascii="Arial" w:cs="Arial" w:eastAsia="Arial" w:hAnsi="Arial"/>
                <w:sz w:val="17"/>
                <w:szCs w:val="17"/>
                <w:color w:val="auto"/>
              </w:rPr>
              <w:t>116,182</w:t>
            </w:r>
          </w:p>
        </w:tc>
        <w:tc>
          <w:tcPr>
            <w:tcW w:w="1000" w:type="dxa"/>
            <w:vAlign w:val="bottom"/>
            <w:tcBorders>
              <w:bottom w:val="single" w:sz="8" w:color="99B5CB"/>
            </w:tcBorders>
          </w:tcPr>
          <w:p>
            <w:pPr>
              <w:jc w:val="right"/>
              <w:ind w:right="39"/>
              <w:spacing w:after="0" w:line="186" w:lineRule="exact"/>
              <w:rPr>
                <w:sz w:val="20"/>
                <w:szCs w:val="20"/>
                <w:color w:val="auto"/>
              </w:rPr>
            </w:pPr>
            <w:r>
              <w:rPr>
                <w:rFonts w:ascii="Arial" w:cs="Arial" w:eastAsia="Arial" w:hAnsi="Arial"/>
                <w:sz w:val="17"/>
                <w:szCs w:val="17"/>
                <w:color w:val="auto"/>
              </w:rPr>
              <w:t>481,229</w:t>
            </w:r>
          </w:p>
        </w:tc>
        <w:tc>
          <w:tcPr>
            <w:tcW w:w="0" w:type="dxa"/>
            <w:vAlign w:val="bottom"/>
          </w:tcPr>
          <w:p>
            <w:pPr>
              <w:spacing w:after="0"/>
              <w:rPr>
                <w:sz w:val="1"/>
                <w:szCs w:val="1"/>
                <w:color w:val="auto"/>
              </w:rPr>
            </w:pPr>
          </w:p>
        </w:tc>
      </w:tr>
      <w:tr>
        <w:trPr>
          <w:trHeight w:val="187"/>
        </w:trPr>
        <w:tc>
          <w:tcPr>
            <w:tcW w:w="720" w:type="dxa"/>
            <w:vAlign w:val="bottom"/>
            <w:tcBorders>
              <w:bottom w:val="single" w:sz="8" w:color="00467D"/>
            </w:tcBorders>
          </w:tcPr>
          <w:p>
            <w:pPr>
              <w:ind w:left="60"/>
              <w:spacing w:after="0" w:line="186" w:lineRule="exact"/>
              <w:rPr>
                <w:sz w:val="20"/>
                <w:szCs w:val="20"/>
                <w:color w:val="auto"/>
              </w:rPr>
            </w:pPr>
            <w:r>
              <w:rPr>
                <w:rFonts w:ascii="Arial" w:cs="Arial" w:eastAsia="Arial" w:hAnsi="Arial"/>
                <w:sz w:val="17"/>
                <w:szCs w:val="17"/>
                <w:color w:val="auto"/>
              </w:rPr>
              <w:t>2020</w:t>
            </w:r>
          </w:p>
        </w:tc>
        <w:tc>
          <w:tcPr>
            <w:tcW w:w="1380" w:type="dxa"/>
            <w:vAlign w:val="bottom"/>
            <w:tcBorders>
              <w:bottom w:val="single" w:sz="8" w:color="00467D"/>
            </w:tcBorders>
          </w:tcPr>
          <w:p>
            <w:pPr>
              <w:jc w:val="right"/>
              <w:ind w:right="39"/>
              <w:spacing w:after="0" w:line="186" w:lineRule="exact"/>
              <w:rPr>
                <w:sz w:val="20"/>
                <w:szCs w:val="20"/>
                <w:color w:val="auto"/>
              </w:rPr>
            </w:pPr>
            <w:r>
              <w:rPr>
                <w:rFonts w:ascii="Arial" w:cs="Arial" w:eastAsia="Arial" w:hAnsi="Arial"/>
                <w:sz w:val="17"/>
                <w:szCs w:val="17"/>
                <w:color w:val="auto"/>
              </w:rPr>
              <w:t>17,204,248</w:t>
            </w:r>
          </w:p>
        </w:tc>
        <w:tc>
          <w:tcPr>
            <w:tcW w:w="1340" w:type="dxa"/>
            <w:vAlign w:val="bottom"/>
            <w:tcBorders>
              <w:bottom w:val="single" w:sz="8" w:color="00467D"/>
            </w:tcBorders>
          </w:tcPr>
          <w:p>
            <w:pPr>
              <w:jc w:val="right"/>
              <w:ind w:right="79"/>
              <w:spacing w:after="0" w:line="186" w:lineRule="exact"/>
              <w:rPr>
                <w:sz w:val="20"/>
                <w:szCs w:val="20"/>
                <w:color w:val="auto"/>
              </w:rPr>
            </w:pPr>
            <w:r>
              <w:rPr>
                <w:rFonts w:ascii="Arial" w:cs="Arial" w:eastAsia="Arial" w:hAnsi="Arial"/>
                <w:sz w:val="17"/>
                <w:szCs w:val="17"/>
                <w:color w:val="auto"/>
              </w:rPr>
              <w:t>22,420,874</w:t>
            </w:r>
          </w:p>
        </w:tc>
        <w:tc>
          <w:tcPr>
            <w:tcW w:w="260" w:type="dxa"/>
            <w:vAlign w:val="bottom"/>
            <w:tcBorders>
              <w:bottom w:val="single" w:sz="8" w:color="00467D"/>
            </w:tcBorders>
          </w:tcPr>
          <w:p>
            <w:pPr>
              <w:spacing w:after="0"/>
              <w:rPr>
                <w:sz w:val="16"/>
                <w:szCs w:val="16"/>
                <w:color w:val="auto"/>
              </w:rPr>
            </w:pPr>
          </w:p>
        </w:tc>
        <w:tc>
          <w:tcPr>
            <w:tcW w:w="1100" w:type="dxa"/>
            <w:vAlign w:val="bottom"/>
            <w:tcBorders>
              <w:bottom w:val="single" w:sz="8" w:color="00467D"/>
            </w:tcBorders>
          </w:tcPr>
          <w:p>
            <w:pPr>
              <w:jc w:val="right"/>
              <w:ind w:right="18"/>
              <w:spacing w:after="0" w:line="186" w:lineRule="exact"/>
              <w:rPr>
                <w:sz w:val="20"/>
                <w:szCs w:val="20"/>
                <w:color w:val="auto"/>
              </w:rPr>
            </w:pPr>
            <w:r>
              <w:rPr>
                <w:rFonts w:ascii="Arial" w:cs="Arial" w:eastAsia="Arial" w:hAnsi="Arial"/>
                <w:sz w:val="17"/>
                <w:szCs w:val="17"/>
                <w:color w:val="auto"/>
              </w:rPr>
              <w:t>5,012,582</w:t>
            </w:r>
          </w:p>
        </w:tc>
        <w:tc>
          <w:tcPr>
            <w:tcW w:w="300" w:type="dxa"/>
            <w:vAlign w:val="bottom"/>
            <w:tcBorders>
              <w:bottom w:val="single" w:sz="8" w:color="00467D"/>
            </w:tcBorders>
          </w:tcPr>
          <w:p>
            <w:pPr>
              <w:spacing w:after="0"/>
              <w:rPr>
                <w:sz w:val="16"/>
                <w:szCs w:val="16"/>
                <w:color w:val="auto"/>
              </w:rPr>
            </w:pPr>
          </w:p>
        </w:tc>
        <w:tc>
          <w:tcPr>
            <w:tcW w:w="1120" w:type="dxa"/>
            <w:vAlign w:val="bottom"/>
            <w:tcBorders>
              <w:bottom w:val="single" w:sz="8" w:color="00467D"/>
            </w:tcBorders>
          </w:tcPr>
          <w:p>
            <w:pPr>
              <w:jc w:val="right"/>
              <w:ind w:right="37"/>
              <w:spacing w:after="0" w:line="186" w:lineRule="exact"/>
              <w:rPr>
                <w:sz w:val="20"/>
                <w:szCs w:val="20"/>
                <w:color w:val="auto"/>
              </w:rPr>
            </w:pPr>
            <w:r>
              <w:rPr>
                <w:rFonts w:ascii="Arial" w:cs="Arial" w:eastAsia="Arial" w:hAnsi="Arial"/>
                <w:sz w:val="17"/>
                <w:szCs w:val="17"/>
                <w:color w:val="auto"/>
              </w:rPr>
              <w:t>14,102,915</w:t>
            </w:r>
          </w:p>
        </w:tc>
        <w:tc>
          <w:tcPr>
            <w:tcW w:w="260" w:type="dxa"/>
            <w:vAlign w:val="bottom"/>
            <w:tcBorders>
              <w:bottom w:val="single" w:sz="8" w:color="00467D"/>
            </w:tcBorders>
          </w:tcPr>
          <w:p>
            <w:pPr>
              <w:spacing w:after="0"/>
              <w:rPr>
                <w:sz w:val="16"/>
                <w:szCs w:val="16"/>
                <w:color w:val="auto"/>
              </w:rPr>
            </w:pPr>
          </w:p>
        </w:tc>
        <w:tc>
          <w:tcPr>
            <w:tcW w:w="880" w:type="dxa"/>
            <w:vAlign w:val="bottom"/>
            <w:tcBorders>
              <w:bottom w:val="single" w:sz="8" w:color="00467D"/>
            </w:tcBorders>
          </w:tcPr>
          <w:p>
            <w:pPr>
              <w:jc w:val="right"/>
              <w:ind w:right="19"/>
              <w:spacing w:after="0" w:line="186" w:lineRule="exact"/>
              <w:rPr>
                <w:sz w:val="20"/>
                <w:szCs w:val="20"/>
                <w:color w:val="auto"/>
              </w:rPr>
            </w:pPr>
            <w:r>
              <w:rPr>
                <w:rFonts w:ascii="Arial" w:cs="Arial" w:eastAsia="Arial" w:hAnsi="Arial"/>
                <w:sz w:val="17"/>
                <w:szCs w:val="17"/>
                <w:color w:val="auto"/>
              </w:rPr>
              <w:t>109</w:t>
            </w:r>
          </w:p>
        </w:tc>
        <w:tc>
          <w:tcPr>
            <w:tcW w:w="260" w:type="dxa"/>
            <w:vAlign w:val="bottom"/>
            <w:tcBorders>
              <w:bottom w:val="single" w:sz="8" w:color="00467D"/>
            </w:tcBorders>
          </w:tcPr>
          <w:p>
            <w:pPr>
              <w:spacing w:after="0"/>
              <w:rPr>
                <w:sz w:val="16"/>
                <w:szCs w:val="16"/>
                <w:color w:val="auto"/>
              </w:rPr>
            </w:pPr>
          </w:p>
        </w:tc>
        <w:tc>
          <w:tcPr>
            <w:tcW w:w="820" w:type="dxa"/>
            <w:vAlign w:val="bottom"/>
            <w:tcBorders>
              <w:bottom w:val="single" w:sz="8" w:color="00467D"/>
            </w:tcBorders>
          </w:tcPr>
          <w:p>
            <w:pPr>
              <w:jc w:val="right"/>
              <w:spacing w:after="0" w:line="186" w:lineRule="exact"/>
              <w:rPr>
                <w:sz w:val="20"/>
                <w:szCs w:val="20"/>
                <w:color w:val="auto"/>
              </w:rPr>
            </w:pPr>
            <w:r>
              <w:rPr>
                <w:rFonts w:ascii="Arial" w:cs="Arial" w:eastAsia="Arial" w:hAnsi="Arial"/>
                <w:sz w:val="17"/>
                <w:szCs w:val="17"/>
                <w:color w:val="auto"/>
              </w:rPr>
              <w:t>105</w:t>
            </w:r>
          </w:p>
        </w:tc>
        <w:tc>
          <w:tcPr>
            <w:tcW w:w="1100" w:type="dxa"/>
            <w:vAlign w:val="bottom"/>
            <w:tcBorders>
              <w:bottom w:val="single" w:sz="8" w:color="00467D"/>
            </w:tcBorders>
          </w:tcPr>
          <w:p>
            <w:pPr>
              <w:jc w:val="right"/>
              <w:spacing w:after="0" w:line="186" w:lineRule="exact"/>
              <w:rPr>
                <w:sz w:val="20"/>
                <w:szCs w:val="20"/>
                <w:color w:val="auto"/>
              </w:rPr>
            </w:pPr>
            <w:r>
              <w:rPr>
                <w:rFonts w:ascii="Arial" w:cs="Arial" w:eastAsia="Arial" w:hAnsi="Arial"/>
                <w:sz w:val="17"/>
                <w:szCs w:val="17"/>
                <w:color w:val="auto"/>
              </w:rPr>
              <w:t>(38,617)</w:t>
            </w:r>
          </w:p>
        </w:tc>
        <w:tc>
          <w:tcPr>
            <w:tcW w:w="1000" w:type="dxa"/>
            <w:vAlign w:val="bottom"/>
            <w:tcBorders>
              <w:bottom w:val="single" w:sz="8" w:color="00467D"/>
            </w:tcBorders>
          </w:tcPr>
          <w:p>
            <w:pPr>
              <w:jc w:val="right"/>
              <w:ind w:right="39"/>
              <w:spacing w:after="0" w:line="186" w:lineRule="exact"/>
              <w:rPr>
                <w:sz w:val="20"/>
                <w:szCs w:val="20"/>
                <w:color w:val="auto"/>
              </w:rPr>
            </w:pPr>
            <w:r>
              <w:rPr>
                <w:rFonts w:ascii="Arial" w:cs="Arial" w:eastAsia="Arial" w:hAnsi="Arial"/>
                <w:sz w:val="17"/>
                <w:szCs w:val="17"/>
                <w:color w:val="auto"/>
              </w:rPr>
              <w:t>419,859</w:t>
            </w:r>
          </w:p>
        </w:tc>
        <w:tc>
          <w:tcPr>
            <w:tcW w:w="0" w:type="dxa"/>
            <w:vAlign w:val="bottom"/>
          </w:tcPr>
          <w:p>
            <w:pPr>
              <w:spacing w:after="0"/>
              <w:rPr>
                <w:sz w:val="1"/>
                <w:szCs w:val="1"/>
                <w:color w:val="auto"/>
              </w:rPr>
            </w:pPr>
          </w:p>
        </w:tc>
      </w:tr>
    </w:tbl>
    <w:p>
      <w:pPr>
        <w:spacing w:after="0" w:line="70" w:lineRule="exact"/>
        <w:rPr>
          <w:sz w:val="20"/>
          <w:szCs w:val="20"/>
          <w:color w:val="auto"/>
        </w:rPr>
      </w:pPr>
    </w:p>
    <w:p>
      <w:pPr>
        <w:ind w:left="780" w:right="60" w:hanging="422"/>
        <w:spacing w:after="0" w:line="259" w:lineRule="auto"/>
        <w:tabs>
          <w:tab w:leader="none" w:pos="780" w:val="left"/>
        </w:tabs>
        <w:numPr>
          <w:ilvl w:val="0"/>
          <w:numId w:val="44"/>
        </w:numPr>
        <w:rPr>
          <w:rFonts w:ascii="Arial" w:cs="Arial" w:eastAsia="Arial" w:hAnsi="Arial"/>
          <w:sz w:val="14"/>
          <w:szCs w:val="14"/>
          <w:color w:val="auto"/>
        </w:rPr>
      </w:pPr>
      <w:r>
        <w:rPr>
          <w:rFonts w:ascii="Arial" w:cs="Arial" w:eastAsia="Arial" w:hAnsi="Arial"/>
          <w:sz w:val="14"/>
          <w:szCs w:val="14"/>
          <w:color w:val="auto"/>
        </w:rPr>
        <w:t>The CEO in all three reporting years is Michael B. Petras, Jr. Reflects compensation amounts reported in the Summary Compensation Table (“SCT”) for Mr. Petras for the years ended December 31 2022, 2021 and 2020, respectively.</w:t>
      </w:r>
    </w:p>
    <w:p>
      <w:pPr>
        <w:spacing w:after="0" w:line="39" w:lineRule="exact"/>
        <w:rPr>
          <w:rFonts w:ascii="Arial" w:cs="Arial" w:eastAsia="Arial" w:hAnsi="Arial"/>
          <w:sz w:val="14"/>
          <w:szCs w:val="14"/>
          <w:color w:val="auto"/>
        </w:rPr>
      </w:pPr>
    </w:p>
    <w:p>
      <w:pPr>
        <w:ind w:left="780" w:right="500" w:hanging="422"/>
        <w:spacing w:after="0" w:line="259" w:lineRule="auto"/>
        <w:tabs>
          <w:tab w:leader="none" w:pos="780" w:val="left"/>
        </w:tabs>
        <w:numPr>
          <w:ilvl w:val="0"/>
          <w:numId w:val="44"/>
        </w:numPr>
        <w:rPr>
          <w:rFonts w:ascii="Arial" w:cs="Arial" w:eastAsia="Arial" w:hAnsi="Arial"/>
          <w:sz w:val="14"/>
          <w:szCs w:val="14"/>
          <w:color w:val="auto"/>
        </w:rPr>
      </w:pPr>
      <w:r>
        <w:rPr>
          <w:rFonts w:ascii="Arial" w:cs="Arial" w:eastAsia="Arial" w:hAnsi="Arial"/>
          <w:sz w:val="14"/>
          <w:szCs w:val="14"/>
          <w:color w:val="auto"/>
        </w:rPr>
        <w:t>Compensation actually paid (“CAP”) to our CEO in 2022, 2021 and 2020 reflects the respective amounts in the SCT adjusted as required pursuant to 402(v) of Regulation S-K.</w:t>
      </w:r>
    </w:p>
    <w:p>
      <w:pPr>
        <w:spacing w:after="0" w:line="39" w:lineRule="exact"/>
        <w:rPr>
          <w:rFonts w:ascii="Arial" w:cs="Arial" w:eastAsia="Arial" w:hAnsi="Arial"/>
          <w:sz w:val="14"/>
          <w:szCs w:val="14"/>
          <w:color w:val="auto"/>
        </w:rPr>
      </w:pPr>
    </w:p>
    <w:p>
      <w:pPr>
        <w:ind w:left="780" w:hanging="422"/>
        <w:spacing w:after="0"/>
        <w:tabs>
          <w:tab w:leader="none" w:pos="780" w:val="left"/>
        </w:tabs>
        <w:numPr>
          <w:ilvl w:val="0"/>
          <w:numId w:val="44"/>
        </w:numPr>
        <w:rPr>
          <w:rFonts w:ascii="Arial" w:cs="Arial" w:eastAsia="Arial" w:hAnsi="Arial"/>
          <w:sz w:val="14"/>
          <w:szCs w:val="14"/>
          <w:color w:val="auto"/>
        </w:rPr>
      </w:pPr>
      <w:r>
        <w:rPr>
          <w:rFonts w:ascii="Arial" w:cs="Arial" w:eastAsia="Arial" w:hAnsi="Arial"/>
          <w:sz w:val="14"/>
          <w:szCs w:val="14"/>
          <w:color w:val="auto"/>
        </w:rPr>
        <w:t>The following non-CEO NEOs are included in the average figures shown:</w:t>
      </w:r>
    </w:p>
    <w:p>
      <w:pPr>
        <w:spacing w:after="0" w:line="110" w:lineRule="exact"/>
        <w:rPr>
          <w:rFonts w:ascii="Arial" w:cs="Arial" w:eastAsia="Arial" w:hAnsi="Arial"/>
          <w:sz w:val="14"/>
          <w:szCs w:val="14"/>
          <w:color w:val="auto"/>
        </w:rPr>
      </w:pPr>
    </w:p>
    <w:p>
      <w:pPr>
        <w:ind w:left="1180" w:hanging="409"/>
        <w:spacing w:after="0"/>
        <w:tabs>
          <w:tab w:leader="none" w:pos="1180" w:val="left"/>
        </w:tabs>
        <w:numPr>
          <w:ilvl w:val="1"/>
          <w:numId w:val="44"/>
        </w:numPr>
        <w:rPr>
          <w:rFonts w:ascii="Arial" w:cs="Arial" w:eastAsia="Arial" w:hAnsi="Arial"/>
          <w:sz w:val="14"/>
          <w:szCs w:val="14"/>
          <w:color w:val="00467D"/>
        </w:rPr>
      </w:pPr>
      <w:r>
        <w:rPr>
          <w:rFonts w:ascii="Arial" w:cs="Arial" w:eastAsia="Arial" w:hAnsi="Arial"/>
          <w:sz w:val="14"/>
          <w:szCs w:val="14"/>
          <w:color w:val="auto"/>
        </w:rPr>
        <w:t>2020: Michael Rutz, Scott Leffler</w:t>
      </w:r>
    </w:p>
    <w:p>
      <w:pPr>
        <w:spacing w:after="0" w:line="110" w:lineRule="exact"/>
        <w:rPr>
          <w:rFonts w:ascii="Arial" w:cs="Arial" w:eastAsia="Arial" w:hAnsi="Arial"/>
          <w:sz w:val="14"/>
          <w:szCs w:val="14"/>
          <w:color w:val="00467D"/>
        </w:rPr>
      </w:pPr>
    </w:p>
    <w:p>
      <w:pPr>
        <w:ind w:left="1180" w:hanging="409"/>
        <w:spacing w:after="0"/>
        <w:tabs>
          <w:tab w:leader="none" w:pos="1180" w:val="left"/>
        </w:tabs>
        <w:numPr>
          <w:ilvl w:val="1"/>
          <w:numId w:val="44"/>
        </w:numPr>
        <w:rPr>
          <w:rFonts w:ascii="Arial" w:cs="Arial" w:eastAsia="Arial" w:hAnsi="Arial"/>
          <w:sz w:val="14"/>
          <w:szCs w:val="14"/>
          <w:color w:val="00467D"/>
        </w:rPr>
      </w:pPr>
      <w:r>
        <w:rPr>
          <w:rFonts w:ascii="Arial" w:cs="Arial" w:eastAsia="Arial" w:hAnsi="Arial"/>
          <w:sz w:val="14"/>
          <w:szCs w:val="14"/>
          <w:color w:val="auto"/>
        </w:rPr>
        <w:t>2021: Michael Rutz, Scott Leffler, Terrence Hammons, Matthew Klaben.</w:t>
      </w:r>
    </w:p>
    <w:p>
      <w:pPr>
        <w:spacing w:after="0" w:line="110" w:lineRule="exact"/>
        <w:rPr>
          <w:rFonts w:ascii="Arial" w:cs="Arial" w:eastAsia="Arial" w:hAnsi="Arial"/>
          <w:sz w:val="14"/>
          <w:szCs w:val="14"/>
          <w:color w:val="00467D"/>
        </w:rPr>
      </w:pPr>
    </w:p>
    <w:p>
      <w:pPr>
        <w:ind w:left="1180" w:hanging="409"/>
        <w:spacing w:after="0"/>
        <w:tabs>
          <w:tab w:leader="none" w:pos="1180" w:val="left"/>
        </w:tabs>
        <w:numPr>
          <w:ilvl w:val="1"/>
          <w:numId w:val="44"/>
        </w:numPr>
        <w:rPr>
          <w:rFonts w:ascii="Arial" w:cs="Arial" w:eastAsia="Arial" w:hAnsi="Arial"/>
          <w:sz w:val="14"/>
          <w:szCs w:val="14"/>
          <w:color w:val="00467D"/>
        </w:rPr>
      </w:pPr>
      <w:r>
        <w:rPr>
          <w:rFonts w:ascii="Arial" w:cs="Arial" w:eastAsia="Arial" w:hAnsi="Arial"/>
          <w:sz w:val="14"/>
          <w:szCs w:val="14"/>
          <w:color w:val="auto"/>
        </w:rPr>
        <w:t>2022: Michael Rutz, Scott Leffler, Terrence Hammons, Matthew Klaben, Alexander Dimitrief, Michael Biehl</w:t>
      </w:r>
    </w:p>
    <w:p>
      <w:pPr>
        <w:spacing w:after="0" w:line="97" w:lineRule="exact"/>
        <w:rPr>
          <w:sz w:val="20"/>
          <w:szCs w:val="20"/>
          <w:color w:val="auto"/>
        </w:rPr>
      </w:pPr>
    </w:p>
    <w:p>
      <w:pPr>
        <w:ind w:left="780" w:right="160"/>
        <w:spacing w:after="0" w:line="259" w:lineRule="auto"/>
        <w:rPr>
          <w:sz w:val="20"/>
          <w:szCs w:val="20"/>
          <w:color w:val="auto"/>
        </w:rPr>
      </w:pPr>
      <w:r>
        <w:rPr>
          <w:rFonts w:ascii="Arial" w:cs="Arial" w:eastAsia="Arial" w:hAnsi="Arial"/>
          <w:sz w:val="14"/>
          <w:szCs w:val="14"/>
          <w:color w:val="auto"/>
        </w:rPr>
        <w:t>Certain non-CEO NEOs served for a portion of the covered years cited above. For additional information, refer to “Executive Transitions” on page 27 and “Executive Transitions” in the 2022 Proxy Statement and Notice of Annual Meeting of Shareholders.</w:t>
      </w:r>
    </w:p>
    <w:p>
      <w:pPr>
        <w:spacing w:after="0" w:line="40" w:lineRule="exact"/>
        <w:rPr>
          <w:sz w:val="20"/>
          <w:szCs w:val="20"/>
          <w:color w:val="auto"/>
        </w:rPr>
      </w:pPr>
    </w:p>
    <w:p>
      <w:pPr>
        <w:ind w:left="780" w:hanging="422"/>
        <w:spacing w:after="0"/>
        <w:tabs>
          <w:tab w:leader="none" w:pos="780" w:val="left"/>
        </w:tabs>
        <w:numPr>
          <w:ilvl w:val="0"/>
          <w:numId w:val="45"/>
        </w:numPr>
        <w:rPr>
          <w:rFonts w:ascii="Arial" w:cs="Arial" w:eastAsia="Arial" w:hAnsi="Arial"/>
          <w:sz w:val="14"/>
          <w:szCs w:val="14"/>
          <w:color w:val="auto"/>
        </w:rPr>
      </w:pPr>
      <w:r>
        <w:rPr>
          <w:rFonts w:ascii="Arial" w:cs="Arial" w:eastAsia="Arial" w:hAnsi="Arial"/>
          <w:sz w:val="14"/>
          <w:szCs w:val="14"/>
          <w:color w:val="auto"/>
        </w:rPr>
        <w:t>Average CAP to our non-CEO NEOs in 2022, 2021 and 2020 reflects the respective amounts in the SCT, adjusted pursuant to 402(v) of Regulation S-K.</w:t>
      </w:r>
    </w:p>
    <w:p>
      <w:pPr>
        <w:spacing w:after="0" w:line="71" w:lineRule="exact"/>
        <w:rPr>
          <w:rFonts w:ascii="Arial" w:cs="Arial" w:eastAsia="Arial" w:hAnsi="Arial"/>
          <w:sz w:val="14"/>
          <w:szCs w:val="14"/>
          <w:color w:val="auto"/>
        </w:rPr>
      </w:pPr>
    </w:p>
    <w:p>
      <w:pPr>
        <w:ind w:left="780" w:right="220" w:hanging="422"/>
        <w:spacing w:after="0" w:line="245" w:lineRule="auto"/>
        <w:tabs>
          <w:tab w:leader="none" w:pos="780" w:val="left"/>
        </w:tabs>
        <w:numPr>
          <w:ilvl w:val="0"/>
          <w:numId w:val="45"/>
        </w:numPr>
        <w:rPr>
          <w:rFonts w:ascii="Arial" w:cs="Arial" w:eastAsia="Arial" w:hAnsi="Arial"/>
          <w:sz w:val="14"/>
          <w:szCs w:val="14"/>
          <w:color w:val="auto"/>
        </w:rPr>
      </w:pPr>
      <w:r>
        <w:rPr>
          <w:rFonts w:ascii="Arial" w:cs="Arial" w:eastAsia="Arial" w:hAnsi="Arial"/>
          <w:sz w:val="14"/>
          <w:szCs w:val="14"/>
          <w:color w:val="auto"/>
        </w:rPr>
        <w:t>Represents the cumulative total shareholder return (“TSR”) of the Company (i) for 2020, over the one-year period from market close December 31, 2019 through December 31, 2020, (ii) for 2021, over the two-year period from market close on December 31, 2019 through December 31, 2021, (iii) and for 2022, over the three-year period from market close December 31, 2019 through December 31, 2022.</w:t>
      </w:r>
    </w:p>
    <w:p>
      <w:pPr>
        <w:spacing w:after="0" w:line="49" w:lineRule="exact"/>
        <w:rPr>
          <w:rFonts w:ascii="Arial" w:cs="Arial" w:eastAsia="Arial" w:hAnsi="Arial"/>
          <w:sz w:val="14"/>
          <w:szCs w:val="14"/>
          <w:color w:val="auto"/>
        </w:rPr>
      </w:pPr>
    </w:p>
    <w:p>
      <w:pPr>
        <w:jc w:val="both"/>
        <w:ind w:left="780" w:right="80" w:hanging="422"/>
        <w:spacing w:after="0" w:line="245" w:lineRule="auto"/>
        <w:tabs>
          <w:tab w:leader="none" w:pos="780" w:val="left"/>
        </w:tabs>
        <w:numPr>
          <w:ilvl w:val="0"/>
          <w:numId w:val="45"/>
        </w:numPr>
        <w:rPr>
          <w:rFonts w:ascii="Arial" w:cs="Arial" w:eastAsia="Arial" w:hAnsi="Arial"/>
          <w:sz w:val="14"/>
          <w:szCs w:val="14"/>
          <w:color w:val="auto"/>
        </w:rPr>
      </w:pPr>
      <w:r>
        <w:rPr>
          <w:rFonts w:ascii="Arial" w:cs="Arial" w:eastAsia="Arial" w:hAnsi="Arial"/>
          <w:sz w:val="14"/>
          <w:szCs w:val="14"/>
          <w:color w:val="auto"/>
        </w:rPr>
        <w:t>Represents the cumulative TSR of the S&amp;P 500 Healthcare Index (i) for 2020, over the one-year period from market close December 31, 2019 through December 31, 2020, (ii) for 2021, over the two-year period from market close on December 31, 2019 through December 31, 2021, (iii) and for 2022, over the three-year period from market close December 31, 2019 through December 31, 2022.</w:t>
      </w:r>
    </w:p>
    <w:p>
      <w:pPr>
        <w:spacing w:after="0" w:line="49" w:lineRule="exact"/>
        <w:rPr>
          <w:rFonts w:ascii="Arial" w:cs="Arial" w:eastAsia="Arial" w:hAnsi="Arial"/>
          <w:sz w:val="14"/>
          <w:szCs w:val="14"/>
          <w:color w:val="auto"/>
        </w:rPr>
      </w:pPr>
    </w:p>
    <w:p>
      <w:pPr>
        <w:ind w:left="780" w:right="20" w:hanging="422"/>
        <w:spacing w:after="0"/>
        <w:tabs>
          <w:tab w:leader="none" w:pos="780" w:val="left"/>
        </w:tabs>
        <w:numPr>
          <w:ilvl w:val="0"/>
          <w:numId w:val="45"/>
        </w:numPr>
        <w:rPr>
          <w:rFonts w:ascii="Arial" w:cs="Arial" w:eastAsia="Arial" w:hAnsi="Arial"/>
          <w:sz w:val="14"/>
          <w:szCs w:val="14"/>
          <w:color w:val="auto"/>
        </w:rPr>
      </w:pPr>
      <w:r>
        <w:rPr>
          <w:rFonts w:ascii="Arial" w:cs="Arial" w:eastAsia="Arial" w:hAnsi="Arial"/>
          <w:sz w:val="14"/>
          <w:szCs w:val="14"/>
          <w:color w:val="auto"/>
        </w:rPr>
        <w:t>Reflects “Net Income (Loss)” in the Consolidated Statements of Operations and Comprehensive Income (Loss) included in the Company’s Annual Reports on Form 10-K for the years ended December 31, 2022, 2021 and 2020 (“Net Income” and “Net Loss”, as applicable). 2022 Net Loss includes a $408 million legal reserve recorded in the fourth quarter of 2022 related to the binding term sheets to settle the ethylene oxide claims in Cook County, Illinois, subject to the satisfaction or waiver by the Company of the various conditions set forth in the term sheets.</w:t>
      </w:r>
    </w:p>
    <w:p>
      <w:pPr>
        <w:spacing w:after="0" w:line="52" w:lineRule="exact"/>
        <w:rPr>
          <w:rFonts w:ascii="Arial" w:cs="Arial" w:eastAsia="Arial" w:hAnsi="Arial"/>
          <w:sz w:val="14"/>
          <w:szCs w:val="14"/>
          <w:color w:val="auto"/>
        </w:rPr>
      </w:pPr>
    </w:p>
    <w:p>
      <w:pPr>
        <w:ind w:left="780" w:hanging="422"/>
        <w:spacing w:after="0"/>
        <w:tabs>
          <w:tab w:leader="none" w:pos="780" w:val="left"/>
        </w:tabs>
        <w:numPr>
          <w:ilvl w:val="0"/>
          <w:numId w:val="45"/>
        </w:numPr>
        <w:rPr>
          <w:rFonts w:ascii="Arial" w:cs="Arial" w:eastAsia="Arial" w:hAnsi="Arial"/>
          <w:sz w:val="14"/>
          <w:szCs w:val="14"/>
          <w:color w:val="auto"/>
        </w:rPr>
      </w:pPr>
      <w:r>
        <w:rPr>
          <w:rFonts w:ascii="Arial" w:cs="Arial" w:eastAsia="Arial" w:hAnsi="Arial"/>
          <w:sz w:val="14"/>
          <w:szCs w:val="14"/>
          <w:color w:val="auto"/>
        </w:rPr>
        <w:t>The Company-selected Measure is Adjusted EBITDA, which is described below.</w:t>
      </w:r>
    </w:p>
    <w:p>
      <w:pPr>
        <w:spacing w:after="0" w:line="189" w:lineRule="exact"/>
        <w:rPr>
          <w:sz w:val="20"/>
          <w:szCs w:val="20"/>
          <w:color w:val="auto"/>
        </w:rPr>
      </w:pPr>
    </w:p>
    <w:p>
      <w:pPr>
        <w:ind w:left="360" w:right="140"/>
        <w:spacing w:after="0" w:line="244" w:lineRule="auto"/>
        <w:rPr>
          <w:sz w:val="20"/>
          <w:szCs w:val="20"/>
          <w:color w:val="auto"/>
        </w:rPr>
      </w:pPr>
      <w:r>
        <w:rPr>
          <w:rFonts w:ascii="Arial" w:cs="Arial" w:eastAsia="Arial" w:hAnsi="Arial"/>
          <w:sz w:val="17"/>
          <w:szCs w:val="17"/>
          <w:b w:val="1"/>
          <w:bCs w:val="1"/>
          <w:color w:val="auto"/>
        </w:rPr>
        <w:t xml:space="preserve">Equity Valuations. </w:t>
      </w:r>
      <w:r>
        <w:rPr>
          <w:rFonts w:ascii="Arial" w:cs="Arial" w:eastAsia="Arial" w:hAnsi="Arial"/>
          <w:sz w:val="17"/>
          <w:szCs w:val="17"/>
          <w:color w:val="auto"/>
        </w:rPr>
        <w:t>The Company measures stock option grant date fair values using the Black-Scholes option pricing model as of the</w:t>
      </w:r>
      <w:r>
        <w:rPr>
          <w:rFonts w:ascii="Arial" w:cs="Arial" w:eastAsia="Arial" w:hAnsi="Arial"/>
          <w:sz w:val="17"/>
          <w:szCs w:val="17"/>
          <w:b w:val="1"/>
          <w:bCs w:val="1"/>
          <w:color w:val="auto"/>
        </w:rPr>
        <w:t xml:space="preserve"> </w:t>
      </w:r>
      <w:r>
        <w:rPr>
          <w:rFonts w:ascii="Arial" w:cs="Arial" w:eastAsia="Arial" w:hAnsi="Arial"/>
          <w:sz w:val="17"/>
          <w:szCs w:val="17"/>
          <w:color w:val="auto"/>
        </w:rPr>
        <w:t>grant date. For the adjustments to equity compensation required under Rule 402(v) of Regulation S-K, stock option fair values as of each measurement date apply the Black-Scholes option pricing model with updated assumptions (i.e., expected term, volatility, risk free rates) and common stock price as of each year end and vesting date. The Company measures the fair value of RSUs and restricted common stock awards (“RSAs”) using the closing market price of our common stock as of the grant date. For the adjustments to equity compensation required under Rule 402(v) of Regulation S-K, RSUs and RSAs have been valued using the closing market price of our common stock as of each year end and vesting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231775</wp:posOffset>
            </wp:positionH>
            <wp:positionV relativeFrom="paragraph">
              <wp:posOffset>95885</wp:posOffset>
            </wp:positionV>
            <wp:extent cx="6687820" cy="1651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687820" cy="16510"/>
                    </a:xfrm>
                    <a:prstGeom prst="rect">
                      <a:avLst/>
                    </a:prstGeom>
                    <a:noFill/>
                  </pic:spPr>
                </pic:pic>
              </a:graphicData>
            </a:graphic>
          </wp:anchor>
        </w:drawing>
      </w:r>
    </w:p>
    <w:p>
      <w:pPr>
        <w:spacing w:after="0" w:line="282" w:lineRule="exact"/>
        <w:rPr>
          <w:sz w:val="20"/>
          <w:szCs w:val="20"/>
          <w:color w:val="auto"/>
        </w:rPr>
      </w:pPr>
    </w:p>
    <w:tbl>
      <w:tblPr>
        <w:tblLayout w:type="fixed"/>
        <w:tblInd w:w="360" w:type="dxa"/>
        <w:tblCellMar>
          <w:top w:w="0" w:type="dxa"/>
          <w:left w:w="0" w:type="dxa"/>
          <w:bottom w:w="0" w:type="dxa"/>
          <w:right w:w="0" w:type="dxa"/>
        </w:tblCellMar>
      </w:tblPr>
      <w:tr>
        <w:trPr>
          <w:trHeight w:val="226"/>
        </w:trPr>
        <w:tc>
          <w:tcPr>
            <w:tcW w:w="3900" w:type="dxa"/>
            <w:vAlign w:val="bottom"/>
          </w:tcPr>
          <w:p>
            <w:pPr>
              <w:spacing w:after="0"/>
              <w:rPr>
                <w:sz w:val="20"/>
                <w:szCs w:val="20"/>
                <w:color w:val="auto"/>
              </w:rPr>
            </w:pPr>
            <w:r>
              <w:rPr>
                <w:rFonts w:ascii="Arial" w:cs="Arial" w:eastAsia="Arial" w:hAnsi="Arial"/>
                <w:sz w:val="17"/>
                <w:szCs w:val="17"/>
                <w:color w:val="auto"/>
              </w:rPr>
              <w:t>2023 Notice and Proxy Statement</w:t>
            </w:r>
          </w:p>
        </w:tc>
        <w:tc>
          <w:tcPr>
            <w:tcW w:w="1520" w:type="dxa"/>
            <w:vAlign w:val="bottom"/>
          </w:tcPr>
          <w:p>
            <w:pPr>
              <w:jc w:val="right"/>
              <w:spacing w:after="0"/>
              <w:rPr>
                <w:sz w:val="20"/>
                <w:szCs w:val="20"/>
                <w:color w:val="auto"/>
              </w:rPr>
            </w:pPr>
            <w:r>
              <w:rPr>
                <w:rFonts w:ascii="Arial" w:cs="Arial" w:eastAsia="Arial" w:hAnsi="Arial"/>
                <w:sz w:val="17"/>
                <w:szCs w:val="17"/>
                <w:color w:val="auto"/>
              </w:rPr>
              <w:t>62</w:t>
            </w:r>
          </w:p>
        </w:tc>
      </w:tr>
    </w:tbl>
    <w:p>
      <w:pPr>
        <w:sectPr>
          <w:pgSz w:w="11900" w:h="16838" w:orient="portrait"/>
          <w:cols w:equalWidth="0" w:num="1">
            <w:col w:w="10900"/>
          </w:cols>
          <w:pgMar w:left="320" w:top="468" w:right="67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5397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79945" cy="53975"/>
                    </a:xfrm>
                    <a:prstGeom prst="rect">
                      <a:avLst/>
                    </a:prstGeom>
                    <a:noFill/>
                  </pic:spPr>
                </pic:pic>
              </a:graphicData>
            </a:graphic>
          </wp:anchor>
        </w:drawing>
        <w:t>Table of Contents</w:t>
      </w:r>
    </w:p>
    <w:p>
      <w:pPr>
        <w:spacing w:after="0" w:line="296"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Pay Versus Performance</w:t>
      </w:r>
    </w:p>
    <w:p>
      <w:pPr>
        <w:spacing w:after="0" w:line="21" w:lineRule="exact"/>
        <w:rPr>
          <w:sz w:val="20"/>
          <w:szCs w:val="20"/>
          <w:color w:val="auto"/>
        </w:rPr>
      </w:pPr>
    </w:p>
    <w:p>
      <w:pPr>
        <w:ind w:left="8900"/>
        <w:spacing w:after="0"/>
        <w:rPr>
          <w:sz w:val="20"/>
          <w:szCs w:val="20"/>
          <w:color w:val="auto"/>
        </w:rPr>
      </w:pPr>
      <w:r>
        <w:rPr>
          <w:rFonts w:ascii="Arial" w:cs="Arial" w:eastAsia="Arial" w:hAnsi="Arial"/>
          <w:sz w:val="13"/>
          <w:szCs w:val="13"/>
          <w:b w:val="1"/>
          <w:bCs w:val="1"/>
          <w:color w:val="auto"/>
        </w:rPr>
        <w:t>Pay versus Performance Table</w:t>
      </w:r>
    </w:p>
    <w:p>
      <w:pPr>
        <w:spacing w:after="0" w:line="126" w:lineRule="exact"/>
        <w:rPr>
          <w:sz w:val="20"/>
          <w:szCs w:val="20"/>
          <w:color w:val="auto"/>
        </w:rPr>
      </w:pPr>
    </w:p>
    <w:p>
      <w:pPr>
        <w:ind w:left="360" w:right="40"/>
        <w:spacing w:after="0" w:line="256" w:lineRule="auto"/>
        <w:rPr>
          <w:sz w:val="20"/>
          <w:szCs w:val="20"/>
          <w:color w:val="auto"/>
        </w:rPr>
      </w:pPr>
      <w:r>
        <w:rPr>
          <w:rFonts w:ascii="Arial" w:cs="Arial" w:eastAsia="Arial" w:hAnsi="Arial"/>
          <w:sz w:val="17"/>
          <w:szCs w:val="17"/>
          <w:color w:val="auto"/>
        </w:rPr>
        <w:t>The difference between CAP and compensation amounts reported in the SCT for the year ended December 31, 2022 is attributable to fluctuations in the market price of our common stock in the fourth quarter of 2022 following adverse results in EO litigation in Cook County, Illinois.</w:t>
      </w:r>
    </w:p>
    <w:p>
      <w:pPr>
        <w:spacing w:after="0" w:line="162" w:lineRule="exact"/>
        <w:rPr>
          <w:sz w:val="20"/>
          <w:szCs w:val="20"/>
          <w:color w:val="auto"/>
        </w:rPr>
      </w:pPr>
    </w:p>
    <w:p>
      <w:pPr>
        <w:ind w:left="360" w:right="140"/>
        <w:spacing w:after="0" w:line="274" w:lineRule="auto"/>
        <w:rPr>
          <w:sz w:val="20"/>
          <w:szCs w:val="20"/>
          <w:color w:val="auto"/>
        </w:rPr>
      </w:pPr>
      <w:r>
        <w:rPr>
          <w:rFonts w:ascii="Arial" w:cs="Arial" w:eastAsia="Arial" w:hAnsi="Arial"/>
          <w:sz w:val="17"/>
          <w:szCs w:val="17"/>
          <w:color w:val="auto"/>
        </w:rPr>
        <w:t>The following table indicates the range of assumptions used to determine the stock option awards under the Black-Scholes option pricing model granted during 2020 - 2022 at various dates as required to calculate the executive compensation actually paid:</w:t>
      </w:r>
    </w:p>
    <w:p>
      <w:pPr>
        <w:spacing w:after="0" w:line="176" w:lineRule="exact"/>
        <w:rPr>
          <w:sz w:val="20"/>
          <w:szCs w:val="20"/>
          <w:color w:val="auto"/>
        </w:rPr>
      </w:pPr>
    </w:p>
    <w:tbl>
      <w:tblPr>
        <w:tblLayout w:type="fixed"/>
        <w:tblInd w:w="360" w:type="dxa"/>
        <w:tblCellMar>
          <w:top w:w="0" w:type="dxa"/>
          <w:left w:w="0" w:type="dxa"/>
          <w:bottom w:w="0" w:type="dxa"/>
          <w:right w:w="0" w:type="dxa"/>
        </w:tblCellMar>
      </w:tblPr>
      <w:tr>
        <w:trPr>
          <w:trHeight w:val="195"/>
        </w:trPr>
        <w:tc>
          <w:tcPr>
            <w:tcW w:w="2320" w:type="dxa"/>
            <w:vAlign w:val="bottom"/>
            <w:tcBorders>
              <w:bottom w:val="single" w:sz="8" w:color="00467D"/>
            </w:tcBorders>
          </w:tcPr>
          <w:p>
            <w:pPr>
              <w:ind w:left="60"/>
              <w:spacing w:after="0"/>
              <w:rPr>
                <w:sz w:val="20"/>
                <w:szCs w:val="20"/>
                <w:color w:val="auto"/>
              </w:rPr>
            </w:pPr>
            <w:r>
              <w:rPr>
                <w:rFonts w:ascii="Arial" w:cs="Arial" w:eastAsia="Arial" w:hAnsi="Arial"/>
                <w:sz w:val="15"/>
                <w:szCs w:val="15"/>
                <w:b w:val="1"/>
                <w:bCs w:val="1"/>
                <w:color w:val="00467D"/>
              </w:rPr>
              <w:t>Grant Year</w:t>
            </w:r>
          </w:p>
        </w:tc>
        <w:tc>
          <w:tcPr>
            <w:tcW w:w="3660" w:type="dxa"/>
            <w:vAlign w:val="bottom"/>
            <w:tcBorders>
              <w:bottom w:val="single" w:sz="8" w:color="00467D"/>
            </w:tcBorders>
          </w:tcPr>
          <w:p>
            <w:pPr>
              <w:jc w:val="right"/>
              <w:ind w:right="736"/>
              <w:spacing w:after="0"/>
              <w:rPr>
                <w:sz w:val="20"/>
                <w:szCs w:val="20"/>
                <w:color w:val="auto"/>
              </w:rPr>
            </w:pPr>
            <w:r>
              <w:rPr>
                <w:rFonts w:ascii="Arial" w:cs="Arial" w:eastAsia="Arial" w:hAnsi="Arial"/>
                <w:sz w:val="15"/>
                <w:szCs w:val="15"/>
                <w:b w:val="1"/>
                <w:bCs w:val="1"/>
                <w:color w:val="00467D"/>
              </w:rPr>
              <w:t>Expected volatility</w:t>
            </w:r>
          </w:p>
        </w:tc>
        <w:tc>
          <w:tcPr>
            <w:tcW w:w="2440" w:type="dxa"/>
            <w:vAlign w:val="bottom"/>
            <w:tcBorders>
              <w:bottom w:val="single" w:sz="8" w:color="00467D"/>
            </w:tcBorders>
          </w:tcPr>
          <w:p>
            <w:pPr>
              <w:jc w:val="right"/>
              <w:ind w:right="576"/>
              <w:spacing w:after="0"/>
              <w:rPr>
                <w:sz w:val="20"/>
                <w:szCs w:val="20"/>
                <w:color w:val="auto"/>
              </w:rPr>
            </w:pPr>
            <w:r>
              <w:rPr>
                <w:rFonts w:ascii="Arial" w:cs="Arial" w:eastAsia="Arial" w:hAnsi="Arial"/>
                <w:sz w:val="15"/>
                <w:szCs w:val="15"/>
                <w:b w:val="1"/>
                <w:bCs w:val="1"/>
                <w:color w:val="00467D"/>
              </w:rPr>
              <w:t>Expected life (years)</w:t>
            </w:r>
          </w:p>
        </w:tc>
        <w:tc>
          <w:tcPr>
            <w:tcW w:w="2120" w:type="dxa"/>
            <w:vAlign w:val="bottom"/>
            <w:tcBorders>
              <w:bottom w:val="single" w:sz="8" w:color="00467D"/>
            </w:tcBorders>
          </w:tcPr>
          <w:p>
            <w:pPr>
              <w:jc w:val="right"/>
              <w:ind w:right="236"/>
              <w:spacing w:after="0"/>
              <w:rPr>
                <w:sz w:val="20"/>
                <w:szCs w:val="20"/>
                <w:color w:val="auto"/>
              </w:rPr>
            </w:pPr>
            <w:r>
              <w:rPr>
                <w:rFonts w:ascii="Arial" w:cs="Arial" w:eastAsia="Arial" w:hAnsi="Arial"/>
                <w:sz w:val="15"/>
                <w:szCs w:val="15"/>
                <w:b w:val="1"/>
                <w:bCs w:val="1"/>
                <w:color w:val="00467D"/>
              </w:rPr>
              <w:t>Risk-free interest rate</w:t>
            </w:r>
          </w:p>
        </w:tc>
      </w:tr>
      <w:tr>
        <w:trPr>
          <w:trHeight w:val="187"/>
        </w:trPr>
        <w:tc>
          <w:tcPr>
            <w:tcW w:w="2320" w:type="dxa"/>
            <w:vAlign w:val="bottom"/>
            <w:tcBorders>
              <w:bottom w:val="single" w:sz="8" w:color="99B5CB"/>
            </w:tcBorders>
          </w:tcPr>
          <w:p>
            <w:pPr>
              <w:ind w:left="60"/>
              <w:spacing w:after="0" w:line="186" w:lineRule="exact"/>
              <w:rPr>
                <w:sz w:val="20"/>
                <w:szCs w:val="20"/>
                <w:color w:val="auto"/>
              </w:rPr>
            </w:pPr>
            <w:r>
              <w:rPr>
                <w:rFonts w:ascii="Arial" w:cs="Arial" w:eastAsia="Arial" w:hAnsi="Arial"/>
                <w:sz w:val="17"/>
                <w:szCs w:val="17"/>
                <w:color w:val="auto"/>
              </w:rPr>
              <w:t>2022</w:t>
            </w:r>
          </w:p>
        </w:tc>
        <w:tc>
          <w:tcPr>
            <w:tcW w:w="3660" w:type="dxa"/>
            <w:vAlign w:val="bottom"/>
            <w:tcBorders>
              <w:bottom w:val="single" w:sz="8" w:color="99B5CB"/>
            </w:tcBorders>
          </w:tcPr>
          <w:p>
            <w:pPr>
              <w:jc w:val="right"/>
              <w:ind w:right="196"/>
              <w:spacing w:after="0" w:line="186" w:lineRule="exact"/>
              <w:rPr>
                <w:sz w:val="20"/>
                <w:szCs w:val="20"/>
                <w:color w:val="auto"/>
              </w:rPr>
            </w:pPr>
            <w:r>
              <w:rPr>
                <w:rFonts w:ascii="Arial" w:cs="Arial" w:eastAsia="Arial" w:hAnsi="Arial"/>
                <w:sz w:val="17"/>
                <w:szCs w:val="17"/>
                <w:color w:val="auto"/>
              </w:rPr>
              <w:t>50.0% - 55.0%</w:t>
            </w:r>
            <w:r>
              <w:rPr>
                <w:rFonts w:ascii="Arial" w:cs="Arial" w:eastAsia="Arial" w:hAnsi="Arial"/>
                <w:sz w:val="10"/>
                <w:szCs w:val="10"/>
                <w:color w:val="auto"/>
              </w:rPr>
              <w:t>(1)</w:t>
            </w:r>
          </w:p>
        </w:tc>
        <w:tc>
          <w:tcPr>
            <w:tcW w:w="2440" w:type="dxa"/>
            <w:vAlign w:val="bottom"/>
            <w:tcBorders>
              <w:bottom w:val="single" w:sz="8" w:color="99B5CB"/>
            </w:tcBorders>
          </w:tcPr>
          <w:p>
            <w:pPr>
              <w:jc w:val="right"/>
              <w:ind w:right="116"/>
              <w:spacing w:after="0" w:line="186" w:lineRule="exact"/>
              <w:rPr>
                <w:sz w:val="20"/>
                <w:szCs w:val="20"/>
                <w:color w:val="auto"/>
              </w:rPr>
            </w:pPr>
            <w:r>
              <w:rPr>
                <w:rFonts w:ascii="Arial" w:cs="Arial" w:eastAsia="Arial" w:hAnsi="Arial"/>
                <w:sz w:val="17"/>
                <w:szCs w:val="17"/>
                <w:color w:val="auto"/>
              </w:rPr>
              <w:t>4.3 - 5.9</w:t>
            </w:r>
          </w:p>
        </w:tc>
        <w:tc>
          <w:tcPr>
            <w:tcW w:w="2120" w:type="dxa"/>
            <w:vAlign w:val="bottom"/>
            <w:tcBorders>
              <w:bottom w:val="single" w:sz="8" w:color="99B5CB"/>
            </w:tcBorders>
          </w:tcPr>
          <w:p>
            <w:pPr>
              <w:jc w:val="right"/>
              <w:spacing w:after="0" w:line="186" w:lineRule="exact"/>
              <w:rPr>
                <w:sz w:val="20"/>
                <w:szCs w:val="20"/>
                <w:color w:val="auto"/>
              </w:rPr>
            </w:pPr>
            <w:r>
              <w:rPr>
                <w:rFonts w:ascii="Arial" w:cs="Arial" w:eastAsia="Arial" w:hAnsi="Arial"/>
                <w:sz w:val="17"/>
                <w:szCs w:val="17"/>
                <w:color w:val="auto"/>
              </w:rPr>
              <w:t>4.0% - 4.1%</w:t>
            </w:r>
          </w:p>
        </w:tc>
      </w:tr>
      <w:tr>
        <w:trPr>
          <w:trHeight w:val="187"/>
        </w:trPr>
        <w:tc>
          <w:tcPr>
            <w:tcW w:w="2320" w:type="dxa"/>
            <w:vAlign w:val="bottom"/>
            <w:tcBorders>
              <w:bottom w:val="single" w:sz="8" w:color="99B5CB"/>
            </w:tcBorders>
          </w:tcPr>
          <w:p>
            <w:pPr>
              <w:ind w:left="60"/>
              <w:spacing w:after="0" w:line="186" w:lineRule="exact"/>
              <w:rPr>
                <w:sz w:val="20"/>
                <w:szCs w:val="20"/>
                <w:color w:val="auto"/>
              </w:rPr>
            </w:pPr>
            <w:r>
              <w:rPr>
                <w:rFonts w:ascii="Arial" w:cs="Arial" w:eastAsia="Arial" w:hAnsi="Arial"/>
                <w:sz w:val="17"/>
                <w:szCs w:val="17"/>
                <w:color w:val="auto"/>
              </w:rPr>
              <w:t>2021</w:t>
            </w:r>
          </w:p>
        </w:tc>
        <w:tc>
          <w:tcPr>
            <w:tcW w:w="3660" w:type="dxa"/>
            <w:vAlign w:val="bottom"/>
            <w:tcBorders>
              <w:bottom w:val="single" w:sz="8" w:color="99B5CB"/>
            </w:tcBorders>
          </w:tcPr>
          <w:p>
            <w:pPr>
              <w:jc w:val="right"/>
              <w:ind w:right="196"/>
              <w:spacing w:after="0" w:line="186" w:lineRule="exact"/>
              <w:rPr>
                <w:sz w:val="20"/>
                <w:szCs w:val="20"/>
                <w:color w:val="auto"/>
              </w:rPr>
            </w:pPr>
            <w:r>
              <w:rPr>
                <w:rFonts w:ascii="Arial" w:cs="Arial" w:eastAsia="Arial" w:hAnsi="Arial"/>
                <w:sz w:val="17"/>
                <w:szCs w:val="17"/>
                <w:color w:val="auto"/>
              </w:rPr>
              <w:t>37.5%</w:t>
            </w:r>
          </w:p>
        </w:tc>
        <w:tc>
          <w:tcPr>
            <w:tcW w:w="2440" w:type="dxa"/>
            <w:vAlign w:val="bottom"/>
            <w:tcBorders>
              <w:bottom w:val="single" w:sz="8" w:color="99B5CB"/>
            </w:tcBorders>
          </w:tcPr>
          <w:p>
            <w:pPr>
              <w:jc w:val="right"/>
              <w:ind w:right="116"/>
              <w:spacing w:after="0" w:line="186" w:lineRule="exact"/>
              <w:rPr>
                <w:sz w:val="20"/>
                <w:szCs w:val="20"/>
                <w:color w:val="auto"/>
              </w:rPr>
            </w:pPr>
            <w:r>
              <w:rPr>
                <w:rFonts w:ascii="Arial" w:cs="Arial" w:eastAsia="Arial" w:hAnsi="Arial"/>
                <w:sz w:val="17"/>
                <w:szCs w:val="17"/>
                <w:color w:val="auto"/>
              </w:rPr>
              <w:t>5.2 - 6.1</w:t>
            </w:r>
          </w:p>
        </w:tc>
        <w:tc>
          <w:tcPr>
            <w:tcW w:w="2120" w:type="dxa"/>
            <w:vAlign w:val="bottom"/>
            <w:tcBorders>
              <w:bottom w:val="single" w:sz="8" w:color="99B5CB"/>
            </w:tcBorders>
          </w:tcPr>
          <w:p>
            <w:pPr>
              <w:jc w:val="right"/>
              <w:spacing w:after="0" w:line="186" w:lineRule="exact"/>
              <w:rPr>
                <w:sz w:val="20"/>
                <w:szCs w:val="20"/>
                <w:color w:val="auto"/>
              </w:rPr>
            </w:pPr>
            <w:r>
              <w:rPr>
                <w:rFonts w:ascii="Arial" w:cs="Arial" w:eastAsia="Arial" w:hAnsi="Arial"/>
                <w:sz w:val="17"/>
                <w:szCs w:val="17"/>
                <w:color w:val="auto"/>
              </w:rPr>
              <w:t>1.2% - 1.4%</w:t>
            </w:r>
          </w:p>
        </w:tc>
      </w:tr>
      <w:tr>
        <w:trPr>
          <w:trHeight w:val="187"/>
        </w:trPr>
        <w:tc>
          <w:tcPr>
            <w:tcW w:w="2320" w:type="dxa"/>
            <w:vAlign w:val="bottom"/>
            <w:tcBorders>
              <w:bottom w:val="single" w:sz="8" w:color="00467D"/>
            </w:tcBorders>
          </w:tcPr>
          <w:p>
            <w:pPr>
              <w:ind w:left="60"/>
              <w:spacing w:after="0" w:line="186" w:lineRule="exact"/>
              <w:rPr>
                <w:sz w:val="20"/>
                <w:szCs w:val="20"/>
                <w:color w:val="auto"/>
              </w:rPr>
            </w:pPr>
            <w:r>
              <w:rPr>
                <w:rFonts w:ascii="Arial" w:cs="Arial" w:eastAsia="Arial" w:hAnsi="Arial"/>
                <w:sz w:val="17"/>
                <w:szCs w:val="17"/>
                <w:color w:val="auto"/>
              </w:rPr>
              <w:t>2020</w:t>
            </w:r>
          </w:p>
        </w:tc>
        <w:tc>
          <w:tcPr>
            <w:tcW w:w="3660" w:type="dxa"/>
            <w:vAlign w:val="bottom"/>
            <w:tcBorders>
              <w:bottom w:val="single" w:sz="8" w:color="00467D"/>
            </w:tcBorders>
          </w:tcPr>
          <w:p>
            <w:pPr>
              <w:jc w:val="right"/>
              <w:ind w:right="196"/>
              <w:spacing w:after="0" w:line="186" w:lineRule="exact"/>
              <w:rPr>
                <w:sz w:val="20"/>
                <w:szCs w:val="20"/>
                <w:color w:val="auto"/>
              </w:rPr>
            </w:pPr>
            <w:r>
              <w:rPr>
                <w:rFonts w:ascii="Arial" w:cs="Arial" w:eastAsia="Arial" w:hAnsi="Arial"/>
                <w:sz w:val="17"/>
                <w:szCs w:val="17"/>
                <w:color w:val="auto"/>
              </w:rPr>
              <w:t>37.5%</w:t>
            </w:r>
          </w:p>
        </w:tc>
        <w:tc>
          <w:tcPr>
            <w:tcW w:w="2440" w:type="dxa"/>
            <w:vAlign w:val="bottom"/>
            <w:tcBorders>
              <w:bottom w:val="single" w:sz="8" w:color="00467D"/>
            </w:tcBorders>
          </w:tcPr>
          <w:p>
            <w:pPr>
              <w:jc w:val="right"/>
              <w:ind w:right="116"/>
              <w:spacing w:after="0" w:line="186" w:lineRule="exact"/>
              <w:rPr>
                <w:sz w:val="20"/>
                <w:szCs w:val="20"/>
                <w:color w:val="auto"/>
              </w:rPr>
            </w:pPr>
            <w:r>
              <w:rPr>
                <w:rFonts w:ascii="Arial" w:cs="Arial" w:eastAsia="Arial" w:hAnsi="Arial"/>
                <w:sz w:val="17"/>
                <w:szCs w:val="17"/>
                <w:color w:val="auto"/>
              </w:rPr>
              <w:t>6.1</w:t>
            </w:r>
          </w:p>
        </w:tc>
        <w:tc>
          <w:tcPr>
            <w:tcW w:w="2120" w:type="dxa"/>
            <w:vAlign w:val="bottom"/>
            <w:tcBorders>
              <w:bottom w:val="single" w:sz="8" w:color="00467D"/>
            </w:tcBorders>
          </w:tcPr>
          <w:p>
            <w:pPr>
              <w:jc w:val="right"/>
              <w:spacing w:after="0" w:line="186" w:lineRule="exact"/>
              <w:rPr>
                <w:sz w:val="20"/>
                <w:szCs w:val="20"/>
                <w:color w:val="auto"/>
              </w:rPr>
            </w:pPr>
            <w:r>
              <w:rPr>
                <w:rFonts w:ascii="Arial" w:cs="Arial" w:eastAsia="Arial" w:hAnsi="Arial"/>
                <w:sz w:val="17"/>
                <w:szCs w:val="17"/>
                <w:color w:val="auto"/>
              </w:rPr>
              <w:t>0.50%</w:t>
            </w:r>
          </w:p>
        </w:tc>
      </w:tr>
    </w:tbl>
    <w:p>
      <w:pPr>
        <w:spacing w:after="0" w:line="70" w:lineRule="exact"/>
        <w:rPr>
          <w:sz w:val="20"/>
          <w:szCs w:val="20"/>
          <w:color w:val="auto"/>
        </w:rPr>
      </w:pPr>
    </w:p>
    <w:p>
      <w:pPr>
        <w:ind w:left="780" w:right="300" w:hanging="422"/>
        <w:spacing w:after="0" w:line="259" w:lineRule="auto"/>
        <w:tabs>
          <w:tab w:leader="none" w:pos="780" w:val="left"/>
        </w:tabs>
        <w:numPr>
          <w:ilvl w:val="0"/>
          <w:numId w:val="46"/>
        </w:numPr>
        <w:rPr>
          <w:rFonts w:ascii="Arial" w:cs="Arial" w:eastAsia="Arial" w:hAnsi="Arial"/>
          <w:sz w:val="14"/>
          <w:szCs w:val="14"/>
          <w:color w:val="auto"/>
        </w:rPr>
      </w:pPr>
      <w:r>
        <w:rPr>
          <w:rFonts w:ascii="Arial" w:cs="Arial" w:eastAsia="Arial" w:hAnsi="Arial"/>
          <w:sz w:val="14"/>
          <w:szCs w:val="14"/>
          <w:color w:val="auto"/>
        </w:rPr>
        <w:t>The increase in volatility in 2022 is primarily attributable to the significant fluctuations in the market price of our common stock in 2022, as previously noted above. See, “Equity Valuations.”</w:t>
      </w:r>
    </w:p>
    <w:p>
      <w:pPr>
        <w:spacing w:after="0" w:line="159" w:lineRule="exact"/>
        <w:rPr>
          <w:sz w:val="20"/>
          <w:szCs w:val="20"/>
          <w:color w:val="auto"/>
        </w:rPr>
      </w:pPr>
    </w:p>
    <w:p>
      <w:pPr>
        <w:ind w:left="360" w:right="200"/>
        <w:spacing w:after="0" w:line="256" w:lineRule="auto"/>
        <w:rPr>
          <w:sz w:val="20"/>
          <w:szCs w:val="20"/>
          <w:color w:val="auto"/>
        </w:rPr>
      </w:pPr>
      <w:r>
        <w:rPr>
          <w:rFonts w:ascii="Arial" w:cs="Arial" w:eastAsia="Arial" w:hAnsi="Arial"/>
          <w:sz w:val="17"/>
          <w:szCs w:val="17"/>
          <w:color w:val="auto"/>
        </w:rPr>
        <w:t>The tables below disclose the amounts deducted from, and added to, the Summary Compensation Table total compensation amounts to calculate the Compensation Actually Paid for each of the applicable years, for the CEO and average non-CEO NEOs, as shown in columns (c) and (e) of the PvP Table, respectively:</w:t>
      </w:r>
    </w:p>
    <w:p>
      <w:pPr>
        <w:spacing w:after="0" w:line="190" w:lineRule="exact"/>
        <w:rPr>
          <w:sz w:val="20"/>
          <w:szCs w:val="20"/>
          <w:color w:val="auto"/>
        </w:rPr>
      </w:pPr>
    </w:p>
    <w:p>
      <w:pPr>
        <w:ind w:left="420"/>
        <w:spacing w:after="0"/>
        <w:rPr>
          <w:sz w:val="20"/>
          <w:szCs w:val="20"/>
          <w:color w:val="auto"/>
        </w:rPr>
      </w:pPr>
      <w:r>
        <w:rPr>
          <w:rFonts w:ascii="Arial" w:cs="Arial" w:eastAsia="Arial" w:hAnsi="Arial"/>
          <w:sz w:val="15"/>
          <w:szCs w:val="15"/>
          <w:b w:val="1"/>
          <w:bCs w:val="1"/>
          <w:color w:val="00467D"/>
        </w:rPr>
        <w:t>CEO</w:t>
      </w:r>
    </w:p>
    <w:p>
      <w:pPr>
        <w:spacing w:after="0" w:line="22" w:lineRule="exact"/>
        <w:rPr>
          <w:sz w:val="20"/>
          <w:szCs w:val="20"/>
          <w:color w:val="auto"/>
        </w:rPr>
      </w:pPr>
    </w:p>
    <w:tbl>
      <w:tblPr>
        <w:tblLayout w:type="fixed"/>
        <w:tblInd w:w="360" w:type="dxa"/>
        <w:tblCellMar>
          <w:top w:w="0" w:type="dxa"/>
          <w:left w:w="0" w:type="dxa"/>
          <w:bottom w:w="0" w:type="dxa"/>
          <w:right w:w="0" w:type="dxa"/>
        </w:tblCellMar>
      </w:tblPr>
      <w:tr>
        <w:trPr>
          <w:trHeight w:val="159"/>
        </w:trPr>
        <w:tc>
          <w:tcPr>
            <w:tcW w:w="720" w:type="dxa"/>
            <w:vAlign w:val="bottom"/>
            <w:tcBorders>
              <w:top w:val="single" w:sz="8" w:color="00467D"/>
            </w:tcBorders>
          </w:tcPr>
          <w:p>
            <w:pPr>
              <w:spacing w:after="0"/>
              <w:rPr>
                <w:sz w:val="13"/>
                <w:szCs w:val="13"/>
                <w:color w:val="auto"/>
              </w:rPr>
            </w:pPr>
          </w:p>
        </w:tc>
        <w:tc>
          <w:tcPr>
            <w:tcW w:w="1480" w:type="dxa"/>
            <w:vAlign w:val="bottom"/>
            <w:tcBorders>
              <w:top w:val="single" w:sz="8" w:color="00467D"/>
            </w:tcBorders>
          </w:tcPr>
          <w:p>
            <w:pPr>
              <w:spacing w:after="0"/>
              <w:rPr>
                <w:sz w:val="13"/>
                <w:szCs w:val="13"/>
                <w:color w:val="auto"/>
              </w:rPr>
            </w:pPr>
          </w:p>
        </w:tc>
        <w:tc>
          <w:tcPr>
            <w:tcW w:w="220" w:type="dxa"/>
            <w:vAlign w:val="bottom"/>
            <w:tcBorders>
              <w:top w:val="single" w:sz="8" w:color="00467D"/>
            </w:tcBorders>
          </w:tcPr>
          <w:p>
            <w:pPr>
              <w:spacing w:after="0"/>
              <w:rPr>
                <w:sz w:val="13"/>
                <w:szCs w:val="13"/>
                <w:color w:val="auto"/>
              </w:rPr>
            </w:pPr>
          </w:p>
        </w:tc>
        <w:tc>
          <w:tcPr>
            <w:tcW w:w="1340" w:type="dxa"/>
            <w:vAlign w:val="bottom"/>
            <w:tcBorders>
              <w:top w:val="single" w:sz="8" w:color="00467D"/>
            </w:tcBorders>
          </w:tcPr>
          <w:p>
            <w:pPr>
              <w:jc w:val="center"/>
              <w:ind w:right="200"/>
              <w:spacing w:after="0" w:line="159" w:lineRule="exact"/>
              <w:rPr>
                <w:sz w:val="20"/>
                <w:szCs w:val="20"/>
                <w:color w:val="auto"/>
              </w:rPr>
            </w:pPr>
            <w:r>
              <w:rPr>
                <w:rFonts w:ascii="Arial" w:cs="Arial" w:eastAsia="Arial" w:hAnsi="Arial"/>
                <w:sz w:val="15"/>
                <w:szCs w:val="15"/>
                <w:b w:val="1"/>
                <w:bCs w:val="1"/>
                <w:color w:val="00467D"/>
              </w:rPr>
              <w:t>Less: stock</w:t>
            </w:r>
          </w:p>
        </w:tc>
        <w:tc>
          <w:tcPr>
            <w:tcW w:w="240" w:type="dxa"/>
            <w:vAlign w:val="bottom"/>
            <w:tcBorders>
              <w:top w:val="single" w:sz="8" w:color="00467D"/>
            </w:tcBorders>
          </w:tcPr>
          <w:p>
            <w:pPr>
              <w:spacing w:after="0"/>
              <w:rPr>
                <w:sz w:val="13"/>
                <w:szCs w:val="13"/>
                <w:color w:val="auto"/>
              </w:rPr>
            </w:pPr>
          </w:p>
        </w:tc>
        <w:tc>
          <w:tcPr>
            <w:tcW w:w="1100" w:type="dxa"/>
            <w:vAlign w:val="bottom"/>
            <w:tcBorders>
              <w:top w:val="single" w:sz="8" w:color="00467D"/>
            </w:tcBorders>
          </w:tcPr>
          <w:p>
            <w:pPr>
              <w:spacing w:after="0"/>
              <w:rPr>
                <w:sz w:val="13"/>
                <w:szCs w:val="13"/>
                <w:color w:val="auto"/>
              </w:rPr>
            </w:pPr>
          </w:p>
        </w:tc>
        <w:tc>
          <w:tcPr>
            <w:tcW w:w="1420" w:type="dxa"/>
            <w:vAlign w:val="bottom"/>
            <w:tcBorders>
              <w:top w:val="single" w:sz="8" w:color="00467D"/>
            </w:tcBorders>
          </w:tcPr>
          <w:p>
            <w:pPr>
              <w:spacing w:after="0"/>
              <w:rPr>
                <w:sz w:val="13"/>
                <w:szCs w:val="13"/>
                <w:color w:val="auto"/>
              </w:rPr>
            </w:pPr>
          </w:p>
        </w:tc>
        <w:tc>
          <w:tcPr>
            <w:tcW w:w="200" w:type="dxa"/>
            <w:vAlign w:val="bottom"/>
            <w:tcBorders>
              <w:top w:val="single" w:sz="8" w:color="00467D"/>
            </w:tcBorders>
          </w:tcPr>
          <w:p>
            <w:pPr>
              <w:spacing w:after="0"/>
              <w:rPr>
                <w:sz w:val="13"/>
                <w:szCs w:val="13"/>
                <w:color w:val="auto"/>
              </w:rPr>
            </w:pPr>
          </w:p>
        </w:tc>
        <w:tc>
          <w:tcPr>
            <w:tcW w:w="1200" w:type="dxa"/>
            <w:vAlign w:val="bottom"/>
            <w:tcBorders>
              <w:top w:val="single" w:sz="8" w:color="00467D"/>
            </w:tcBorders>
          </w:tcPr>
          <w:p>
            <w:pPr>
              <w:spacing w:after="0"/>
              <w:rPr>
                <w:sz w:val="13"/>
                <w:szCs w:val="13"/>
                <w:color w:val="auto"/>
              </w:rPr>
            </w:pPr>
          </w:p>
        </w:tc>
        <w:tc>
          <w:tcPr>
            <w:tcW w:w="1420" w:type="dxa"/>
            <w:vAlign w:val="bottom"/>
            <w:tcBorders>
              <w:top w:val="single" w:sz="8" w:color="00467D"/>
            </w:tcBorders>
          </w:tcPr>
          <w:p>
            <w:pPr>
              <w:spacing w:after="0"/>
              <w:rPr>
                <w:sz w:val="13"/>
                <w:szCs w:val="13"/>
                <w:color w:val="auto"/>
              </w:rPr>
            </w:pPr>
          </w:p>
        </w:tc>
        <w:tc>
          <w:tcPr>
            <w:tcW w:w="200" w:type="dxa"/>
            <w:vAlign w:val="bottom"/>
            <w:tcBorders>
              <w:top w:val="single" w:sz="8" w:color="00467D"/>
            </w:tcBorders>
          </w:tcPr>
          <w:p>
            <w:pPr>
              <w:spacing w:after="0"/>
              <w:rPr>
                <w:sz w:val="13"/>
                <w:szCs w:val="13"/>
                <w:color w:val="auto"/>
              </w:rPr>
            </w:pPr>
          </w:p>
        </w:tc>
        <w:tc>
          <w:tcPr>
            <w:tcW w:w="1000" w:type="dxa"/>
            <w:vAlign w:val="bottom"/>
            <w:tcBorders>
              <w:top w:val="single" w:sz="8" w:color="00467D"/>
            </w:tcBorders>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7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560" w:type="dxa"/>
            <w:vAlign w:val="bottom"/>
            <w:gridSpan w:val="2"/>
          </w:tcPr>
          <w:p>
            <w:pPr>
              <w:jc w:val="center"/>
              <w:spacing w:after="0"/>
              <w:rPr>
                <w:sz w:val="20"/>
                <w:szCs w:val="20"/>
                <w:color w:val="auto"/>
              </w:rPr>
            </w:pPr>
            <w:r>
              <w:rPr>
                <w:rFonts w:ascii="Arial" w:cs="Arial" w:eastAsia="Arial" w:hAnsi="Arial"/>
                <w:sz w:val="15"/>
                <w:szCs w:val="15"/>
                <w:b w:val="1"/>
                <w:bCs w:val="1"/>
                <w:color w:val="00467D"/>
              </w:rPr>
              <w:t>award and option</w:t>
            </w: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20" w:type="dxa"/>
            <w:vAlign w:val="bottom"/>
          </w:tcPr>
          <w:p>
            <w:pPr>
              <w:jc w:val="center"/>
              <w:spacing w:after="0"/>
              <w:rPr>
                <w:sz w:val="20"/>
                <w:szCs w:val="20"/>
                <w:color w:val="auto"/>
              </w:rPr>
            </w:pPr>
            <w:r>
              <w:rPr>
                <w:rFonts w:ascii="Arial" w:cs="Arial" w:eastAsia="Arial" w:hAnsi="Arial"/>
                <w:sz w:val="15"/>
                <w:szCs w:val="15"/>
                <w:b w:val="1"/>
                <w:bCs w:val="1"/>
                <w:color w:val="00467D"/>
              </w:rPr>
              <w:t>Change in fair</w:t>
            </w:r>
          </w:p>
        </w:tc>
        <w:tc>
          <w:tcPr>
            <w:tcW w:w="1400" w:type="dxa"/>
            <w:vAlign w:val="bottom"/>
            <w:gridSpan w:val="2"/>
          </w:tcPr>
          <w:p>
            <w:pPr>
              <w:jc w:val="center"/>
              <w:spacing w:after="0"/>
              <w:rPr>
                <w:sz w:val="20"/>
                <w:szCs w:val="20"/>
                <w:color w:val="auto"/>
              </w:rPr>
            </w:pPr>
            <w:r>
              <w:rPr>
                <w:rFonts w:ascii="Arial" w:cs="Arial" w:eastAsia="Arial" w:hAnsi="Arial"/>
                <w:sz w:val="15"/>
                <w:szCs w:val="15"/>
                <w:b w:val="1"/>
                <w:bCs w:val="1"/>
                <w:color w:val="00467D"/>
              </w:rPr>
              <w:t>Change in fair</w:t>
            </w:r>
          </w:p>
        </w:tc>
        <w:tc>
          <w:tcPr>
            <w:tcW w:w="1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7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jc w:val="center"/>
              <w:ind w:right="200"/>
              <w:spacing w:after="0"/>
              <w:rPr>
                <w:sz w:val="20"/>
                <w:szCs w:val="20"/>
                <w:color w:val="auto"/>
              </w:rPr>
            </w:pPr>
            <w:r>
              <w:rPr>
                <w:rFonts w:ascii="Arial" w:cs="Arial" w:eastAsia="Arial" w:hAnsi="Arial"/>
                <w:sz w:val="15"/>
                <w:szCs w:val="15"/>
                <w:b w:val="1"/>
                <w:bCs w:val="1"/>
                <w:color w:val="00467D"/>
              </w:rPr>
              <w:t>award values</w:t>
            </w: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20" w:type="dxa"/>
            <w:vAlign w:val="bottom"/>
          </w:tcPr>
          <w:p>
            <w:pPr>
              <w:jc w:val="center"/>
              <w:spacing w:after="0"/>
              <w:rPr>
                <w:sz w:val="20"/>
                <w:szCs w:val="20"/>
                <w:color w:val="auto"/>
              </w:rPr>
            </w:pPr>
            <w:r>
              <w:rPr>
                <w:rFonts w:ascii="Arial" w:cs="Arial" w:eastAsia="Arial" w:hAnsi="Arial"/>
                <w:sz w:val="15"/>
                <w:szCs w:val="15"/>
                <w:b w:val="1"/>
                <w:bCs w:val="1"/>
                <w:color w:val="00467D"/>
              </w:rPr>
              <w:t>value of</w:t>
            </w:r>
          </w:p>
        </w:tc>
        <w:tc>
          <w:tcPr>
            <w:tcW w:w="1400" w:type="dxa"/>
            <w:vAlign w:val="bottom"/>
            <w:gridSpan w:val="2"/>
          </w:tcPr>
          <w:p>
            <w:pPr>
              <w:jc w:val="center"/>
              <w:spacing w:after="0"/>
              <w:rPr>
                <w:sz w:val="20"/>
                <w:szCs w:val="20"/>
                <w:color w:val="auto"/>
              </w:rPr>
            </w:pPr>
            <w:r>
              <w:rPr>
                <w:rFonts w:ascii="Arial" w:cs="Arial" w:eastAsia="Arial" w:hAnsi="Arial"/>
                <w:sz w:val="15"/>
                <w:szCs w:val="15"/>
                <w:b w:val="1"/>
                <w:bCs w:val="1"/>
                <w:color w:val="00467D"/>
              </w:rPr>
              <w:t>value of stock</w:t>
            </w:r>
          </w:p>
        </w:tc>
        <w:tc>
          <w:tcPr>
            <w:tcW w:w="1420" w:type="dxa"/>
            <w:vAlign w:val="bottom"/>
          </w:tcPr>
          <w:p>
            <w:pPr>
              <w:jc w:val="center"/>
              <w:spacing w:after="0"/>
              <w:rPr>
                <w:sz w:val="20"/>
                <w:szCs w:val="20"/>
                <w:color w:val="auto"/>
              </w:rPr>
            </w:pPr>
            <w:r>
              <w:rPr>
                <w:rFonts w:ascii="Arial" w:cs="Arial" w:eastAsia="Arial" w:hAnsi="Arial"/>
                <w:sz w:val="15"/>
                <w:szCs w:val="15"/>
                <w:b w:val="1"/>
                <w:bCs w:val="1"/>
                <w:color w:val="00467D"/>
              </w:rPr>
              <w:t>Less: fair value</w:t>
            </w: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7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jc w:val="center"/>
              <w:ind w:right="200"/>
              <w:spacing w:after="0"/>
              <w:rPr>
                <w:sz w:val="20"/>
                <w:szCs w:val="20"/>
                <w:color w:val="auto"/>
              </w:rPr>
            </w:pPr>
            <w:r>
              <w:rPr>
                <w:rFonts w:ascii="Arial" w:cs="Arial" w:eastAsia="Arial" w:hAnsi="Arial"/>
                <w:sz w:val="15"/>
                <w:szCs w:val="15"/>
                <w:b w:val="1"/>
                <w:bCs w:val="1"/>
                <w:color w:val="00467D"/>
              </w:rPr>
              <w:t>reported in</w:t>
            </w:r>
          </w:p>
        </w:tc>
        <w:tc>
          <w:tcPr>
            <w:tcW w:w="1340" w:type="dxa"/>
            <w:vAlign w:val="bottom"/>
            <w:gridSpan w:val="2"/>
          </w:tcPr>
          <w:p>
            <w:pPr>
              <w:jc w:val="center"/>
              <w:spacing w:after="0"/>
              <w:rPr>
                <w:sz w:val="20"/>
                <w:szCs w:val="20"/>
                <w:color w:val="auto"/>
              </w:rPr>
            </w:pPr>
            <w:r>
              <w:rPr>
                <w:rFonts w:ascii="Arial" w:cs="Arial" w:eastAsia="Arial" w:hAnsi="Arial"/>
                <w:sz w:val="15"/>
                <w:szCs w:val="15"/>
                <w:b w:val="1"/>
                <w:bCs w:val="1"/>
                <w:color w:val="00467D"/>
              </w:rPr>
              <w:t>Plus: fair value</w:t>
            </w:r>
          </w:p>
        </w:tc>
        <w:tc>
          <w:tcPr>
            <w:tcW w:w="1420" w:type="dxa"/>
            <w:vAlign w:val="bottom"/>
          </w:tcPr>
          <w:p>
            <w:pPr>
              <w:jc w:val="center"/>
              <w:spacing w:after="0"/>
              <w:rPr>
                <w:sz w:val="20"/>
                <w:szCs w:val="20"/>
                <w:color w:val="auto"/>
              </w:rPr>
            </w:pPr>
            <w:r>
              <w:rPr>
                <w:rFonts w:ascii="Arial" w:cs="Arial" w:eastAsia="Arial" w:hAnsi="Arial"/>
                <w:sz w:val="15"/>
                <w:szCs w:val="15"/>
                <w:b w:val="1"/>
                <w:bCs w:val="1"/>
                <w:color w:val="00467D"/>
              </w:rPr>
              <w:t>outstanding</w:t>
            </w:r>
          </w:p>
        </w:tc>
        <w:tc>
          <w:tcPr>
            <w:tcW w:w="200" w:type="dxa"/>
            <w:vAlign w:val="bottom"/>
          </w:tcPr>
          <w:p>
            <w:pPr>
              <w:spacing w:after="0"/>
              <w:rPr>
                <w:sz w:val="15"/>
                <w:szCs w:val="15"/>
                <w:color w:val="auto"/>
              </w:rPr>
            </w:pPr>
          </w:p>
        </w:tc>
        <w:tc>
          <w:tcPr>
            <w:tcW w:w="1200" w:type="dxa"/>
            <w:vAlign w:val="bottom"/>
          </w:tcPr>
          <w:p>
            <w:pPr>
              <w:jc w:val="center"/>
              <w:ind w:right="179"/>
              <w:spacing w:after="0"/>
              <w:rPr>
                <w:sz w:val="20"/>
                <w:szCs w:val="20"/>
                <w:color w:val="auto"/>
              </w:rPr>
            </w:pPr>
            <w:r>
              <w:rPr>
                <w:rFonts w:ascii="Arial" w:cs="Arial" w:eastAsia="Arial" w:hAnsi="Arial"/>
                <w:sz w:val="15"/>
                <w:szCs w:val="15"/>
                <w:b w:val="1"/>
                <w:bCs w:val="1"/>
                <w:color w:val="00467D"/>
              </w:rPr>
              <w:t>and option</w:t>
            </w:r>
          </w:p>
        </w:tc>
        <w:tc>
          <w:tcPr>
            <w:tcW w:w="1420" w:type="dxa"/>
            <w:vAlign w:val="bottom"/>
          </w:tcPr>
          <w:p>
            <w:pPr>
              <w:jc w:val="center"/>
              <w:spacing w:after="0"/>
              <w:rPr>
                <w:sz w:val="20"/>
                <w:szCs w:val="20"/>
                <w:color w:val="auto"/>
              </w:rPr>
            </w:pPr>
            <w:r>
              <w:rPr>
                <w:rFonts w:ascii="Arial" w:cs="Arial" w:eastAsia="Arial" w:hAnsi="Arial"/>
                <w:sz w:val="15"/>
                <w:szCs w:val="15"/>
                <w:b w:val="1"/>
                <w:bCs w:val="1"/>
                <w:color w:val="00467D"/>
              </w:rPr>
              <w:t>of stock and</w:t>
            </w: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720" w:type="dxa"/>
            <w:vAlign w:val="bottom"/>
          </w:tcPr>
          <w:p>
            <w:pPr>
              <w:spacing w:after="0"/>
              <w:rPr>
                <w:sz w:val="15"/>
                <w:szCs w:val="15"/>
                <w:color w:val="auto"/>
              </w:rPr>
            </w:pPr>
          </w:p>
        </w:tc>
        <w:tc>
          <w:tcPr>
            <w:tcW w:w="1480" w:type="dxa"/>
            <w:vAlign w:val="bottom"/>
          </w:tcPr>
          <w:p>
            <w:pPr>
              <w:jc w:val="center"/>
              <w:ind w:left="59"/>
              <w:spacing w:after="0"/>
              <w:rPr>
                <w:sz w:val="20"/>
                <w:szCs w:val="20"/>
                <w:color w:val="auto"/>
              </w:rPr>
            </w:pPr>
            <w:r>
              <w:rPr>
                <w:rFonts w:ascii="Arial" w:cs="Arial" w:eastAsia="Arial" w:hAnsi="Arial"/>
                <w:sz w:val="15"/>
                <w:szCs w:val="15"/>
                <w:b w:val="1"/>
                <w:bCs w:val="1"/>
                <w:color w:val="00467D"/>
              </w:rPr>
              <w:t>Summary</w:t>
            </w:r>
          </w:p>
        </w:tc>
        <w:tc>
          <w:tcPr>
            <w:tcW w:w="220" w:type="dxa"/>
            <w:vAlign w:val="bottom"/>
          </w:tcPr>
          <w:p>
            <w:pPr>
              <w:spacing w:after="0"/>
              <w:rPr>
                <w:sz w:val="15"/>
                <w:szCs w:val="15"/>
                <w:color w:val="auto"/>
              </w:rPr>
            </w:pPr>
          </w:p>
        </w:tc>
        <w:tc>
          <w:tcPr>
            <w:tcW w:w="1340" w:type="dxa"/>
            <w:vAlign w:val="bottom"/>
          </w:tcPr>
          <w:p>
            <w:pPr>
              <w:jc w:val="center"/>
              <w:ind w:right="200"/>
              <w:spacing w:after="0"/>
              <w:rPr>
                <w:sz w:val="20"/>
                <w:szCs w:val="20"/>
                <w:color w:val="auto"/>
              </w:rPr>
            </w:pPr>
            <w:r>
              <w:rPr>
                <w:rFonts w:ascii="Arial" w:cs="Arial" w:eastAsia="Arial" w:hAnsi="Arial"/>
                <w:sz w:val="15"/>
                <w:szCs w:val="15"/>
                <w:b w:val="1"/>
                <w:bCs w:val="1"/>
                <w:color w:val="00467D"/>
              </w:rPr>
              <w:t>Summary</w:t>
            </w:r>
          </w:p>
        </w:tc>
        <w:tc>
          <w:tcPr>
            <w:tcW w:w="1340" w:type="dxa"/>
            <w:vAlign w:val="bottom"/>
            <w:gridSpan w:val="2"/>
          </w:tcPr>
          <w:p>
            <w:pPr>
              <w:jc w:val="center"/>
              <w:spacing w:after="0"/>
              <w:rPr>
                <w:sz w:val="20"/>
                <w:szCs w:val="20"/>
                <w:color w:val="auto"/>
              </w:rPr>
            </w:pPr>
            <w:r>
              <w:rPr>
                <w:rFonts w:ascii="Arial" w:cs="Arial" w:eastAsia="Arial" w:hAnsi="Arial"/>
                <w:sz w:val="15"/>
                <w:szCs w:val="15"/>
                <w:b w:val="1"/>
                <w:bCs w:val="1"/>
                <w:color w:val="00467D"/>
              </w:rPr>
              <w:t>for stock and</w:t>
            </w:r>
          </w:p>
        </w:tc>
        <w:tc>
          <w:tcPr>
            <w:tcW w:w="1420" w:type="dxa"/>
            <w:vAlign w:val="bottom"/>
          </w:tcPr>
          <w:p>
            <w:pPr>
              <w:jc w:val="center"/>
              <w:spacing w:after="0"/>
              <w:rPr>
                <w:sz w:val="20"/>
                <w:szCs w:val="20"/>
                <w:color w:val="auto"/>
              </w:rPr>
            </w:pPr>
            <w:r>
              <w:rPr>
                <w:rFonts w:ascii="Arial" w:cs="Arial" w:eastAsia="Arial" w:hAnsi="Arial"/>
                <w:sz w:val="15"/>
                <w:szCs w:val="15"/>
                <w:b w:val="1"/>
                <w:bCs w:val="1"/>
                <w:color w:val="00467D"/>
              </w:rPr>
              <w:t>unvested stock</w:t>
            </w:r>
          </w:p>
        </w:tc>
        <w:tc>
          <w:tcPr>
            <w:tcW w:w="200" w:type="dxa"/>
            <w:vAlign w:val="bottom"/>
          </w:tcPr>
          <w:p>
            <w:pPr>
              <w:spacing w:after="0"/>
              <w:rPr>
                <w:sz w:val="15"/>
                <w:szCs w:val="15"/>
                <w:color w:val="auto"/>
              </w:rPr>
            </w:pPr>
          </w:p>
        </w:tc>
        <w:tc>
          <w:tcPr>
            <w:tcW w:w="1200" w:type="dxa"/>
            <w:vAlign w:val="bottom"/>
          </w:tcPr>
          <w:p>
            <w:pPr>
              <w:jc w:val="center"/>
              <w:ind w:right="199"/>
              <w:spacing w:after="0"/>
              <w:rPr>
                <w:sz w:val="20"/>
                <w:szCs w:val="20"/>
                <w:color w:val="auto"/>
              </w:rPr>
            </w:pPr>
            <w:r>
              <w:rPr>
                <w:rFonts w:ascii="Arial" w:cs="Arial" w:eastAsia="Arial" w:hAnsi="Arial"/>
                <w:sz w:val="15"/>
                <w:szCs w:val="15"/>
                <w:b w:val="1"/>
                <w:bCs w:val="1"/>
                <w:color w:val="00467D"/>
              </w:rPr>
              <w:t>awards from</w:t>
            </w:r>
          </w:p>
        </w:tc>
        <w:tc>
          <w:tcPr>
            <w:tcW w:w="1420" w:type="dxa"/>
            <w:vAlign w:val="bottom"/>
          </w:tcPr>
          <w:p>
            <w:pPr>
              <w:jc w:val="center"/>
              <w:spacing w:after="0"/>
              <w:rPr>
                <w:sz w:val="20"/>
                <w:szCs w:val="20"/>
                <w:color w:val="auto"/>
              </w:rPr>
            </w:pPr>
            <w:r>
              <w:rPr>
                <w:rFonts w:ascii="Arial" w:cs="Arial" w:eastAsia="Arial" w:hAnsi="Arial"/>
                <w:sz w:val="15"/>
                <w:szCs w:val="15"/>
                <w:b w:val="1"/>
                <w:bCs w:val="1"/>
                <w:color w:val="00467D"/>
              </w:rPr>
              <w:t>option awards</w:t>
            </w: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720" w:type="dxa"/>
            <w:vAlign w:val="bottom"/>
          </w:tcPr>
          <w:p>
            <w:pPr>
              <w:spacing w:after="0"/>
              <w:rPr>
                <w:sz w:val="15"/>
                <w:szCs w:val="15"/>
                <w:color w:val="auto"/>
              </w:rPr>
            </w:pPr>
          </w:p>
        </w:tc>
        <w:tc>
          <w:tcPr>
            <w:tcW w:w="1480" w:type="dxa"/>
            <w:vAlign w:val="bottom"/>
          </w:tcPr>
          <w:p>
            <w:pPr>
              <w:jc w:val="center"/>
              <w:ind w:left="79"/>
              <w:spacing w:after="0"/>
              <w:rPr>
                <w:sz w:val="20"/>
                <w:szCs w:val="20"/>
                <w:color w:val="auto"/>
              </w:rPr>
            </w:pPr>
            <w:r>
              <w:rPr>
                <w:rFonts w:ascii="Arial" w:cs="Arial" w:eastAsia="Arial" w:hAnsi="Arial"/>
                <w:sz w:val="15"/>
                <w:szCs w:val="15"/>
                <w:b w:val="1"/>
                <w:bCs w:val="1"/>
                <w:color w:val="00467D"/>
              </w:rPr>
              <w:t>Compensation</w:t>
            </w:r>
          </w:p>
        </w:tc>
        <w:tc>
          <w:tcPr>
            <w:tcW w:w="220" w:type="dxa"/>
            <w:vAlign w:val="bottom"/>
          </w:tcPr>
          <w:p>
            <w:pPr>
              <w:spacing w:after="0"/>
              <w:rPr>
                <w:sz w:val="15"/>
                <w:szCs w:val="15"/>
                <w:color w:val="auto"/>
              </w:rPr>
            </w:pPr>
          </w:p>
        </w:tc>
        <w:tc>
          <w:tcPr>
            <w:tcW w:w="1340" w:type="dxa"/>
            <w:vAlign w:val="bottom"/>
          </w:tcPr>
          <w:p>
            <w:pPr>
              <w:jc w:val="center"/>
              <w:ind w:right="180"/>
              <w:spacing w:after="0"/>
              <w:rPr>
                <w:sz w:val="20"/>
                <w:szCs w:val="20"/>
                <w:color w:val="auto"/>
              </w:rPr>
            </w:pPr>
            <w:r>
              <w:rPr>
                <w:rFonts w:ascii="Arial" w:cs="Arial" w:eastAsia="Arial" w:hAnsi="Arial"/>
                <w:sz w:val="15"/>
                <w:szCs w:val="15"/>
                <w:b w:val="1"/>
                <w:bCs w:val="1"/>
                <w:color w:val="00467D"/>
              </w:rPr>
              <w:t>Compensation</w:t>
            </w:r>
          </w:p>
        </w:tc>
        <w:tc>
          <w:tcPr>
            <w:tcW w:w="1340" w:type="dxa"/>
            <w:vAlign w:val="bottom"/>
            <w:gridSpan w:val="2"/>
          </w:tcPr>
          <w:p>
            <w:pPr>
              <w:jc w:val="center"/>
              <w:spacing w:after="0"/>
              <w:rPr>
                <w:sz w:val="20"/>
                <w:szCs w:val="20"/>
                <w:color w:val="auto"/>
              </w:rPr>
            </w:pPr>
            <w:r>
              <w:rPr>
                <w:rFonts w:ascii="Arial" w:cs="Arial" w:eastAsia="Arial" w:hAnsi="Arial"/>
                <w:sz w:val="15"/>
                <w:szCs w:val="15"/>
                <w:b w:val="1"/>
                <w:bCs w:val="1"/>
                <w:color w:val="00467D"/>
              </w:rPr>
              <w:t>option awards</w:t>
            </w:r>
          </w:p>
        </w:tc>
        <w:tc>
          <w:tcPr>
            <w:tcW w:w="1420" w:type="dxa"/>
            <w:vAlign w:val="bottom"/>
          </w:tcPr>
          <w:p>
            <w:pPr>
              <w:jc w:val="center"/>
              <w:spacing w:after="0"/>
              <w:rPr>
                <w:sz w:val="20"/>
                <w:szCs w:val="20"/>
                <w:color w:val="auto"/>
              </w:rPr>
            </w:pPr>
            <w:r>
              <w:rPr>
                <w:rFonts w:ascii="Arial" w:cs="Arial" w:eastAsia="Arial" w:hAnsi="Arial"/>
                <w:sz w:val="15"/>
                <w:szCs w:val="15"/>
                <w:b w:val="1"/>
                <w:bCs w:val="1"/>
                <w:color w:val="00467D"/>
              </w:rPr>
              <w:t>and option</w:t>
            </w:r>
          </w:p>
        </w:tc>
        <w:tc>
          <w:tcPr>
            <w:tcW w:w="1400" w:type="dxa"/>
            <w:vAlign w:val="bottom"/>
            <w:gridSpan w:val="2"/>
          </w:tcPr>
          <w:p>
            <w:pPr>
              <w:jc w:val="center"/>
              <w:spacing w:after="0"/>
              <w:rPr>
                <w:sz w:val="20"/>
                <w:szCs w:val="20"/>
                <w:color w:val="auto"/>
              </w:rPr>
            </w:pPr>
            <w:r>
              <w:rPr>
                <w:rFonts w:ascii="Arial" w:cs="Arial" w:eastAsia="Arial" w:hAnsi="Arial"/>
                <w:sz w:val="15"/>
                <w:szCs w:val="15"/>
                <w:b w:val="1"/>
                <w:bCs w:val="1"/>
                <w:color w:val="00467D"/>
              </w:rPr>
              <w:t>prior years that</w:t>
            </w:r>
          </w:p>
        </w:tc>
        <w:tc>
          <w:tcPr>
            <w:tcW w:w="1420" w:type="dxa"/>
            <w:vAlign w:val="bottom"/>
          </w:tcPr>
          <w:p>
            <w:pPr>
              <w:jc w:val="center"/>
              <w:spacing w:after="0"/>
              <w:rPr>
                <w:sz w:val="20"/>
                <w:szCs w:val="20"/>
                <w:color w:val="auto"/>
              </w:rPr>
            </w:pPr>
            <w:r>
              <w:rPr>
                <w:rFonts w:ascii="Arial" w:cs="Arial" w:eastAsia="Arial" w:hAnsi="Arial"/>
                <w:sz w:val="15"/>
                <w:szCs w:val="15"/>
                <w:b w:val="1"/>
                <w:bCs w:val="1"/>
                <w:color w:val="00467D"/>
              </w:rPr>
              <w:t>forfeited during</w:t>
            </w: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720" w:type="dxa"/>
            <w:vAlign w:val="bottom"/>
          </w:tcPr>
          <w:p>
            <w:pPr>
              <w:spacing w:after="0"/>
              <w:rPr>
                <w:sz w:val="15"/>
                <w:szCs w:val="15"/>
                <w:color w:val="auto"/>
              </w:rPr>
            </w:pPr>
          </w:p>
        </w:tc>
        <w:tc>
          <w:tcPr>
            <w:tcW w:w="1480" w:type="dxa"/>
            <w:vAlign w:val="bottom"/>
          </w:tcPr>
          <w:p>
            <w:pPr>
              <w:jc w:val="center"/>
              <w:ind w:left="79"/>
              <w:spacing w:after="0"/>
              <w:rPr>
                <w:sz w:val="20"/>
                <w:szCs w:val="20"/>
                <w:color w:val="auto"/>
              </w:rPr>
            </w:pPr>
            <w:r>
              <w:rPr>
                <w:rFonts w:ascii="Arial" w:cs="Arial" w:eastAsia="Arial" w:hAnsi="Arial"/>
                <w:sz w:val="15"/>
                <w:szCs w:val="15"/>
                <w:b w:val="1"/>
                <w:bCs w:val="1"/>
                <w:color w:val="00467D"/>
              </w:rPr>
              <w:t>Table Total</w:t>
            </w:r>
          </w:p>
        </w:tc>
        <w:tc>
          <w:tcPr>
            <w:tcW w:w="220" w:type="dxa"/>
            <w:vAlign w:val="bottom"/>
          </w:tcPr>
          <w:p>
            <w:pPr>
              <w:spacing w:after="0"/>
              <w:rPr>
                <w:sz w:val="15"/>
                <w:szCs w:val="15"/>
                <w:color w:val="auto"/>
              </w:rPr>
            </w:pPr>
          </w:p>
        </w:tc>
        <w:tc>
          <w:tcPr>
            <w:tcW w:w="1340" w:type="dxa"/>
            <w:vAlign w:val="bottom"/>
          </w:tcPr>
          <w:p>
            <w:pPr>
              <w:jc w:val="center"/>
              <w:ind w:right="180"/>
              <w:spacing w:after="0"/>
              <w:rPr>
                <w:sz w:val="20"/>
                <w:szCs w:val="20"/>
                <w:color w:val="auto"/>
              </w:rPr>
            </w:pPr>
            <w:r>
              <w:rPr>
                <w:rFonts w:ascii="Arial" w:cs="Arial" w:eastAsia="Arial" w:hAnsi="Arial"/>
                <w:sz w:val="15"/>
                <w:szCs w:val="15"/>
                <w:b w:val="1"/>
                <w:bCs w:val="1"/>
                <w:color w:val="00467D"/>
              </w:rPr>
              <w:t>Table for the</w:t>
            </w:r>
          </w:p>
        </w:tc>
        <w:tc>
          <w:tcPr>
            <w:tcW w:w="1340" w:type="dxa"/>
            <w:vAlign w:val="bottom"/>
            <w:gridSpan w:val="2"/>
          </w:tcPr>
          <w:p>
            <w:pPr>
              <w:jc w:val="center"/>
              <w:spacing w:after="0"/>
              <w:rPr>
                <w:sz w:val="20"/>
                <w:szCs w:val="20"/>
                <w:color w:val="auto"/>
              </w:rPr>
            </w:pPr>
            <w:r>
              <w:rPr>
                <w:rFonts w:ascii="Arial" w:cs="Arial" w:eastAsia="Arial" w:hAnsi="Arial"/>
                <w:sz w:val="15"/>
                <w:szCs w:val="15"/>
                <w:b w:val="1"/>
                <w:bCs w:val="1"/>
                <w:color w:val="00467D"/>
              </w:rPr>
              <w:t>granted in the</w:t>
            </w:r>
          </w:p>
        </w:tc>
        <w:tc>
          <w:tcPr>
            <w:tcW w:w="1420" w:type="dxa"/>
            <w:vAlign w:val="bottom"/>
          </w:tcPr>
          <w:p>
            <w:pPr>
              <w:jc w:val="center"/>
              <w:spacing w:after="0"/>
              <w:rPr>
                <w:sz w:val="20"/>
                <w:szCs w:val="20"/>
                <w:color w:val="auto"/>
              </w:rPr>
            </w:pPr>
            <w:r>
              <w:rPr>
                <w:rFonts w:ascii="Arial" w:cs="Arial" w:eastAsia="Arial" w:hAnsi="Arial"/>
                <w:sz w:val="15"/>
                <w:szCs w:val="15"/>
                <w:b w:val="1"/>
                <w:bCs w:val="1"/>
                <w:color w:val="00467D"/>
              </w:rPr>
              <w:t>awards from</w:t>
            </w:r>
          </w:p>
        </w:tc>
        <w:tc>
          <w:tcPr>
            <w:tcW w:w="200" w:type="dxa"/>
            <w:vAlign w:val="bottom"/>
          </w:tcPr>
          <w:p>
            <w:pPr>
              <w:spacing w:after="0"/>
              <w:rPr>
                <w:sz w:val="15"/>
                <w:szCs w:val="15"/>
                <w:color w:val="auto"/>
              </w:rPr>
            </w:pPr>
          </w:p>
        </w:tc>
        <w:tc>
          <w:tcPr>
            <w:tcW w:w="1200" w:type="dxa"/>
            <w:vAlign w:val="bottom"/>
          </w:tcPr>
          <w:p>
            <w:pPr>
              <w:jc w:val="center"/>
              <w:ind w:right="179"/>
              <w:spacing w:after="0"/>
              <w:rPr>
                <w:sz w:val="20"/>
                <w:szCs w:val="20"/>
                <w:color w:val="auto"/>
              </w:rPr>
            </w:pPr>
            <w:r>
              <w:rPr>
                <w:rFonts w:ascii="Arial" w:cs="Arial" w:eastAsia="Arial" w:hAnsi="Arial"/>
                <w:sz w:val="15"/>
                <w:szCs w:val="15"/>
                <w:b w:val="1"/>
                <w:bCs w:val="1"/>
                <w:color w:val="00467D"/>
              </w:rPr>
              <w:t>vested in the</w:t>
            </w:r>
          </w:p>
        </w:tc>
        <w:tc>
          <w:tcPr>
            <w:tcW w:w="1420" w:type="dxa"/>
            <w:vAlign w:val="bottom"/>
          </w:tcPr>
          <w:p>
            <w:pPr>
              <w:jc w:val="center"/>
              <w:spacing w:after="0"/>
              <w:rPr>
                <w:sz w:val="20"/>
                <w:szCs w:val="20"/>
                <w:color w:val="auto"/>
              </w:rPr>
            </w:pPr>
            <w:r>
              <w:rPr>
                <w:rFonts w:ascii="Arial" w:cs="Arial" w:eastAsia="Arial" w:hAnsi="Arial"/>
                <w:sz w:val="15"/>
                <w:szCs w:val="15"/>
                <w:b w:val="1"/>
                <w:bCs w:val="1"/>
                <w:color w:val="00467D"/>
              </w:rPr>
              <w:t>the covered</w:t>
            </w: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720" w:type="dxa"/>
            <w:vAlign w:val="bottom"/>
            <w:tcBorders>
              <w:bottom w:val="single" w:sz="8" w:color="00467D"/>
            </w:tcBorders>
          </w:tcPr>
          <w:p>
            <w:pPr>
              <w:ind w:left="60"/>
              <w:spacing w:after="0"/>
              <w:rPr>
                <w:sz w:val="20"/>
                <w:szCs w:val="20"/>
                <w:color w:val="auto"/>
              </w:rPr>
            </w:pPr>
            <w:r>
              <w:rPr>
                <w:rFonts w:ascii="Arial" w:cs="Arial" w:eastAsia="Arial" w:hAnsi="Arial"/>
                <w:sz w:val="15"/>
                <w:szCs w:val="15"/>
                <w:b w:val="1"/>
                <w:bCs w:val="1"/>
                <w:color w:val="00467D"/>
              </w:rPr>
              <w:t>Year</w:t>
            </w:r>
          </w:p>
        </w:tc>
        <w:tc>
          <w:tcPr>
            <w:tcW w:w="1480" w:type="dxa"/>
            <w:vAlign w:val="bottom"/>
            <w:tcBorders>
              <w:bottom w:val="single" w:sz="8" w:color="00467D"/>
            </w:tcBorders>
          </w:tcPr>
          <w:p>
            <w:pPr>
              <w:jc w:val="center"/>
              <w:ind w:left="79"/>
              <w:spacing w:after="0"/>
              <w:rPr>
                <w:sz w:val="20"/>
                <w:szCs w:val="20"/>
                <w:color w:val="auto"/>
              </w:rPr>
            </w:pPr>
            <w:r>
              <w:rPr>
                <w:rFonts w:ascii="Arial" w:cs="Arial" w:eastAsia="Arial" w:hAnsi="Arial"/>
                <w:sz w:val="15"/>
                <w:szCs w:val="15"/>
                <w:b w:val="1"/>
                <w:bCs w:val="1"/>
                <w:color w:val="00467D"/>
              </w:rPr>
              <w:t>Compensation</w:t>
            </w:r>
          </w:p>
        </w:tc>
        <w:tc>
          <w:tcPr>
            <w:tcW w:w="220" w:type="dxa"/>
            <w:vAlign w:val="bottom"/>
            <w:tcBorders>
              <w:bottom w:val="single" w:sz="8" w:color="00467D"/>
            </w:tcBorders>
          </w:tcPr>
          <w:p>
            <w:pPr>
              <w:spacing w:after="0"/>
              <w:rPr>
                <w:sz w:val="16"/>
                <w:szCs w:val="16"/>
                <w:color w:val="auto"/>
              </w:rPr>
            </w:pPr>
          </w:p>
        </w:tc>
        <w:tc>
          <w:tcPr>
            <w:tcW w:w="1340" w:type="dxa"/>
            <w:vAlign w:val="bottom"/>
            <w:tcBorders>
              <w:bottom w:val="single" w:sz="8" w:color="00467D"/>
            </w:tcBorders>
          </w:tcPr>
          <w:p>
            <w:pPr>
              <w:jc w:val="center"/>
              <w:ind w:right="180"/>
              <w:spacing w:after="0"/>
              <w:rPr>
                <w:sz w:val="20"/>
                <w:szCs w:val="20"/>
                <w:color w:val="auto"/>
              </w:rPr>
            </w:pPr>
            <w:r>
              <w:rPr>
                <w:rFonts w:ascii="Arial" w:cs="Arial" w:eastAsia="Arial" w:hAnsi="Arial"/>
                <w:sz w:val="15"/>
                <w:szCs w:val="15"/>
                <w:b w:val="1"/>
                <w:bCs w:val="1"/>
                <w:color w:val="00467D"/>
              </w:rPr>
              <w:t>covered year</w:t>
            </w:r>
          </w:p>
        </w:tc>
        <w:tc>
          <w:tcPr>
            <w:tcW w:w="1340" w:type="dxa"/>
            <w:vAlign w:val="bottom"/>
            <w:tcBorders>
              <w:bottom w:val="single" w:sz="8" w:color="00467D"/>
            </w:tcBorders>
            <w:gridSpan w:val="2"/>
          </w:tcPr>
          <w:p>
            <w:pPr>
              <w:jc w:val="center"/>
              <w:spacing w:after="0"/>
              <w:rPr>
                <w:sz w:val="20"/>
                <w:szCs w:val="20"/>
                <w:color w:val="auto"/>
              </w:rPr>
            </w:pPr>
            <w:r>
              <w:rPr>
                <w:rFonts w:ascii="Arial" w:cs="Arial" w:eastAsia="Arial" w:hAnsi="Arial"/>
                <w:sz w:val="15"/>
                <w:szCs w:val="15"/>
                <w:b w:val="1"/>
                <w:bCs w:val="1"/>
                <w:color w:val="00467D"/>
              </w:rPr>
              <w:t>covered year</w:t>
            </w:r>
          </w:p>
        </w:tc>
        <w:tc>
          <w:tcPr>
            <w:tcW w:w="1420" w:type="dxa"/>
            <w:vAlign w:val="bottom"/>
            <w:tcBorders>
              <w:bottom w:val="single" w:sz="8" w:color="00467D"/>
            </w:tcBorders>
          </w:tcPr>
          <w:p>
            <w:pPr>
              <w:jc w:val="center"/>
              <w:spacing w:after="0"/>
              <w:rPr>
                <w:sz w:val="20"/>
                <w:szCs w:val="20"/>
                <w:color w:val="auto"/>
              </w:rPr>
            </w:pPr>
            <w:r>
              <w:rPr>
                <w:rFonts w:ascii="Arial" w:cs="Arial" w:eastAsia="Arial" w:hAnsi="Arial"/>
                <w:sz w:val="15"/>
                <w:szCs w:val="15"/>
                <w:b w:val="1"/>
                <w:bCs w:val="1"/>
                <w:color w:val="00467D"/>
              </w:rPr>
              <w:t>prior years</w:t>
            </w:r>
          </w:p>
        </w:tc>
        <w:tc>
          <w:tcPr>
            <w:tcW w:w="1400" w:type="dxa"/>
            <w:vAlign w:val="bottom"/>
            <w:tcBorders>
              <w:bottom w:val="single" w:sz="8" w:color="00467D"/>
            </w:tcBorders>
            <w:gridSpan w:val="2"/>
          </w:tcPr>
          <w:p>
            <w:pPr>
              <w:jc w:val="center"/>
              <w:spacing w:after="0"/>
              <w:rPr>
                <w:sz w:val="20"/>
                <w:szCs w:val="20"/>
                <w:color w:val="auto"/>
              </w:rPr>
            </w:pPr>
            <w:r>
              <w:rPr>
                <w:rFonts w:ascii="Arial" w:cs="Arial" w:eastAsia="Arial" w:hAnsi="Arial"/>
                <w:sz w:val="15"/>
                <w:szCs w:val="15"/>
                <w:b w:val="1"/>
                <w:bCs w:val="1"/>
                <w:color w:val="00467D"/>
              </w:rPr>
              <w:t>covered year</w:t>
            </w:r>
          </w:p>
        </w:tc>
        <w:tc>
          <w:tcPr>
            <w:tcW w:w="1420" w:type="dxa"/>
            <w:vAlign w:val="bottom"/>
            <w:tcBorders>
              <w:bottom w:val="single" w:sz="8" w:color="00467D"/>
            </w:tcBorders>
          </w:tcPr>
          <w:p>
            <w:pPr>
              <w:jc w:val="center"/>
              <w:spacing w:after="0"/>
              <w:rPr>
                <w:sz w:val="20"/>
                <w:szCs w:val="20"/>
                <w:color w:val="auto"/>
              </w:rPr>
            </w:pPr>
            <w:r>
              <w:rPr>
                <w:rFonts w:ascii="Arial" w:cs="Arial" w:eastAsia="Arial" w:hAnsi="Arial"/>
                <w:sz w:val="15"/>
                <w:szCs w:val="15"/>
                <w:b w:val="1"/>
                <w:bCs w:val="1"/>
                <w:color w:val="00467D"/>
              </w:rPr>
              <w:t>year</w:t>
            </w:r>
          </w:p>
        </w:tc>
        <w:tc>
          <w:tcPr>
            <w:tcW w:w="200" w:type="dxa"/>
            <w:vAlign w:val="bottom"/>
            <w:tcBorders>
              <w:bottom w:val="single" w:sz="8" w:color="00467D"/>
            </w:tcBorders>
          </w:tcPr>
          <w:p>
            <w:pPr>
              <w:spacing w:after="0"/>
              <w:rPr>
                <w:sz w:val="16"/>
                <w:szCs w:val="16"/>
                <w:color w:val="auto"/>
              </w:rPr>
            </w:pPr>
          </w:p>
        </w:tc>
        <w:tc>
          <w:tcPr>
            <w:tcW w:w="1000" w:type="dxa"/>
            <w:vAlign w:val="bottom"/>
            <w:tcBorders>
              <w:bottom w:val="single" w:sz="8" w:color="00467D"/>
            </w:tcBorders>
          </w:tcPr>
          <w:p>
            <w:pPr>
              <w:ind w:left="40"/>
              <w:spacing w:after="0"/>
              <w:rPr>
                <w:sz w:val="20"/>
                <w:szCs w:val="20"/>
                <w:color w:val="auto"/>
              </w:rPr>
            </w:pPr>
            <w:r>
              <w:rPr>
                <w:rFonts w:ascii="Arial" w:cs="Arial" w:eastAsia="Arial" w:hAnsi="Arial"/>
                <w:sz w:val="15"/>
                <w:szCs w:val="15"/>
                <w:b w:val="1"/>
                <w:bCs w:val="1"/>
                <w:color w:val="00467D"/>
              </w:rPr>
              <w:t>CEO CAP</w:t>
            </w:r>
          </w:p>
        </w:tc>
        <w:tc>
          <w:tcPr>
            <w:tcW w:w="0" w:type="dxa"/>
            <w:vAlign w:val="bottom"/>
          </w:tcPr>
          <w:p>
            <w:pPr>
              <w:spacing w:after="0"/>
              <w:rPr>
                <w:sz w:val="1"/>
                <w:szCs w:val="1"/>
                <w:color w:val="auto"/>
              </w:rPr>
            </w:pPr>
          </w:p>
        </w:tc>
      </w:tr>
      <w:tr>
        <w:trPr>
          <w:trHeight w:val="187"/>
        </w:trPr>
        <w:tc>
          <w:tcPr>
            <w:tcW w:w="720" w:type="dxa"/>
            <w:vAlign w:val="bottom"/>
            <w:tcBorders>
              <w:bottom w:val="single" w:sz="8" w:color="99B5CB"/>
            </w:tcBorders>
          </w:tcPr>
          <w:p>
            <w:pPr>
              <w:ind w:left="60"/>
              <w:spacing w:after="0" w:line="186" w:lineRule="exact"/>
              <w:rPr>
                <w:sz w:val="20"/>
                <w:szCs w:val="20"/>
                <w:color w:val="auto"/>
              </w:rPr>
            </w:pPr>
            <w:r>
              <w:rPr>
                <w:rFonts w:ascii="Arial" w:cs="Arial" w:eastAsia="Arial" w:hAnsi="Arial"/>
                <w:sz w:val="17"/>
                <w:szCs w:val="17"/>
                <w:color w:val="auto"/>
              </w:rPr>
              <w:t>2022</w:t>
            </w:r>
          </w:p>
        </w:tc>
        <w:tc>
          <w:tcPr>
            <w:tcW w:w="1480" w:type="dxa"/>
            <w:vAlign w:val="bottom"/>
            <w:tcBorders>
              <w:bottom w:val="single" w:sz="8" w:color="99B5CB"/>
            </w:tcBorders>
          </w:tcPr>
          <w:p>
            <w:pPr>
              <w:jc w:val="right"/>
              <w:ind w:right="39"/>
              <w:spacing w:after="0" w:line="186" w:lineRule="exact"/>
              <w:rPr>
                <w:sz w:val="20"/>
                <w:szCs w:val="20"/>
                <w:color w:val="auto"/>
              </w:rPr>
            </w:pPr>
            <w:r>
              <w:rPr>
                <w:rFonts w:ascii="Arial" w:cs="Arial" w:eastAsia="Arial" w:hAnsi="Arial"/>
                <w:sz w:val="17"/>
                <w:szCs w:val="17"/>
                <w:color w:val="auto"/>
              </w:rPr>
              <w:t>$16,659,858</w:t>
            </w:r>
          </w:p>
        </w:tc>
        <w:tc>
          <w:tcPr>
            <w:tcW w:w="220" w:type="dxa"/>
            <w:vAlign w:val="bottom"/>
            <w:tcBorders>
              <w:bottom w:val="single" w:sz="8" w:color="99B5CB"/>
            </w:tcBorders>
          </w:tcPr>
          <w:p>
            <w:pPr>
              <w:spacing w:after="0"/>
              <w:rPr>
                <w:sz w:val="16"/>
                <w:szCs w:val="16"/>
                <w:color w:val="auto"/>
              </w:rPr>
            </w:pPr>
          </w:p>
        </w:tc>
        <w:tc>
          <w:tcPr>
            <w:tcW w:w="1340" w:type="dxa"/>
            <w:vAlign w:val="bottom"/>
            <w:tcBorders>
              <w:bottom w:val="single" w:sz="8" w:color="99B5CB"/>
            </w:tcBorders>
          </w:tcPr>
          <w:p>
            <w:pPr>
              <w:jc w:val="right"/>
              <w:ind w:right="20"/>
              <w:spacing w:after="0" w:line="186" w:lineRule="exact"/>
              <w:rPr>
                <w:sz w:val="20"/>
                <w:szCs w:val="20"/>
                <w:color w:val="auto"/>
              </w:rPr>
            </w:pPr>
            <w:r>
              <w:rPr>
                <w:rFonts w:ascii="Arial" w:cs="Arial" w:eastAsia="Arial" w:hAnsi="Arial"/>
                <w:sz w:val="17"/>
                <w:szCs w:val="17"/>
                <w:color w:val="auto"/>
              </w:rPr>
              <w:t>$(14,462,702)</w:t>
            </w:r>
          </w:p>
        </w:tc>
        <w:tc>
          <w:tcPr>
            <w:tcW w:w="240" w:type="dxa"/>
            <w:vAlign w:val="bottom"/>
            <w:tcBorders>
              <w:bottom w:val="single" w:sz="8" w:color="99B5CB"/>
            </w:tcBorders>
          </w:tcPr>
          <w:p>
            <w:pPr>
              <w:spacing w:after="0"/>
              <w:rPr>
                <w:sz w:val="16"/>
                <w:szCs w:val="16"/>
                <w:color w:val="auto"/>
              </w:rPr>
            </w:pPr>
          </w:p>
        </w:tc>
        <w:tc>
          <w:tcPr>
            <w:tcW w:w="1100" w:type="dxa"/>
            <w:vAlign w:val="bottom"/>
            <w:tcBorders>
              <w:bottom w:val="single" w:sz="8" w:color="99B5CB"/>
            </w:tcBorders>
          </w:tcPr>
          <w:p>
            <w:pPr>
              <w:jc w:val="right"/>
              <w:ind w:right="35"/>
              <w:spacing w:after="0" w:line="186" w:lineRule="exact"/>
              <w:rPr>
                <w:sz w:val="20"/>
                <w:szCs w:val="20"/>
                <w:color w:val="auto"/>
              </w:rPr>
            </w:pPr>
            <w:r>
              <w:rPr>
                <w:rFonts w:ascii="Arial" w:cs="Arial" w:eastAsia="Arial" w:hAnsi="Arial"/>
                <w:sz w:val="17"/>
                <w:szCs w:val="17"/>
                <w:color w:val="auto"/>
              </w:rPr>
              <w:t>$13,019,821</w:t>
            </w:r>
          </w:p>
        </w:tc>
        <w:tc>
          <w:tcPr>
            <w:tcW w:w="1420" w:type="dxa"/>
            <w:vAlign w:val="bottom"/>
            <w:tcBorders>
              <w:bottom w:val="single" w:sz="8" w:color="99B5CB"/>
            </w:tcBorders>
          </w:tcPr>
          <w:p>
            <w:pPr>
              <w:jc w:val="right"/>
              <w:ind w:right="40"/>
              <w:spacing w:after="0" w:line="186" w:lineRule="exact"/>
              <w:rPr>
                <w:sz w:val="20"/>
                <w:szCs w:val="20"/>
                <w:color w:val="auto"/>
              </w:rPr>
            </w:pPr>
            <w:r>
              <w:rPr>
                <w:rFonts w:ascii="Arial" w:cs="Arial" w:eastAsia="Arial" w:hAnsi="Arial"/>
                <w:sz w:val="17"/>
                <w:szCs w:val="17"/>
                <w:color w:val="auto"/>
              </w:rPr>
              <w:t>$(5,926,198)</w:t>
            </w:r>
          </w:p>
        </w:tc>
        <w:tc>
          <w:tcPr>
            <w:tcW w:w="200" w:type="dxa"/>
            <w:vAlign w:val="bottom"/>
            <w:tcBorders>
              <w:bottom w:val="single" w:sz="8" w:color="99B5CB"/>
            </w:tcBorders>
          </w:tcPr>
          <w:p>
            <w:pPr>
              <w:spacing w:after="0"/>
              <w:rPr>
                <w:sz w:val="16"/>
                <w:szCs w:val="16"/>
                <w:color w:val="auto"/>
              </w:rPr>
            </w:pPr>
          </w:p>
        </w:tc>
        <w:tc>
          <w:tcPr>
            <w:tcW w:w="1200" w:type="dxa"/>
            <w:vAlign w:val="bottom"/>
            <w:tcBorders>
              <w:bottom w:val="single" w:sz="8" w:color="99B5CB"/>
            </w:tcBorders>
          </w:tcPr>
          <w:p>
            <w:pPr>
              <w:jc w:val="right"/>
              <w:ind w:right="19"/>
              <w:spacing w:after="0" w:line="186" w:lineRule="exact"/>
              <w:rPr>
                <w:sz w:val="20"/>
                <w:szCs w:val="20"/>
                <w:color w:val="auto"/>
              </w:rPr>
            </w:pPr>
            <w:r>
              <w:rPr>
                <w:rFonts w:ascii="Arial" w:cs="Arial" w:eastAsia="Arial" w:hAnsi="Arial"/>
                <w:sz w:val="17"/>
                <w:szCs w:val="17"/>
                <w:color w:val="auto"/>
              </w:rPr>
              <w:t>$(3,382,091)</w:t>
            </w:r>
          </w:p>
        </w:tc>
        <w:tc>
          <w:tcPr>
            <w:tcW w:w="1420" w:type="dxa"/>
            <w:vAlign w:val="bottom"/>
            <w:tcBorders>
              <w:bottom w:val="single" w:sz="8" w:color="99B5CB"/>
            </w:tcBorders>
          </w:tcPr>
          <w:p>
            <w:pPr>
              <w:jc w:val="center"/>
              <w:spacing w:after="0" w:line="186" w:lineRule="exact"/>
              <w:rPr>
                <w:sz w:val="20"/>
                <w:szCs w:val="20"/>
                <w:color w:val="auto"/>
              </w:rPr>
            </w:pPr>
            <w:r>
              <w:rPr>
                <w:rFonts w:ascii="Arial" w:cs="Arial" w:eastAsia="Arial" w:hAnsi="Arial"/>
                <w:sz w:val="17"/>
                <w:szCs w:val="17"/>
                <w:color w:val="auto"/>
              </w:rPr>
              <w:t>$—</w:t>
            </w:r>
          </w:p>
        </w:tc>
        <w:tc>
          <w:tcPr>
            <w:tcW w:w="200" w:type="dxa"/>
            <w:vAlign w:val="bottom"/>
            <w:tcBorders>
              <w:bottom w:val="single" w:sz="8" w:color="99B5CB"/>
            </w:tcBorders>
          </w:tcPr>
          <w:p>
            <w:pPr>
              <w:jc w:val="right"/>
              <w:spacing w:after="0" w:line="186" w:lineRule="exact"/>
              <w:rPr>
                <w:sz w:val="20"/>
                <w:szCs w:val="20"/>
                <w:color w:val="auto"/>
              </w:rPr>
            </w:pPr>
            <w:r>
              <w:rPr>
                <w:rFonts w:ascii="Arial" w:cs="Arial" w:eastAsia="Arial" w:hAnsi="Arial"/>
                <w:sz w:val="17"/>
                <w:szCs w:val="17"/>
                <w:color w:val="auto"/>
              </w:rPr>
              <w:t>$</w:t>
            </w:r>
          </w:p>
        </w:tc>
        <w:tc>
          <w:tcPr>
            <w:tcW w:w="1000" w:type="dxa"/>
            <w:vAlign w:val="bottom"/>
            <w:tcBorders>
              <w:bottom w:val="single" w:sz="8" w:color="99B5CB"/>
            </w:tcBorders>
          </w:tcPr>
          <w:p>
            <w:pPr>
              <w:jc w:val="right"/>
              <w:ind w:right="37"/>
              <w:spacing w:after="0" w:line="186" w:lineRule="exact"/>
              <w:rPr>
                <w:sz w:val="20"/>
                <w:szCs w:val="20"/>
                <w:color w:val="auto"/>
              </w:rPr>
            </w:pPr>
            <w:r>
              <w:rPr>
                <w:rFonts w:ascii="Arial" w:cs="Arial" w:eastAsia="Arial" w:hAnsi="Arial"/>
                <w:sz w:val="17"/>
                <w:szCs w:val="17"/>
                <w:color w:val="auto"/>
              </w:rPr>
              <w:t>5,908,688</w:t>
            </w:r>
          </w:p>
        </w:tc>
        <w:tc>
          <w:tcPr>
            <w:tcW w:w="0" w:type="dxa"/>
            <w:vAlign w:val="bottom"/>
          </w:tcPr>
          <w:p>
            <w:pPr>
              <w:spacing w:after="0"/>
              <w:rPr>
                <w:sz w:val="1"/>
                <w:szCs w:val="1"/>
                <w:color w:val="auto"/>
              </w:rPr>
            </w:pPr>
          </w:p>
        </w:tc>
      </w:tr>
      <w:tr>
        <w:trPr>
          <w:trHeight w:val="187"/>
        </w:trPr>
        <w:tc>
          <w:tcPr>
            <w:tcW w:w="720" w:type="dxa"/>
            <w:vAlign w:val="bottom"/>
            <w:tcBorders>
              <w:bottom w:val="single" w:sz="8" w:color="99B5CB"/>
            </w:tcBorders>
          </w:tcPr>
          <w:p>
            <w:pPr>
              <w:ind w:left="60"/>
              <w:spacing w:after="0" w:line="186" w:lineRule="exact"/>
              <w:rPr>
                <w:sz w:val="20"/>
                <w:szCs w:val="20"/>
                <w:color w:val="auto"/>
              </w:rPr>
            </w:pPr>
            <w:r>
              <w:rPr>
                <w:rFonts w:ascii="Arial" w:cs="Arial" w:eastAsia="Arial" w:hAnsi="Arial"/>
                <w:sz w:val="17"/>
                <w:szCs w:val="17"/>
                <w:color w:val="auto"/>
              </w:rPr>
              <w:t>2021</w:t>
            </w:r>
          </w:p>
        </w:tc>
        <w:tc>
          <w:tcPr>
            <w:tcW w:w="1480" w:type="dxa"/>
            <w:vAlign w:val="bottom"/>
            <w:tcBorders>
              <w:bottom w:val="single" w:sz="8" w:color="99B5CB"/>
            </w:tcBorders>
          </w:tcPr>
          <w:p>
            <w:pPr>
              <w:jc w:val="right"/>
              <w:ind w:right="39"/>
              <w:spacing w:after="0" w:line="186" w:lineRule="exact"/>
              <w:rPr>
                <w:sz w:val="20"/>
                <w:szCs w:val="20"/>
                <w:color w:val="auto"/>
              </w:rPr>
            </w:pPr>
            <w:r>
              <w:rPr>
                <w:rFonts w:ascii="Arial" w:cs="Arial" w:eastAsia="Arial" w:hAnsi="Arial"/>
                <w:sz w:val="17"/>
                <w:szCs w:val="17"/>
                <w:color w:val="auto"/>
              </w:rPr>
              <w:t>2,197,574</w:t>
            </w:r>
          </w:p>
        </w:tc>
        <w:tc>
          <w:tcPr>
            <w:tcW w:w="220" w:type="dxa"/>
            <w:vAlign w:val="bottom"/>
            <w:tcBorders>
              <w:bottom w:val="single" w:sz="8" w:color="99B5CB"/>
            </w:tcBorders>
          </w:tcPr>
          <w:p>
            <w:pPr>
              <w:spacing w:after="0"/>
              <w:rPr>
                <w:sz w:val="16"/>
                <w:szCs w:val="16"/>
                <w:color w:val="auto"/>
              </w:rPr>
            </w:pPr>
          </w:p>
        </w:tc>
        <w:tc>
          <w:tcPr>
            <w:tcW w:w="1340" w:type="dxa"/>
            <w:vAlign w:val="bottom"/>
            <w:tcBorders>
              <w:bottom w:val="single" w:sz="8" w:color="99B5CB"/>
            </w:tcBorders>
          </w:tcPr>
          <w:p>
            <w:pPr>
              <w:jc w:val="right"/>
              <w:ind w:right="580"/>
              <w:spacing w:after="0" w:line="186" w:lineRule="exact"/>
              <w:rPr>
                <w:sz w:val="20"/>
                <w:szCs w:val="20"/>
                <w:color w:val="auto"/>
              </w:rPr>
            </w:pPr>
            <w:r>
              <w:rPr>
                <w:rFonts w:ascii="Arial" w:cs="Arial" w:eastAsia="Arial" w:hAnsi="Arial"/>
                <w:sz w:val="17"/>
                <w:szCs w:val="17"/>
                <w:color w:val="auto"/>
              </w:rPr>
              <w:t>—</w:t>
            </w:r>
          </w:p>
        </w:tc>
        <w:tc>
          <w:tcPr>
            <w:tcW w:w="240" w:type="dxa"/>
            <w:vAlign w:val="bottom"/>
            <w:tcBorders>
              <w:bottom w:val="single" w:sz="8" w:color="99B5CB"/>
            </w:tcBorders>
          </w:tcPr>
          <w:p>
            <w:pPr>
              <w:spacing w:after="0"/>
              <w:rPr>
                <w:sz w:val="16"/>
                <w:szCs w:val="16"/>
                <w:color w:val="auto"/>
              </w:rPr>
            </w:pPr>
          </w:p>
        </w:tc>
        <w:tc>
          <w:tcPr>
            <w:tcW w:w="1100" w:type="dxa"/>
            <w:vAlign w:val="bottom"/>
            <w:tcBorders>
              <w:bottom w:val="single" w:sz="8" w:color="99B5CB"/>
            </w:tcBorders>
          </w:tcPr>
          <w:p>
            <w:pPr>
              <w:jc w:val="right"/>
              <w:ind w:right="455"/>
              <w:spacing w:after="0" w:line="186" w:lineRule="exact"/>
              <w:rPr>
                <w:sz w:val="20"/>
                <w:szCs w:val="20"/>
                <w:color w:val="auto"/>
              </w:rPr>
            </w:pPr>
            <w:r>
              <w:rPr>
                <w:rFonts w:ascii="Arial" w:cs="Arial" w:eastAsia="Arial" w:hAnsi="Arial"/>
                <w:sz w:val="17"/>
                <w:szCs w:val="17"/>
                <w:color w:val="auto"/>
              </w:rPr>
              <w:t>—</w:t>
            </w:r>
          </w:p>
        </w:tc>
        <w:tc>
          <w:tcPr>
            <w:tcW w:w="1420" w:type="dxa"/>
            <w:vAlign w:val="bottom"/>
            <w:tcBorders>
              <w:bottom w:val="single" w:sz="8" w:color="99B5CB"/>
            </w:tcBorders>
          </w:tcPr>
          <w:p>
            <w:pPr>
              <w:jc w:val="right"/>
              <w:ind w:right="40"/>
              <w:spacing w:after="0" w:line="186" w:lineRule="exact"/>
              <w:rPr>
                <w:sz w:val="20"/>
                <w:szCs w:val="20"/>
                <w:color w:val="auto"/>
              </w:rPr>
            </w:pPr>
            <w:r>
              <w:rPr>
                <w:rFonts w:ascii="Arial" w:cs="Arial" w:eastAsia="Arial" w:hAnsi="Arial"/>
                <w:sz w:val="17"/>
                <w:szCs w:val="17"/>
                <w:color w:val="auto"/>
              </w:rPr>
              <w:t>(3,167,607)</w:t>
            </w:r>
          </w:p>
        </w:tc>
        <w:tc>
          <w:tcPr>
            <w:tcW w:w="200" w:type="dxa"/>
            <w:vAlign w:val="bottom"/>
            <w:tcBorders>
              <w:bottom w:val="single" w:sz="8" w:color="99B5CB"/>
            </w:tcBorders>
          </w:tcPr>
          <w:p>
            <w:pPr>
              <w:spacing w:after="0"/>
              <w:rPr>
                <w:sz w:val="16"/>
                <w:szCs w:val="16"/>
                <w:color w:val="auto"/>
              </w:rPr>
            </w:pPr>
          </w:p>
        </w:tc>
        <w:tc>
          <w:tcPr>
            <w:tcW w:w="1200" w:type="dxa"/>
            <w:vAlign w:val="bottom"/>
            <w:tcBorders>
              <w:bottom w:val="single" w:sz="8" w:color="99B5CB"/>
            </w:tcBorders>
          </w:tcPr>
          <w:p>
            <w:pPr>
              <w:jc w:val="right"/>
              <w:ind w:right="19"/>
              <w:spacing w:after="0" w:line="186" w:lineRule="exact"/>
              <w:rPr>
                <w:sz w:val="20"/>
                <w:szCs w:val="20"/>
                <w:color w:val="auto"/>
              </w:rPr>
            </w:pPr>
            <w:r>
              <w:rPr>
                <w:rFonts w:ascii="Arial" w:cs="Arial" w:eastAsia="Arial" w:hAnsi="Arial"/>
                <w:sz w:val="17"/>
                <w:szCs w:val="17"/>
                <w:color w:val="auto"/>
              </w:rPr>
              <w:t>(1,392,855)</w:t>
            </w:r>
          </w:p>
        </w:tc>
        <w:tc>
          <w:tcPr>
            <w:tcW w:w="1420" w:type="dxa"/>
            <w:vAlign w:val="bottom"/>
            <w:tcBorders>
              <w:bottom w:val="single" w:sz="8" w:color="99B5CB"/>
            </w:tcBorders>
          </w:tcPr>
          <w:p>
            <w:pPr>
              <w:jc w:val="center"/>
              <w:spacing w:after="0" w:line="186" w:lineRule="exact"/>
              <w:rPr>
                <w:sz w:val="20"/>
                <w:szCs w:val="20"/>
                <w:color w:val="auto"/>
              </w:rPr>
            </w:pPr>
            <w:r>
              <w:rPr>
                <w:rFonts w:ascii="Arial" w:cs="Arial" w:eastAsia="Arial" w:hAnsi="Arial"/>
                <w:sz w:val="17"/>
                <w:szCs w:val="17"/>
                <w:color w:val="auto"/>
                <w:w w:val="93"/>
              </w:rPr>
              <w:t>—</w:t>
            </w:r>
          </w:p>
        </w:tc>
        <w:tc>
          <w:tcPr>
            <w:tcW w:w="200" w:type="dxa"/>
            <w:vAlign w:val="bottom"/>
            <w:tcBorders>
              <w:bottom w:val="single" w:sz="8" w:color="99B5CB"/>
            </w:tcBorders>
          </w:tcPr>
          <w:p>
            <w:pPr>
              <w:spacing w:after="0"/>
              <w:rPr>
                <w:sz w:val="16"/>
                <w:szCs w:val="16"/>
                <w:color w:val="auto"/>
              </w:rPr>
            </w:pPr>
          </w:p>
        </w:tc>
        <w:tc>
          <w:tcPr>
            <w:tcW w:w="1000" w:type="dxa"/>
            <w:vAlign w:val="bottom"/>
            <w:tcBorders>
              <w:bottom w:val="single" w:sz="8" w:color="99B5CB"/>
            </w:tcBorders>
          </w:tcPr>
          <w:p>
            <w:pPr>
              <w:jc w:val="right"/>
              <w:spacing w:after="0" w:line="186" w:lineRule="exact"/>
              <w:rPr>
                <w:sz w:val="20"/>
                <w:szCs w:val="20"/>
                <w:color w:val="auto"/>
              </w:rPr>
            </w:pPr>
            <w:r>
              <w:rPr>
                <w:rFonts w:ascii="Arial" w:cs="Arial" w:eastAsia="Arial" w:hAnsi="Arial"/>
                <w:sz w:val="17"/>
                <w:szCs w:val="17"/>
                <w:color w:val="auto"/>
              </w:rPr>
              <w:t>(2,362,888)</w:t>
            </w:r>
          </w:p>
        </w:tc>
        <w:tc>
          <w:tcPr>
            <w:tcW w:w="0" w:type="dxa"/>
            <w:vAlign w:val="bottom"/>
          </w:tcPr>
          <w:p>
            <w:pPr>
              <w:spacing w:after="0"/>
              <w:rPr>
                <w:sz w:val="1"/>
                <w:szCs w:val="1"/>
                <w:color w:val="auto"/>
              </w:rPr>
            </w:pPr>
          </w:p>
        </w:tc>
      </w:tr>
      <w:tr>
        <w:trPr>
          <w:trHeight w:val="187"/>
        </w:trPr>
        <w:tc>
          <w:tcPr>
            <w:tcW w:w="720" w:type="dxa"/>
            <w:vAlign w:val="bottom"/>
            <w:tcBorders>
              <w:bottom w:val="single" w:sz="8" w:color="00467D"/>
            </w:tcBorders>
          </w:tcPr>
          <w:p>
            <w:pPr>
              <w:ind w:left="60"/>
              <w:spacing w:after="0" w:line="186" w:lineRule="exact"/>
              <w:rPr>
                <w:sz w:val="20"/>
                <w:szCs w:val="20"/>
                <w:color w:val="auto"/>
              </w:rPr>
            </w:pPr>
            <w:r>
              <w:rPr>
                <w:rFonts w:ascii="Arial" w:cs="Arial" w:eastAsia="Arial" w:hAnsi="Arial"/>
                <w:sz w:val="17"/>
                <w:szCs w:val="17"/>
                <w:color w:val="auto"/>
              </w:rPr>
              <w:t>2020</w:t>
            </w:r>
          </w:p>
        </w:tc>
        <w:tc>
          <w:tcPr>
            <w:tcW w:w="1480" w:type="dxa"/>
            <w:vAlign w:val="bottom"/>
            <w:tcBorders>
              <w:bottom w:val="single" w:sz="8" w:color="00467D"/>
            </w:tcBorders>
          </w:tcPr>
          <w:p>
            <w:pPr>
              <w:jc w:val="right"/>
              <w:ind w:right="39"/>
              <w:spacing w:after="0" w:line="186" w:lineRule="exact"/>
              <w:rPr>
                <w:sz w:val="20"/>
                <w:szCs w:val="20"/>
                <w:color w:val="auto"/>
              </w:rPr>
            </w:pPr>
            <w:r>
              <w:rPr>
                <w:rFonts w:ascii="Arial" w:cs="Arial" w:eastAsia="Arial" w:hAnsi="Arial"/>
                <w:sz w:val="17"/>
                <w:szCs w:val="17"/>
                <w:color w:val="auto"/>
              </w:rPr>
              <w:t>17,204,248</w:t>
            </w:r>
          </w:p>
        </w:tc>
        <w:tc>
          <w:tcPr>
            <w:tcW w:w="220" w:type="dxa"/>
            <w:vAlign w:val="bottom"/>
            <w:tcBorders>
              <w:bottom w:val="single" w:sz="8" w:color="00467D"/>
            </w:tcBorders>
          </w:tcPr>
          <w:p>
            <w:pPr>
              <w:spacing w:after="0"/>
              <w:rPr>
                <w:sz w:val="16"/>
                <w:szCs w:val="16"/>
                <w:color w:val="auto"/>
              </w:rPr>
            </w:pPr>
          </w:p>
        </w:tc>
        <w:tc>
          <w:tcPr>
            <w:tcW w:w="1340" w:type="dxa"/>
            <w:vAlign w:val="bottom"/>
            <w:tcBorders>
              <w:bottom w:val="single" w:sz="8" w:color="00467D"/>
            </w:tcBorders>
          </w:tcPr>
          <w:p>
            <w:pPr>
              <w:jc w:val="right"/>
              <w:ind w:right="20"/>
              <w:spacing w:after="0" w:line="186" w:lineRule="exact"/>
              <w:rPr>
                <w:sz w:val="20"/>
                <w:szCs w:val="20"/>
                <w:color w:val="auto"/>
              </w:rPr>
            </w:pPr>
            <w:r>
              <w:rPr>
                <w:rFonts w:ascii="Arial" w:cs="Arial" w:eastAsia="Arial" w:hAnsi="Arial"/>
                <w:sz w:val="17"/>
                <w:szCs w:val="17"/>
                <w:color w:val="auto"/>
              </w:rPr>
              <w:t>(15,000,000)</w:t>
            </w:r>
          </w:p>
        </w:tc>
        <w:tc>
          <w:tcPr>
            <w:tcW w:w="240" w:type="dxa"/>
            <w:vAlign w:val="bottom"/>
            <w:tcBorders>
              <w:bottom w:val="single" w:sz="8" w:color="00467D"/>
            </w:tcBorders>
          </w:tcPr>
          <w:p>
            <w:pPr>
              <w:spacing w:after="0"/>
              <w:rPr>
                <w:sz w:val="16"/>
                <w:szCs w:val="16"/>
                <w:color w:val="auto"/>
              </w:rPr>
            </w:pPr>
          </w:p>
        </w:tc>
        <w:tc>
          <w:tcPr>
            <w:tcW w:w="1100" w:type="dxa"/>
            <w:vAlign w:val="bottom"/>
            <w:tcBorders>
              <w:bottom w:val="single" w:sz="8" w:color="00467D"/>
            </w:tcBorders>
          </w:tcPr>
          <w:p>
            <w:pPr>
              <w:jc w:val="right"/>
              <w:ind w:right="35"/>
              <w:spacing w:after="0" w:line="186" w:lineRule="exact"/>
              <w:rPr>
                <w:sz w:val="20"/>
                <w:szCs w:val="20"/>
                <w:color w:val="auto"/>
              </w:rPr>
            </w:pPr>
            <w:r>
              <w:rPr>
                <w:rFonts w:ascii="Arial" w:cs="Arial" w:eastAsia="Arial" w:hAnsi="Arial"/>
                <w:sz w:val="17"/>
                <w:szCs w:val="17"/>
                <w:color w:val="auto"/>
              </w:rPr>
              <w:t>20,216,626</w:t>
            </w:r>
          </w:p>
        </w:tc>
        <w:tc>
          <w:tcPr>
            <w:tcW w:w="1420" w:type="dxa"/>
            <w:vAlign w:val="bottom"/>
            <w:tcBorders>
              <w:bottom w:val="single" w:sz="8" w:color="00467D"/>
            </w:tcBorders>
          </w:tcPr>
          <w:p>
            <w:pPr>
              <w:jc w:val="right"/>
              <w:ind w:right="520"/>
              <w:spacing w:after="0" w:line="186" w:lineRule="exact"/>
              <w:rPr>
                <w:sz w:val="20"/>
                <w:szCs w:val="20"/>
                <w:color w:val="auto"/>
              </w:rPr>
            </w:pPr>
            <w:r>
              <w:rPr>
                <w:rFonts w:ascii="Arial" w:cs="Arial" w:eastAsia="Arial" w:hAnsi="Arial"/>
                <w:sz w:val="17"/>
                <w:szCs w:val="17"/>
                <w:color w:val="auto"/>
              </w:rPr>
              <w:t>—</w:t>
            </w:r>
          </w:p>
        </w:tc>
        <w:tc>
          <w:tcPr>
            <w:tcW w:w="200" w:type="dxa"/>
            <w:vAlign w:val="bottom"/>
            <w:tcBorders>
              <w:bottom w:val="single" w:sz="8" w:color="00467D"/>
            </w:tcBorders>
          </w:tcPr>
          <w:p>
            <w:pPr>
              <w:spacing w:after="0"/>
              <w:rPr>
                <w:sz w:val="16"/>
                <w:szCs w:val="16"/>
                <w:color w:val="auto"/>
              </w:rPr>
            </w:pPr>
          </w:p>
        </w:tc>
        <w:tc>
          <w:tcPr>
            <w:tcW w:w="1200" w:type="dxa"/>
            <w:vAlign w:val="bottom"/>
            <w:tcBorders>
              <w:bottom w:val="single" w:sz="8" w:color="00467D"/>
            </w:tcBorders>
          </w:tcPr>
          <w:p>
            <w:pPr>
              <w:jc w:val="right"/>
              <w:ind w:right="519"/>
              <w:spacing w:after="0" w:line="186" w:lineRule="exact"/>
              <w:rPr>
                <w:sz w:val="20"/>
                <w:szCs w:val="20"/>
                <w:color w:val="auto"/>
              </w:rPr>
            </w:pPr>
            <w:r>
              <w:rPr>
                <w:rFonts w:ascii="Arial" w:cs="Arial" w:eastAsia="Arial" w:hAnsi="Arial"/>
                <w:sz w:val="17"/>
                <w:szCs w:val="17"/>
                <w:color w:val="auto"/>
              </w:rPr>
              <w:t>—</w:t>
            </w:r>
          </w:p>
        </w:tc>
        <w:tc>
          <w:tcPr>
            <w:tcW w:w="1420" w:type="dxa"/>
            <w:vAlign w:val="bottom"/>
            <w:tcBorders>
              <w:bottom w:val="single" w:sz="8" w:color="00467D"/>
            </w:tcBorders>
          </w:tcPr>
          <w:p>
            <w:pPr>
              <w:jc w:val="center"/>
              <w:spacing w:after="0" w:line="186" w:lineRule="exact"/>
              <w:rPr>
                <w:sz w:val="20"/>
                <w:szCs w:val="20"/>
                <w:color w:val="auto"/>
              </w:rPr>
            </w:pPr>
            <w:r>
              <w:rPr>
                <w:rFonts w:ascii="Arial" w:cs="Arial" w:eastAsia="Arial" w:hAnsi="Arial"/>
                <w:sz w:val="17"/>
                <w:szCs w:val="17"/>
                <w:color w:val="auto"/>
                <w:w w:val="93"/>
              </w:rPr>
              <w:t>—</w:t>
            </w:r>
          </w:p>
        </w:tc>
        <w:tc>
          <w:tcPr>
            <w:tcW w:w="200" w:type="dxa"/>
            <w:vAlign w:val="bottom"/>
            <w:tcBorders>
              <w:bottom w:val="single" w:sz="8" w:color="00467D"/>
            </w:tcBorders>
          </w:tcPr>
          <w:p>
            <w:pPr>
              <w:spacing w:after="0"/>
              <w:rPr>
                <w:sz w:val="16"/>
                <w:szCs w:val="16"/>
                <w:color w:val="auto"/>
              </w:rPr>
            </w:pPr>
          </w:p>
        </w:tc>
        <w:tc>
          <w:tcPr>
            <w:tcW w:w="1000" w:type="dxa"/>
            <w:vAlign w:val="bottom"/>
            <w:tcBorders>
              <w:bottom w:val="single" w:sz="8" w:color="00467D"/>
            </w:tcBorders>
          </w:tcPr>
          <w:p>
            <w:pPr>
              <w:jc w:val="right"/>
              <w:ind w:right="37"/>
              <w:spacing w:after="0" w:line="186" w:lineRule="exact"/>
              <w:rPr>
                <w:sz w:val="20"/>
                <w:szCs w:val="20"/>
                <w:color w:val="auto"/>
              </w:rPr>
            </w:pPr>
            <w:r>
              <w:rPr>
                <w:rFonts w:ascii="Arial" w:cs="Arial" w:eastAsia="Arial" w:hAnsi="Arial"/>
                <w:sz w:val="17"/>
                <w:szCs w:val="17"/>
                <w:color w:val="auto"/>
              </w:rPr>
              <w:t>22,420,874</w:t>
            </w:r>
          </w:p>
        </w:tc>
        <w:tc>
          <w:tcPr>
            <w:tcW w:w="0" w:type="dxa"/>
            <w:vAlign w:val="bottom"/>
          </w:tcPr>
          <w:p>
            <w:pPr>
              <w:spacing w:after="0"/>
              <w:rPr>
                <w:sz w:val="1"/>
                <w:szCs w:val="1"/>
                <w:color w:val="auto"/>
              </w:rPr>
            </w:pPr>
          </w:p>
        </w:tc>
      </w:tr>
      <w:tr>
        <w:trPr>
          <w:trHeight w:val="367"/>
        </w:trPr>
        <w:tc>
          <w:tcPr>
            <w:tcW w:w="2200" w:type="dxa"/>
            <w:vAlign w:val="bottom"/>
            <w:tcBorders>
              <w:bottom w:val="single" w:sz="8" w:color="00467D"/>
            </w:tcBorders>
            <w:gridSpan w:val="2"/>
          </w:tcPr>
          <w:p>
            <w:pPr>
              <w:ind w:left="60"/>
              <w:spacing w:after="0"/>
              <w:rPr>
                <w:sz w:val="20"/>
                <w:szCs w:val="20"/>
                <w:color w:val="auto"/>
              </w:rPr>
            </w:pPr>
            <w:r>
              <w:rPr>
                <w:rFonts w:ascii="Arial" w:cs="Arial" w:eastAsia="Arial" w:hAnsi="Arial"/>
                <w:sz w:val="15"/>
                <w:szCs w:val="15"/>
                <w:b w:val="1"/>
                <w:bCs w:val="1"/>
                <w:color w:val="00467D"/>
              </w:rPr>
              <w:t>Average Non-CEO NEOs</w:t>
            </w:r>
          </w:p>
        </w:tc>
        <w:tc>
          <w:tcPr>
            <w:tcW w:w="220" w:type="dxa"/>
            <w:vAlign w:val="bottom"/>
            <w:tcBorders>
              <w:bottom w:val="single" w:sz="8" w:color="00467D"/>
            </w:tcBorders>
          </w:tcPr>
          <w:p>
            <w:pPr>
              <w:spacing w:after="0"/>
              <w:rPr>
                <w:sz w:val="24"/>
                <w:szCs w:val="24"/>
                <w:color w:val="auto"/>
              </w:rPr>
            </w:pPr>
          </w:p>
        </w:tc>
        <w:tc>
          <w:tcPr>
            <w:tcW w:w="1340" w:type="dxa"/>
            <w:vAlign w:val="bottom"/>
            <w:tcBorders>
              <w:bottom w:val="single" w:sz="8" w:color="00467D"/>
            </w:tcBorders>
          </w:tcPr>
          <w:p>
            <w:pPr>
              <w:spacing w:after="0"/>
              <w:rPr>
                <w:sz w:val="24"/>
                <w:szCs w:val="24"/>
                <w:color w:val="auto"/>
              </w:rPr>
            </w:pPr>
          </w:p>
        </w:tc>
        <w:tc>
          <w:tcPr>
            <w:tcW w:w="240" w:type="dxa"/>
            <w:vAlign w:val="bottom"/>
            <w:tcBorders>
              <w:bottom w:val="single" w:sz="8" w:color="00467D"/>
            </w:tcBorders>
          </w:tcPr>
          <w:p>
            <w:pPr>
              <w:spacing w:after="0"/>
              <w:rPr>
                <w:sz w:val="24"/>
                <w:szCs w:val="24"/>
                <w:color w:val="auto"/>
              </w:rPr>
            </w:pPr>
          </w:p>
        </w:tc>
        <w:tc>
          <w:tcPr>
            <w:tcW w:w="1100" w:type="dxa"/>
            <w:vAlign w:val="bottom"/>
            <w:tcBorders>
              <w:bottom w:val="single" w:sz="8" w:color="00467D"/>
            </w:tcBorders>
          </w:tcPr>
          <w:p>
            <w:pPr>
              <w:spacing w:after="0"/>
              <w:rPr>
                <w:sz w:val="24"/>
                <w:szCs w:val="24"/>
                <w:color w:val="auto"/>
              </w:rPr>
            </w:pPr>
          </w:p>
        </w:tc>
        <w:tc>
          <w:tcPr>
            <w:tcW w:w="1420" w:type="dxa"/>
            <w:vAlign w:val="bottom"/>
            <w:tcBorders>
              <w:bottom w:val="single" w:sz="8" w:color="00467D"/>
            </w:tcBorders>
          </w:tcPr>
          <w:p>
            <w:pPr>
              <w:spacing w:after="0"/>
              <w:rPr>
                <w:sz w:val="24"/>
                <w:szCs w:val="24"/>
                <w:color w:val="auto"/>
              </w:rPr>
            </w:pPr>
          </w:p>
        </w:tc>
        <w:tc>
          <w:tcPr>
            <w:tcW w:w="200" w:type="dxa"/>
            <w:vAlign w:val="bottom"/>
            <w:tcBorders>
              <w:bottom w:val="single" w:sz="8" w:color="00467D"/>
            </w:tcBorders>
          </w:tcPr>
          <w:p>
            <w:pPr>
              <w:spacing w:after="0"/>
              <w:rPr>
                <w:sz w:val="24"/>
                <w:szCs w:val="24"/>
                <w:color w:val="auto"/>
              </w:rPr>
            </w:pPr>
          </w:p>
        </w:tc>
        <w:tc>
          <w:tcPr>
            <w:tcW w:w="1200" w:type="dxa"/>
            <w:vAlign w:val="bottom"/>
            <w:tcBorders>
              <w:bottom w:val="single" w:sz="8" w:color="00467D"/>
            </w:tcBorders>
          </w:tcPr>
          <w:p>
            <w:pPr>
              <w:spacing w:after="0"/>
              <w:rPr>
                <w:sz w:val="24"/>
                <w:szCs w:val="24"/>
                <w:color w:val="auto"/>
              </w:rPr>
            </w:pPr>
          </w:p>
        </w:tc>
        <w:tc>
          <w:tcPr>
            <w:tcW w:w="1420" w:type="dxa"/>
            <w:vAlign w:val="bottom"/>
            <w:tcBorders>
              <w:bottom w:val="single" w:sz="8" w:color="00467D"/>
            </w:tcBorders>
          </w:tcPr>
          <w:p>
            <w:pPr>
              <w:spacing w:after="0"/>
              <w:rPr>
                <w:sz w:val="24"/>
                <w:szCs w:val="24"/>
                <w:color w:val="auto"/>
              </w:rPr>
            </w:pPr>
          </w:p>
        </w:tc>
        <w:tc>
          <w:tcPr>
            <w:tcW w:w="200" w:type="dxa"/>
            <w:vAlign w:val="bottom"/>
            <w:tcBorders>
              <w:bottom w:val="single" w:sz="8" w:color="00467D"/>
            </w:tcBorders>
          </w:tcPr>
          <w:p>
            <w:pPr>
              <w:spacing w:after="0"/>
              <w:rPr>
                <w:sz w:val="24"/>
                <w:szCs w:val="24"/>
                <w:color w:val="auto"/>
              </w:rPr>
            </w:pPr>
          </w:p>
        </w:tc>
        <w:tc>
          <w:tcPr>
            <w:tcW w:w="1000" w:type="dxa"/>
            <w:vAlign w:val="bottom"/>
            <w:tcBorders>
              <w:bottom w:val="single" w:sz="8" w:color="00467D"/>
            </w:tcBorders>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7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40" w:type="dxa"/>
            <w:vAlign w:val="bottom"/>
          </w:tcPr>
          <w:p>
            <w:pPr>
              <w:jc w:val="center"/>
              <w:ind w:right="180"/>
              <w:spacing w:after="0" w:line="159" w:lineRule="exact"/>
              <w:rPr>
                <w:sz w:val="20"/>
                <w:szCs w:val="20"/>
                <w:color w:val="auto"/>
              </w:rPr>
            </w:pPr>
            <w:r>
              <w:rPr>
                <w:rFonts w:ascii="Arial" w:cs="Arial" w:eastAsia="Arial" w:hAnsi="Arial"/>
                <w:sz w:val="15"/>
                <w:szCs w:val="15"/>
                <w:b w:val="1"/>
                <w:bCs w:val="1"/>
                <w:color w:val="00467D"/>
              </w:rPr>
              <w:t>Less: average</w:t>
            </w:r>
          </w:p>
        </w:tc>
        <w:tc>
          <w:tcPr>
            <w:tcW w:w="2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420" w:type="dxa"/>
            <w:vAlign w:val="bottom"/>
          </w:tcPr>
          <w:p>
            <w:pPr>
              <w:jc w:val="center"/>
              <w:spacing w:after="0" w:line="159" w:lineRule="exact"/>
              <w:rPr>
                <w:sz w:val="20"/>
                <w:szCs w:val="20"/>
                <w:color w:val="auto"/>
              </w:rPr>
            </w:pPr>
            <w:r>
              <w:rPr>
                <w:rFonts w:ascii="Arial" w:cs="Arial" w:eastAsia="Arial" w:hAnsi="Arial"/>
                <w:sz w:val="15"/>
                <w:szCs w:val="15"/>
                <w:b w:val="1"/>
                <w:bCs w:val="1"/>
                <w:color w:val="00467D"/>
              </w:rPr>
              <w:t>Average</w:t>
            </w:r>
          </w:p>
        </w:tc>
        <w:tc>
          <w:tcPr>
            <w:tcW w:w="200" w:type="dxa"/>
            <w:vAlign w:val="bottom"/>
          </w:tcPr>
          <w:p>
            <w:pPr>
              <w:spacing w:after="0"/>
              <w:rPr>
                <w:sz w:val="13"/>
                <w:szCs w:val="13"/>
                <w:color w:val="auto"/>
              </w:rPr>
            </w:pPr>
          </w:p>
        </w:tc>
        <w:tc>
          <w:tcPr>
            <w:tcW w:w="1200" w:type="dxa"/>
            <w:vAlign w:val="bottom"/>
          </w:tcPr>
          <w:p>
            <w:pPr>
              <w:jc w:val="center"/>
              <w:ind w:right="199"/>
              <w:spacing w:after="0" w:line="159" w:lineRule="exact"/>
              <w:rPr>
                <w:sz w:val="20"/>
                <w:szCs w:val="20"/>
                <w:color w:val="auto"/>
              </w:rPr>
            </w:pPr>
            <w:r>
              <w:rPr>
                <w:rFonts w:ascii="Arial" w:cs="Arial" w:eastAsia="Arial" w:hAnsi="Arial"/>
                <w:sz w:val="15"/>
                <w:szCs w:val="15"/>
                <w:b w:val="1"/>
                <w:bCs w:val="1"/>
                <w:color w:val="00467D"/>
              </w:rPr>
              <w:t>Average</w:t>
            </w:r>
          </w:p>
        </w:tc>
        <w:tc>
          <w:tcPr>
            <w:tcW w:w="1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7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560" w:type="dxa"/>
            <w:vAlign w:val="bottom"/>
            <w:gridSpan w:val="2"/>
          </w:tcPr>
          <w:p>
            <w:pPr>
              <w:jc w:val="center"/>
              <w:spacing w:after="0"/>
              <w:rPr>
                <w:sz w:val="20"/>
                <w:szCs w:val="20"/>
                <w:color w:val="auto"/>
              </w:rPr>
            </w:pPr>
            <w:r>
              <w:rPr>
                <w:rFonts w:ascii="Arial" w:cs="Arial" w:eastAsia="Arial" w:hAnsi="Arial"/>
                <w:sz w:val="15"/>
                <w:szCs w:val="15"/>
                <w:b w:val="1"/>
                <w:bCs w:val="1"/>
                <w:color w:val="00467D"/>
              </w:rPr>
              <w:t>stock award and</w:t>
            </w: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20" w:type="dxa"/>
            <w:vAlign w:val="bottom"/>
          </w:tcPr>
          <w:p>
            <w:pPr>
              <w:jc w:val="center"/>
              <w:spacing w:after="0"/>
              <w:rPr>
                <w:sz w:val="20"/>
                <w:szCs w:val="20"/>
                <w:color w:val="auto"/>
              </w:rPr>
            </w:pPr>
            <w:r>
              <w:rPr>
                <w:rFonts w:ascii="Arial" w:cs="Arial" w:eastAsia="Arial" w:hAnsi="Arial"/>
                <w:sz w:val="15"/>
                <w:szCs w:val="15"/>
                <w:b w:val="1"/>
                <w:bCs w:val="1"/>
                <w:color w:val="00467D"/>
              </w:rPr>
              <w:t>change in fair</w:t>
            </w:r>
          </w:p>
        </w:tc>
        <w:tc>
          <w:tcPr>
            <w:tcW w:w="1400" w:type="dxa"/>
            <w:vAlign w:val="bottom"/>
            <w:gridSpan w:val="2"/>
          </w:tcPr>
          <w:p>
            <w:pPr>
              <w:jc w:val="center"/>
              <w:spacing w:after="0"/>
              <w:rPr>
                <w:sz w:val="20"/>
                <w:szCs w:val="20"/>
                <w:color w:val="auto"/>
              </w:rPr>
            </w:pPr>
            <w:r>
              <w:rPr>
                <w:rFonts w:ascii="Arial" w:cs="Arial" w:eastAsia="Arial" w:hAnsi="Arial"/>
                <w:sz w:val="15"/>
                <w:szCs w:val="15"/>
                <w:b w:val="1"/>
                <w:bCs w:val="1"/>
                <w:color w:val="00467D"/>
              </w:rPr>
              <w:t>change in fair</w:t>
            </w:r>
          </w:p>
        </w:tc>
        <w:tc>
          <w:tcPr>
            <w:tcW w:w="1420" w:type="dxa"/>
            <w:vAlign w:val="bottom"/>
          </w:tcPr>
          <w:p>
            <w:pPr>
              <w:jc w:val="center"/>
              <w:spacing w:after="0"/>
              <w:rPr>
                <w:sz w:val="20"/>
                <w:szCs w:val="20"/>
                <w:color w:val="auto"/>
              </w:rPr>
            </w:pPr>
            <w:r>
              <w:rPr>
                <w:rFonts w:ascii="Arial" w:cs="Arial" w:eastAsia="Arial" w:hAnsi="Arial"/>
                <w:sz w:val="15"/>
                <w:szCs w:val="15"/>
                <w:b w:val="1"/>
                <w:bCs w:val="1"/>
                <w:color w:val="00467D"/>
              </w:rPr>
              <w:t>Less: average</w:t>
            </w: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7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jc w:val="center"/>
              <w:ind w:right="180"/>
              <w:spacing w:after="0"/>
              <w:rPr>
                <w:sz w:val="20"/>
                <w:szCs w:val="20"/>
                <w:color w:val="auto"/>
              </w:rPr>
            </w:pPr>
            <w:r>
              <w:rPr>
                <w:rFonts w:ascii="Arial" w:cs="Arial" w:eastAsia="Arial" w:hAnsi="Arial"/>
                <w:sz w:val="15"/>
                <w:szCs w:val="15"/>
                <w:b w:val="1"/>
                <w:bCs w:val="1"/>
                <w:color w:val="00467D"/>
              </w:rPr>
              <w:t>option award</w:t>
            </w:r>
          </w:p>
        </w:tc>
        <w:tc>
          <w:tcPr>
            <w:tcW w:w="1340" w:type="dxa"/>
            <w:vAlign w:val="bottom"/>
            <w:gridSpan w:val="2"/>
          </w:tcPr>
          <w:p>
            <w:pPr>
              <w:jc w:val="center"/>
              <w:spacing w:after="0"/>
              <w:rPr>
                <w:sz w:val="20"/>
                <w:szCs w:val="20"/>
                <w:color w:val="auto"/>
              </w:rPr>
            </w:pPr>
            <w:r>
              <w:rPr>
                <w:rFonts w:ascii="Arial" w:cs="Arial" w:eastAsia="Arial" w:hAnsi="Arial"/>
                <w:sz w:val="15"/>
                <w:szCs w:val="15"/>
                <w:b w:val="1"/>
                <w:bCs w:val="1"/>
                <w:color w:val="00467D"/>
              </w:rPr>
              <w:t>Plus: average</w:t>
            </w:r>
          </w:p>
        </w:tc>
        <w:tc>
          <w:tcPr>
            <w:tcW w:w="1420" w:type="dxa"/>
            <w:vAlign w:val="bottom"/>
          </w:tcPr>
          <w:p>
            <w:pPr>
              <w:jc w:val="center"/>
              <w:spacing w:after="0"/>
              <w:rPr>
                <w:sz w:val="20"/>
                <w:szCs w:val="20"/>
                <w:color w:val="auto"/>
              </w:rPr>
            </w:pPr>
            <w:r>
              <w:rPr>
                <w:rFonts w:ascii="Arial" w:cs="Arial" w:eastAsia="Arial" w:hAnsi="Arial"/>
                <w:sz w:val="15"/>
                <w:szCs w:val="15"/>
                <w:b w:val="1"/>
                <w:bCs w:val="1"/>
                <w:color w:val="00467D"/>
              </w:rPr>
              <w:t>value of</w:t>
            </w:r>
          </w:p>
        </w:tc>
        <w:tc>
          <w:tcPr>
            <w:tcW w:w="1400" w:type="dxa"/>
            <w:vAlign w:val="bottom"/>
            <w:gridSpan w:val="2"/>
          </w:tcPr>
          <w:p>
            <w:pPr>
              <w:jc w:val="center"/>
              <w:spacing w:after="0"/>
              <w:rPr>
                <w:sz w:val="20"/>
                <w:szCs w:val="20"/>
                <w:color w:val="auto"/>
              </w:rPr>
            </w:pPr>
            <w:r>
              <w:rPr>
                <w:rFonts w:ascii="Arial" w:cs="Arial" w:eastAsia="Arial" w:hAnsi="Arial"/>
                <w:sz w:val="15"/>
                <w:szCs w:val="15"/>
                <w:b w:val="1"/>
                <w:bCs w:val="1"/>
                <w:color w:val="00467D"/>
              </w:rPr>
              <w:t>value of stock</w:t>
            </w:r>
          </w:p>
        </w:tc>
        <w:tc>
          <w:tcPr>
            <w:tcW w:w="1420" w:type="dxa"/>
            <w:vAlign w:val="bottom"/>
          </w:tcPr>
          <w:p>
            <w:pPr>
              <w:jc w:val="center"/>
              <w:spacing w:after="0"/>
              <w:rPr>
                <w:sz w:val="20"/>
                <w:szCs w:val="20"/>
                <w:color w:val="auto"/>
              </w:rPr>
            </w:pPr>
            <w:r>
              <w:rPr>
                <w:rFonts w:ascii="Arial" w:cs="Arial" w:eastAsia="Arial" w:hAnsi="Arial"/>
                <w:sz w:val="15"/>
                <w:szCs w:val="15"/>
                <w:b w:val="1"/>
                <w:bCs w:val="1"/>
                <w:color w:val="00467D"/>
              </w:rPr>
              <w:t>fair value of</w:t>
            </w: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720" w:type="dxa"/>
            <w:vAlign w:val="bottom"/>
          </w:tcPr>
          <w:p>
            <w:pPr>
              <w:spacing w:after="0"/>
              <w:rPr>
                <w:sz w:val="15"/>
                <w:szCs w:val="15"/>
                <w:color w:val="auto"/>
              </w:rPr>
            </w:pPr>
          </w:p>
        </w:tc>
        <w:tc>
          <w:tcPr>
            <w:tcW w:w="1480" w:type="dxa"/>
            <w:vAlign w:val="bottom"/>
          </w:tcPr>
          <w:p>
            <w:pPr>
              <w:jc w:val="center"/>
              <w:ind w:left="79"/>
              <w:spacing w:after="0"/>
              <w:rPr>
                <w:sz w:val="20"/>
                <w:szCs w:val="20"/>
                <w:color w:val="auto"/>
              </w:rPr>
            </w:pPr>
            <w:r>
              <w:rPr>
                <w:rFonts w:ascii="Arial" w:cs="Arial" w:eastAsia="Arial" w:hAnsi="Arial"/>
                <w:sz w:val="15"/>
                <w:szCs w:val="15"/>
                <w:b w:val="1"/>
                <w:bCs w:val="1"/>
                <w:color w:val="00467D"/>
              </w:rPr>
              <w:t>Average</w:t>
            </w:r>
          </w:p>
        </w:tc>
        <w:tc>
          <w:tcPr>
            <w:tcW w:w="1560" w:type="dxa"/>
            <w:vAlign w:val="bottom"/>
            <w:gridSpan w:val="2"/>
          </w:tcPr>
          <w:p>
            <w:pPr>
              <w:jc w:val="center"/>
              <w:spacing w:after="0"/>
              <w:rPr>
                <w:sz w:val="20"/>
                <w:szCs w:val="20"/>
                <w:color w:val="auto"/>
              </w:rPr>
            </w:pPr>
            <w:r>
              <w:rPr>
                <w:rFonts w:ascii="Arial" w:cs="Arial" w:eastAsia="Arial" w:hAnsi="Arial"/>
                <w:sz w:val="15"/>
                <w:szCs w:val="15"/>
                <w:b w:val="1"/>
                <w:bCs w:val="1"/>
                <w:color w:val="00467D"/>
              </w:rPr>
              <w:t>values reported</w:t>
            </w:r>
          </w:p>
        </w:tc>
        <w:tc>
          <w:tcPr>
            <w:tcW w:w="1340" w:type="dxa"/>
            <w:vAlign w:val="bottom"/>
            <w:gridSpan w:val="2"/>
          </w:tcPr>
          <w:p>
            <w:pPr>
              <w:jc w:val="center"/>
              <w:spacing w:after="0"/>
              <w:rPr>
                <w:sz w:val="20"/>
                <w:szCs w:val="20"/>
                <w:color w:val="auto"/>
              </w:rPr>
            </w:pPr>
            <w:r>
              <w:rPr>
                <w:rFonts w:ascii="Arial" w:cs="Arial" w:eastAsia="Arial" w:hAnsi="Arial"/>
                <w:sz w:val="15"/>
                <w:szCs w:val="15"/>
                <w:b w:val="1"/>
                <w:bCs w:val="1"/>
                <w:color w:val="00467D"/>
              </w:rPr>
              <w:t>fair value for</w:t>
            </w:r>
          </w:p>
        </w:tc>
        <w:tc>
          <w:tcPr>
            <w:tcW w:w="1420" w:type="dxa"/>
            <w:vAlign w:val="bottom"/>
          </w:tcPr>
          <w:p>
            <w:pPr>
              <w:jc w:val="center"/>
              <w:spacing w:after="0"/>
              <w:rPr>
                <w:sz w:val="20"/>
                <w:szCs w:val="20"/>
                <w:color w:val="auto"/>
              </w:rPr>
            </w:pPr>
            <w:r>
              <w:rPr>
                <w:rFonts w:ascii="Arial" w:cs="Arial" w:eastAsia="Arial" w:hAnsi="Arial"/>
                <w:sz w:val="15"/>
                <w:szCs w:val="15"/>
                <w:b w:val="1"/>
                <w:bCs w:val="1"/>
                <w:color w:val="00467D"/>
              </w:rPr>
              <w:t>outstanding</w:t>
            </w:r>
          </w:p>
        </w:tc>
        <w:tc>
          <w:tcPr>
            <w:tcW w:w="200" w:type="dxa"/>
            <w:vAlign w:val="bottom"/>
          </w:tcPr>
          <w:p>
            <w:pPr>
              <w:spacing w:after="0"/>
              <w:rPr>
                <w:sz w:val="15"/>
                <w:szCs w:val="15"/>
                <w:color w:val="auto"/>
              </w:rPr>
            </w:pPr>
          </w:p>
        </w:tc>
        <w:tc>
          <w:tcPr>
            <w:tcW w:w="1200" w:type="dxa"/>
            <w:vAlign w:val="bottom"/>
          </w:tcPr>
          <w:p>
            <w:pPr>
              <w:jc w:val="center"/>
              <w:ind w:right="179"/>
              <w:spacing w:after="0"/>
              <w:rPr>
                <w:sz w:val="20"/>
                <w:szCs w:val="20"/>
                <w:color w:val="auto"/>
              </w:rPr>
            </w:pPr>
            <w:r>
              <w:rPr>
                <w:rFonts w:ascii="Arial" w:cs="Arial" w:eastAsia="Arial" w:hAnsi="Arial"/>
                <w:sz w:val="15"/>
                <w:szCs w:val="15"/>
                <w:b w:val="1"/>
                <w:bCs w:val="1"/>
                <w:color w:val="00467D"/>
              </w:rPr>
              <w:t>and option</w:t>
            </w:r>
          </w:p>
        </w:tc>
        <w:tc>
          <w:tcPr>
            <w:tcW w:w="1420" w:type="dxa"/>
            <w:vAlign w:val="bottom"/>
          </w:tcPr>
          <w:p>
            <w:pPr>
              <w:jc w:val="center"/>
              <w:spacing w:after="0"/>
              <w:rPr>
                <w:sz w:val="20"/>
                <w:szCs w:val="20"/>
                <w:color w:val="auto"/>
              </w:rPr>
            </w:pPr>
            <w:r>
              <w:rPr>
                <w:rFonts w:ascii="Arial" w:cs="Arial" w:eastAsia="Arial" w:hAnsi="Arial"/>
                <w:sz w:val="15"/>
                <w:szCs w:val="15"/>
                <w:b w:val="1"/>
                <w:bCs w:val="1"/>
                <w:color w:val="00467D"/>
              </w:rPr>
              <w:t>stock and</w:t>
            </w: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720" w:type="dxa"/>
            <w:vAlign w:val="bottom"/>
          </w:tcPr>
          <w:p>
            <w:pPr>
              <w:spacing w:after="0"/>
              <w:rPr>
                <w:sz w:val="15"/>
                <w:szCs w:val="15"/>
                <w:color w:val="auto"/>
              </w:rPr>
            </w:pPr>
          </w:p>
        </w:tc>
        <w:tc>
          <w:tcPr>
            <w:tcW w:w="1480" w:type="dxa"/>
            <w:vAlign w:val="bottom"/>
          </w:tcPr>
          <w:p>
            <w:pPr>
              <w:jc w:val="center"/>
              <w:ind w:left="59"/>
              <w:spacing w:after="0"/>
              <w:rPr>
                <w:sz w:val="20"/>
                <w:szCs w:val="20"/>
                <w:color w:val="auto"/>
              </w:rPr>
            </w:pPr>
            <w:r>
              <w:rPr>
                <w:rFonts w:ascii="Arial" w:cs="Arial" w:eastAsia="Arial" w:hAnsi="Arial"/>
                <w:sz w:val="15"/>
                <w:szCs w:val="15"/>
                <w:b w:val="1"/>
                <w:bCs w:val="1"/>
                <w:color w:val="00467D"/>
              </w:rPr>
              <w:t>Summary</w:t>
            </w:r>
          </w:p>
        </w:tc>
        <w:tc>
          <w:tcPr>
            <w:tcW w:w="220" w:type="dxa"/>
            <w:vAlign w:val="bottom"/>
          </w:tcPr>
          <w:p>
            <w:pPr>
              <w:spacing w:after="0"/>
              <w:rPr>
                <w:sz w:val="15"/>
                <w:szCs w:val="15"/>
                <w:color w:val="auto"/>
              </w:rPr>
            </w:pPr>
          </w:p>
        </w:tc>
        <w:tc>
          <w:tcPr>
            <w:tcW w:w="1340" w:type="dxa"/>
            <w:vAlign w:val="bottom"/>
          </w:tcPr>
          <w:p>
            <w:pPr>
              <w:jc w:val="center"/>
              <w:ind w:right="180"/>
              <w:spacing w:after="0"/>
              <w:rPr>
                <w:sz w:val="20"/>
                <w:szCs w:val="20"/>
                <w:color w:val="auto"/>
              </w:rPr>
            </w:pPr>
            <w:r>
              <w:rPr>
                <w:rFonts w:ascii="Arial" w:cs="Arial" w:eastAsia="Arial" w:hAnsi="Arial"/>
                <w:sz w:val="15"/>
                <w:szCs w:val="15"/>
                <w:b w:val="1"/>
                <w:bCs w:val="1"/>
                <w:color w:val="00467D"/>
              </w:rPr>
              <w:t>in Summary</w:t>
            </w:r>
          </w:p>
        </w:tc>
        <w:tc>
          <w:tcPr>
            <w:tcW w:w="240" w:type="dxa"/>
            <w:vAlign w:val="bottom"/>
          </w:tcPr>
          <w:p>
            <w:pPr>
              <w:spacing w:after="0"/>
              <w:rPr>
                <w:sz w:val="15"/>
                <w:szCs w:val="15"/>
                <w:color w:val="auto"/>
              </w:rPr>
            </w:pPr>
          </w:p>
        </w:tc>
        <w:tc>
          <w:tcPr>
            <w:tcW w:w="1100" w:type="dxa"/>
            <w:vAlign w:val="bottom"/>
          </w:tcPr>
          <w:p>
            <w:pPr>
              <w:jc w:val="center"/>
              <w:ind w:right="175"/>
              <w:spacing w:after="0"/>
              <w:rPr>
                <w:sz w:val="20"/>
                <w:szCs w:val="20"/>
                <w:color w:val="auto"/>
              </w:rPr>
            </w:pPr>
            <w:r>
              <w:rPr>
                <w:rFonts w:ascii="Arial" w:cs="Arial" w:eastAsia="Arial" w:hAnsi="Arial"/>
                <w:sz w:val="15"/>
                <w:szCs w:val="15"/>
                <w:b w:val="1"/>
                <w:bCs w:val="1"/>
                <w:color w:val="00467D"/>
              </w:rPr>
              <w:t>stock and</w:t>
            </w:r>
          </w:p>
        </w:tc>
        <w:tc>
          <w:tcPr>
            <w:tcW w:w="1420" w:type="dxa"/>
            <w:vAlign w:val="bottom"/>
          </w:tcPr>
          <w:p>
            <w:pPr>
              <w:jc w:val="center"/>
              <w:spacing w:after="0"/>
              <w:rPr>
                <w:sz w:val="20"/>
                <w:szCs w:val="20"/>
                <w:color w:val="auto"/>
              </w:rPr>
            </w:pPr>
            <w:r>
              <w:rPr>
                <w:rFonts w:ascii="Arial" w:cs="Arial" w:eastAsia="Arial" w:hAnsi="Arial"/>
                <w:sz w:val="15"/>
                <w:szCs w:val="15"/>
                <w:b w:val="1"/>
                <w:bCs w:val="1"/>
                <w:color w:val="00467D"/>
              </w:rPr>
              <w:t>unvested stock</w:t>
            </w:r>
          </w:p>
        </w:tc>
        <w:tc>
          <w:tcPr>
            <w:tcW w:w="200" w:type="dxa"/>
            <w:vAlign w:val="bottom"/>
          </w:tcPr>
          <w:p>
            <w:pPr>
              <w:spacing w:after="0"/>
              <w:rPr>
                <w:sz w:val="15"/>
                <w:szCs w:val="15"/>
                <w:color w:val="auto"/>
              </w:rPr>
            </w:pPr>
          </w:p>
        </w:tc>
        <w:tc>
          <w:tcPr>
            <w:tcW w:w="1200" w:type="dxa"/>
            <w:vAlign w:val="bottom"/>
          </w:tcPr>
          <w:p>
            <w:pPr>
              <w:jc w:val="center"/>
              <w:ind w:right="199"/>
              <w:spacing w:after="0"/>
              <w:rPr>
                <w:sz w:val="20"/>
                <w:szCs w:val="20"/>
                <w:color w:val="auto"/>
              </w:rPr>
            </w:pPr>
            <w:r>
              <w:rPr>
                <w:rFonts w:ascii="Arial" w:cs="Arial" w:eastAsia="Arial" w:hAnsi="Arial"/>
                <w:sz w:val="15"/>
                <w:szCs w:val="15"/>
                <w:b w:val="1"/>
                <w:bCs w:val="1"/>
                <w:color w:val="00467D"/>
              </w:rPr>
              <w:t>awards from</w:t>
            </w:r>
          </w:p>
        </w:tc>
        <w:tc>
          <w:tcPr>
            <w:tcW w:w="1420" w:type="dxa"/>
            <w:vAlign w:val="bottom"/>
          </w:tcPr>
          <w:p>
            <w:pPr>
              <w:jc w:val="center"/>
              <w:spacing w:after="0"/>
              <w:rPr>
                <w:sz w:val="20"/>
                <w:szCs w:val="20"/>
                <w:color w:val="auto"/>
              </w:rPr>
            </w:pPr>
            <w:r>
              <w:rPr>
                <w:rFonts w:ascii="Arial" w:cs="Arial" w:eastAsia="Arial" w:hAnsi="Arial"/>
                <w:sz w:val="15"/>
                <w:szCs w:val="15"/>
                <w:b w:val="1"/>
                <w:bCs w:val="1"/>
                <w:color w:val="00467D"/>
              </w:rPr>
              <w:t>option awards</w:t>
            </w: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720" w:type="dxa"/>
            <w:vAlign w:val="bottom"/>
          </w:tcPr>
          <w:p>
            <w:pPr>
              <w:spacing w:after="0"/>
              <w:rPr>
                <w:sz w:val="15"/>
                <w:szCs w:val="15"/>
                <w:color w:val="auto"/>
              </w:rPr>
            </w:pPr>
          </w:p>
        </w:tc>
        <w:tc>
          <w:tcPr>
            <w:tcW w:w="1480" w:type="dxa"/>
            <w:vAlign w:val="bottom"/>
          </w:tcPr>
          <w:p>
            <w:pPr>
              <w:jc w:val="center"/>
              <w:ind w:left="79"/>
              <w:spacing w:after="0"/>
              <w:rPr>
                <w:sz w:val="20"/>
                <w:szCs w:val="20"/>
                <w:color w:val="auto"/>
              </w:rPr>
            </w:pPr>
            <w:r>
              <w:rPr>
                <w:rFonts w:ascii="Arial" w:cs="Arial" w:eastAsia="Arial" w:hAnsi="Arial"/>
                <w:sz w:val="15"/>
                <w:szCs w:val="15"/>
                <w:b w:val="1"/>
                <w:bCs w:val="1"/>
                <w:color w:val="00467D"/>
              </w:rPr>
              <w:t>Compensation</w:t>
            </w:r>
          </w:p>
        </w:tc>
        <w:tc>
          <w:tcPr>
            <w:tcW w:w="220" w:type="dxa"/>
            <w:vAlign w:val="bottom"/>
          </w:tcPr>
          <w:p>
            <w:pPr>
              <w:spacing w:after="0"/>
              <w:rPr>
                <w:sz w:val="15"/>
                <w:szCs w:val="15"/>
                <w:color w:val="auto"/>
              </w:rPr>
            </w:pPr>
          </w:p>
        </w:tc>
        <w:tc>
          <w:tcPr>
            <w:tcW w:w="1340" w:type="dxa"/>
            <w:vAlign w:val="bottom"/>
          </w:tcPr>
          <w:p>
            <w:pPr>
              <w:jc w:val="center"/>
              <w:ind w:right="180"/>
              <w:spacing w:after="0"/>
              <w:rPr>
                <w:sz w:val="20"/>
                <w:szCs w:val="20"/>
                <w:color w:val="auto"/>
              </w:rPr>
            </w:pPr>
            <w:r>
              <w:rPr>
                <w:rFonts w:ascii="Arial" w:cs="Arial" w:eastAsia="Arial" w:hAnsi="Arial"/>
                <w:sz w:val="15"/>
                <w:szCs w:val="15"/>
                <w:b w:val="1"/>
                <w:bCs w:val="1"/>
                <w:color w:val="00467D"/>
              </w:rPr>
              <w:t>Compensation</w:t>
            </w:r>
          </w:p>
        </w:tc>
        <w:tc>
          <w:tcPr>
            <w:tcW w:w="1340" w:type="dxa"/>
            <w:vAlign w:val="bottom"/>
            <w:gridSpan w:val="2"/>
          </w:tcPr>
          <w:p>
            <w:pPr>
              <w:jc w:val="center"/>
              <w:spacing w:after="0"/>
              <w:rPr>
                <w:sz w:val="20"/>
                <w:szCs w:val="20"/>
                <w:color w:val="auto"/>
              </w:rPr>
            </w:pPr>
            <w:r>
              <w:rPr>
                <w:rFonts w:ascii="Arial" w:cs="Arial" w:eastAsia="Arial" w:hAnsi="Arial"/>
                <w:sz w:val="15"/>
                <w:szCs w:val="15"/>
                <w:b w:val="1"/>
                <w:bCs w:val="1"/>
                <w:color w:val="00467D"/>
              </w:rPr>
              <w:t>option awards</w:t>
            </w:r>
          </w:p>
        </w:tc>
        <w:tc>
          <w:tcPr>
            <w:tcW w:w="1420" w:type="dxa"/>
            <w:vAlign w:val="bottom"/>
          </w:tcPr>
          <w:p>
            <w:pPr>
              <w:jc w:val="center"/>
              <w:spacing w:after="0"/>
              <w:rPr>
                <w:sz w:val="20"/>
                <w:szCs w:val="20"/>
                <w:color w:val="auto"/>
              </w:rPr>
            </w:pPr>
            <w:r>
              <w:rPr>
                <w:rFonts w:ascii="Arial" w:cs="Arial" w:eastAsia="Arial" w:hAnsi="Arial"/>
                <w:sz w:val="15"/>
                <w:szCs w:val="15"/>
                <w:b w:val="1"/>
                <w:bCs w:val="1"/>
                <w:color w:val="00467D"/>
              </w:rPr>
              <w:t>and option</w:t>
            </w:r>
          </w:p>
        </w:tc>
        <w:tc>
          <w:tcPr>
            <w:tcW w:w="1400" w:type="dxa"/>
            <w:vAlign w:val="bottom"/>
            <w:gridSpan w:val="2"/>
          </w:tcPr>
          <w:p>
            <w:pPr>
              <w:jc w:val="center"/>
              <w:spacing w:after="0"/>
              <w:rPr>
                <w:sz w:val="20"/>
                <w:szCs w:val="20"/>
                <w:color w:val="auto"/>
              </w:rPr>
            </w:pPr>
            <w:r>
              <w:rPr>
                <w:rFonts w:ascii="Arial" w:cs="Arial" w:eastAsia="Arial" w:hAnsi="Arial"/>
                <w:sz w:val="15"/>
                <w:szCs w:val="15"/>
                <w:b w:val="1"/>
                <w:bCs w:val="1"/>
                <w:color w:val="00467D"/>
              </w:rPr>
              <w:t>prior years that</w:t>
            </w:r>
          </w:p>
        </w:tc>
        <w:tc>
          <w:tcPr>
            <w:tcW w:w="1420" w:type="dxa"/>
            <w:vAlign w:val="bottom"/>
          </w:tcPr>
          <w:p>
            <w:pPr>
              <w:jc w:val="center"/>
              <w:spacing w:after="0"/>
              <w:rPr>
                <w:sz w:val="20"/>
                <w:szCs w:val="20"/>
                <w:color w:val="auto"/>
              </w:rPr>
            </w:pPr>
            <w:r>
              <w:rPr>
                <w:rFonts w:ascii="Arial" w:cs="Arial" w:eastAsia="Arial" w:hAnsi="Arial"/>
                <w:sz w:val="15"/>
                <w:szCs w:val="15"/>
                <w:b w:val="1"/>
                <w:bCs w:val="1"/>
                <w:color w:val="00467D"/>
              </w:rPr>
              <w:t>forfeited during</w:t>
            </w:r>
          </w:p>
        </w:tc>
        <w:tc>
          <w:tcPr>
            <w:tcW w:w="200" w:type="dxa"/>
            <w:vAlign w:val="bottom"/>
          </w:tcPr>
          <w:p>
            <w:pPr>
              <w:spacing w:after="0"/>
              <w:rPr>
                <w:sz w:val="15"/>
                <w:szCs w:val="15"/>
                <w:color w:val="auto"/>
              </w:rPr>
            </w:pPr>
          </w:p>
        </w:tc>
        <w:tc>
          <w:tcPr>
            <w:tcW w:w="1000" w:type="dxa"/>
            <w:vAlign w:val="bottom"/>
            <w:vMerge w:val="restart"/>
          </w:tcPr>
          <w:p>
            <w:pPr>
              <w:ind w:left="40"/>
              <w:spacing w:after="0"/>
              <w:rPr>
                <w:sz w:val="20"/>
                <w:szCs w:val="20"/>
                <w:color w:val="auto"/>
              </w:rPr>
            </w:pPr>
            <w:r>
              <w:rPr>
                <w:rFonts w:ascii="Arial" w:cs="Arial" w:eastAsia="Arial" w:hAnsi="Arial"/>
                <w:sz w:val="15"/>
                <w:szCs w:val="15"/>
                <w:b w:val="1"/>
                <w:bCs w:val="1"/>
                <w:color w:val="00467D"/>
              </w:rPr>
              <w:t>Non-CEO</w:t>
            </w:r>
          </w:p>
        </w:tc>
        <w:tc>
          <w:tcPr>
            <w:tcW w:w="0" w:type="dxa"/>
            <w:vAlign w:val="bottom"/>
          </w:tcPr>
          <w:p>
            <w:pPr>
              <w:spacing w:after="0"/>
              <w:rPr>
                <w:sz w:val="1"/>
                <w:szCs w:val="1"/>
                <w:color w:val="auto"/>
              </w:rPr>
            </w:pPr>
          </w:p>
        </w:tc>
      </w:tr>
      <w:tr>
        <w:trPr>
          <w:trHeight w:val="168"/>
        </w:trPr>
        <w:tc>
          <w:tcPr>
            <w:tcW w:w="720" w:type="dxa"/>
            <w:vAlign w:val="bottom"/>
          </w:tcPr>
          <w:p>
            <w:pPr>
              <w:spacing w:after="0"/>
              <w:rPr>
                <w:sz w:val="14"/>
                <w:szCs w:val="14"/>
                <w:color w:val="auto"/>
              </w:rPr>
            </w:pPr>
          </w:p>
        </w:tc>
        <w:tc>
          <w:tcPr>
            <w:tcW w:w="1480" w:type="dxa"/>
            <w:vAlign w:val="bottom"/>
          </w:tcPr>
          <w:p>
            <w:pPr>
              <w:jc w:val="center"/>
              <w:ind w:left="79"/>
              <w:spacing w:after="0" w:line="168" w:lineRule="exact"/>
              <w:rPr>
                <w:sz w:val="20"/>
                <w:szCs w:val="20"/>
                <w:color w:val="auto"/>
              </w:rPr>
            </w:pPr>
            <w:r>
              <w:rPr>
                <w:rFonts w:ascii="Arial" w:cs="Arial" w:eastAsia="Arial" w:hAnsi="Arial"/>
                <w:sz w:val="15"/>
                <w:szCs w:val="15"/>
                <w:b w:val="1"/>
                <w:bCs w:val="1"/>
                <w:color w:val="00467D"/>
              </w:rPr>
              <w:t>Table Total</w:t>
            </w:r>
          </w:p>
        </w:tc>
        <w:tc>
          <w:tcPr>
            <w:tcW w:w="220" w:type="dxa"/>
            <w:vAlign w:val="bottom"/>
          </w:tcPr>
          <w:p>
            <w:pPr>
              <w:spacing w:after="0"/>
              <w:rPr>
                <w:sz w:val="14"/>
                <w:szCs w:val="14"/>
                <w:color w:val="auto"/>
              </w:rPr>
            </w:pPr>
          </w:p>
        </w:tc>
        <w:tc>
          <w:tcPr>
            <w:tcW w:w="1340" w:type="dxa"/>
            <w:vAlign w:val="bottom"/>
          </w:tcPr>
          <w:p>
            <w:pPr>
              <w:jc w:val="center"/>
              <w:ind w:right="180"/>
              <w:spacing w:after="0" w:line="168" w:lineRule="exact"/>
              <w:rPr>
                <w:sz w:val="20"/>
                <w:szCs w:val="20"/>
                <w:color w:val="auto"/>
              </w:rPr>
            </w:pPr>
            <w:r>
              <w:rPr>
                <w:rFonts w:ascii="Arial" w:cs="Arial" w:eastAsia="Arial" w:hAnsi="Arial"/>
                <w:sz w:val="15"/>
                <w:szCs w:val="15"/>
                <w:b w:val="1"/>
                <w:bCs w:val="1"/>
                <w:color w:val="00467D"/>
              </w:rPr>
              <w:t>Table for the</w:t>
            </w:r>
          </w:p>
        </w:tc>
        <w:tc>
          <w:tcPr>
            <w:tcW w:w="1340" w:type="dxa"/>
            <w:vAlign w:val="bottom"/>
            <w:gridSpan w:val="2"/>
          </w:tcPr>
          <w:p>
            <w:pPr>
              <w:jc w:val="center"/>
              <w:spacing w:after="0" w:line="168" w:lineRule="exact"/>
              <w:rPr>
                <w:sz w:val="20"/>
                <w:szCs w:val="20"/>
                <w:color w:val="auto"/>
              </w:rPr>
            </w:pPr>
            <w:r>
              <w:rPr>
                <w:rFonts w:ascii="Arial" w:cs="Arial" w:eastAsia="Arial" w:hAnsi="Arial"/>
                <w:sz w:val="15"/>
                <w:szCs w:val="15"/>
                <w:b w:val="1"/>
                <w:bCs w:val="1"/>
                <w:color w:val="00467D"/>
              </w:rPr>
              <w:t>granted in the</w:t>
            </w:r>
          </w:p>
        </w:tc>
        <w:tc>
          <w:tcPr>
            <w:tcW w:w="1420" w:type="dxa"/>
            <w:vAlign w:val="bottom"/>
          </w:tcPr>
          <w:p>
            <w:pPr>
              <w:jc w:val="center"/>
              <w:spacing w:after="0" w:line="168" w:lineRule="exact"/>
              <w:rPr>
                <w:sz w:val="20"/>
                <w:szCs w:val="20"/>
                <w:color w:val="auto"/>
              </w:rPr>
            </w:pPr>
            <w:r>
              <w:rPr>
                <w:rFonts w:ascii="Arial" w:cs="Arial" w:eastAsia="Arial" w:hAnsi="Arial"/>
                <w:sz w:val="15"/>
                <w:szCs w:val="15"/>
                <w:b w:val="1"/>
                <w:bCs w:val="1"/>
                <w:color w:val="00467D"/>
              </w:rPr>
              <w:t>awards from</w:t>
            </w:r>
          </w:p>
        </w:tc>
        <w:tc>
          <w:tcPr>
            <w:tcW w:w="200" w:type="dxa"/>
            <w:vAlign w:val="bottom"/>
          </w:tcPr>
          <w:p>
            <w:pPr>
              <w:spacing w:after="0"/>
              <w:rPr>
                <w:sz w:val="14"/>
                <w:szCs w:val="14"/>
                <w:color w:val="auto"/>
              </w:rPr>
            </w:pPr>
          </w:p>
        </w:tc>
        <w:tc>
          <w:tcPr>
            <w:tcW w:w="1200" w:type="dxa"/>
            <w:vAlign w:val="bottom"/>
          </w:tcPr>
          <w:p>
            <w:pPr>
              <w:jc w:val="center"/>
              <w:ind w:right="179"/>
              <w:spacing w:after="0" w:line="168" w:lineRule="exact"/>
              <w:rPr>
                <w:sz w:val="20"/>
                <w:szCs w:val="20"/>
                <w:color w:val="auto"/>
              </w:rPr>
            </w:pPr>
            <w:r>
              <w:rPr>
                <w:rFonts w:ascii="Arial" w:cs="Arial" w:eastAsia="Arial" w:hAnsi="Arial"/>
                <w:sz w:val="15"/>
                <w:szCs w:val="15"/>
                <w:b w:val="1"/>
                <w:bCs w:val="1"/>
                <w:color w:val="00467D"/>
              </w:rPr>
              <w:t>vested in the</w:t>
            </w:r>
          </w:p>
        </w:tc>
        <w:tc>
          <w:tcPr>
            <w:tcW w:w="1420" w:type="dxa"/>
            <w:vAlign w:val="bottom"/>
          </w:tcPr>
          <w:p>
            <w:pPr>
              <w:jc w:val="center"/>
              <w:spacing w:after="0" w:line="168" w:lineRule="exact"/>
              <w:rPr>
                <w:sz w:val="20"/>
                <w:szCs w:val="20"/>
                <w:color w:val="auto"/>
              </w:rPr>
            </w:pPr>
            <w:r>
              <w:rPr>
                <w:rFonts w:ascii="Arial" w:cs="Arial" w:eastAsia="Arial" w:hAnsi="Arial"/>
                <w:sz w:val="15"/>
                <w:szCs w:val="15"/>
                <w:b w:val="1"/>
                <w:bCs w:val="1"/>
                <w:color w:val="00467D"/>
              </w:rPr>
              <w:t>the covered</w:t>
            </w:r>
          </w:p>
        </w:tc>
        <w:tc>
          <w:tcPr>
            <w:tcW w:w="20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720" w:type="dxa"/>
            <w:vAlign w:val="bottom"/>
            <w:tcBorders>
              <w:bottom w:val="single" w:sz="8" w:color="00467D"/>
            </w:tcBorders>
          </w:tcPr>
          <w:p>
            <w:pPr>
              <w:ind w:left="60"/>
              <w:spacing w:after="0"/>
              <w:rPr>
                <w:sz w:val="20"/>
                <w:szCs w:val="20"/>
                <w:color w:val="auto"/>
              </w:rPr>
            </w:pPr>
            <w:r>
              <w:rPr>
                <w:rFonts w:ascii="Arial" w:cs="Arial" w:eastAsia="Arial" w:hAnsi="Arial"/>
                <w:sz w:val="15"/>
                <w:szCs w:val="15"/>
                <w:b w:val="1"/>
                <w:bCs w:val="1"/>
                <w:color w:val="00467D"/>
              </w:rPr>
              <w:t>Year</w:t>
            </w:r>
          </w:p>
        </w:tc>
        <w:tc>
          <w:tcPr>
            <w:tcW w:w="1480" w:type="dxa"/>
            <w:vAlign w:val="bottom"/>
            <w:tcBorders>
              <w:bottom w:val="single" w:sz="8" w:color="00467D"/>
            </w:tcBorders>
          </w:tcPr>
          <w:p>
            <w:pPr>
              <w:jc w:val="center"/>
              <w:ind w:left="79"/>
              <w:spacing w:after="0"/>
              <w:rPr>
                <w:sz w:val="20"/>
                <w:szCs w:val="20"/>
                <w:color w:val="auto"/>
              </w:rPr>
            </w:pPr>
            <w:r>
              <w:rPr>
                <w:rFonts w:ascii="Arial" w:cs="Arial" w:eastAsia="Arial" w:hAnsi="Arial"/>
                <w:sz w:val="15"/>
                <w:szCs w:val="15"/>
                <w:b w:val="1"/>
                <w:bCs w:val="1"/>
                <w:color w:val="00467D"/>
              </w:rPr>
              <w:t>Compensation</w:t>
            </w:r>
          </w:p>
        </w:tc>
        <w:tc>
          <w:tcPr>
            <w:tcW w:w="220" w:type="dxa"/>
            <w:vAlign w:val="bottom"/>
            <w:tcBorders>
              <w:bottom w:val="single" w:sz="8" w:color="00467D"/>
            </w:tcBorders>
          </w:tcPr>
          <w:p>
            <w:pPr>
              <w:spacing w:after="0"/>
              <w:rPr>
                <w:sz w:val="18"/>
                <w:szCs w:val="18"/>
                <w:color w:val="auto"/>
              </w:rPr>
            </w:pPr>
          </w:p>
        </w:tc>
        <w:tc>
          <w:tcPr>
            <w:tcW w:w="1340" w:type="dxa"/>
            <w:vAlign w:val="bottom"/>
            <w:tcBorders>
              <w:bottom w:val="single" w:sz="8" w:color="00467D"/>
            </w:tcBorders>
          </w:tcPr>
          <w:p>
            <w:pPr>
              <w:jc w:val="center"/>
              <w:ind w:right="180"/>
              <w:spacing w:after="0"/>
              <w:rPr>
                <w:sz w:val="20"/>
                <w:szCs w:val="20"/>
                <w:color w:val="auto"/>
              </w:rPr>
            </w:pPr>
            <w:r>
              <w:rPr>
                <w:rFonts w:ascii="Arial" w:cs="Arial" w:eastAsia="Arial" w:hAnsi="Arial"/>
                <w:sz w:val="15"/>
                <w:szCs w:val="15"/>
                <w:b w:val="1"/>
                <w:bCs w:val="1"/>
                <w:color w:val="00467D"/>
              </w:rPr>
              <w:t>covered year</w:t>
            </w:r>
          </w:p>
        </w:tc>
        <w:tc>
          <w:tcPr>
            <w:tcW w:w="1340" w:type="dxa"/>
            <w:vAlign w:val="bottom"/>
            <w:tcBorders>
              <w:bottom w:val="single" w:sz="8" w:color="00467D"/>
            </w:tcBorders>
            <w:gridSpan w:val="2"/>
          </w:tcPr>
          <w:p>
            <w:pPr>
              <w:jc w:val="center"/>
              <w:spacing w:after="0"/>
              <w:rPr>
                <w:sz w:val="20"/>
                <w:szCs w:val="20"/>
                <w:color w:val="auto"/>
              </w:rPr>
            </w:pPr>
            <w:r>
              <w:rPr>
                <w:rFonts w:ascii="Arial" w:cs="Arial" w:eastAsia="Arial" w:hAnsi="Arial"/>
                <w:sz w:val="15"/>
                <w:szCs w:val="15"/>
                <w:b w:val="1"/>
                <w:bCs w:val="1"/>
                <w:color w:val="00467D"/>
              </w:rPr>
              <w:t>covered year</w:t>
            </w:r>
          </w:p>
        </w:tc>
        <w:tc>
          <w:tcPr>
            <w:tcW w:w="1420" w:type="dxa"/>
            <w:vAlign w:val="bottom"/>
            <w:tcBorders>
              <w:bottom w:val="single" w:sz="8" w:color="00467D"/>
            </w:tcBorders>
          </w:tcPr>
          <w:p>
            <w:pPr>
              <w:jc w:val="center"/>
              <w:spacing w:after="0"/>
              <w:rPr>
                <w:sz w:val="20"/>
                <w:szCs w:val="20"/>
                <w:color w:val="auto"/>
              </w:rPr>
            </w:pPr>
            <w:r>
              <w:rPr>
                <w:rFonts w:ascii="Arial" w:cs="Arial" w:eastAsia="Arial" w:hAnsi="Arial"/>
                <w:sz w:val="15"/>
                <w:szCs w:val="15"/>
                <w:b w:val="1"/>
                <w:bCs w:val="1"/>
                <w:color w:val="00467D"/>
              </w:rPr>
              <w:t>prior years</w:t>
            </w:r>
          </w:p>
        </w:tc>
        <w:tc>
          <w:tcPr>
            <w:tcW w:w="1400" w:type="dxa"/>
            <w:vAlign w:val="bottom"/>
            <w:tcBorders>
              <w:bottom w:val="single" w:sz="8" w:color="00467D"/>
            </w:tcBorders>
            <w:gridSpan w:val="2"/>
          </w:tcPr>
          <w:p>
            <w:pPr>
              <w:jc w:val="center"/>
              <w:spacing w:after="0"/>
              <w:rPr>
                <w:sz w:val="20"/>
                <w:szCs w:val="20"/>
                <w:color w:val="auto"/>
              </w:rPr>
            </w:pPr>
            <w:r>
              <w:rPr>
                <w:rFonts w:ascii="Arial" w:cs="Arial" w:eastAsia="Arial" w:hAnsi="Arial"/>
                <w:sz w:val="15"/>
                <w:szCs w:val="15"/>
                <w:b w:val="1"/>
                <w:bCs w:val="1"/>
                <w:color w:val="00467D"/>
              </w:rPr>
              <w:t>covered year</w:t>
            </w:r>
          </w:p>
        </w:tc>
        <w:tc>
          <w:tcPr>
            <w:tcW w:w="1420" w:type="dxa"/>
            <w:vAlign w:val="bottom"/>
            <w:tcBorders>
              <w:bottom w:val="single" w:sz="8" w:color="00467D"/>
            </w:tcBorders>
          </w:tcPr>
          <w:p>
            <w:pPr>
              <w:jc w:val="center"/>
              <w:spacing w:after="0"/>
              <w:rPr>
                <w:sz w:val="20"/>
                <w:szCs w:val="20"/>
                <w:color w:val="auto"/>
              </w:rPr>
            </w:pPr>
            <w:r>
              <w:rPr>
                <w:rFonts w:ascii="Arial" w:cs="Arial" w:eastAsia="Arial" w:hAnsi="Arial"/>
                <w:sz w:val="15"/>
                <w:szCs w:val="15"/>
                <w:b w:val="1"/>
                <w:bCs w:val="1"/>
                <w:color w:val="00467D"/>
              </w:rPr>
              <w:t>year</w:t>
            </w:r>
          </w:p>
        </w:tc>
        <w:tc>
          <w:tcPr>
            <w:tcW w:w="200" w:type="dxa"/>
            <w:vAlign w:val="bottom"/>
            <w:tcBorders>
              <w:bottom w:val="single" w:sz="8" w:color="00467D"/>
            </w:tcBorders>
          </w:tcPr>
          <w:p>
            <w:pPr>
              <w:spacing w:after="0"/>
              <w:rPr>
                <w:sz w:val="18"/>
                <w:szCs w:val="18"/>
                <w:color w:val="auto"/>
              </w:rPr>
            </w:pPr>
          </w:p>
        </w:tc>
        <w:tc>
          <w:tcPr>
            <w:tcW w:w="1000" w:type="dxa"/>
            <w:vAlign w:val="bottom"/>
            <w:tcBorders>
              <w:bottom w:val="single" w:sz="8" w:color="00467D"/>
            </w:tcBorders>
          </w:tcPr>
          <w:p>
            <w:pPr>
              <w:ind w:left="40"/>
              <w:spacing w:after="0"/>
              <w:rPr>
                <w:sz w:val="20"/>
                <w:szCs w:val="20"/>
                <w:color w:val="auto"/>
              </w:rPr>
            </w:pPr>
            <w:r>
              <w:rPr>
                <w:rFonts w:ascii="Arial" w:cs="Arial" w:eastAsia="Arial" w:hAnsi="Arial"/>
                <w:sz w:val="15"/>
                <w:szCs w:val="15"/>
                <w:b w:val="1"/>
                <w:bCs w:val="1"/>
                <w:color w:val="00467D"/>
              </w:rPr>
              <w:t>NEO CAP</w:t>
            </w:r>
          </w:p>
        </w:tc>
        <w:tc>
          <w:tcPr>
            <w:tcW w:w="0" w:type="dxa"/>
            <w:vAlign w:val="bottom"/>
          </w:tcPr>
          <w:p>
            <w:pPr>
              <w:spacing w:after="0"/>
              <w:rPr>
                <w:sz w:val="1"/>
                <w:szCs w:val="1"/>
                <w:color w:val="auto"/>
              </w:rPr>
            </w:pPr>
          </w:p>
        </w:tc>
      </w:tr>
      <w:tr>
        <w:trPr>
          <w:trHeight w:val="187"/>
        </w:trPr>
        <w:tc>
          <w:tcPr>
            <w:tcW w:w="720" w:type="dxa"/>
            <w:vAlign w:val="bottom"/>
            <w:tcBorders>
              <w:bottom w:val="single" w:sz="8" w:color="99B5CB"/>
            </w:tcBorders>
          </w:tcPr>
          <w:p>
            <w:pPr>
              <w:ind w:left="60"/>
              <w:spacing w:after="0" w:line="186" w:lineRule="exact"/>
              <w:rPr>
                <w:sz w:val="20"/>
                <w:szCs w:val="20"/>
                <w:color w:val="auto"/>
              </w:rPr>
            </w:pPr>
            <w:r>
              <w:rPr>
                <w:rFonts w:ascii="Arial" w:cs="Arial" w:eastAsia="Arial" w:hAnsi="Arial"/>
                <w:sz w:val="17"/>
                <w:szCs w:val="17"/>
                <w:color w:val="auto"/>
              </w:rPr>
              <w:t>2022</w:t>
            </w:r>
          </w:p>
        </w:tc>
        <w:tc>
          <w:tcPr>
            <w:tcW w:w="1480" w:type="dxa"/>
            <w:vAlign w:val="bottom"/>
            <w:tcBorders>
              <w:bottom w:val="single" w:sz="8" w:color="99B5CB"/>
            </w:tcBorders>
          </w:tcPr>
          <w:p>
            <w:pPr>
              <w:jc w:val="right"/>
              <w:ind w:right="39"/>
              <w:spacing w:after="0" w:line="186" w:lineRule="exact"/>
              <w:rPr>
                <w:sz w:val="20"/>
                <w:szCs w:val="20"/>
                <w:color w:val="auto"/>
              </w:rPr>
            </w:pPr>
            <w:r>
              <w:rPr>
                <w:rFonts w:ascii="Arial" w:cs="Arial" w:eastAsia="Arial" w:hAnsi="Arial"/>
                <w:sz w:val="17"/>
                <w:szCs w:val="17"/>
                <w:color w:val="auto"/>
              </w:rPr>
              <w:t>$   2,000,869</w:t>
            </w:r>
          </w:p>
        </w:tc>
        <w:tc>
          <w:tcPr>
            <w:tcW w:w="220" w:type="dxa"/>
            <w:vAlign w:val="bottom"/>
            <w:tcBorders>
              <w:bottom w:val="single" w:sz="8" w:color="99B5CB"/>
            </w:tcBorders>
          </w:tcPr>
          <w:p>
            <w:pPr>
              <w:jc w:val="right"/>
              <w:spacing w:after="0" w:line="186" w:lineRule="exact"/>
              <w:rPr>
                <w:sz w:val="20"/>
                <w:szCs w:val="20"/>
                <w:color w:val="auto"/>
              </w:rPr>
            </w:pPr>
            <w:r>
              <w:rPr>
                <w:rFonts w:ascii="Arial" w:cs="Arial" w:eastAsia="Arial" w:hAnsi="Arial"/>
                <w:sz w:val="17"/>
                <w:szCs w:val="17"/>
                <w:color w:val="auto"/>
              </w:rPr>
              <w:t>$</w:t>
            </w:r>
          </w:p>
        </w:tc>
        <w:tc>
          <w:tcPr>
            <w:tcW w:w="1340" w:type="dxa"/>
            <w:vAlign w:val="bottom"/>
            <w:tcBorders>
              <w:bottom w:val="single" w:sz="8" w:color="99B5CB"/>
            </w:tcBorders>
          </w:tcPr>
          <w:p>
            <w:pPr>
              <w:jc w:val="right"/>
              <w:ind w:right="20"/>
              <w:spacing w:after="0" w:line="186" w:lineRule="exact"/>
              <w:rPr>
                <w:sz w:val="20"/>
                <w:szCs w:val="20"/>
                <w:color w:val="auto"/>
              </w:rPr>
            </w:pPr>
            <w:r>
              <w:rPr>
                <w:rFonts w:ascii="Arial" w:cs="Arial" w:eastAsia="Arial" w:hAnsi="Arial"/>
                <w:sz w:val="17"/>
                <w:szCs w:val="17"/>
                <w:color w:val="auto"/>
              </w:rPr>
              <w:t>(1,248,894)</w:t>
            </w:r>
          </w:p>
        </w:tc>
        <w:tc>
          <w:tcPr>
            <w:tcW w:w="240" w:type="dxa"/>
            <w:vAlign w:val="bottom"/>
            <w:tcBorders>
              <w:bottom w:val="single" w:sz="8" w:color="99B5CB"/>
            </w:tcBorders>
          </w:tcPr>
          <w:p>
            <w:pPr>
              <w:jc w:val="right"/>
              <w:spacing w:after="0" w:line="186" w:lineRule="exact"/>
              <w:rPr>
                <w:sz w:val="20"/>
                <w:szCs w:val="20"/>
                <w:color w:val="auto"/>
              </w:rPr>
            </w:pPr>
            <w:r>
              <w:rPr>
                <w:rFonts w:ascii="Arial" w:cs="Arial" w:eastAsia="Arial" w:hAnsi="Arial"/>
                <w:sz w:val="17"/>
                <w:szCs w:val="17"/>
                <w:color w:val="auto"/>
              </w:rPr>
              <w:t>$</w:t>
            </w:r>
          </w:p>
        </w:tc>
        <w:tc>
          <w:tcPr>
            <w:tcW w:w="1100" w:type="dxa"/>
            <w:vAlign w:val="bottom"/>
            <w:tcBorders>
              <w:bottom w:val="single" w:sz="8" w:color="99B5CB"/>
            </w:tcBorders>
          </w:tcPr>
          <w:p>
            <w:pPr>
              <w:jc w:val="right"/>
              <w:ind w:right="35"/>
              <w:spacing w:after="0" w:line="186" w:lineRule="exact"/>
              <w:rPr>
                <w:sz w:val="20"/>
                <w:szCs w:val="20"/>
                <w:color w:val="auto"/>
              </w:rPr>
            </w:pPr>
            <w:r>
              <w:rPr>
                <w:rFonts w:ascii="Arial" w:cs="Arial" w:eastAsia="Arial" w:hAnsi="Arial"/>
                <w:sz w:val="17"/>
                <w:szCs w:val="17"/>
                <w:color w:val="auto"/>
              </w:rPr>
              <w:t>948,453</w:t>
            </w:r>
          </w:p>
        </w:tc>
        <w:tc>
          <w:tcPr>
            <w:tcW w:w="1420" w:type="dxa"/>
            <w:vAlign w:val="bottom"/>
            <w:tcBorders>
              <w:bottom w:val="single" w:sz="8" w:color="99B5CB"/>
            </w:tcBorders>
          </w:tcPr>
          <w:p>
            <w:pPr>
              <w:jc w:val="right"/>
              <w:ind w:right="40"/>
              <w:spacing w:after="0" w:line="186" w:lineRule="exact"/>
              <w:rPr>
                <w:sz w:val="20"/>
                <w:szCs w:val="20"/>
                <w:color w:val="auto"/>
              </w:rPr>
            </w:pPr>
            <w:r>
              <w:rPr>
                <w:rFonts w:ascii="Arial" w:cs="Arial" w:eastAsia="Arial" w:hAnsi="Arial"/>
                <w:sz w:val="17"/>
                <w:szCs w:val="17"/>
                <w:color w:val="auto"/>
              </w:rPr>
              <w:t>$   (1,149,366)</w:t>
            </w:r>
          </w:p>
        </w:tc>
        <w:tc>
          <w:tcPr>
            <w:tcW w:w="200" w:type="dxa"/>
            <w:vAlign w:val="bottom"/>
            <w:tcBorders>
              <w:bottom w:val="single" w:sz="8" w:color="99B5CB"/>
            </w:tcBorders>
          </w:tcPr>
          <w:p>
            <w:pPr>
              <w:jc w:val="right"/>
              <w:spacing w:after="0" w:line="186" w:lineRule="exact"/>
              <w:rPr>
                <w:sz w:val="20"/>
                <w:szCs w:val="20"/>
                <w:color w:val="auto"/>
              </w:rPr>
            </w:pPr>
            <w:r>
              <w:rPr>
                <w:rFonts w:ascii="Arial" w:cs="Arial" w:eastAsia="Arial" w:hAnsi="Arial"/>
                <w:sz w:val="17"/>
                <w:szCs w:val="17"/>
                <w:color w:val="auto"/>
              </w:rPr>
              <w:t>$</w:t>
            </w:r>
          </w:p>
        </w:tc>
        <w:tc>
          <w:tcPr>
            <w:tcW w:w="1200" w:type="dxa"/>
            <w:vAlign w:val="bottom"/>
            <w:tcBorders>
              <w:bottom w:val="single" w:sz="8" w:color="99B5CB"/>
            </w:tcBorders>
          </w:tcPr>
          <w:p>
            <w:pPr>
              <w:jc w:val="right"/>
              <w:ind w:right="19"/>
              <w:spacing w:after="0" w:line="186" w:lineRule="exact"/>
              <w:rPr>
                <w:sz w:val="20"/>
                <w:szCs w:val="20"/>
                <w:color w:val="auto"/>
              </w:rPr>
            </w:pPr>
            <w:r>
              <w:rPr>
                <w:rFonts w:ascii="Arial" w:cs="Arial" w:eastAsia="Arial" w:hAnsi="Arial"/>
                <w:sz w:val="17"/>
                <w:szCs w:val="17"/>
                <w:color w:val="auto"/>
              </w:rPr>
              <w:t>(268,001)</w:t>
            </w:r>
          </w:p>
        </w:tc>
        <w:tc>
          <w:tcPr>
            <w:tcW w:w="1420" w:type="dxa"/>
            <w:vAlign w:val="bottom"/>
            <w:tcBorders>
              <w:bottom w:val="single" w:sz="8" w:color="99B5CB"/>
            </w:tcBorders>
          </w:tcPr>
          <w:p>
            <w:pPr>
              <w:jc w:val="right"/>
              <w:ind w:right="20"/>
              <w:spacing w:after="0" w:line="186" w:lineRule="exact"/>
              <w:rPr>
                <w:sz w:val="20"/>
                <w:szCs w:val="20"/>
                <w:color w:val="auto"/>
              </w:rPr>
            </w:pPr>
            <w:r>
              <w:rPr>
                <w:rFonts w:ascii="Arial" w:cs="Arial" w:eastAsia="Arial" w:hAnsi="Arial"/>
                <w:sz w:val="17"/>
                <w:szCs w:val="17"/>
                <w:color w:val="auto"/>
              </w:rPr>
              <w:t>$   (1,155,210)</w:t>
            </w:r>
          </w:p>
        </w:tc>
        <w:tc>
          <w:tcPr>
            <w:tcW w:w="200" w:type="dxa"/>
            <w:vAlign w:val="bottom"/>
            <w:tcBorders>
              <w:bottom w:val="single" w:sz="8" w:color="99B5CB"/>
            </w:tcBorders>
          </w:tcPr>
          <w:p>
            <w:pPr>
              <w:jc w:val="right"/>
              <w:spacing w:after="0" w:line="186" w:lineRule="exact"/>
              <w:rPr>
                <w:sz w:val="20"/>
                <w:szCs w:val="20"/>
                <w:color w:val="auto"/>
              </w:rPr>
            </w:pPr>
            <w:r>
              <w:rPr>
                <w:rFonts w:ascii="Arial" w:cs="Arial" w:eastAsia="Arial" w:hAnsi="Arial"/>
                <w:sz w:val="17"/>
                <w:szCs w:val="17"/>
                <w:color w:val="auto"/>
              </w:rPr>
              <w:t>$</w:t>
            </w:r>
          </w:p>
        </w:tc>
        <w:tc>
          <w:tcPr>
            <w:tcW w:w="1000" w:type="dxa"/>
            <w:vAlign w:val="bottom"/>
            <w:tcBorders>
              <w:bottom w:val="single" w:sz="8" w:color="99B5CB"/>
            </w:tcBorders>
          </w:tcPr>
          <w:p>
            <w:pPr>
              <w:jc w:val="right"/>
              <w:spacing w:after="0" w:line="186" w:lineRule="exact"/>
              <w:rPr>
                <w:sz w:val="20"/>
                <w:szCs w:val="20"/>
                <w:color w:val="auto"/>
              </w:rPr>
            </w:pPr>
            <w:r>
              <w:rPr>
                <w:rFonts w:ascii="Arial" w:cs="Arial" w:eastAsia="Arial" w:hAnsi="Arial"/>
                <w:sz w:val="17"/>
                <w:szCs w:val="17"/>
                <w:color w:val="auto"/>
              </w:rPr>
              <w:t>(872,149)</w:t>
            </w:r>
          </w:p>
        </w:tc>
        <w:tc>
          <w:tcPr>
            <w:tcW w:w="0" w:type="dxa"/>
            <w:vAlign w:val="bottom"/>
          </w:tcPr>
          <w:p>
            <w:pPr>
              <w:spacing w:after="0"/>
              <w:rPr>
                <w:sz w:val="1"/>
                <w:szCs w:val="1"/>
                <w:color w:val="auto"/>
              </w:rPr>
            </w:pPr>
          </w:p>
        </w:tc>
      </w:tr>
      <w:tr>
        <w:trPr>
          <w:trHeight w:val="187"/>
        </w:trPr>
        <w:tc>
          <w:tcPr>
            <w:tcW w:w="720" w:type="dxa"/>
            <w:vAlign w:val="bottom"/>
            <w:tcBorders>
              <w:bottom w:val="single" w:sz="8" w:color="99B5CB"/>
            </w:tcBorders>
          </w:tcPr>
          <w:p>
            <w:pPr>
              <w:ind w:left="60"/>
              <w:spacing w:after="0" w:line="186" w:lineRule="exact"/>
              <w:rPr>
                <w:sz w:val="20"/>
                <w:szCs w:val="20"/>
                <w:color w:val="auto"/>
              </w:rPr>
            </w:pPr>
            <w:r>
              <w:rPr>
                <w:rFonts w:ascii="Arial" w:cs="Arial" w:eastAsia="Arial" w:hAnsi="Arial"/>
                <w:sz w:val="17"/>
                <w:szCs w:val="17"/>
                <w:color w:val="auto"/>
              </w:rPr>
              <w:t>2021</w:t>
            </w:r>
          </w:p>
        </w:tc>
        <w:tc>
          <w:tcPr>
            <w:tcW w:w="1480" w:type="dxa"/>
            <w:vAlign w:val="bottom"/>
            <w:tcBorders>
              <w:bottom w:val="single" w:sz="8" w:color="99B5CB"/>
            </w:tcBorders>
          </w:tcPr>
          <w:p>
            <w:pPr>
              <w:jc w:val="right"/>
              <w:ind w:right="39"/>
              <w:spacing w:after="0" w:line="186" w:lineRule="exact"/>
              <w:rPr>
                <w:sz w:val="20"/>
                <w:szCs w:val="20"/>
                <w:color w:val="auto"/>
              </w:rPr>
            </w:pPr>
            <w:r>
              <w:rPr>
                <w:rFonts w:ascii="Arial" w:cs="Arial" w:eastAsia="Arial" w:hAnsi="Arial"/>
                <w:sz w:val="17"/>
                <w:szCs w:val="17"/>
                <w:color w:val="auto"/>
              </w:rPr>
              <w:t>658,885</w:t>
            </w:r>
          </w:p>
        </w:tc>
        <w:tc>
          <w:tcPr>
            <w:tcW w:w="220" w:type="dxa"/>
            <w:vAlign w:val="bottom"/>
            <w:tcBorders>
              <w:bottom w:val="single" w:sz="8" w:color="99B5CB"/>
            </w:tcBorders>
          </w:tcPr>
          <w:p>
            <w:pPr>
              <w:spacing w:after="0"/>
              <w:rPr>
                <w:sz w:val="16"/>
                <w:szCs w:val="16"/>
                <w:color w:val="auto"/>
              </w:rPr>
            </w:pPr>
          </w:p>
        </w:tc>
        <w:tc>
          <w:tcPr>
            <w:tcW w:w="1340" w:type="dxa"/>
            <w:vAlign w:val="bottom"/>
            <w:tcBorders>
              <w:bottom w:val="single" w:sz="8" w:color="99B5CB"/>
            </w:tcBorders>
          </w:tcPr>
          <w:p>
            <w:pPr>
              <w:jc w:val="right"/>
              <w:ind w:right="20"/>
              <w:spacing w:after="0" w:line="186" w:lineRule="exact"/>
              <w:rPr>
                <w:sz w:val="20"/>
                <w:szCs w:val="20"/>
                <w:color w:val="auto"/>
              </w:rPr>
            </w:pPr>
            <w:r>
              <w:rPr>
                <w:rFonts w:ascii="Arial" w:cs="Arial" w:eastAsia="Arial" w:hAnsi="Arial"/>
                <w:sz w:val="17"/>
                <w:szCs w:val="17"/>
                <w:color w:val="auto"/>
              </w:rPr>
              <w:t>(125,000)</w:t>
            </w:r>
          </w:p>
        </w:tc>
        <w:tc>
          <w:tcPr>
            <w:tcW w:w="240" w:type="dxa"/>
            <w:vAlign w:val="bottom"/>
            <w:tcBorders>
              <w:bottom w:val="single" w:sz="8" w:color="99B5CB"/>
            </w:tcBorders>
          </w:tcPr>
          <w:p>
            <w:pPr>
              <w:spacing w:after="0"/>
              <w:rPr>
                <w:sz w:val="16"/>
                <w:szCs w:val="16"/>
                <w:color w:val="auto"/>
              </w:rPr>
            </w:pPr>
          </w:p>
        </w:tc>
        <w:tc>
          <w:tcPr>
            <w:tcW w:w="1100" w:type="dxa"/>
            <w:vAlign w:val="bottom"/>
            <w:tcBorders>
              <w:bottom w:val="single" w:sz="8" w:color="99B5CB"/>
            </w:tcBorders>
          </w:tcPr>
          <w:p>
            <w:pPr>
              <w:jc w:val="right"/>
              <w:ind w:right="35"/>
              <w:spacing w:after="0" w:line="186" w:lineRule="exact"/>
              <w:rPr>
                <w:sz w:val="20"/>
                <w:szCs w:val="20"/>
                <w:color w:val="auto"/>
              </w:rPr>
            </w:pPr>
            <w:r>
              <w:rPr>
                <w:rFonts w:ascii="Arial" w:cs="Arial" w:eastAsia="Arial" w:hAnsi="Arial"/>
                <w:sz w:val="17"/>
                <w:szCs w:val="17"/>
                <w:color w:val="auto"/>
              </w:rPr>
              <w:t>139,448</w:t>
            </w:r>
          </w:p>
        </w:tc>
        <w:tc>
          <w:tcPr>
            <w:tcW w:w="1420" w:type="dxa"/>
            <w:vAlign w:val="bottom"/>
            <w:tcBorders>
              <w:bottom w:val="single" w:sz="8" w:color="99B5CB"/>
            </w:tcBorders>
          </w:tcPr>
          <w:p>
            <w:pPr>
              <w:jc w:val="right"/>
              <w:ind w:right="40"/>
              <w:spacing w:after="0" w:line="186" w:lineRule="exact"/>
              <w:rPr>
                <w:sz w:val="20"/>
                <w:szCs w:val="20"/>
                <w:color w:val="auto"/>
              </w:rPr>
            </w:pPr>
            <w:r>
              <w:rPr>
                <w:rFonts w:ascii="Arial" w:cs="Arial" w:eastAsia="Arial" w:hAnsi="Arial"/>
                <w:sz w:val="17"/>
                <w:szCs w:val="17"/>
                <w:color w:val="auto"/>
              </w:rPr>
              <w:t>(991,451)</w:t>
            </w:r>
          </w:p>
        </w:tc>
        <w:tc>
          <w:tcPr>
            <w:tcW w:w="200" w:type="dxa"/>
            <w:vAlign w:val="bottom"/>
            <w:tcBorders>
              <w:bottom w:val="single" w:sz="8" w:color="99B5CB"/>
            </w:tcBorders>
          </w:tcPr>
          <w:p>
            <w:pPr>
              <w:spacing w:after="0"/>
              <w:rPr>
                <w:sz w:val="16"/>
                <w:szCs w:val="16"/>
                <w:color w:val="auto"/>
              </w:rPr>
            </w:pPr>
          </w:p>
        </w:tc>
        <w:tc>
          <w:tcPr>
            <w:tcW w:w="1200" w:type="dxa"/>
            <w:vAlign w:val="bottom"/>
            <w:tcBorders>
              <w:bottom w:val="single" w:sz="8" w:color="99B5CB"/>
            </w:tcBorders>
          </w:tcPr>
          <w:p>
            <w:pPr>
              <w:jc w:val="right"/>
              <w:ind w:right="19"/>
              <w:spacing w:after="0" w:line="186" w:lineRule="exact"/>
              <w:rPr>
                <w:sz w:val="20"/>
                <w:szCs w:val="20"/>
                <w:color w:val="auto"/>
              </w:rPr>
            </w:pPr>
            <w:r>
              <w:rPr>
                <w:rFonts w:ascii="Arial" w:cs="Arial" w:eastAsia="Arial" w:hAnsi="Arial"/>
                <w:sz w:val="17"/>
                <w:szCs w:val="17"/>
                <w:color w:val="auto"/>
              </w:rPr>
              <w:t>(471,564)</w:t>
            </w:r>
          </w:p>
        </w:tc>
        <w:tc>
          <w:tcPr>
            <w:tcW w:w="1420" w:type="dxa"/>
            <w:vAlign w:val="bottom"/>
            <w:tcBorders>
              <w:bottom w:val="single" w:sz="8" w:color="99B5CB"/>
            </w:tcBorders>
          </w:tcPr>
          <w:p>
            <w:pPr>
              <w:jc w:val="center"/>
              <w:spacing w:after="0" w:line="186" w:lineRule="exact"/>
              <w:rPr>
                <w:sz w:val="20"/>
                <w:szCs w:val="20"/>
                <w:color w:val="auto"/>
              </w:rPr>
            </w:pPr>
            <w:r>
              <w:rPr>
                <w:rFonts w:ascii="Arial" w:cs="Arial" w:eastAsia="Arial" w:hAnsi="Arial"/>
                <w:sz w:val="17"/>
                <w:szCs w:val="17"/>
                <w:color w:val="auto"/>
                <w:w w:val="93"/>
              </w:rPr>
              <w:t>—</w:t>
            </w:r>
          </w:p>
        </w:tc>
        <w:tc>
          <w:tcPr>
            <w:tcW w:w="200" w:type="dxa"/>
            <w:vAlign w:val="bottom"/>
            <w:tcBorders>
              <w:bottom w:val="single" w:sz="8" w:color="99B5CB"/>
            </w:tcBorders>
          </w:tcPr>
          <w:p>
            <w:pPr>
              <w:spacing w:after="0"/>
              <w:rPr>
                <w:sz w:val="16"/>
                <w:szCs w:val="16"/>
                <w:color w:val="auto"/>
              </w:rPr>
            </w:pPr>
          </w:p>
        </w:tc>
        <w:tc>
          <w:tcPr>
            <w:tcW w:w="1000" w:type="dxa"/>
            <w:vAlign w:val="bottom"/>
            <w:tcBorders>
              <w:bottom w:val="single" w:sz="8" w:color="99B5CB"/>
            </w:tcBorders>
          </w:tcPr>
          <w:p>
            <w:pPr>
              <w:jc w:val="right"/>
              <w:spacing w:after="0" w:line="186" w:lineRule="exact"/>
              <w:rPr>
                <w:sz w:val="20"/>
                <w:szCs w:val="20"/>
                <w:color w:val="auto"/>
              </w:rPr>
            </w:pPr>
            <w:r>
              <w:rPr>
                <w:rFonts w:ascii="Arial" w:cs="Arial" w:eastAsia="Arial" w:hAnsi="Arial"/>
                <w:sz w:val="17"/>
                <w:szCs w:val="17"/>
                <w:color w:val="auto"/>
              </w:rPr>
              <w:t>(789,682)</w:t>
            </w:r>
          </w:p>
        </w:tc>
        <w:tc>
          <w:tcPr>
            <w:tcW w:w="0" w:type="dxa"/>
            <w:vAlign w:val="bottom"/>
          </w:tcPr>
          <w:p>
            <w:pPr>
              <w:spacing w:after="0"/>
              <w:rPr>
                <w:sz w:val="1"/>
                <w:szCs w:val="1"/>
                <w:color w:val="auto"/>
              </w:rPr>
            </w:pPr>
          </w:p>
        </w:tc>
      </w:tr>
      <w:tr>
        <w:trPr>
          <w:trHeight w:val="187"/>
        </w:trPr>
        <w:tc>
          <w:tcPr>
            <w:tcW w:w="720" w:type="dxa"/>
            <w:vAlign w:val="bottom"/>
            <w:tcBorders>
              <w:bottom w:val="single" w:sz="8" w:color="00467D"/>
            </w:tcBorders>
          </w:tcPr>
          <w:p>
            <w:pPr>
              <w:ind w:left="60"/>
              <w:spacing w:after="0" w:line="186" w:lineRule="exact"/>
              <w:rPr>
                <w:sz w:val="20"/>
                <w:szCs w:val="20"/>
                <w:color w:val="auto"/>
              </w:rPr>
            </w:pPr>
            <w:r>
              <w:rPr>
                <w:rFonts w:ascii="Arial" w:cs="Arial" w:eastAsia="Arial" w:hAnsi="Arial"/>
                <w:sz w:val="17"/>
                <w:szCs w:val="17"/>
                <w:color w:val="auto"/>
              </w:rPr>
              <w:t>2020</w:t>
            </w:r>
          </w:p>
        </w:tc>
        <w:tc>
          <w:tcPr>
            <w:tcW w:w="1480" w:type="dxa"/>
            <w:vAlign w:val="bottom"/>
            <w:tcBorders>
              <w:bottom w:val="single" w:sz="8" w:color="00467D"/>
            </w:tcBorders>
          </w:tcPr>
          <w:p>
            <w:pPr>
              <w:jc w:val="right"/>
              <w:ind w:right="39"/>
              <w:spacing w:after="0" w:line="186" w:lineRule="exact"/>
              <w:rPr>
                <w:sz w:val="20"/>
                <w:szCs w:val="20"/>
                <w:color w:val="auto"/>
              </w:rPr>
            </w:pPr>
            <w:r>
              <w:rPr>
                <w:rFonts w:ascii="Arial" w:cs="Arial" w:eastAsia="Arial" w:hAnsi="Arial"/>
                <w:sz w:val="17"/>
                <w:szCs w:val="17"/>
                <w:color w:val="auto"/>
              </w:rPr>
              <w:t>5,012,582</w:t>
            </w:r>
          </w:p>
        </w:tc>
        <w:tc>
          <w:tcPr>
            <w:tcW w:w="220" w:type="dxa"/>
            <w:vAlign w:val="bottom"/>
            <w:tcBorders>
              <w:bottom w:val="single" w:sz="8" w:color="00467D"/>
            </w:tcBorders>
          </w:tcPr>
          <w:p>
            <w:pPr>
              <w:spacing w:after="0"/>
              <w:rPr>
                <w:sz w:val="16"/>
                <w:szCs w:val="16"/>
                <w:color w:val="auto"/>
              </w:rPr>
            </w:pPr>
          </w:p>
        </w:tc>
        <w:tc>
          <w:tcPr>
            <w:tcW w:w="1340" w:type="dxa"/>
            <w:vAlign w:val="bottom"/>
            <w:tcBorders>
              <w:bottom w:val="single" w:sz="8" w:color="00467D"/>
            </w:tcBorders>
          </w:tcPr>
          <w:p>
            <w:pPr>
              <w:jc w:val="right"/>
              <w:ind w:right="20"/>
              <w:spacing w:after="0" w:line="186" w:lineRule="exact"/>
              <w:rPr>
                <w:sz w:val="20"/>
                <w:szCs w:val="20"/>
                <w:color w:val="auto"/>
              </w:rPr>
            </w:pPr>
            <w:r>
              <w:rPr>
                <w:rFonts w:ascii="Arial" w:cs="Arial" w:eastAsia="Arial" w:hAnsi="Arial"/>
                <w:sz w:val="17"/>
                <w:szCs w:val="17"/>
                <w:color w:val="auto"/>
              </w:rPr>
              <w:t>(4,350,000)</w:t>
            </w:r>
          </w:p>
        </w:tc>
        <w:tc>
          <w:tcPr>
            <w:tcW w:w="240" w:type="dxa"/>
            <w:vAlign w:val="bottom"/>
            <w:tcBorders>
              <w:bottom w:val="single" w:sz="8" w:color="00467D"/>
            </w:tcBorders>
          </w:tcPr>
          <w:p>
            <w:pPr>
              <w:spacing w:after="0"/>
              <w:rPr>
                <w:sz w:val="16"/>
                <w:szCs w:val="16"/>
                <w:color w:val="auto"/>
              </w:rPr>
            </w:pPr>
          </w:p>
        </w:tc>
        <w:tc>
          <w:tcPr>
            <w:tcW w:w="1100" w:type="dxa"/>
            <w:vAlign w:val="bottom"/>
            <w:tcBorders>
              <w:bottom w:val="single" w:sz="8" w:color="00467D"/>
            </w:tcBorders>
          </w:tcPr>
          <w:p>
            <w:pPr>
              <w:jc w:val="right"/>
              <w:ind w:right="35"/>
              <w:spacing w:after="0" w:line="186" w:lineRule="exact"/>
              <w:rPr>
                <w:sz w:val="20"/>
                <w:szCs w:val="20"/>
                <w:color w:val="auto"/>
              </w:rPr>
            </w:pPr>
            <w:r>
              <w:rPr>
                <w:rFonts w:ascii="Arial" w:cs="Arial" w:eastAsia="Arial" w:hAnsi="Arial"/>
                <w:sz w:val="17"/>
                <w:szCs w:val="17"/>
                <w:color w:val="auto"/>
              </w:rPr>
              <w:t>10,973,027</w:t>
            </w:r>
          </w:p>
        </w:tc>
        <w:tc>
          <w:tcPr>
            <w:tcW w:w="1420" w:type="dxa"/>
            <w:vAlign w:val="bottom"/>
            <w:tcBorders>
              <w:bottom w:val="single" w:sz="8" w:color="00467D"/>
            </w:tcBorders>
          </w:tcPr>
          <w:p>
            <w:pPr>
              <w:jc w:val="right"/>
              <w:ind w:right="100"/>
              <w:spacing w:after="0" w:line="186" w:lineRule="exact"/>
              <w:rPr>
                <w:sz w:val="20"/>
                <w:szCs w:val="20"/>
                <w:color w:val="auto"/>
              </w:rPr>
            </w:pPr>
            <w:r>
              <w:rPr>
                <w:rFonts w:ascii="Arial" w:cs="Arial" w:eastAsia="Arial" w:hAnsi="Arial"/>
                <w:sz w:val="17"/>
                <w:szCs w:val="17"/>
                <w:color w:val="auto"/>
              </w:rPr>
              <w:t>2,387,163</w:t>
            </w:r>
          </w:p>
        </w:tc>
        <w:tc>
          <w:tcPr>
            <w:tcW w:w="200" w:type="dxa"/>
            <w:vAlign w:val="bottom"/>
            <w:tcBorders>
              <w:bottom w:val="single" w:sz="8" w:color="00467D"/>
            </w:tcBorders>
          </w:tcPr>
          <w:p>
            <w:pPr>
              <w:spacing w:after="0"/>
              <w:rPr>
                <w:sz w:val="16"/>
                <w:szCs w:val="16"/>
                <w:color w:val="auto"/>
              </w:rPr>
            </w:pPr>
          </w:p>
        </w:tc>
        <w:tc>
          <w:tcPr>
            <w:tcW w:w="1200" w:type="dxa"/>
            <w:vAlign w:val="bottom"/>
            <w:tcBorders>
              <w:bottom w:val="single" w:sz="8" w:color="00467D"/>
            </w:tcBorders>
          </w:tcPr>
          <w:p>
            <w:pPr>
              <w:jc w:val="right"/>
              <w:ind w:right="79"/>
              <w:spacing w:after="0" w:line="186" w:lineRule="exact"/>
              <w:rPr>
                <w:sz w:val="20"/>
                <w:szCs w:val="20"/>
                <w:color w:val="auto"/>
              </w:rPr>
            </w:pPr>
            <w:r>
              <w:rPr>
                <w:rFonts w:ascii="Arial" w:cs="Arial" w:eastAsia="Arial" w:hAnsi="Arial"/>
                <w:sz w:val="17"/>
                <w:szCs w:val="17"/>
                <w:color w:val="auto"/>
              </w:rPr>
              <w:t>80,143</w:t>
            </w:r>
          </w:p>
        </w:tc>
        <w:tc>
          <w:tcPr>
            <w:tcW w:w="1420" w:type="dxa"/>
            <w:vAlign w:val="bottom"/>
            <w:tcBorders>
              <w:bottom w:val="single" w:sz="8" w:color="00467D"/>
            </w:tcBorders>
          </w:tcPr>
          <w:p>
            <w:pPr>
              <w:jc w:val="center"/>
              <w:spacing w:after="0" w:line="186" w:lineRule="exact"/>
              <w:rPr>
                <w:sz w:val="20"/>
                <w:szCs w:val="20"/>
                <w:color w:val="auto"/>
              </w:rPr>
            </w:pPr>
            <w:r>
              <w:rPr>
                <w:rFonts w:ascii="Arial" w:cs="Arial" w:eastAsia="Arial" w:hAnsi="Arial"/>
                <w:sz w:val="17"/>
                <w:szCs w:val="17"/>
                <w:color w:val="auto"/>
                <w:w w:val="93"/>
              </w:rPr>
              <w:t>—</w:t>
            </w:r>
          </w:p>
        </w:tc>
        <w:tc>
          <w:tcPr>
            <w:tcW w:w="200" w:type="dxa"/>
            <w:vAlign w:val="bottom"/>
            <w:tcBorders>
              <w:bottom w:val="single" w:sz="8" w:color="00467D"/>
            </w:tcBorders>
          </w:tcPr>
          <w:p>
            <w:pPr>
              <w:spacing w:after="0"/>
              <w:rPr>
                <w:sz w:val="16"/>
                <w:szCs w:val="16"/>
                <w:color w:val="auto"/>
              </w:rPr>
            </w:pPr>
          </w:p>
        </w:tc>
        <w:tc>
          <w:tcPr>
            <w:tcW w:w="1000" w:type="dxa"/>
            <w:vAlign w:val="bottom"/>
            <w:tcBorders>
              <w:bottom w:val="single" w:sz="8" w:color="00467D"/>
            </w:tcBorders>
          </w:tcPr>
          <w:p>
            <w:pPr>
              <w:jc w:val="right"/>
              <w:ind w:right="37"/>
              <w:spacing w:after="0" w:line="186" w:lineRule="exact"/>
              <w:rPr>
                <w:sz w:val="20"/>
                <w:szCs w:val="20"/>
                <w:color w:val="auto"/>
              </w:rPr>
            </w:pPr>
            <w:r>
              <w:rPr>
                <w:rFonts w:ascii="Arial" w:cs="Arial" w:eastAsia="Arial" w:hAnsi="Arial"/>
                <w:sz w:val="17"/>
                <w:szCs w:val="17"/>
                <w:color w:val="auto"/>
              </w:rPr>
              <w:t>14,102,915</w:t>
            </w:r>
          </w:p>
        </w:tc>
        <w:tc>
          <w:tcPr>
            <w:tcW w:w="0" w:type="dxa"/>
            <w:vAlign w:val="bottom"/>
          </w:tcPr>
          <w:p>
            <w:pPr>
              <w:spacing w:after="0"/>
              <w:rPr>
                <w:sz w:val="1"/>
                <w:szCs w:val="1"/>
                <w:color w:val="auto"/>
              </w:rPr>
            </w:pPr>
          </w:p>
        </w:tc>
      </w:tr>
    </w:tbl>
    <w:p>
      <w:pPr>
        <w:spacing w:after="0" w:line="283" w:lineRule="exact"/>
        <w:rPr>
          <w:sz w:val="20"/>
          <w:szCs w:val="20"/>
          <w:color w:val="auto"/>
        </w:rPr>
      </w:pPr>
    </w:p>
    <w:p>
      <w:pPr>
        <w:ind w:left="360"/>
        <w:spacing w:after="0"/>
        <w:rPr>
          <w:sz w:val="20"/>
          <w:szCs w:val="20"/>
          <w:color w:val="auto"/>
        </w:rPr>
      </w:pPr>
      <w:r>
        <w:rPr>
          <w:rFonts w:ascii="Arial" w:cs="Arial" w:eastAsia="Arial" w:hAnsi="Arial"/>
          <w:sz w:val="31"/>
          <w:szCs w:val="31"/>
          <w:color w:val="00B0DB"/>
        </w:rPr>
        <w:t>Metrics Used to Link Pay and Performance</w:t>
      </w:r>
    </w:p>
    <w:p>
      <w:pPr>
        <w:spacing w:after="0" w:line="221" w:lineRule="exact"/>
        <w:rPr>
          <w:sz w:val="20"/>
          <w:szCs w:val="20"/>
          <w:color w:val="auto"/>
        </w:rPr>
      </w:pPr>
    </w:p>
    <w:p>
      <w:pPr>
        <w:ind w:left="360"/>
        <w:spacing w:after="0"/>
        <w:rPr>
          <w:sz w:val="20"/>
          <w:szCs w:val="20"/>
          <w:color w:val="auto"/>
        </w:rPr>
      </w:pPr>
      <w:r>
        <w:rPr>
          <w:rFonts w:ascii="Arial" w:cs="Arial" w:eastAsia="Arial" w:hAnsi="Arial"/>
          <w:sz w:val="17"/>
          <w:szCs w:val="17"/>
          <w:color w:val="auto"/>
        </w:rPr>
        <w:t>The following financial performance measures represent, in the Company’s assessment, the most important financial measures the</w:t>
      </w:r>
    </w:p>
    <w:p>
      <w:pPr>
        <w:spacing w:after="0" w:line="14" w:lineRule="exact"/>
        <w:rPr>
          <w:sz w:val="20"/>
          <w:szCs w:val="20"/>
          <w:color w:val="auto"/>
        </w:rPr>
      </w:pPr>
    </w:p>
    <w:p>
      <w:pPr>
        <w:ind w:left="360"/>
        <w:spacing w:after="0"/>
        <w:rPr>
          <w:sz w:val="20"/>
          <w:szCs w:val="20"/>
          <w:color w:val="auto"/>
        </w:rPr>
      </w:pPr>
      <w:r>
        <w:rPr>
          <w:rFonts w:ascii="Arial" w:cs="Arial" w:eastAsia="Arial" w:hAnsi="Arial"/>
          <w:sz w:val="17"/>
          <w:szCs w:val="17"/>
          <w:color w:val="auto"/>
        </w:rPr>
        <w:t>Company used to link compensation that we actually paid to our named executive officers for 2022:</w:t>
      </w:r>
    </w:p>
    <w:p>
      <w:pPr>
        <w:spacing w:after="0" w:line="212" w:lineRule="exact"/>
        <w:rPr>
          <w:sz w:val="20"/>
          <w:szCs w:val="20"/>
          <w:color w:val="auto"/>
        </w:rPr>
      </w:pPr>
    </w:p>
    <w:p>
      <w:pPr>
        <w:jc w:val="center"/>
        <w:ind w:right="-339"/>
        <w:spacing w:after="0"/>
        <w:rPr>
          <w:sz w:val="20"/>
          <w:szCs w:val="20"/>
          <w:color w:val="auto"/>
        </w:rPr>
      </w:pPr>
      <w:r>
        <w:rPr>
          <w:rFonts w:ascii="Arial" w:cs="Arial" w:eastAsia="Arial" w:hAnsi="Arial"/>
          <w:sz w:val="17"/>
          <w:szCs w:val="17"/>
          <w:b w:val="1"/>
          <w:bCs w:val="1"/>
          <w:u w:val="single" w:color="auto"/>
          <w:color w:val="00467D"/>
        </w:rPr>
        <w:t>Financial Performance Metrics</w:t>
      </w:r>
    </w:p>
    <w:p>
      <w:pPr>
        <w:spacing w:after="0" w:line="21" w:lineRule="exact"/>
        <w:rPr>
          <w:sz w:val="20"/>
          <w:szCs w:val="20"/>
          <w:color w:val="auto"/>
        </w:rPr>
      </w:pPr>
    </w:p>
    <w:p>
      <w:pPr>
        <w:ind w:left="2520"/>
        <w:spacing w:after="0"/>
        <w:tabs>
          <w:tab w:leader="none" w:pos="7460" w:val="left"/>
        </w:tabs>
        <w:rPr>
          <w:sz w:val="20"/>
          <w:szCs w:val="20"/>
          <w:color w:val="auto"/>
        </w:rPr>
      </w:pPr>
      <w:r>
        <w:rPr>
          <w:rFonts w:ascii="Arial" w:cs="Arial" w:eastAsia="Arial" w:hAnsi="Arial"/>
          <w:sz w:val="14"/>
          <w:szCs w:val="14"/>
          <w:color w:val="auto"/>
        </w:rPr>
        <w:t>Adjusted EBITDA</w:t>
      </w:r>
      <w:r>
        <w:rPr>
          <w:sz w:val="20"/>
          <w:szCs w:val="20"/>
          <w:color w:val="auto"/>
        </w:rPr>
        <w:tab/>
      </w:r>
      <w:r>
        <w:rPr>
          <w:rFonts w:ascii="Arial" w:cs="Arial" w:eastAsia="Arial" w:hAnsi="Arial"/>
          <w:sz w:val="13"/>
          <w:szCs w:val="13"/>
          <w:color w:val="auto"/>
        </w:rPr>
        <w:t>Sterigenics Segment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231775</wp:posOffset>
            </wp:positionH>
            <wp:positionV relativeFrom="paragraph">
              <wp:posOffset>99695</wp:posOffset>
            </wp:positionV>
            <wp:extent cx="6687820" cy="1651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687820" cy="16510"/>
                    </a:xfrm>
                    <a:prstGeom prst="rect">
                      <a:avLst/>
                    </a:prstGeom>
                    <a:noFill/>
                  </pic:spPr>
                </pic:pic>
              </a:graphicData>
            </a:graphic>
          </wp:anchor>
        </w:drawing>
      </w:r>
    </w:p>
    <w:p>
      <w:pPr>
        <w:spacing w:after="0" w:line="288"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6443980</wp:posOffset>
            </wp:positionH>
            <wp:positionV relativeFrom="paragraph">
              <wp:posOffset>-113030</wp:posOffset>
            </wp:positionV>
            <wp:extent cx="475615" cy="15557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475615" cy="155575"/>
                    </a:xfrm>
                    <a:prstGeom prst="rect">
                      <a:avLst/>
                    </a:prstGeom>
                    <a:noFill/>
                  </pic:spPr>
                </pic:pic>
              </a:graphicData>
            </a:graphic>
          </wp:anchor>
        </w:drawing>
      </w:r>
    </w:p>
    <w:p>
      <w:pPr>
        <w:sectPr>
          <w:pgSz w:w="11900" w:h="16838" w:orient="portrait"/>
          <w:cols w:equalWidth="0" w:num="1">
            <w:col w:w="10900"/>
          </w:cols>
          <w:pgMar w:left="320" w:top="468" w:right="67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5397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79945" cy="53975"/>
                    </a:xfrm>
                    <a:prstGeom prst="rect">
                      <a:avLst/>
                    </a:prstGeom>
                    <a:noFill/>
                  </pic:spPr>
                </pic:pic>
              </a:graphicData>
            </a:graphic>
          </wp:anchor>
        </w:drawing>
        <w:t>Table of Contents</w:t>
      </w:r>
    </w:p>
    <w:p>
      <w:pPr>
        <w:spacing w:after="0" w:line="296"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auto"/>
        </w:rPr>
        <w:t>Pay Versus Performance</w:t>
      </w:r>
    </w:p>
    <w:p>
      <w:pPr>
        <w:spacing w:after="0" w:line="21" w:lineRule="exact"/>
        <w:rPr>
          <w:sz w:val="20"/>
          <w:szCs w:val="20"/>
          <w:color w:val="auto"/>
        </w:rPr>
      </w:pPr>
    </w:p>
    <w:p>
      <w:pPr>
        <w:ind w:left="360"/>
        <w:spacing w:after="0"/>
        <w:rPr>
          <w:sz w:val="20"/>
          <w:szCs w:val="20"/>
          <w:color w:val="auto"/>
        </w:rPr>
      </w:pPr>
      <w:r>
        <w:rPr>
          <w:rFonts w:ascii="Arial" w:cs="Arial" w:eastAsia="Arial" w:hAnsi="Arial"/>
          <w:sz w:val="14"/>
          <w:szCs w:val="14"/>
          <w:b w:val="1"/>
          <w:bCs w:val="1"/>
          <w:color w:val="auto"/>
        </w:rPr>
        <w:t>Metrics Used to Link Pay and Performance</w:t>
      </w:r>
    </w:p>
    <w:p>
      <w:pPr>
        <w:spacing w:after="0" w:line="114" w:lineRule="exact"/>
        <w:rPr>
          <w:sz w:val="20"/>
          <w:szCs w:val="20"/>
          <w:color w:val="auto"/>
        </w:rPr>
      </w:pPr>
    </w:p>
    <w:p>
      <w:pPr>
        <w:ind w:left="360"/>
        <w:spacing w:after="0" w:line="243" w:lineRule="auto"/>
        <w:rPr>
          <w:sz w:val="20"/>
          <w:szCs w:val="20"/>
          <w:color w:val="auto"/>
        </w:rPr>
      </w:pPr>
      <w:r>
        <w:rPr>
          <w:rFonts w:ascii="Arial" w:cs="Arial" w:eastAsia="Arial" w:hAnsi="Arial"/>
          <w:sz w:val="17"/>
          <w:szCs w:val="17"/>
          <w:color w:val="auto"/>
        </w:rPr>
        <w:t>Adjusted EBITDA represents the most important financial performance measure used to link compensation actually paid to the CEO and NEOs for the covered periods. We define Adjusted EBITDA as earnings before interest, taxes, depreciation, amortization and certain other adjustments that we do not consider in our evaluation of our ongoing operating performance from period to period. The Company relies on Adjusted EBITDA as it allows management to more effectively evaluate operating performance from period to period without the impact of certain non-cash and non-routine items that we do not expect to continue at the same level in the future and other items that are not core to our operations. Sterigenics Segment Income is the earnings measure we use to evaluate the performance of our Sterigenics reportable segment.</w:t>
      </w:r>
    </w:p>
    <w:p>
      <w:pPr>
        <w:spacing w:after="0" w:line="176" w:lineRule="exact"/>
        <w:rPr>
          <w:sz w:val="20"/>
          <w:szCs w:val="20"/>
          <w:color w:val="auto"/>
        </w:rPr>
      </w:pPr>
    </w:p>
    <w:p>
      <w:pPr>
        <w:ind w:left="360" w:right="180"/>
        <w:spacing w:after="0" w:line="274" w:lineRule="auto"/>
        <w:rPr>
          <w:sz w:val="20"/>
          <w:szCs w:val="20"/>
          <w:color w:val="auto"/>
        </w:rPr>
      </w:pPr>
      <w:r>
        <w:rPr>
          <w:rFonts w:ascii="Arial" w:cs="Arial" w:eastAsia="Arial" w:hAnsi="Arial"/>
          <w:sz w:val="17"/>
          <w:szCs w:val="17"/>
          <w:color w:val="auto"/>
        </w:rPr>
        <w:t>The Company’s Annual Reports on Form 10-K for the years ended on December 31 for each of 2022, 2021 and 2020, include additional information on the calculation of Adjusted EBITDA and Sterigenics Segment Income, including non-GAAP reconciliation information.</w:t>
      </w:r>
    </w:p>
    <w:p>
      <w:pPr>
        <w:spacing w:after="0" w:line="241" w:lineRule="exact"/>
        <w:rPr>
          <w:sz w:val="20"/>
          <w:szCs w:val="20"/>
          <w:color w:val="auto"/>
        </w:rPr>
      </w:pPr>
    </w:p>
    <w:p>
      <w:pPr>
        <w:ind w:left="360"/>
        <w:spacing w:after="0"/>
        <w:rPr>
          <w:sz w:val="20"/>
          <w:szCs w:val="20"/>
          <w:color w:val="auto"/>
        </w:rPr>
      </w:pPr>
      <w:r>
        <w:rPr>
          <w:rFonts w:ascii="Arial" w:cs="Arial" w:eastAsia="Arial" w:hAnsi="Arial"/>
          <w:sz w:val="31"/>
          <w:szCs w:val="31"/>
          <w:color w:val="00B0DB"/>
        </w:rPr>
        <w:t>Relationship between Pay and Performance</w:t>
      </w:r>
    </w:p>
    <w:p>
      <w:pPr>
        <w:spacing w:after="0" w:line="221" w:lineRule="exact"/>
        <w:rPr>
          <w:sz w:val="20"/>
          <w:szCs w:val="20"/>
          <w:color w:val="auto"/>
        </w:rPr>
      </w:pPr>
    </w:p>
    <w:p>
      <w:pPr>
        <w:ind w:left="360" w:right="200"/>
        <w:spacing w:after="0" w:line="274" w:lineRule="auto"/>
        <w:rPr>
          <w:sz w:val="20"/>
          <w:szCs w:val="20"/>
          <w:color w:val="auto"/>
        </w:rPr>
      </w:pPr>
      <w:r>
        <w:rPr>
          <w:rFonts w:ascii="Arial" w:cs="Arial" w:eastAsia="Arial" w:hAnsi="Arial"/>
          <w:sz w:val="17"/>
          <w:szCs w:val="17"/>
          <w:color w:val="auto"/>
        </w:rPr>
        <w:t>The graphs below depict the relationship between the CEO and average non-CEO NEO CAP, in 2022, 2021 and 2020 to each of (1) the TSR of the Company and the S&amp;P 500 Healthcare Index; (2) the Company’s Net Income; and (3) the Company’s Adjusted EBITDA.</w:t>
      </w:r>
    </w:p>
    <w:p>
      <w:pPr>
        <w:spacing w:after="0" w:line="147" w:lineRule="exact"/>
        <w:rPr>
          <w:sz w:val="20"/>
          <w:szCs w:val="20"/>
          <w:color w:val="auto"/>
        </w:rPr>
      </w:pPr>
    </w:p>
    <w:p>
      <w:pPr>
        <w:ind w:left="360" w:right="220"/>
        <w:spacing w:after="0" w:line="250" w:lineRule="auto"/>
        <w:rPr>
          <w:sz w:val="20"/>
          <w:szCs w:val="20"/>
          <w:color w:val="auto"/>
        </w:rPr>
      </w:pPr>
      <w:r>
        <w:rPr>
          <w:rFonts w:ascii="Arial" w:cs="Arial" w:eastAsia="Arial" w:hAnsi="Arial"/>
          <w:sz w:val="17"/>
          <w:szCs w:val="17"/>
          <w:color w:val="auto"/>
        </w:rPr>
        <w:t>“Compensation Actually Paid” as required under Rule 402(v) of Regulation S-K, includes measurement adjustments to the fair value of unvested and vested equity awards during the years presented based on year-end common stock prices, vesting date stock prices, and certain accounting valuation assumptions. The changes in CAP between 2020 and 2022 were primarily driven by fluctuations in the market price of our common stock.</w:t>
      </w:r>
    </w:p>
    <w:p>
      <w:pPr>
        <w:spacing w:after="0" w:line="166" w:lineRule="exact"/>
        <w:rPr>
          <w:sz w:val="20"/>
          <w:szCs w:val="20"/>
          <w:color w:val="auto"/>
        </w:rPr>
      </w:pPr>
    </w:p>
    <w:p>
      <w:pPr>
        <w:ind w:left="360"/>
        <w:spacing w:after="0" w:line="274" w:lineRule="auto"/>
        <w:rPr>
          <w:sz w:val="20"/>
          <w:szCs w:val="20"/>
          <w:color w:val="auto"/>
        </w:rPr>
      </w:pPr>
      <w:r>
        <w:rPr>
          <w:rFonts w:ascii="Arial" w:cs="Arial" w:eastAsia="Arial" w:hAnsi="Arial"/>
          <w:sz w:val="17"/>
          <w:szCs w:val="17"/>
          <w:color w:val="auto"/>
        </w:rPr>
        <w:t>The graph below reflects the relationship between the CEO and Average NEO CAP (per the SEC’s definition), the Company’s Net Income, and Adjusted EBITDA for the covered periods.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231775</wp:posOffset>
            </wp:positionH>
            <wp:positionV relativeFrom="paragraph">
              <wp:posOffset>120650</wp:posOffset>
            </wp:positionV>
            <wp:extent cx="6687820" cy="363855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687820" cy="3638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360" w:type="dxa"/>
        <w:tblCellMar>
          <w:top w:w="0" w:type="dxa"/>
          <w:left w:w="0" w:type="dxa"/>
          <w:bottom w:w="0" w:type="dxa"/>
          <w:right w:w="0" w:type="dxa"/>
        </w:tblCellMar>
      </w:tblPr>
      <w:tr>
        <w:trPr>
          <w:trHeight w:val="226"/>
        </w:trPr>
        <w:tc>
          <w:tcPr>
            <w:tcW w:w="3900" w:type="dxa"/>
            <w:vAlign w:val="bottom"/>
          </w:tcPr>
          <w:p>
            <w:pPr>
              <w:spacing w:after="0"/>
              <w:rPr>
                <w:sz w:val="20"/>
                <w:szCs w:val="20"/>
                <w:color w:val="auto"/>
              </w:rPr>
            </w:pPr>
            <w:r>
              <w:rPr>
                <w:rFonts w:ascii="Arial" w:cs="Arial" w:eastAsia="Arial" w:hAnsi="Arial"/>
                <w:sz w:val="17"/>
                <w:szCs w:val="17"/>
                <w:color w:val="auto"/>
              </w:rPr>
              <w:t>2023 Notice and Proxy Statement</w:t>
            </w:r>
          </w:p>
        </w:tc>
        <w:tc>
          <w:tcPr>
            <w:tcW w:w="1520" w:type="dxa"/>
            <w:vAlign w:val="bottom"/>
          </w:tcPr>
          <w:p>
            <w:pPr>
              <w:jc w:val="right"/>
              <w:spacing w:after="0"/>
              <w:rPr>
                <w:sz w:val="20"/>
                <w:szCs w:val="20"/>
                <w:color w:val="auto"/>
              </w:rPr>
            </w:pPr>
            <w:r>
              <w:rPr>
                <w:rFonts w:ascii="Arial" w:cs="Arial" w:eastAsia="Arial" w:hAnsi="Arial"/>
                <w:sz w:val="17"/>
                <w:szCs w:val="17"/>
                <w:color w:val="auto"/>
              </w:rPr>
              <w:t>64</w:t>
            </w:r>
          </w:p>
        </w:tc>
      </w:tr>
    </w:tbl>
    <w:p>
      <w:pPr>
        <w:sectPr>
          <w:pgSz w:w="11900" w:h="16838" w:orient="portrait"/>
          <w:cols w:equalWidth="0" w:num="1">
            <w:col w:w="10880"/>
          </w:cols>
          <w:pgMar w:left="320" w:top="468" w:right="69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5397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79945" cy="53975"/>
                    </a:xfrm>
                    <a:prstGeom prst="rect">
                      <a:avLst/>
                    </a:prstGeom>
                    <a:noFill/>
                  </pic:spPr>
                </pic:pic>
              </a:graphicData>
            </a:graphic>
          </wp:anchor>
        </w:drawing>
        <w:t>Table of Contents</w:t>
      </w:r>
    </w:p>
    <w:p>
      <w:pPr>
        <w:spacing w:after="0" w:line="296"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Pay Versus Performance</w:t>
      </w:r>
    </w:p>
    <w:p>
      <w:pPr>
        <w:spacing w:after="0" w:line="21" w:lineRule="exact"/>
        <w:rPr>
          <w:sz w:val="20"/>
          <w:szCs w:val="20"/>
          <w:color w:val="auto"/>
        </w:rPr>
      </w:pPr>
    </w:p>
    <w:p>
      <w:pPr>
        <w:ind w:left="8040"/>
        <w:spacing w:after="0"/>
        <w:rPr>
          <w:sz w:val="20"/>
          <w:szCs w:val="20"/>
          <w:color w:val="auto"/>
        </w:rPr>
      </w:pPr>
      <w:r>
        <w:rPr>
          <w:rFonts w:ascii="Arial" w:cs="Arial" w:eastAsia="Arial" w:hAnsi="Arial"/>
          <w:sz w:val="13"/>
          <w:szCs w:val="13"/>
          <w:b w:val="1"/>
          <w:bCs w:val="1"/>
          <w:color w:val="auto"/>
        </w:rPr>
        <w:t>Relationship between Pay and Performance</w:t>
      </w:r>
    </w:p>
    <w:p>
      <w:pPr>
        <w:spacing w:after="0" w:line="126" w:lineRule="exact"/>
        <w:rPr>
          <w:sz w:val="20"/>
          <w:szCs w:val="20"/>
          <w:color w:val="auto"/>
        </w:rPr>
      </w:pPr>
    </w:p>
    <w:p>
      <w:pPr>
        <w:ind w:left="360" w:right="220"/>
        <w:spacing w:after="0" w:line="274" w:lineRule="auto"/>
        <w:rPr>
          <w:sz w:val="20"/>
          <w:szCs w:val="20"/>
          <w:color w:val="auto"/>
        </w:rPr>
      </w:pPr>
      <w:r>
        <w:rPr>
          <w:rFonts w:ascii="Arial" w:cs="Arial" w:eastAsia="Arial" w:hAnsi="Arial"/>
          <w:sz w:val="17"/>
          <w:szCs w:val="17"/>
          <w:color w:val="auto"/>
        </w:rPr>
        <w:t>The chart below reflects the relationship between the CEO and Average NEO CAP (per the SEC’s definition), TSR of the Company, and TSR of the S&amp;P 500 Health Care Index for the covered periods.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1304925</wp:posOffset>
            </wp:positionH>
            <wp:positionV relativeFrom="paragraph">
              <wp:posOffset>120650</wp:posOffset>
            </wp:positionV>
            <wp:extent cx="4531995" cy="340931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4531995" cy="3409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360" w:right="40"/>
        <w:spacing w:after="0" w:line="256" w:lineRule="auto"/>
        <w:rPr>
          <w:sz w:val="20"/>
          <w:szCs w:val="20"/>
          <w:color w:val="auto"/>
        </w:rPr>
      </w:pPr>
      <w:r>
        <w:rPr>
          <w:rFonts w:ascii="Arial" w:cs="Arial" w:eastAsia="Arial" w:hAnsi="Arial"/>
          <w:sz w:val="17"/>
          <w:szCs w:val="17"/>
          <w:color w:val="auto"/>
        </w:rPr>
        <w:t>The LD&amp;C Committee did not consider the PvP disclosure above in making its pay decisions for any of the years shown. The information in this “Pay versus Performance” section shall not be deemed to be incorporated by reference into any filing by us under the Securities Act or the Exchange Act, except to the extent that we specifically incorporate this section by reference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231775</wp:posOffset>
            </wp:positionH>
            <wp:positionV relativeFrom="paragraph">
              <wp:posOffset>88900</wp:posOffset>
            </wp:positionV>
            <wp:extent cx="6687820" cy="1651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687820" cy="16510"/>
                    </a:xfrm>
                    <a:prstGeom prst="rect">
                      <a:avLst/>
                    </a:prstGeom>
                    <a:noFill/>
                  </pic:spPr>
                </pic:pic>
              </a:graphicData>
            </a:graphic>
          </wp:anchor>
        </w:drawing>
      </w:r>
    </w:p>
    <w:p>
      <w:pPr>
        <w:spacing w:after="0" w:line="271"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6443980</wp:posOffset>
            </wp:positionH>
            <wp:positionV relativeFrom="paragraph">
              <wp:posOffset>-113030</wp:posOffset>
            </wp:positionV>
            <wp:extent cx="475615" cy="15557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475615" cy="155575"/>
                    </a:xfrm>
                    <a:prstGeom prst="rect">
                      <a:avLst/>
                    </a:prstGeom>
                    <a:noFill/>
                  </pic:spPr>
                </pic:pic>
              </a:graphicData>
            </a:graphic>
          </wp:anchor>
        </w:drawing>
      </w:r>
    </w:p>
    <w:p>
      <w:pPr>
        <w:sectPr>
          <w:pgSz w:w="11900" w:h="16838" w:orient="portrait"/>
          <w:cols w:equalWidth="0" w:num="1">
            <w:col w:w="10900"/>
          </w:cols>
          <w:pgMar w:left="320" w:top="468" w:right="67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5397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79945" cy="53975"/>
                    </a:xfrm>
                    <a:prstGeom prst="rect">
                      <a:avLst/>
                    </a:prstGeom>
                    <a:noFill/>
                  </pic:spPr>
                </pic:pic>
              </a:graphicData>
            </a:graphic>
          </wp:anchor>
        </w:drawing>
        <w:t>Table of Contents</w:t>
      </w:r>
    </w:p>
    <w:p>
      <w:pPr>
        <w:spacing w:after="0" w:line="296"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auto"/>
        </w:rPr>
        <w:t>CEO Pay Ratio</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41"/>
          <w:szCs w:val="41"/>
          <w:b w:val="1"/>
          <w:bCs w:val="1"/>
          <w:color w:val="00B0DB"/>
        </w:rPr>
        <w:t>CEO PAY RATIO</w:t>
      </w:r>
    </w:p>
    <w:p>
      <w:pPr>
        <w:spacing w:after="0" w:line="237" w:lineRule="exact"/>
        <w:rPr>
          <w:sz w:val="20"/>
          <w:szCs w:val="20"/>
          <w:color w:val="auto"/>
        </w:rPr>
      </w:pPr>
    </w:p>
    <w:p>
      <w:pPr>
        <w:ind w:left="360"/>
        <w:spacing w:after="0"/>
        <w:rPr>
          <w:sz w:val="20"/>
          <w:szCs w:val="20"/>
          <w:color w:val="auto"/>
        </w:rPr>
      </w:pPr>
      <w:r>
        <w:rPr>
          <w:rFonts w:ascii="Arial" w:cs="Arial" w:eastAsia="Arial" w:hAnsi="Arial"/>
          <w:sz w:val="17"/>
          <w:szCs w:val="17"/>
          <w:color w:val="auto"/>
        </w:rPr>
        <w:t>In accordance with the Dodd-Frank Act and applicable SEC rules, we are providing the following information about the relationship of our</w:t>
      </w:r>
    </w:p>
    <w:p>
      <w:pPr>
        <w:spacing w:after="0" w:line="14" w:lineRule="exact"/>
        <w:rPr>
          <w:sz w:val="20"/>
          <w:szCs w:val="20"/>
          <w:color w:val="auto"/>
        </w:rPr>
      </w:pPr>
    </w:p>
    <w:p>
      <w:pPr>
        <w:ind w:left="360"/>
        <w:spacing w:after="0"/>
        <w:rPr>
          <w:sz w:val="20"/>
          <w:szCs w:val="20"/>
          <w:color w:val="auto"/>
        </w:rPr>
      </w:pPr>
      <w:r>
        <w:rPr>
          <w:rFonts w:ascii="Arial" w:cs="Arial" w:eastAsia="Arial" w:hAnsi="Arial"/>
          <w:sz w:val="17"/>
          <w:szCs w:val="17"/>
          <w:color w:val="auto"/>
        </w:rPr>
        <w:t>CEO’s compensation to the compensation of all our employees. For 2022:</w:t>
      </w:r>
    </w:p>
    <w:p>
      <w:pPr>
        <w:spacing w:after="0" w:line="98" w:lineRule="exact"/>
        <w:rPr>
          <w:sz w:val="20"/>
          <w:szCs w:val="20"/>
          <w:color w:val="auto"/>
        </w:rPr>
      </w:pPr>
    </w:p>
    <w:p>
      <w:pPr>
        <w:ind w:left="1280" w:hanging="509"/>
        <w:spacing w:after="0"/>
        <w:tabs>
          <w:tab w:leader="none" w:pos="1280" w:val="left"/>
        </w:tabs>
        <w:numPr>
          <w:ilvl w:val="0"/>
          <w:numId w:val="47"/>
        </w:numPr>
        <w:rPr>
          <w:rFonts w:ascii="Arial" w:cs="Arial" w:eastAsia="Arial" w:hAnsi="Arial"/>
          <w:sz w:val="17"/>
          <w:szCs w:val="17"/>
          <w:color w:val="00467D"/>
        </w:rPr>
      </w:pPr>
      <w:r>
        <w:rPr>
          <w:rFonts w:ascii="Arial" w:cs="Arial" w:eastAsia="Arial" w:hAnsi="Arial"/>
          <w:sz w:val="17"/>
          <w:szCs w:val="17"/>
          <w:color w:val="auto"/>
        </w:rPr>
        <w:t>the annual total compensation of our median employee was $72,660</w:t>
      </w:r>
    </w:p>
    <w:p>
      <w:pPr>
        <w:spacing w:after="0" w:line="114" w:lineRule="exact"/>
        <w:rPr>
          <w:rFonts w:ascii="Arial" w:cs="Arial" w:eastAsia="Arial" w:hAnsi="Arial"/>
          <w:sz w:val="17"/>
          <w:szCs w:val="17"/>
          <w:color w:val="00467D"/>
        </w:rPr>
      </w:pPr>
    </w:p>
    <w:p>
      <w:pPr>
        <w:ind w:left="1280" w:hanging="509"/>
        <w:spacing w:after="0"/>
        <w:tabs>
          <w:tab w:leader="none" w:pos="1280" w:val="left"/>
        </w:tabs>
        <w:numPr>
          <w:ilvl w:val="0"/>
          <w:numId w:val="47"/>
        </w:numPr>
        <w:rPr>
          <w:rFonts w:ascii="Arial" w:cs="Arial" w:eastAsia="Arial" w:hAnsi="Arial"/>
          <w:sz w:val="17"/>
          <w:szCs w:val="17"/>
          <w:color w:val="00467D"/>
        </w:rPr>
      </w:pPr>
      <w:r>
        <w:rPr>
          <w:rFonts w:ascii="Arial" w:cs="Arial" w:eastAsia="Arial" w:hAnsi="Arial"/>
          <w:sz w:val="17"/>
          <w:szCs w:val="17"/>
          <w:color w:val="auto"/>
        </w:rPr>
        <w:t>the annual total compensation of our CEO, as reported in the Summary Compensation Table, was $16,659,858</w:t>
      </w:r>
    </w:p>
    <w:p>
      <w:pPr>
        <w:spacing w:after="0" w:line="114" w:lineRule="exact"/>
        <w:rPr>
          <w:rFonts w:ascii="Arial" w:cs="Arial" w:eastAsia="Arial" w:hAnsi="Arial"/>
          <w:sz w:val="17"/>
          <w:szCs w:val="17"/>
          <w:color w:val="00467D"/>
        </w:rPr>
      </w:pPr>
    </w:p>
    <w:p>
      <w:pPr>
        <w:ind w:left="1280" w:hanging="509"/>
        <w:spacing w:after="0"/>
        <w:tabs>
          <w:tab w:leader="none" w:pos="1280" w:val="left"/>
        </w:tabs>
        <w:numPr>
          <w:ilvl w:val="0"/>
          <w:numId w:val="47"/>
        </w:numPr>
        <w:rPr>
          <w:rFonts w:ascii="Arial" w:cs="Arial" w:eastAsia="Arial" w:hAnsi="Arial"/>
          <w:sz w:val="17"/>
          <w:szCs w:val="17"/>
          <w:color w:val="00467D"/>
        </w:rPr>
      </w:pPr>
      <w:r>
        <w:rPr>
          <w:rFonts w:ascii="Arial" w:cs="Arial" w:eastAsia="Arial" w:hAnsi="Arial"/>
          <w:sz w:val="17"/>
          <w:szCs w:val="17"/>
          <w:color w:val="auto"/>
        </w:rPr>
        <w:t>the ratio of our CEO’s annual total compensation to the median employee’s annual total compensation was 229 to 1</w:t>
      </w:r>
    </w:p>
    <w:p>
      <w:pPr>
        <w:spacing w:after="0" w:line="205" w:lineRule="exact"/>
        <w:rPr>
          <w:sz w:val="20"/>
          <w:szCs w:val="20"/>
          <w:color w:val="auto"/>
        </w:rPr>
      </w:pPr>
    </w:p>
    <w:p>
      <w:pPr>
        <w:ind w:left="360" w:right="40"/>
        <w:spacing w:after="0" w:line="243" w:lineRule="auto"/>
        <w:rPr>
          <w:sz w:val="20"/>
          <w:szCs w:val="20"/>
          <w:color w:val="auto"/>
        </w:rPr>
      </w:pPr>
      <w:r>
        <w:rPr>
          <w:rFonts w:ascii="Arial" w:cs="Arial" w:eastAsia="Arial" w:hAnsi="Arial"/>
          <w:sz w:val="17"/>
          <w:szCs w:val="17"/>
          <w:color w:val="auto"/>
        </w:rPr>
        <w:t>To identify our median employee, we used the base salary as of December 31, 2022 of our global population, which included 3,122 employees, excluding our CEO, of which 1,826 were U.S. employees and 1,296 were non-U.S. employees. We have chosen annual base salary as the consistently applied compensation measure used to identify the median employee. Base salary is the primary compensation component for a large portion of our workforce and is the one pay component that has a similar definition and is reported in a similar manner globally. Therefore, annual base salary provides an accurate depiction of total earnings for the purposes of identifying our median employee. Base salaries for employees outside the United States were converted to United States Dollars by applying the applicable foreign exchange rates in effect on December 31, 2022.</w:t>
      </w:r>
    </w:p>
    <w:p>
      <w:pPr>
        <w:spacing w:after="0" w:line="176" w:lineRule="exact"/>
        <w:rPr>
          <w:sz w:val="20"/>
          <w:szCs w:val="20"/>
          <w:color w:val="auto"/>
        </w:rPr>
      </w:pPr>
    </w:p>
    <w:p>
      <w:pPr>
        <w:ind w:left="360" w:right="180"/>
        <w:spacing w:after="0" w:line="274" w:lineRule="auto"/>
        <w:rPr>
          <w:sz w:val="20"/>
          <w:szCs w:val="20"/>
          <w:color w:val="auto"/>
        </w:rPr>
      </w:pPr>
      <w:r>
        <w:rPr>
          <w:rFonts w:ascii="Arial" w:cs="Arial" w:eastAsia="Arial" w:hAnsi="Arial"/>
          <w:sz w:val="17"/>
          <w:szCs w:val="17"/>
          <w:color w:val="auto"/>
        </w:rPr>
        <w:t>No cost of living adjustments were applied in our methodology. Our median employee’s total compensation of $72,660 was calculated in the same manner as we calculated total compensation for each of the named executive officers in the Summary Compensation Table.</w:t>
      </w:r>
    </w:p>
    <w:p>
      <w:pPr>
        <w:spacing w:after="0" w:line="147" w:lineRule="exact"/>
        <w:rPr>
          <w:sz w:val="20"/>
          <w:szCs w:val="20"/>
          <w:color w:val="auto"/>
        </w:rPr>
      </w:pPr>
    </w:p>
    <w:p>
      <w:pPr>
        <w:ind w:left="360"/>
        <w:spacing w:after="0" w:line="256" w:lineRule="auto"/>
        <w:rPr>
          <w:sz w:val="20"/>
          <w:szCs w:val="20"/>
          <w:color w:val="auto"/>
        </w:rPr>
      </w:pPr>
      <w:r>
        <w:rPr>
          <w:rFonts w:ascii="Arial" w:cs="Arial" w:eastAsia="Arial" w:hAnsi="Arial"/>
          <w:sz w:val="17"/>
          <w:szCs w:val="17"/>
          <w:color w:val="auto"/>
        </w:rPr>
        <w:t>In compliance with Item 402(u) as permitted by SEC rules under a de minimis exemption, we excluded all employees in 3 countries totaling 133 employees (approximately 4.26% of our total workforce) when identifying our median employee. Employees in the following countries were excluded: 86 China, 17 Costa Rica, 30 Thailand. As a result, our pay ratio includes 2,990 of our employees in 10 countries.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231775</wp:posOffset>
            </wp:positionH>
            <wp:positionV relativeFrom="paragraph">
              <wp:posOffset>88900</wp:posOffset>
            </wp:positionV>
            <wp:extent cx="6687820" cy="1651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687820" cy="16510"/>
                    </a:xfrm>
                    <a:prstGeom prst="rect">
                      <a:avLst/>
                    </a:prstGeom>
                    <a:noFill/>
                  </pic:spPr>
                </pic:pic>
              </a:graphicData>
            </a:graphic>
          </wp:anchor>
        </w:drawing>
      </w:r>
    </w:p>
    <w:p>
      <w:pPr>
        <w:spacing w:after="0" w:line="310" w:lineRule="exact"/>
        <w:rPr>
          <w:sz w:val="20"/>
          <w:szCs w:val="20"/>
          <w:color w:val="auto"/>
        </w:rPr>
      </w:pPr>
    </w:p>
    <w:tbl>
      <w:tblPr>
        <w:tblLayout w:type="fixed"/>
        <w:tblInd w:w="360" w:type="dxa"/>
        <w:tblCellMar>
          <w:top w:w="0" w:type="dxa"/>
          <w:left w:w="0" w:type="dxa"/>
          <w:bottom w:w="0" w:type="dxa"/>
          <w:right w:w="0" w:type="dxa"/>
        </w:tblCellMar>
      </w:tblPr>
      <w:tr>
        <w:trPr>
          <w:trHeight w:val="226"/>
        </w:trPr>
        <w:tc>
          <w:tcPr>
            <w:tcW w:w="3900" w:type="dxa"/>
            <w:vAlign w:val="bottom"/>
          </w:tcPr>
          <w:p>
            <w:pPr>
              <w:spacing w:after="0"/>
              <w:rPr>
                <w:sz w:val="20"/>
                <w:szCs w:val="20"/>
                <w:color w:val="auto"/>
              </w:rPr>
            </w:pPr>
            <w:r>
              <w:rPr>
                <w:rFonts w:ascii="Arial" w:cs="Arial" w:eastAsia="Arial" w:hAnsi="Arial"/>
                <w:sz w:val="17"/>
                <w:szCs w:val="17"/>
                <w:color w:val="auto"/>
              </w:rPr>
              <w:t>2023 Notice and Proxy Statement</w:t>
            </w:r>
          </w:p>
        </w:tc>
        <w:tc>
          <w:tcPr>
            <w:tcW w:w="1520" w:type="dxa"/>
            <w:vAlign w:val="bottom"/>
          </w:tcPr>
          <w:p>
            <w:pPr>
              <w:jc w:val="right"/>
              <w:spacing w:after="0"/>
              <w:rPr>
                <w:sz w:val="20"/>
                <w:szCs w:val="20"/>
                <w:color w:val="auto"/>
              </w:rPr>
            </w:pPr>
            <w:r>
              <w:rPr>
                <w:rFonts w:ascii="Arial" w:cs="Arial" w:eastAsia="Arial" w:hAnsi="Arial"/>
                <w:sz w:val="17"/>
                <w:szCs w:val="17"/>
                <w:color w:val="auto"/>
              </w:rPr>
              <w:t>66</w:t>
            </w:r>
          </w:p>
        </w:tc>
      </w:tr>
    </w:tbl>
    <w:p>
      <w:pPr>
        <w:sectPr>
          <w:pgSz w:w="11900" w:h="16838" w:orient="portrait"/>
          <w:cols w:equalWidth="0" w:num="1">
            <w:col w:w="10860"/>
          </w:cols>
          <w:pgMar w:left="320" w:top="468" w:right="71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5334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79945" cy="53340"/>
                    </a:xfrm>
                    <a:prstGeom prst="rect">
                      <a:avLst/>
                    </a:prstGeom>
                    <a:noFill/>
                  </pic:spPr>
                </pic:pic>
              </a:graphicData>
            </a:graphic>
          </wp:anchor>
        </w:drawing>
        <w:t>Table of Contents</w:t>
      </w:r>
    </w:p>
    <w:p>
      <w:pPr>
        <w:spacing w:after="0" w:line="296" w:lineRule="exact"/>
        <w:rPr>
          <w:sz w:val="20"/>
          <w:szCs w:val="20"/>
          <w:color w:val="auto"/>
        </w:rPr>
      </w:pPr>
    </w:p>
    <w:p>
      <w:pPr>
        <w:jc w:val="right"/>
        <w:ind w:right="20"/>
        <w:spacing w:after="0"/>
        <w:rPr>
          <w:sz w:val="20"/>
          <w:szCs w:val="20"/>
          <w:color w:val="auto"/>
        </w:rPr>
      </w:pPr>
      <w:r>
        <w:rPr>
          <w:rFonts w:ascii="Arial" w:cs="Arial" w:eastAsia="Arial" w:hAnsi="Arial"/>
          <w:sz w:val="17"/>
          <w:szCs w:val="17"/>
          <w:b w:val="1"/>
          <w:bCs w:val="1"/>
          <w:color w:val="auto"/>
        </w:rPr>
        <w:t>Proposal 3: Ratification of Selection of Independent Registered Public Accounting Firm</w:t>
      </w:r>
    </w:p>
    <w:p>
      <w:pPr>
        <w:spacing w:after="0" w:line="21" w:lineRule="exact"/>
        <w:rPr>
          <w:sz w:val="20"/>
          <w:szCs w:val="20"/>
          <w:color w:val="auto"/>
        </w:rPr>
      </w:pPr>
    </w:p>
    <w:p>
      <w:pPr>
        <w:ind w:left="7400"/>
        <w:spacing w:after="0"/>
        <w:rPr>
          <w:sz w:val="20"/>
          <w:szCs w:val="20"/>
          <w:color w:val="auto"/>
        </w:rPr>
      </w:pPr>
      <w:r>
        <w:rPr>
          <w:rFonts w:ascii="Arial" w:cs="Arial" w:eastAsia="Arial" w:hAnsi="Arial"/>
          <w:sz w:val="13"/>
          <w:szCs w:val="13"/>
          <w:b w:val="1"/>
          <w:bCs w:val="1"/>
          <w:color w:val="auto"/>
        </w:rPr>
        <w:t>Independent Registered Public Accounting Firm Fees</w:t>
      </w:r>
    </w:p>
    <w:p>
      <w:pPr>
        <w:spacing w:after="0" w:line="101" w:lineRule="exact"/>
        <w:rPr>
          <w:sz w:val="20"/>
          <w:szCs w:val="20"/>
          <w:color w:val="auto"/>
        </w:rPr>
      </w:pPr>
    </w:p>
    <w:p>
      <w:pPr>
        <w:ind w:left="360" w:right="220"/>
        <w:spacing w:after="0" w:line="268" w:lineRule="auto"/>
        <w:rPr>
          <w:sz w:val="20"/>
          <w:szCs w:val="20"/>
          <w:color w:val="auto"/>
        </w:rPr>
      </w:pPr>
      <w:r>
        <w:rPr>
          <w:rFonts w:ascii="Arial" w:cs="Arial" w:eastAsia="Arial" w:hAnsi="Arial"/>
          <w:sz w:val="41"/>
          <w:szCs w:val="41"/>
          <w:b w:val="1"/>
          <w:bCs w:val="1"/>
          <w:color w:val="00B0DB"/>
        </w:rPr>
        <w:t>PROPOSAL 3: RATIFICATION OF SELECTION OF INDEPENDENT REGISTERED PUBLIC ACCOUNTING FIRM</w:t>
      </w:r>
    </w:p>
    <w:p>
      <w:pPr>
        <w:spacing w:after="0" w:line="84" w:lineRule="exact"/>
        <w:rPr>
          <w:sz w:val="20"/>
          <w:szCs w:val="20"/>
          <w:color w:val="auto"/>
        </w:rPr>
      </w:pPr>
    </w:p>
    <w:p>
      <w:pPr>
        <w:ind w:left="360" w:right="20"/>
        <w:spacing w:after="0" w:line="243" w:lineRule="auto"/>
        <w:rPr>
          <w:sz w:val="20"/>
          <w:szCs w:val="20"/>
          <w:color w:val="auto"/>
        </w:rPr>
      </w:pPr>
      <w:r>
        <w:rPr>
          <w:rFonts w:ascii="Arial" w:cs="Arial" w:eastAsia="Arial" w:hAnsi="Arial"/>
          <w:sz w:val="17"/>
          <w:szCs w:val="17"/>
          <w:color w:val="auto"/>
        </w:rPr>
        <w:t>We are asking shareholders to ratify the appointment of Ernst &amp; Young LLP (“Ernst &amp; Young”) as our independent registered public accounting firm for the fiscal year ending December 31, 2023. The Audit Committee and the Board believe that the retention of Ernst &amp; Young to serve as our independent registered public accounting firm is in the best interests of the Company and its shareholders. Although ratification is not legally required, we are submitting the appointment of Ernst &amp; Young to our shareholders for ratification as a matter of good corporate governance. In the event that this appointment is not ratified, the Audit Committee of the Board will reconsider the appointment. Even if the selection is ratified, the Audit Committee, in its discretion, may change the appointment at any time during the fiscal year if it determines that such a change would be in the best interest of the Company and its shareholders.</w:t>
      </w:r>
    </w:p>
    <w:p>
      <w:pPr>
        <w:spacing w:after="0" w:line="150" w:lineRule="exact"/>
        <w:rPr>
          <w:sz w:val="20"/>
          <w:szCs w:val="20"/>
          <w:color w:val="auto"/>
        </w:rPr>
      </w:pPr>
    </w:p>
    <w:p>
      <w:pPr>
        <w:ind w:left="360" w:right="120"/>
        <w:spacing w:after="0" w:line="245" w:lineRule="auto"/>
        <w:rPr>
          <w:sz w:val="20"/>
          <w:szCs w:val="20"/>
          <w:color w:val="auto"/>
        </w:rPr>
      </w:pPr>
      <w:r>
        <w:rPr>
          <w:rFonts w:ascii="Arial" w:cs="Arial" w:eastAsia="Arial" w:hAnsi="Arial"/>
          <w:sz w:val="17"/>
          <w:szCs w:val="17"/>
          <w:color w:val="auto"/>
        </w:rPr>
        <w:t>The Audit Committee is directly responsible for the appointment, compensation, retention, oversight, evaluation and, when appropriate, replacement of the independent registered public accounting firm that serves as the Company’s independent accountants. Ernst &amp; Young has served as the Company’s independent registered public accounting firm since 2019. In selecting the independent auditor, the Audit Committee annually evaluates the qualifications, performance and independence of the independent auditor, including review of the lead audit partner and taking into account the opinions of management and the head (and any other senior personnel, as appropriate) of the internal audit function.</w:t>
      </w:r>
    </w:p>
    <w:p>
      <w:pPr>
        <w:spacing w:after="0" w:line="132" w:lineRule="exact"/>
        <w:rPr>
          <w:sz w:val="20"/>
          <w:szCs w:val="20"/>
          <w:color w:val="auto"/>
        </w:rPr>
      </w:pPr>
    </w:p>
    <w:p>
      <w:pPr>
        <w:ind w:left="360" w:right="380"/>
        <w:spacing w:after="0" w:line="274" w:lineRule="auto"/>
        <w:rPr>
          <w:sz w:val="20"/>
          <w:szCs w:val="20"/>
          <w:color w:val="auto"/>
        </w:rPr>
      </w:pPr>
      <w:r>
        <w:rPr>
          <w:rFonts w:ascii="Arial" w:cs="Arial" w:eastAsia="Arial" w:hAnsi="Arial"/>
          <w:sz w:val="17"/>
          <w:szCs w:val="17"/>
          <w:color w:val="auto"/>
        </w:rPr>
        <w:t>Representatives of Ernst &amp; Young will be present at the Annual Meeting. They will be given an opportunity to make a statement if they wish and will be available to respond to appropriate questions.</w:t>
      </w:r>
    </w:p>
    <w:p>
      <w:pPr>
        <w:spacing w:after="0" w:line="241" w:lineRule="exact"/>
        <w:rPr>
          <w:sz w:val="20"/>
          <w:szCs w:val="20"/>
          <w:color w:val="auto"/>
        </w:rPr>
      </w:pPr>
    </w:p>
    <w:p>
      <w:pPr>
        <w:ind w:left="360"/>
        <w:spacing w:after="0"/>
        <w:rPr>
          <w:sz w:val="20"/>
          <w:szCs w:val="20"/>
          <w:color w:val="auto"/>
        </w:rPr>
      </w:pPr>
      <w:r>
        <w:rPr>
          <w:rFonts w:ascii="Arial" w:cs="Arial" w:eastAsia="Arial" w:hAnsi="Arial"/>
          <w:sz w:val="31"/>
          <w:szCs w:val="31"/>
          <w:color w:val="00B0DB"/>
        </w:rPr>
        <w:t>Independent Registered Public Accounting Firm Fees</w:t>
      </w:r>
    </w:p>
    <w:p>
      <w:pPr>
        <w:spacing w:after="0" w:line="221" w:lineRule="exact"/>
        <w:rPr>
          <w:sz w:val="20"/>
          <w:szCs w:val="20"/>
          <w:color w:val="auto"/>
        </w:rPr>
      </w:pPr>
    </w:p>
    <w:p>
      <w:pPr>
        <w:ind w:left="360" w:right="280"/>
        <w:spacing w:after="0" w:line="274" w:lineRule="auto"/>
        <w:rPr>
          <w:sz w:val="20"/>
          <w:szCs w:val="20"/>
          <w:color w:val="auto"/>
        </w:rPr>
      </w:pPr>
      <w:r>
        <w:rPr>
          <w:rFonts w:ascii="Arial" w:cs="Arial" w:eastAsia="Arial" w:hAnsi="Arial"/>
          <w:sz w:val="17"/>
          <w:szCs w:val="17"/>
          <w:color w:val="auto"/>
        </w:rPr>
        <w:t>The following table shows fees paid by Sotera Health for professional services rendered by Ernst &amp; Young for 2022 and 2021. All of the fees shown in the table were approved by the Audit Committee in accordance with its pre-approval process.</w:t>
      </w:r>
    </w:p>
    <w:p>
      <w:pPr>
        <w:spacing w:after="0" w:line="149" w:lineRule="exact"/>
        <w:rPr>
          <w:sz w:val="20"/>
          <w:szCs w:val="20"/>
          <w:color w:val="auto"/>
        </w:rPr>
      </w:pPr>
    </w:p>
    <w:tbl>
      <w:tblPr>
        <w:tblLayout w:type="fixed"/>
        <w:tblInd w:w="360" w:type="dxa"/>
        <w:tblCellMar>
          <w:top w:w="0" w:type="dxa"/>
          <w:left w:w="0" w:type="dxa"/>
          <w:bottom w:w="0" w:type="dxa"/>
          <w:right w:w="0" w:type="dxa"/>
        </w:tblCellMar>
      </w:tblPr>
      <w:tr>
        <w:trPr>
          <w:trHeight w:val="161"/>
        </w:trPr>
        <w:tc>
          <w:tcPr>
            <w:tcW w:w="4240" w:type="dxa"/>
            <w:vAlign w:val="bottom"/>
          </w:tcPr>
          <w:p>
            <w:pPr>
              <w:ind w:left="80"/>
              <w:spacing w:after="0"/>
              <w:rPr>
                <w:sz w:val="20"/>
                <w:szCs w:val="20"/>
                <w:color w:val="auto"/>
              </w:rPr>
            </w:pPr>
            <w:r>
              <w:rPr>
                <w:rFonts w:ascii="Arial" w:cs="Arial" w:eastAsia="Arial" w:hAnsi="Arial"/>
                <w:sz w:val="14"/>
                <w:szCs w:val="14"/>
                <w:b w:val="1"/>
                <w:bCs w:val="1"/>
                <w:color w:val="00467D"/>
              </w:rPr>
              <w:t>Fee Category</w:t>
            </w:r>
          </w:p>
        </w:tc>
        <w:tc>
          <w:tcPr>
            <w:tcW w:w="376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177"/>
        </w:trPr>
        <w:tc>
          <w:tcPr>
            <w:tcW w:w="4240" w:type="dxa"/>
            <w:vAlign w:val="bottom"/>
            <w:tcBorders>
              <w:bottom w:val="single" w:sz="8" w:color="00467D"/>
            </w:tcBorders>
          </w:tcPr>
          <w:p>
            <w:pPr>
              <w:ind w:left="80"/>
              <w:spacing w:after="0"/>
              <w:rPr>
                <w:sz w:val="20"/>
                <w:szCs w:val="20"/>
                <w:color w:val="auto"/>
              </w:rPr>
            </w:pPr>
            <w:r>
              <w:rPr>
                <w:rFonts w:ascii="Arial" w:cs="Arial" w:eastAsia="Arial" w:hAnsi="Arial"/>
                <w:sz w:val="14"/>
                <w:szCs w:val="14"/>
                <w:b w:val="1"/>
                <w:bCs w:val="1"/>
                <w:color w:val="00467D"/>
              </w:rPr>
              <w:t>(In thousands)</w:t>
            </w:r>
          </w:p>
        </w:tc>
        <w:tc>
          <w:tcPr>
            <w:tcW w:w="3760" w:type="dxa"/>
            <w:vAlign w:val="bottom"/>
            <w:tcBorders>
              <w:bottom w:val="single" w:sz="8" w:color="00467D"/>
            </w:tcBorders>
          </w:tcPr>
          <w:p>
            <w:pPr>
              <w:jc w:val="right"/>
              <w:ind w:right="464"/>
              <w:spacing w:after="0"/>
              <w:rPr>
                <w:sz w:val="20"/>
                <w:szCs w:val="20"/>
                <w:color w:val="auto"/>
              </w:rPr>
            </w:pPr>
            <w:r>
              <w:rPr>
                <w:rFonts w:ascii="Arial" w:cs="Arial" w:eastAsia="Arial" w:hAnsi="Arial"/>
                <w:sz w:val="14"/>
                <w:szCs w:val="14"/>
                <w:b w:val="1"/>
                <w:bCs w:val="1"/>
                <w:color w:val="00467D"/>
              </w:rPr>
              <w:t>2022</w:t>
            </w:r>
          </w:p>
        </w:tc>
        <w:tc>
          <w:tcPr>
            <w:tcW w:w="1680" w:type="dxa"/>
            <w:vAlign w:val="bottom"/>
            <w:tcBorders>
              <w:bottom w:val="single" w:sz="8" w:color="00467D"/>
            </w:tcBorders>
          </w:tcPr>
          <w:p>
            <w:pPr>
              <w:jc w:val="right"/>
              <w:ind w:right="784"/>
              <w:spacing w:after="0"/>
              <w:rPr>
                <w:sz w:val="20"/>
                <w:szCs w:val="20"/>
                <w:color w:val="auto"/>
              </w:rPr>
            </w:pPr>
            <w:r>
              <w:rPr>
                <w:rFonts w:ascii="Arial" w:cs="Arial" w:eastAsia="Arial" w:hAnsi="Arial"/>
                <w:sz w:val="14"/>
                <w:szCs w:val="14"/>
                <w:b w:val="1"/>
                <w:bCs w:val="1"/>
                <w:color w:val="00467D"/>
              </w:rPr>
              <w:t>2021</w:t>
            </w:r>
          </w:p>
        </w:tc>
      </w:tr>
      <w:tr>
        <w:trPr>
          <w:trHeight w:val="244"/>
        </w:trPr>
        <w:tc>
          <w:tcPr>
            <w:tcW w:w="4240" w:type="dxa"/>
            <w:vAlign w:val="bottom"/>
            <w:tcBorders>
              <w:bottom w:val="single" w:sz="8" w:color="99B5CB"/>
            </w:tcBorders>
          </w:tcPr>
          <w:p>
            <w:pPr>
              <w:ind w:left="60"/>
              <w:spacing w:after="0"/>
              <w:rPr>
                <w:sz w:val="20"/>
                <w:szCs w:val="20"/>
                <w:color w:val="auto"/>
              </w:rPr>
            </w:pPr>
            <w:r>
              <w:rPr>
                <w:rFonts w:ascii="Arial" w:cs="Arial" w:eastAsia="Arial" w:hAnsi="Arial"/>
                <w:sz w:val="15"/>
                <w:szCs w:val="15"/>
                <w:color w:val="auto"/>
              </w:rPr>
              <w:t>Audit Fees</w:t>
            </w:r>
          </w:p>
        </w:tc>
        <w:tc>
          <w:tcPr>
            <w:tcW w:w="3760" w:type="dxa"/>
            <w:vAlign w:val="bottom"/>
            <w:tcBorders>
              <w:bottom w:val="single" w:sz="8" w:color="99B5CB"/>
            </w:tcBorders>
          </w:tcPr>
          <w:p>
            <w:pPr>
              <w:jc w:val="right"/>
              <w:ind w:right="364"/>
              <w:spacing w:after="0"/>
              <w:rPr>
                <w:sz w:val="20"/>
                <w:szCs w:val="20"/>
                <w:color w:val="auto"/>
              </w:rPr>
            </w:pPr>
            <w:r>
              <w:rPr>
                <w:rFonts w:ascii="Arial" w:cs="Arial" w:eastAsia="Arial" w:hAnsi="Arial"/>
                <w:sz w:val="15"/>
                <w:szCs w:val="15"/>
                <w:color w:val="auto"/>
              </w:rPr>
              <w:t>$3,041</w:t>
            </w:r>
          </w:p>
        </w:tc>
        <w:tc>
          <w:tcPr>
            <w:tcW w:w="1680" w:type="dxa"/>
            <w:vAlign w:val="bottom"/>
            <w:tcBorders>
              <w:bottom w:val="single" w:sz="8" w:color="99B5CB"/>
            </w:tcBorders>
          </w:tcPr>
          <w:p>
            <w:pPr>
              <w:jc w:val="right"/>
              <w:ind w:right="684"/>
              <w:spacing w:after="0"/>
              <w:rPr>
                <w:sz w:val="20"/>
                <w:szCs w:val="20"/>
                <w:color w:val="auto"/>
              </w:rPr>
            </w:pPr>
            <w:r>
              <w:rPr>
                <w:rFonts w:ascii="Arial" w:cs="Arial" w:eastAsia="Arial" w:hAnsi="Arial"/>
                <w:sz w:val="15"/>
                <w:szCs w:val="15"/>
                <w:color w:val="auto"/>
              </w:rPr>
              <w:t>$2,892</w:t>
            </w:r>
          </w:p>
        </w:tc>
      </w:tr>
      <w:tr>
        <w:trPr>
          <w:trHeight w:val="251"/>
        </w:trPr>
        <w:tc>
          <w:tcPr>
            <w:tcW w:w="4240" w:type="dxa"/>
            <w:vAlign w:val="bottom"/>
            <w:tcBorders>
              <w:bottom w:val="single" w:sz="8" w:color="99B5CB"/>
            </w:tcBorders>
          </w:tcPr>
          <w:p>
            <w:pPr>
              <w:ind w:left="60"/>
              <w:spacing w:after="0"/>
              <w:rPr>
                <w:sz w:val="20"/>
                <w:szCs w:val="20"/>
                <w:color w:val="auto"/>
              </w:rPr>
            </w:pPr>
            <w:r>
              <w:rPr>
                <w:rFonts w:ascii="Arial" w:cs="Arial" w:eastAsia="Arial" w:hAnsi="Arial"/>
                <w:sz w:val="15"/>
                <w:szCs w:val="15"/>
                <w:color w:val="auto"/>
              </w:rPr>
              <w:t>Audit-Related Fees</w:t>
            </w:r>
          </w:p>
        </w:tc>
        <w:tc>
          <w:tcPr>
            <w:tcW w:w="3760" w:type="dxa"/>
            <w:vAlign w:val="bottom"/>
            <w:tcBorders>
              <w:bottom w:val="single" w:sz="8" w:color="99B5CB"/>
            </w:tcBorders>
          </w:tcPr>
          <w:p>
            <w:pPr>
              <w:jc w:val="right"/>
              <w:ind w:right="364"/>
              <w:spacing w:after="0"/>
              <w:rPr>
                <w:sz w:val="20"/>
                <w:szCs w:val="20"/>
                <w:color w:val="auto"/>
              </w:rPr>
            </w:pPr>
            <w:r>
              <w:rPr>
                <w:rFonts w:ascii="Arial" w:cs="Arial" w:eastAsia="Arial" w:hAnsi="Arial"/>
                <w:sz w:val="15"/>
                <w:szCs w:val="15"/>
                <w:color w:val="auto"/>
              </w:rPr>
              <w:t>21</w:t>
            </w:r>
          </w:p>
        </w:tc>
        <w:tc>
          <w:tcPr>
            <w:tcW w:w="1680" w:type="dxa"/>
            <w:vAlign w:val="bottom"/>
            <w:tcBorders>
              <w:bottom w:val="single" w:sz="8" w:color="99B5CB"/>
            </w:tcBorders>
          </w:tcPr>
          <w:p>
            <w:pPr>
              <w:jc w:val="right"/>
              <w:ind w:right="684"/>
              <w:spacing w:after="0"/>
              <w:rPr>
                <w:sz w:val="20"/>
                <w:szCs w:val="20"/>
                <w:color w:val="auto"/>
              </w:rPr>
            </w:pPr>
            <w:r>
              <w:rPr>
                <w:rFonts w:ascii="Arial" w:cs="Arial" w:eastAsia="Arial" w:hAnsi="Arial"/>
                <w:sz w:val="15"/>
                <w:szCs w:val="15"/>
                <w:color w:val="auto"/>
              </w:rPr>
              <w:t>19</w:t>
            </w:r>
          </w:p>
        </w:tc>
      </w:tr>
      <w:tr>
        <w:trPr>
          <w:trHeight w:val="251"/>
        </w:trPr>
        <w:tc>
          <w:tcPr>
            <w:tcW w:w="4240" w:type="dxa"/>
            <w:vAlign w:val="bottom"/>
            <w:tcBorders>
              <w:bottom w:val="single" w:sz="8" w:color="99B5CB"/>
            </w:tcBorders>
          </w:tcPr>
          <w:p>
            <w:pPr>
              <w:ind w:left="60"/>
              <w:spacing w:after="0"/>
              <w:rPr>
                <w:sz w:val="20"/>
                <w:szCs w:val="20"/>
                <w:color w:val="auto"/>
              </w:rPr>
            </w:pPr>
            <w:r>
              <w:rPr>
                <w:rFonts w:ascii="Arial" w:cs="Arial" w:eastAsia="Arial" w:hAnsi="Arial"/>
                <w:sz w:val="15"/>
                <w:szCs w:val="15"/>
                <w:color w:val="auto"/>
              </w:rPr>
              <w:t>Tax Fees</w:t>
            </w:r>
          </w:p>
        </w:tc>
        <w:tc>
          <w:tcPr>
            <w:tcW w:w="3760" w:type="dxa"/>
            <w:vAlign w:val="bottom"/>
            <w:tcBorders>
              <w:bottom w:val="single" w:sz="8" w:color="99B5CB"/>
            </w:tcBorders>
          </w:tcPr>
          <w:p>
            <w:pPr>
              <w:jc w:val="right"/>
              <w:ind w:right="364"/>
              <w:spacing w:after="0"/>
              <w:rPr>
                <w:sz w:val="20"/>
                <w:szCs w:val="20"/>
                <w:color w:val="auto"/>
              </w:rPr>
            </w:pPr>
            <w:r>
              <w:rPr>
                <w:rFonts w:ascii="Arial" w:cs="Arial" w:eastAsia="Arial" w:hAnsi="Arial"/>
                <w:sz w:val="15"/>
                <w:szCs w:val="15"/>
                <w:color w:val="auto"/>
              </w:rPr>
              <w:t>449</w:t>
            </w:r>
          </w:p>
        </w:tc>
        <w:tc>
          <w:tcPr>
            <w:tcW w:w="1680" w:type="dxa"/>
            <w:vAlign w:val="bottom"/>
            <w:tcBorders>
              <w:bottom w:val="single" w:sz="8" w:color="99B5CB"/>
            </w:tcBorders>
          </w:tcPr>
          <w:p>
            <w:pPr>
              <w:jc w:val="right"/>
              <w:ind w:right="684"/>
              <w:spacing w:after="0"/>
              <w:rPr>
                <w:sz w:val="20"/>
                <w:szCs w:val="20"/>
                <w:color w:val="auto"/>
              </w:rPr>
            </w:pPr>
            <w:r>
              <w:rPr>
                <w:rFonts w:ascii="Arial" w:cs="Arial" w:eastAsia="Arial" w:hAnsi="Arial"/>
                <w:sz w:val="15"/>
                <w:szCs w:val="15"/>
                <w:color w:val="auto"/>
              </w:rPr>
              <w:t>307</w:t>
            </w:r>
          </w:p>
        </w:tc>
      </w:tr>
      <w:tr>
        <w:trPr>
          <w:trHeight w:val="251"/>
        </w:trPr>
        <w:tc>
          <w:tcPr>
            <w:tcW w:w="4240" w:type="dxa"/>
            <w:vAlign w:val="bottom"/>
            <w:tcBorders>
              <w:bottom w:val="single" w:sz="8" w:color="99B5CB"/>
            </w:tcBorders>
          </w:tcPr>
          <w:p>
            <w:pPr>
              <w:ind w:left="60"/>
              <w:spacing w:after="0"/>
              <w:rPr>
                <w:sz w:val="20"/>
                <w:szCs w:val="20"/>
                <w:color w:val="auto"/>
              </w:rPr>
            </w:pPr>
            <w:r>
              <w:rPr>
                <w:rFonts w:ascii="Arial" w:cs="Arial" w:eastAsia="Arial" w:hAnsi="Arial"/>
                <w:sz w:val="15"/>
                <w:szCs w:val="15"/>
                <w:color w:val="auto"/>
              </w:rPr>
              <w:t>All Other Fees</w:t>
            </w:r>
          </w:p>
        </w:tc>
        <w:tc>
          <w:tcPr>
            <w:tcW w:w="3760" w:type="dxa"/>
            <w:vAlign w:val="bottom"/>
            <w:tcBorders>
              <w:bottom w:val="single" w:sz="8" w:color="99B5CB"/>
            </w:tcBorders>
          </w:tcPr>
          <w:p>
            <w:pPr>
              <w:jc w:val="right"/>
              <w:ind w:right="544"/>
              <w:spacing w:after="0"/>
              <w:rPr>
                <w:sz w:val="20"/>
                <w:szCs w:val="20"/>
                <w:color w:val="auto"/>
              </w:rPr>
            </w:pPr>
            <w:r>
              <w:rPr>
                <w:rFonts w:ascii="Arial" w:cs="Arial" w:eastAsia="Arial" w:hAnsi="Arial"/>
                <w:sz w:val="15"/>
                <w:szCs w:val="15"/>
                <w:color w:val="auto"/>
              </w:rPr>
              <w:t>—</w:t>
            </w:r>
          </w:p>
        </w:tc>
        <w:tc>
          <w:tcPr>
            <w:tcW w:w="1680" w:type="dxa"/>
            <w:vAlign w:val="bottom"/>
            <w:tcBorders>
              <w:bottom w:val="single" w:sz="8" w:color="99B5CB"/>
            </w:tcBorders>
          </w:tcPr>
          <w:p>
            <w:pPr>
              <w:jc w:val="right"/>
              <w:ind w:right="864"/>
              <w:spacing w:after="0"/>
              <w:rPr>
                <w:sz w:val="20"/>
                <w:szCs w:val="20"/>
                <w:color w:val="auto"/>
              </w:rPr>
            </w:pPr>
            <w:r>
              <w:rPr>
                <w:rFonts w:ascii="Arial" w:cs="Arial" w:eastAsia="Arial" w:hAnsi="Arial"/>
                <w:sz w:val="15"/>
                <w:szCs w:val="15"/>
                <w:color w:val="auto"/>
              </w:rPr>
              <w:t>—</w:t>
            </w:r>
          </w:p>
        </w:tc>
      </w:tr>
      <w:tr>
        <w:trPr>
          <w:trHeight w:val="251"/>
        </w:trPr>
        <w:tc>
          <w:tcPr>
            <w:tcW w:w="4240" w:type="dxa"/>
            <w:vAlign w:val="bottom"/>
            <w:tcBorders>
              <w:bottom w:val="single" w:sz="8" w:color="00467D"/>
            </w:tcBorders>
          </w:tcPr>
          <w:p>
            <w:pPr>
              <w:ind w:left="60"/>
              <w:spacing w:after="0"/>
              <w:rPr>
                <w:sz w:val="20"/>
                <w:szCs w:val="20"/>
                <w:color w:val="auto"/>
              </w:rPr>
            </w:pPr>
            <w:r>
              <w:rPr>
                <w:rFonts w:ascii="Arial" w:cs="Arial" w:eastAsia="Arial" w:hAnsi="Arial"/>
                <w:sz w:val="15"/>
                <w:szCs w:val="15"/>
                <w:color w:val="auto"/>
              </w:rPr>
              <w:t>Total Fees</w:t>
            </w:r>
          </w:p>
        </w:tc>
        <w:tc>
          <w:tcPr>
            <w:tcW w:w="3760" w:type="dxa"/>
            <w:vAlign w:val="bottom"/>
            <w:tcBorders>
              <w:bottom w:val="single" w:sz="8" w:color="00467D"/>
            </w:tcBorders>
          </w:tcPr>
          <w:p>
            <w:pPr>
              <w:jc w:val="right"/>
              <w:ind w:right="364"/>
              <w:spacing w:after="0"/>
              <w:rPr>
                <w:sz w:val="20"/>
                <w:szCs w:val="20"/>
                <w:color w:val="auto"/>
              </w:rPr>
            </w:pPr>
            <w:r>
              <w:rPr>
                <w:rFonts w:ascii="Arial" w:cs="Arial" w:eastAsia="Arial" w:hAnsi="Arial"/>
                <w:sz w:val="15"/>
                <w:szCs w:val="15"/>
                <w:color w:val="auto"/>
              </w:rPr>
              <w:t>$ 3,511</w:t>
            </w:r>
          </w:p>
        </w:tc>
        <w:tc>
          <w:tcPr>
            <w:tcW w:w="1680" w:type="dxa"/>
            <w:vAlign w:val="bottom"/>
            <w:tcBorders>
              <w:bottom w:val="single" w:sz="8" w:color="00467D"/>
            </w:tcBorders>
          </w:tcPr>
          <w:p>
            <w:pPr>
              <w:jc w:val="right"/>
              <w:ind w:right="684"/>
              <w:spacing w:after="0"/>
              <w:rPr>
                <w:sz w:val="20"/>
                <w:szCs w:val="20"/>
                <w:color w:val="auto"/>
              </w:rPr>
            </w:pPr>
            <w:r>
              <w:rPr>
                <w:rFonts w:ascii="Arial" w:cs="Arial" w:eastAsia="Arial" w:hAnsi="Arial"/>
                <w:sz w:val="15"/>
                <w:szCs w:val="15"/>
                <w:color w:val="auto"/>
              </w:rPr>
              <w:t>$3,218</w:t>
            </w:r>
          </w:p>
        </w:tc>
      </w:tr>
    </w:tbl>
    <w:p>
      <w:pPr>
        <w:spacing w:after="0" w:line="151" w:lineRule="exact"/>
        <w:rPr>
          <w:sz w:val="20"/>
          <w:szCs w:val="20"/>
          <w:color w:val="auto"/>
        </w:rPr>
      </w:pPr>
    </w:p>
    <w:p>
      <w:pPr>
        <w:ind w:left="360" w:right="100"/>
        <w:spacing w:after="0" w:line="250" w:lineRule="auto"/>
        <w:rPr>
          <w:sz w:val="20"/>
          <w:szCs w:val="20"/>
          <w:color w:val="auto"/>
        </w:rPr>
      </w:pPr>
      <w:r>
        <w:rPr>
          <w:rFonts w:ascii="Arial" w:cs="Arial" w:eastAsia="Arial" w:hAnsi="Arial"/>
          <w:sz w:val="17"/>
          <w:szCs w:val="17"/>
          <w:b w:val="1"/>
          <w:bCs w:val="1"/>
          <w:i w:val="1"/>
          <w:iCs w:val="1"/>
          <w:color w:val="auto"/>
        </w:rPr>
        <w:t xml:space="preserve">Audit Fees </w:t>
      </w:r>
      <w:r>
        <w:rPr>
          <w:rFonts w:ascii="Arial" w:cs="Arial" w:eastAsia="Arial" w:hAnsi="Arial"/>
          <w:sz w:val="17"/>
          <w:szCs w:val="17"/>
          <w:color w:val="auto"/>
        </w:rPr>
        <w:t>consisted of fees for (a) professional services rendered for the annual audit of Sotera Health’s consolidated financial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statements, (b) the audit of Sotera Health’s internal control over financial reporting, (c) review of the interim consolidated financial statements included in quarterly reports and (d) services that are typically provided by an independent registered public accounting firm in connection with statutory and regulatory filings or engagements.</w:t>
      </w:r>
    </w:p>
    <w:p>
      <w:pPr>
        <w:spacing w:after="0" w:line="141" w:lineRule="exact"/>
        <w:rPr>
          <w:sz w:val="20"/>
          <w:szCs w:val="20"/>
          <w:color w:val="auto"/>
        </w:rPr>
      </w:pPr>
    </w:p>
    <w:p>
      <w:pPr>
        <w:ind w:left="360" w:right="60"/>
        <w:spacing w:after="0" w:line="246" w:lineRule="auto"/>
        <w:rPr>
          <w:sz w:val="20"/>
          <w:szCs w:val="20"/>
          <w:color w:val="auto"/>
        </w:rPr>
      </w:pPr>
      <w:r>
        <w:rPr>
          <w:rFonts w:ascii="Arial" w:cs="Arial" w:eastAsia="Arial" w:hAnsi="Arial"/>
          <w:sz w:val="17"/>
          <w:szCs w:val="17"/>
          <w:b w:val="1"/>
          <w:bCs w:val="1"/>
          <w:i w:val="1"/>
          <w:iCs w:val="1"/>
          <w:color w:val="auto"/>
        </w:rPr>
        <w:t xml:space="preserve">Audit-Related Fees </w:t>
      </w:r>
      <w:r>
        <w:rPr>
          <w:rFonts w:ascii="Arial" w:cs="Arial" w:eastAsia="Arial" w:hAnsi="Arial"/>
          <w:sz w:val="17"/>
          <w:szCs w:val="17"/>
          <w:color w:val="auto"/>
        </w:rPr>
        <w:t>included fees for assurance and related services that were reasonably related to the performance of the audit 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review of Sotera Health’s consolidated financial statements and are not reported under “Audit Fees.” These services include due diligence services pertaining to potential business acquisitions/dispositions; financial audits of employee benefit plans; agreed-upon or expanded audit procedures required to comply with local market requirements; assistance with internal control documentation requirements; and annual subscriptions or licensing of online content, such as accounting, tax or regulatory reference tools.</w:t>
      </w:r>
    </w:p>
    <w:p>
      <w:pPr>
        <w:spacing w:after="0" w:line="134" w:lineRule="exact"/>
        <w:rPr>
          <w:sz w:val="20"/>
          <w:szCs w:val="20"/>
          <w:color w:val="auto"/>
        </w:rPr>
      </w:pPr>
    </w:p>
    <w:p>
      <w:pPr>
        <w:ind w:left="360" w:right="180"/>
        <w:spacing w:after="0" w:line="256" w:lineRule="auto"/>
        <w:rPr>
          <w:sz w:val="20"/>
          <w:szCs w:val="20"/>
          <w:color w:val="auto"/>
        </w:rPr>
      </w:pPr>
      <w:r>
        <w:rPr>
          <w:rFonts w:ascii="Arial" w:cs="Arial" w:eastAsia="Arial" w:hAnsi="Arial"/>
          <w:sz w:val="17"/>
          <w:szCs w:val="17"/>
          <w:b w:val="1"/>
          <w:bCs w:val="1"/>
          <w:i w:val="1"/>
          <w:iCs w:val="1"/>
          <w:color w:val="auto"/>
        </w:rPr>
        <w:t xml:space="preserve">Tax Fees </w:t>
      </w:r>
      <w:r>
        <w:rPr>
          <w:rFonts w:ascii="Arial" w:cs="Arial" w:eastAsia="Arial" w:hAnsi="Arial"/>
          <w:sz w:val="17"/>
          <w:szCs w:val="17"/>
          <w:color w:val="auto"/>
        </w:rPr>
        <w:t>consisted of fees for professional services for tax compliance and review, and tax planning and advice. These services include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assistance regarding federal, state and international tax matters, including compliance, return preparation, tax audits, tax advisory and consulting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231775</wp:posOffset>
            </wp:positionH>
            <wp:positionV relativeFrom="paragraph">
              <wp:posOffset>88900</wp:posOffset>
            </wp:positionV>
            <wp:extent cx="6687820" cy="1651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687820" cy="16510"/>
                    </a:xfrm>
                    <a:prstGeom prst="rect">
                      <a:avLst/>
                    </a:prstGeom>
                    <a:noFill/>
                  </pic:spPr>
                </pic:pic>
              </a:graphicData>
            </a:graphic>
          </wp:anchor>
        </w:drawing>
      </w:r>
    </w:p>
    <w:p>
      <w:pPr>
        <w:spacing w:after="0" w:line="310"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6443980</wp:posOffset>
            </wp:positionH>
            <wp:positionV relativeFrom="paragraph">
              <wp:posOffset>-113030</wp:posOffset>
            </wp:positionV>
            <wp:extent cx="475615" cy="15557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475615" cy="155575"/>
                    </a:xfrm>
                    <a:prstGeom prst="rect">
                      <a:avLst/>
                    </a:prstGeom>
                    <a:noFill/>
                  </pic:spPr>
                </pic:pic>
              </a:graphicData>
            </a:graphic>
          </wp:anchor>
        </w:drawing>
      </w:r>
    </w:p>
    <w:p>
      <w:pPr>
        <w:sectPr>
          <w:pgSz w:w="11900" w:h="16838" w:orient="portrait"/>
          <w:cols w:equalWidth="0" w:num="1">
            <w:col w:w="10900"/>
          </w:cols>
          <w:pgMar w:left="320" w:top="468" w:right="67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5334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79945" cy="53340"/>
                    </a:xfrm>
                    <a:prstGeom prst="rect">
                      <a:avLst/>
                    </a:prstGeom>
                    <a:noFill/>
                  </pic:spPr>
                </pic:pic>
              </a:graphicData>
            </a:graphic>
          </wp:anchor>
        </w:drawing>
        <w:t>Table of Contents</w:t>
      </w:r>
    </w:p>
    <w:p>
      <w:pPr>
        <w:spacing w:after="0" w:line="296"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auto"/>
        </w:rPr>
        <w:t>Proposal 3: Ratification of Selection of Independent Registered Public Accounting Firm</w:t>
      </w:r>
    </w:p>
    <w:p>
      <w:pPr>
        <w:spacing w:after="0" w:line="21" w:lineRule="exact"/>
        <w:rPr>
          <w:sz w:val="20"/>
          <w:szCs w:val="20"/>
          <w:color w:val="auto"/>
        </w:rPr>
      </w:pPr>
    </w:p>
    <w:p>
      <w:pPr>
        <w:ind w:left="360"/>
        <w:spacing w:after="0"/>
        <w:rPr>
          <w:sz w:val="20"/>
          <w:szCs w:val="20"/>
          <w:color w:val="auto"/>
        </w:rPr>
      </w:pPr>
      <w:r>
        <w:rPr>
          <w:rFonts w:ascii="Arial" w:cs="Arial" w:eastAsia="Arial" w:hAnsi="Arial"/>
          <w:sz w:val="14"/>
          <w:szCs w:val="14"/>
          <w:b w:val="1"/>
          <w:bCs w:val="1"/>
          <w:color w:val="auto"/>
        </w:rPr>
        <w:t>Independent Registered Public Accounting Firm Fees</w:t>
      </w:r>
    </w:p>
    <w:p>
      <w:pPr>
        <w:spacing w:after="0" w:line="114" w:lineRule="exact"/>
        <w:rPr>
          <w:sz w:val="20"/>
          <w:szCs w:val="20"/>
          <w:color w:val="auto"/>
        </w:rPr>
      </w:pPr>
    </w:p>
    <w:p>
      <w:pPr>
        <w:ind w:left="360"/>
        <w:spacing w:after="0"/>
        <w:rPr>
          <w:sz w:val="20"/>
          <w:szCs w:val="20"/>
          <w:color w:val="auto"/>
        </w:rPr>
      </w:pPr>
      <w:r>
        <w:rPr>
          <w:rFonts w:ascii="Arial" w:cs="Arial" w:eastAsia="Arial" w:hAnsi="Arial"/>
          <w:sz w:val="17"/>
          <w:szCs w:val="17"/>
          <w:b w:val="1"/>
          <w:bCs w:val="1"/>
          <w:i w:val="1"/>
          <w:iCs w:val="1"/>
          <w:color w:val="auto"/>
        </w:rPr>
        <w:t xml:space="preserve">All Other Fees </w:t>
      </w:r>
      <w:r>
        <w:rPr>
          <w:rFonts w:ascii="Arial" w:cs="Arial" w:eastAsia="Arial" w:hAnsi="Arial"/>
          <w:sz w:val="17"/>
          <w:szCs w:val="17"/>
          <w:color w:val="auto"/>
        </w:rPr>
        <w:t>would include fees for permitted services other than those that meet the criteria above.</w:t>
      </w:r>
    </w:p>
    <w:p>
      <w:pPr>
        <w:spacing w:after="0" w:line="179" w:lineRule="exact"/>
        <w:rPr>
          <w:sz w:val="20"/>
          <w:szCs w:val="20"/>
          <w:color w:val="auto"/>
        </w:rPr>
      </w:pPr>
    </w:p>
    <w:p>
      <w:pPr>
        <w:ind w:left="360" w:right="360"/>
        <w:spacing w:after="0" w:line="274" w:lineRule="auto"/>
        <w:rPr>
          <w:sz w:val="20"/>
          <w:szCs w:val="20"/>
          <w:color w:val="auto"/>
        </w:rPr>
      </w:pPr>
      <w:r>
        <w:rPr>
          <w:rFonts w:ascii="Arial" w:cs="Arial" w:eastAsia="Arial" w:hAnsi="Arial"/>
          <w:sz w:val="17"/>
          <w:szCs w:val="17"/>
          <w:color w:val="auto"/>
        </w:rPr>
        <w:t>The Audit Committee has concluded that the provision of the non-audit services described above was compatible with maintaining the independence of Ernst &amp; Young.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120650</wp:posOffset>
            </wp:positionV>
            <wp:extent cx="6146800" cy="68008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146800" cy="680085"/>
                    </a:xfrm>
                    <a:prstGeom prst="rect">
                      <a:avLst/>
                    </a:prstGeom>
                    <a:noFill/>
                  </pic:spPr>
                </pic:pic>
              </a:graphicData>
            </a:graphic>
          </wp:anchor>
        </w:drawing>
      </w:r>
    </w:p>
    <w:p>
      <w:pPr>
        <w:spacing w:after="0" w:line="324" w:lineRule="exact"/>
        <w:rPr>
          <w:sz w:val="20"/>
          <w:szCs w:val="20"/>
          <w:color w:val="auto"/>
        </w:rPr>
      </w:pPr>
    </w:p>
    <w:p>
      <w:pPr>
        <w:ind w:left="2240" w:right="480"/>
        <w:spacing w:after="0" w:line="251" w:lineRule="auto"/>
        <w:rPr>
          <w:sz w:val="20"/>
          <w:szCs w:val="20"/>
          <w:color w:val="auto"/>
        </w:rPr>
      </w:pPr>
      <w:r>
        <w:rPr>
          <w:rFonts w:ascii="Arial" w:cs="Arial" w:eastAsia="Arial" w:hAnsi="Arial"/>
          <w:sz w:val="21"/>
          <w:szCs w:val="21"/>
          <w:b w:val="1"/>
          <w:bCs w:val="1"/>
          <w:color w:val="FFFFFF"/>
        </w:rPr>
        <w:t>The Board recommends a vote “FOR” the ratification of the appointment of Ernst &amp; Young as Sotera Health’s independent registered public accounting firm for fiscal year 2023.</w:t>
      </w:r>
    </w:p>
    <w:p>
      <w:pPr>
        <w:spacing w:after="0" w:line="200" w:lineRule="exact"/>
        <w:rPr>
          <w:sz w:val="20"/>
          <w:szCs w:val="20"/>
          <w:color w:val="auto"/>
        </w:rPr>
      </w:pPr>
    </w:p>
    <w:p>
      <w:pPr>
        <w:spacing w:after="0" w:line="242" w:lineRule="exact"/>
        <w:rPr>
          <w:sz w:val="20"/>
          <w:szCs w:val="20"/>
          <w:color w:val="auto"/>
        </w:rPr>
      </w:pPr>
    </w:p>
    <w:p>
      <w:pPr>
        <w:ind w:left="360" w:right="880"/>
        <w:spacing w:after="0" w:line="296" w:lineRule="auto"/>
        <w:rPr>
          <w:sz w:val="20"/>
          <w:szCs w:val="20"/>
          <w:color w:val="auto"/>
        </w:rPr>
      </w:pPr>
      <w:r>
        <w:rPr>
          <w:rFonts w:ascii="Arial" w:cs="Arial" w:eastAsia="Arial" w:hAnsi="Arial"/>
          <w:sz w:val="30"/>
          <w:szCs w:val="30"/>
          <w:color w:val="00B0DB"/>
        </w:rPr>
        <w:t>Policy on Audit Committee’s Pre-Approval of Audit and Permissible Non-Audit Services of Independent Registered Public Accounting Firm</w:t>
      </w:r>
    </w:p>
    <w:p>
      <w:pPr>
        <w:spacing w:after="0" w:line="88" w:lineRule="exact"/>
        <w:rPr>
          <w:sz w:val="20"/>
          <w:szCs w:val="20"/>
          <w:color w:val="auto"/>
        </w:rPr>
      </w:pPr>
    </w:p>
    <w:p>
      <w:pPr>
        <w:ind w:left="360"/>
        <w:spacing w:after="0" w:line="239" w:lineRule="auto"/>
        <w:rPr>
          <w:sz w:val="20"/>
          <w:szCs w:val="20"/>
          <w:color w:val="auto"/>
        </w:rPr>
      </w:pPr>
      <w:r>
        <w:rPr>
          <w:rFonts w:ascii="Arial" w:cs="Arial" w:eastAsia="Arial" w:hAnsi="Arial"/>
          <w:sz w:val="17"/>
          <w:szCs w:val="17"/>
          <w:color w:val="auto"/>
        </w:rPr>
        <w:t>The Audit Committee reviews and pre-approves all audit and non-audit services provided to Sotera Health by the registered public accounting firm, as well as certain audit services provided to Sotera Health or its consolidated subsidiaries by any separate accounting firm on which, in the case of the consolidated subsidiaries, the registered public accounting firm expressly relies, to assure that any such services (together, the “covered services”) do not impair the independence of the registered public accounting firm. Covered services may include audit services, audit-related services and tax services, as well as specifically designated non-audit services which, in the opinion of the Audit Committee, will not impair the independence of the independent registered public accounting firm. The policy provides for the general pre-approval of predictable and recurring covered services and their related fee estimates or fee arrangements by the full Audit Committee on an annual basis. General pre-approval of any covered services shall be effective for the applicable fiscal year. The policy delegates to the chair of the Audit Committee the authority to pre-approve any individual covered services that are not the subject of general pre-approval and for which the aggregate estimated fees do not exceed $250,000. In considering whether to pre-approve such a service, the Chair shall consider the nature and scope of the proposed service in light of applicable law, as well as the principles and other guidance enunciated by the SEC and the Public Company Accounting Oversight Board (“PCAOB”) with respect to independence of the registered public accounting firm. The policy designates the CFO to monitor the performance of all services provided by the registered public accounting firm and to determine whether such services are in compliance with the policy. The CFO is required to report quarterly to the Audit Committee detailing the status of the covered services and fees previously approved by the Audit Committee (or the chair, as applicable) for the fiscal year, the amounts allocated and used for each such covered service, any additional covered services and fees request to be approved by the Audit Committee, any services that may require application of the de minimis exception for permissible non-audit services described in the policy and any other results of the CFO’s monitoring.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231775</wp:posOffset>
            </wp:positionH>
            <wp:positionV relativeFrom="paragraph">
              <wp:posOffset>104775</wp:posOffset>
            </wp:positionV>
            <wp:extent cx="6687820" cy="1651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687820" cy="16510"/>
                    </a:xfrm>
                    <a:prstGeom prst="rect">
                      <a:avLst/>
                    </a:prstGeom>
                    <a:noFill/>
                  </pic:spPr>
                </pic:pic>
              </a:graphicData>
            </a:graphic>
          </wp:anchor>
        </w:drawing>
      </w:r>
    </w:p>
    <w:p>
      <w:pPr>
        <w:spacing w:after="0" w:line="322" w:lineRule="exact"/>
        <w:rPr>
          <w:sz w:val="20"/>
          <w:szCs w:val="20"/>
          <w:color w:val="auto"/>
        </w:rPr>
      </w:pPr>
    </w:p>
    <w:tbl>
      <w:tblPr>
        <w:tblLayout w:type="fixed"/>
        <w:tblInd w:w="360" w:type="dxa"/>
        <w:tblCellMar>
          <w:top w:w="0" w:type="dxa"/>
          <w:left w:w="0" w:type="dxa"/>
          <w:bottom w:w="0" w:type="dxa"/>
          <w:right w:w="0" w:type="dxa"/>
        </w:tblCellMar>
      </w:tblPr>
      <w:tr>
        <w:trPr>
          <w:trHeight w:val="226"/>
        </w:trPr>
        <w:tc>
          <w:tcPr>
            <w:tcW w:w="3900" w:type="dxa"/>
            <w:vAlign w:val="bottom"/>
          </w:tcPr>
          <w:p>
            <w:pPr>
              <w:spacing w:after="0"/>
              <w:rPr>
                <w:sz w:val="20"/>
                <w:szCs w:val="20"/>
                <w:color w:val="auto"/>
              </w:rPr>
            </w:pPr>
            <w:r>
              <w:rPr>
                <w:rFonts w:ascii="Arial" w:cs="Arial" w:eastAsia="Arial" w:hAnsi="Arial"/>
                <w:sz w:val="17"/>
                <w:szCs w:val="17"/>
                <w:color w:val="auto"/>
              </w:rPr>
              <w:t>2023 Notice and Proxy Statement</w:t>
            </w:r>
          </w:p>
        </w:tc>
        <w:tc>
          <w:tcPr>
            <w:tcW w:w="1520" w:type="dxa"/>
            <w:vAlign w:val="bottom"/>
          </w:tcPr>
          <w:p>
            <w:pPr>
              <w:jc w:val="right"/>
              <w:spacing w:after="0"/>
              <w:rPr>
                <w:sz w:val="20"/>
                <w:szCs w:val="20"/>
                <w:color w:val="auto"/>
              </w:rPr>
            </w:pPr>
            <w:r>
              <w:rPr>
                <w:rFonts w:ascii="Arial" w:cs="Arial" w:eastAsia="Arial" w:hAnsi="Arial"/>
                <w:sz w:val="17"/>
                <w:szCs w:val="17"/>
                <w:color w:val="auto"/>
              </w:rPr>
              <w:t>68</w:t>
            </w:r>
          </w:p>
        </w:tc>
      </w:tr>
    </w:tbl>
    <w:p>
      <w:pPr>
        <w:sectPr>
          <w:pgSz w:w="11900" w:h="16838" w:orient="portrait"/>
          <w:cols w:equalWidth="0" w:num="1">
            <w:col w:w="10880"/>
          </w:cols>
          <w:pgMar w:left="320" w:top="468" w:right="69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5334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79945" cy="53340"/>
                    </a:xfrm>
                    <a:prstGeom prst="rect">
                      <a:avLst/>
                    </a:prstGeom>
                    <a:noFill/>
                  </pic:spPr>
                </pic:pic>
              </a:graphicData>
            </a:graphic>
          </wp:anchor>
        </w:drawing>
        <w:t>Table of Contents</w:t>
      </w:r>
    </w:p>
    <w:p>
      <w:pPr>
        <w:spacing w:after="0" w:line="296"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Audit Committee Report</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41"/>
          <w:szCs w:val="41"/>
          <w:b w:val="1"/>
          <w:bCs w:val="1"/>
          <w:color w:val="00B0DB"/>
        </w:rPr>
        <w:t>AUDIT COMMITTEE REPORT</w:t>
      </w:r>
    </w:p>
    <w:p>
      <w:pPr>
        <w:spacing w:after="0" w:line="237" w:lineRule="exact"/>
        <w:rPr>
          <w:sz w:val="20"/>
          <w:szCs w:val="20"/>
          <w:color w:val="auto"/>
        </w:rPr>
      </w:pPr>
    </w:p>
    <w:p>
      <w:pPr>
        <w:ind w:left="360" w:right="120"/>
        <w:spacing w:after="0" w:line="256" w:lineRule="auto"/>
        <w:rPr>
          <w:sz w:val="20"/>
          <w:szCs w:val="20"/>
          <w:color w:val="auto"/>
        </w:rPr>
      </w:pPr>
      <w:r>
        <w:rPr>
          <w:rFonts w:ascii="Arial" w:cs="Arial" w:eastAsia="Arial" w:hAnsi="Arial"/>
          <w:sz w:val="17"/>
          <w:szCs w:val="17"/>
          <w:color w:val="auto"/>
        </w:rPr>
        <w:t>The information contained in this report shall not be deemed to be “soliciting material” or “filed” with the SEC, or subject to the liabilities of Section 18 of the Exchange Act, except to the extent that Sotera Health specifically incorporates it by reference into a document filed under the Securities Act or the Exchange Act.</w:t>
      </w:r>
    </w:p>
    <w:p>
      <w:pPr>
        <w:spacing w:after="0" w:line="134" w:lineRule="exact"/>
        <w:rPr>
          <w:sz w:val="20"/>
          <w:szCs w:val="20"/>
          <w:color w:val="auto"/>
        </w:rPr>
      </w:pPr>
    </w:p>
    <w:p>
      <w:pPr>
        <w:ind w:left="360" w:right="60"/>
        <w:spacing w:after="0" w:line="250" w:lineRule="auto"/>
        <w:rPr>
          <w:sz w:val="20"/>
          <w:szCs w:val="20"/>
          <w:color w:val="auto"/>
        </w:rPr>
      </w:pPr>
      <w:r>
        <w:rPr>
          <w:rFonts w:ascii="Arial" w:cs="Arial" w:eastAsia="Arial" w:hAnsi="Arial"/>
          <w:sz w:val="17"/>
          <w:szCs w:val="17"/>
          <w:b w:val="1"/>
          <w:bCs w:val="1"/>
          <w:color w:val="auto"/>
        </w:rPr>
        <w:t xml:space="preserve">Composition. </w:t>
      </w:r>
      <w:r>
        <w:rPr>
          <w:rFonts w:ascii="Arial" w:cs="Arial" w:eastAsia="Arial" w:hAnsi="Arial"/>
          <w:sz w:val="17"/>
          <w:szCs w:val="17"/>
          <w:color w:val="auto"/>
        </w:rPr>
        <w:t>The Audit Committee of the Board is composed of the directors named below. Each member of the Audit Committee meets</w:t>
      </w:r>
      <w:r>
        <w:rPr>
          <w:rFonts w:ascii="Arial" w:cs="Arial" w:eastAsia="Arial" w:hAnsi="Arial"/>
          <w:sz w:val="17"/>
          <w:szCs w:val="17"/>
          <w:b w:val="1"/>
          <w:bCs w:val="1"/>
          <w:color w:val="auto"/>
        </w:rPr>
        <w:t xml:space="preserve"> </w:t>
      </w:r>
      <w:r>
        <w:rPr>
          <w:rFonts w:ascii="Arial" w:cs="Arial" w:eastAsia="Arial" w:hAnsi="Arial"/>
          <w:sz w:val="17"/>
          <w:szCs w:val="17"/>
          <w:color w:val="auto"/>
        </w:rPr>
        <w:t>the financial experience requirements under applicable SEC rules and Nasdaq listing standards. Vincent K. Petrella, Ann R. Klee and David E. Wheadon meet the independence requirements under applicable SEC rules and Nasdaq listing standards. In addition, the Board has determined that Mr. Petrella is an “audit committee financial expert” as defined by SEC rules.</w:t>
      </w:r>
    </w:p>
    <w:p>
      <w:pPr>
        <w:spacing w:after="0" w:line="128" w:lineRule="exact"/>
        <w:rPr>
          <w:sz w:val="20"/>
          <w:szCs w:val="20"/>
          <w:color w:val="auto"/>
        </w:rPr>
      </w:pPr>
    </w:p>
    <w:p>
      <w:pPr>
        <w:ind w:left="360" w:right="20"/>
        <w:spacing w:after="0" w:line="244" w:lineRule="auto"/>
        <w:rPr>
          <w:sz w:val="20"/>
          <w:szCs w:val="20"/>
          <w:color w:val="auto"/>
        </w:rPr>
      </w:pPr>
      <w:r>
        <w:rPr>
          <w:rFonts w:ascii="Arial" w:cs="Arial" w:eastAsia="Arial" w:hAnsi="Arial"/>
          <w:sz w:val="17"/>
          <w:szCs w:val="17"/>
          <w:b w:val="1"/>
          <w:bCs w:val="1"/>
          <w:color w:val="auto"/>
        </w:rPr>
        <w:t xml:space="preserve">Responsibilities. </w:t>
      </w:r>
      <w:r>
        <w:rPr>
          <w:rFonts w:ascii="Arial" w:cs="Arial" w:eastAsia="Arial" w:hAnsi="Arial"/>
          <w:sz w:val="17"/>
          <w:szCs w:val="17"/>
          <w:color w:val="auto"/>
        </w:rPr>
        <w:t>The Audit Committee operates under a written charter that has been adopted by the Board. The charter is reviewed</w:t>
      </w:r>
      <w:r>
        <w:rPr>
          <w:rFonts w:ascii="Arial" w:cs="Arial" w:eastAsia="Arial" w:hAnsi="Arial"/>
          <w:sz w:val="17"/>
          <w:szCs w:val="17"/>
          <w:b w:val="1"/>
          <w:bCs w:val="1"/>
          <w:color w:val="auto"/>
        </w:rPr>
        <w:t xml:space="preserve"> </w:t>
      </w:r>
      <w:r>
        <w:rPr>
          <w:rFonts w:ascii="Arial" w:cs="Arial" w:eastAsia="Arial" w:hAnsi="Arial"/>
          <w:sz w:val="17"/>
          <w:szCs w:val="17"/>
          <w:color w:val="auto"/>
        </w:rPr>
        <w:t>annually for changes, as appropriate. The Audit Committee is responsible for general oversight of Sotera Health’s accounting and financial reporting processes, Sotera Health’s relationship with its independent registered public accounting firm, Sotera Health’s compliance with legal and regulatory requirements and Sotera Health’s policies and procedures with respect to risk assessment and risk management. Sotera Health’s management is responsible for: (a) maintaining Sotera Health’s books of account and preparing periodic financial statements based thereon; and (b) maintaining the system of internal control over financial reporting. The independent registered public accounting firm is responsible for auditing Sotera Health’s annual consolidated financial statements.</w:t>
      </w:r>
    </w:p>
    <w:p>
      <w:pPr>
        <w:spacing w:after="0" w:line="132"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 xml:space="preserve">Review with Management and Independent Registered Public Accounting Firm. </w:t>
      </w:r>
      <w:r>
        <w:rPr>
          <w:rFonts w:ascii="Arial" w:cs="Arial" w:eastAsia="Arial" w:hAnsi="Arial"/>
          <w:sz w:val="17"/>
          <w:szCs w:val="17"/>
          <w:color w:val="auto"/>
        </w:rPr>
        <w:t>The Audit Committee hereby reports as follows:</w:t>
      </w:r>
    </w:p>
    <w:p>
      <w:pPr>
        <w:spacing w:after="0" w:line="116" w:lineRule="exact"/>
        <w:rPr>
          <w:sz w:val="20"/>
          <w:szCs w:val="20"/>
          <w:color w:val="auto"/>
        </w:rPr>
      </w:pPr>
    </w:p>
    <w:p>
      <w:pPr>
        <w:ind w:left="1080" w:right="180" w:hanging="412"/>
        <w:spacing w:after="0" w:line="256" w:lineRule="auto"/>
        <w:tabs>
          <w:tab w:leader="none" w:pos="1080" w:val="left"/>
        </w:tabs>
        <w:numPr>
          <w:ilvl w:val="0"/>
          <w:numId w:val="48"/>
        </w:numPr>
        <w:rPr>
          <w:rFonts w:ascii="Arial" w:cs="Arial" w:eastAsia="Arial" w:hAnsi="Arial"/>
          <w:sz w:val="17"/>
          <w:szCs w:val="17"/>
          <w:b w:val="1"/>
          <w:bCs w:val="1"/>
          <w:color w:val="00467D"/>
        </w:rPr>
      </w:pPr>
      <w:r>
        <w:rPr>
          <w:rFonts w:ascii="Arial" w:cs="Arial" w:eastAsia="Arial" w:hAnsi="Arial"/>
          <w:sz w:val="17"/>
          <w:szCs w:val="17"/>
          <w:color w:val="auto"/>
        </w:rPr>
        <w:t>The Audit Committee has reviewed and discussed with management and the independent registered public accounting firm, Ernst &amp; Young, together and separately, Sotera Health’s audited consolidated financial statements contained in Sotera Health’s Annual Report on Form 10-K for fiscal year 2022.</w:t>
      </w:r>
    </w:p>
    <w:p>
      <w:pPr>
        <w:spacing w:after="0" w:line="71" w:lineRule="exact"/>
        <w:rPr>
          <w:rFonts w:ascii="Arial" w:cs="Arial" w:eastAsia="Arial" w:hAnsi="Arial"/>
          <w:sz w:val="17"/>
          <w:szCs w:val="17"/>
          <w:b w:val="1"/>
          <w:bCs w:val="1"/>
          <w:color w:val="00467D"/>
        </w:rPr>
      </w:pPr>
    </w:p>
    <w:p>
      <w:pPr>
        <w:ind w:left="1080" w:hanging="412"/>
        <w:spacing w:after="0"/>
        <w:tabs>
          <w:tab w:leader="none" w:pos="1080" w:val="left"/>
        </w:tabs>
        <w:numPr>
          <w:ilvl w:val="0"/>
          <w:numId w:val="48"/>
        </w:numPr>
        <w:rPr>
          <w:rFonts w:ascii="Arial" w:cs="Arial" w:eastAsia="Arial" w:hAnsi="Arial"/>
          <w:sz w:val="17"/>
          <w:szCs w:val="17"/>
          <w:b w:val="1"/>
          <w:bCs w:val="1"/>
          <w:color w:val="00467D"/>
        </w:rPr>
      </w:pPr>
      <w:r>
        <w:rPr>
          <w:rFonts w:ascii="Arial" w:cs="Arial" w:eastAsia="Arial" w:hAnsi="Arial"/>
          <w:sz w:val="17"/>
          <w:szCs w:val="17"/>
          <w:color w:val="auto"/>
        </w:rPr>
        <w:t>The Audit Committee has discussed with Ernst &amp; Young matters required to be discussed by applicable standards of the</w:t>
      </w:r>
    </w:p>
    <w:p>
      <w:pPr>
        <w:spacing w:after="0" w:line="14" w:lineRule="exact"/>
        <w:rPr>
          <w:rFonts w:ascii="Arial" w:cs="Arial" w:eastAsia="Arial" w:hAnsi="Arial"/>
          <w:sz w:val="17"/>
          <w:szCs w:val="17"/>
          <w:b w:val="1"/>
          <w:bCs w:val="1"/>
          <w:color w:val="00467D"/>
        </w:rPr>
      </w:pPr>
    </w:p>
    <w:p>
      <w:pPr>
        <w:ind w:left="1080"/>
        <w:spacing w:after="0"/>
        <w:rPr>
          <w:rFonts w:ascii="Arial" w:cs="Arial" w:eastAsia="Arial" w:hAnsi="Arial"/>
          <w:sz w:val="17"/>
          <w:szCs w:val="17"/>
          <w:b w:val="1"/>
          <w:bCs w:val="1"/>
          <w:color w:val="00467D"/>
        </w:rPr>
      </w:pPr>
      <w:r>
        <w:rPr>
          <w:rFonts w:ascii="Arial" w:cs="Arial" w:eastAsia="Arial" w:hAnsi="Arial"/>
          <w:sz w:val="17"/>
          <w:szCs w:val="17"/>
          <w:color w:val="auto"/>
        </w:rPr>
        <w:t>PCAOB.</w:t>
      </w:r>
    </w:p>
    <w:p>
      <w:pPr>
        <w:spacing w:after="0" w:line="98" w:lineRule="exact"/>
        <w:rPr>
          <w:rFonts w:ascii="Arial" w:cs="Arial" w:eastAsia="Arial" w:hAnsi="Arial"/>
          <w:sz w:val="17"/>
          <w:szCs w:val="17"/>
          <w:b w:val="1"/>
          <w:bCs w:val="1"/>
          <w:color w:val="00467D"/>
        </w:rPr>
      </w:pPr>
    </w:p>
    <w:p>
      <w:pPr>
        <w:ind w:left="1080" w:right="60" w:hanging="412"/>
        <w:spacing w:after="0" w:line="256" w:lineRule="auto"/>
        <w:tabs>
          <w:tab w:leader="none" w:pos="1080" w:val="left"/>
        </w:tabs>
        <w:numPr>
          <w:ilvl w:val="0"/>
          <w:numId w:val="48"/>
        </w:numPr>
        <w:rPr>
          <w:rFonts w:ascii="Arial" w:cs="Arial" w:eastAsia="Arial" w:hAnsi="Arial"/>
          <w:sz w:val="17"/>
          <w:szCs w:val="17"/>
          <w:b w:val="1"/>
          <w:bCs w:val="1"/>
          <w:color w:val="00467D"/>
        </w:rPr>
      </w:pPr>
      <w:r>
        <w:rPr>
          <w:rFonts w:ascii="Arial" w:cs="Arial" w:eastAsia="Arial" w:hAnsi="Arial"/>
          <w:sz w:val="17"/>
          <w:szCs w:val="17"/>
          <w:color w:val="auto"/>
        </w:rPr>
        <w:t>The Audit Committee has received from Ernst &amp; Young the written disclosures and the letter required by applicable requirements of the PCAOB regarding Ernst &amp; Young’s communications with the Audit Committee concerning independence, and has discussed with Ernst &amp; Young its independence.</w:t>
      </w:r>
    </w:p>
    <w:p>
      <w:pPr>
        <w:spacing w:after="0" w:line="136" w:lineRule="exact"/>
        <w:rPr>
          <w:sz w:val="20"/>
          <w:szCs w:val="20"/>
          <w:color w:val="auto"/>
        </w:rPr>
      </w:pPr>
    </w:p>
    <w:p>
      <w:pPr>
        <w:ind w:left="360" w:right="340"/>
        <w:spacing w:after="0" w:line="256" w:lineRule="auto"/>
        <w:rPr>
          <w:sz w:val="20"/>
          <w:szCs w:val="20"/>
          <w:color w:val="auto"/>
        </w:rPr>
      </w:pPr>
      <w:r>
        <w:rPr>
          <w:rFonts w:ascii="Arial" w:cs="Arial" w:eastAsia="Arial" w:hAnsi="Arial"/>
          <w:sz w:val="17"/>
          <w:szCs w:val="17"/>
          <w:color w:val="auto"/>
        </w:rPr>
        <w:t>Based on the review and discussions referred to in paragraphs 1-3 above, the Audit Committee recommended to the Board, and the Board has approved, that the audited consolidated financial statements be included in the Company’s Annual Report on Form 10-K for fiscal year 2022 for filing with the SEC.</w:t>
      </w:r>
    </w:p>
    <w:p>
      <w:pPr>
        <w:spacing w:after="0" w:line="123" w:lineRule="exact"/>
        <w:rPr>
          <w:sz w:val="20"/>
          <w:szCs w:val="20"/>
          <w:color w:val="auto"/>
        </w:rPr>
      </w:pPr>
    </w:p>
    <w:p>
      <w:pPr>
        <w:ind w:left="360" w:right="180"/>
        <w:spacing w:after="0" w:line="256" w:lineRule="auto"/>
        <w:rPr>
          <w:sz w:val="20"/>
          <w:szCs w:val="20"/>
          <w:color w:val="auto"/>
        </w:rPr>
      </w:pPr>
      <w:r>
        <w:rPr>
          <w:rFonts w:ascii="Arial" w:cs="Arial" w:eastAsia="Arial" w:hAnsi="Arial"/>
          <w:sz w:val="17"/>
          <w:szCs w:val="17"/>
          <w:color w:val="auto"/>
        </w:rPr>
        <w:t>The Audit Committee appointed Ernst &amp; Young as Sotera Health’s independent registered public accounting firm for fiscal year 2023 and recommends to shareholders that they ratify the appointment of Ernst &amp; Young as Sotera Health’s independent registered public accounting firm for fiscal year 2023.</w:t>
      </w:r>
    </w:p>
    <w:p>
      <w:pPr>
        <w:spacing w:after="0" w:line="123" w:lineRule="exact"/>
        <w:rPr>
          <w:sz w:val="20"/>
          <w:szCs w:val="20"/>
          <w:color w:val="auto"/>
        </w:rPr>
      </w:pPr>
    </w:p>
    <w:p>
      <w:pPr>
        <w:ind w:left="360"/>
        <w:spacing w:after="0"/>
        <w:rPr>
          <w:sz w:val="20"/>
          <w:szCs w:val="20"/>
          <w:color w:val="auto"/>
        </w:rPr>
      </w:pPr>
      <w:r>
        <w:rPr>
          <w:rFonts w:ascii="Arial" w:cs="Arial" w:eastAsia="Arial" w:hAnsi="Arial"/>
          <w:sz w:val="17"/>
          <w:szCs w:val="17"/>
          <w:color w:val="auto"/>
        </w:rPr>
        <w:t>Respectfully submitted,</w:t>
      </w:r>
    </w:p>
    <w:p>
      <w:pPr>
        <w:spacing w:after="0" w:line="179" w:lineRule="exact"/>
        <w:rPr>
          <w:sz w:val="20"/>
          <w:szCs w:val="20"/>
          <w:color w:val="auto"/>
        </w:rPr>
      </w:pPr>
    </w:p>
    <w:p>
      <w:pPr>
        <w:ind w:left="360"/>
        <w:spacing w:after="0"/>
        <w:rPr>
          <w:sz w:val="20"/>
          <w:szCs w:val="20"/>
          <w:color w:val="auto"/>
        </w:rPr>
      </w:pPr>
      <w:r>
        <w:rPr>
          <w:rFonts w:ascii="Arial" w:cs="Arial" w:eastAsia="Arial" w:hAnsi="Arial"/>
          <w:sz w:val="17"/>
          <w:szCs w:val="17"/>
          <w:b w:val="1"/>
          <w:bCs w:val="1"/>
          <w:i w:val="1"/>
          <w:iCs w:val="1"/>
          <w:color w:val="auto"/>
        </w:rPr>
        <w:t>The Audit Committee</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17"/>
          <w:szCs w:val="17"/>
          <w:color w:val="auto"/>
        </w:rPr>
        <w:t>Vincent K. Petrella, Chair</w:t>
      </w:r>
    </w:p>
    <w:p>
      <w:pPr>
        <w:spacing w:after="0" w:line="12" w:lineRule="exact"/>
        <w:rPr>
          <w:sz w:val="20"/>
          <w:szCs w:val="20"/>
          <w:color w:val="auto"/>
        </w:rPr>
      </w:pPr>
    </w:p>
    <w:p>
      <w:pPr>
        <w:ind w:left="360"/>
        <w:spacing w:after="0"/>
        <w:rPr>
          <w:sz w:val="20"/>
          <w:szCs w:val="20"/>
          <w:color w:val="auto"/>
        </w:rPr>
      </w:pPr>
      <w:r>
        <w:rPr>
          <w:rFonts w:ascii="Arial" w:cs="Arial" w:eastAsia="Arial" w:hAnsi="Arial"/>
          <w:sz w:val="17"/>
          <w:szCs w:val="17"/>
          <w:color w:val="auto"/>
        </w:rPr>
        <w:t>Ann R. Klee</w:t>
      </w:r>
    </w:p>
    <w:p>
      <w:pPr>
        <w:ind w:left="360"/>
        <w:spacing w:after="0"/>
        <w:rPr>
          <w:sz w:val="20"/>
          <w:szCs w:val="20"/>
          <w:color w:val="auto"/>
        </w:rPr>
      </w:pPr>
      <w:r>
        <w:rPr>
          <w:rFonts w:ascii="Arial" w:cs="Arial" w:eastAsia="Arial" w:hAnsi="Arial"/>
          <w:sz w:val="17"/>
          <w:szCs w:val="17"/>
          <w:color w:val="auto"/>
        </w:rPr>
        <w:t>David E. Wheadon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231775</wp:posOffset>
            </wp:positionH>
            <wp:positionV relativeFrom="paragraph">
              <wp:posOffset>106045</wp:posOffset>
            </wp:positionV>
            <wp:extent cx="6687820" cy="1651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687820" cy="16510"/>
                    </a:xfrm>
                    <a:prstGeom prst="rect">
                      <a:avLst/>
                    </a:prstGeom>
                    <a:noFill/>
                  </pic:spPr>
                </pic:pic>
              </a:graphicData>
            </a:graphic>
          </wp:anchor>
        </w:drawing>
      </w:r>
    </w:p>
    <w:p>
      <w:pPr>
        <w:spacing w:after="0" w:line="336"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6443980</wp:posOffset>
            </wp:positionH>
            <wp:positionV relativeFrom="paragraph">
              <wp:posOffset>-113030</wp:posOffset>
            </wp:positionV>
            <wp:extent cx="475615" cy="15557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475615" cy="155575"/>
                    </a:xfrm>
                    <a:prstGeom prst="rect">
                      <a:avLst/>
                    </a:prstGeom>
                    <a:noFill/>
                  </pic:spPr>
                </pic:pic>
              </a:graphicData>
            </a:graphic>
          </wp:anchor>
        </w:drawing>
      </w:r>
    </w:p>
    <w:p>
      <w:pPr>
        <w:sectPr>
          <w:pgSz w:w="11900" w:h="16838" w:orient="portrait"/>
          <w:cols w:equalWidth="0" w:num="1">
            <w:col w:w="10900"/>
          </w:cols>
          <w:pgMar w:left="320" w:top="468" w:right="67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5334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79945" cy="53340"/>
                    </a:xfrm>
                    <a:prstGeom prst="rect">
                      <a:avLst/>
                    </a:prstGeom>
                    <a:noFill/>
                  </pic:spPr>
                </pic:pic>
              </a:graphicData>
            </a:graphic>
          </wp:anchor>
        </w:drawing>
        <w:t>Table of Contents</w:t>
      </w:r>
    </w:p>
    <w:p>
      <w:pPr>
        <w:spacing w:after="0" w:line="296"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auto"/>
        </w:rPr>
        <w:t>Security Ownership of Certain Beneficial Owners and Management</w:t>
      </w:r>
    </w:p>
    <w:p>
      <w:pPr>
        <w:spacing w:after="0" w:line="117" w:lineRule="exact"/>
        <w:rPr>
          <w:sz w:val="20"/>
          <w:szCs w:val="20"/>
          <w:color w:val="auto"/>
        </w:rPr>
      </w:pPr>
    </w:p>
    <w:p>
      <w:pPr>
        <w:ind w:left="360" w:right="600"/>
        <w:spacing w:after="0" w:line="293" w:lineRule="auto"/>
        <w:rPr>
          <w:sz w:val="20"/>
          <w:szCs w:val="20"/>
          <w:color w:val="auto"/>
        </w:rPr>
      </w:pPr>
      <w:r>
        <w:rPr>
          <w:rFonts w:ascii="Arial" w:cs="Arial" w:eastAsia="Arial" w:hAnsi="Arial"/>
          <w:sz w:val="41"/>
          <w:szCs w:val="41"/>
          <w:b w:val="1"/>
          <w:bCs w:val="1"/>
          <w:color w:val="00B0DB"/>
        </w:rPr>
        <w:t>SECURITY OWNERSHIP OF CERTAIN BENEFICIAL OWNERS AND MANAGEMENT</w:t>
      </w:r>
    </w:p>
    <w:p>
      <w:pPr>
        <w:spacing w:after="0" w:line="35" w:lineRule="exact"/>
        <w:rPr>
          <w:sz w:val="20"/>
          <w:szCs w:val="20"/>
          <w:color w:val="auto"/>
        </w:rPr>
      </w:pPr>
    </w:p>
    <w:p>
      <w:pPr>
        <w:ind w:left="360"/>
        <w:spacing w:after="0"/>
        <w:rPr>
          <w:sz w:val="20"/>
          <w:szCs w:val="20"/>
          <w:color w:val="auto"/>
        </w:rPr>
      </w:pPr>
      <w:r>
        <w:rPr>
          <w:rFonts w:ascii="Arial" w:cs="Arial" w:eastAsia="Arial" w:hAnsi="Arial"/>
          <w:sz w:val="17"/>
          <w:szCs w:val="17"/>
          <w:color w:val="auto"/>
        </w:rPr>
        <w:t>The following table sets forth information regarding the beneficial ownership of our common stock as of March 31, 2023 by:</w:t>
      </w:r>
    </w:p>
    <w:p>
      <w:pPr>
        <w:spacing w:after="0" w:line="114" w:lineRule="exact"/>
        <w:rPr>
          <w:sz w:val="20"/>
          <w:szCs w:val="20"/>
          <w:color w:val="auto"/>
        </w:rPr>
      </w:pPr>
    </w:p>
    <w:p>
      <w:pPr>
        <w:ind w:left="1280" w:hanging="509"/>
        <w:spacing w:after="0"/>
        <w:tabs>
          <w:tab w:leader="none" w:pos="1280" w:val="left"/>
        </w:tabs>
        <w:numPr>
          <w:ilvl w:val="0"/>
          <w:numId w:val="49"/>
        </w:numPr>
        <w:rPr>
          <w:rFonts w:ascii="Arial" w:cs="Arial" w:eastAsia="Arial" w:hAnsi="Arial"/>
          <w:sz w:val="17"/>
          <w:szCs w:val="17"/>
          <w:color w:val="00467D"/>
        </w:rPr>
      </w:pPr>
      <w:r>
        <w:rPr>
          <w:rFonts w:ascii="Arial" w:cs="Arial" w:eastAsia="Arial" w:hAnsi="Arial"/>
          <w:sz w:val="17"/>
          <w:szCs w:val="17"/>
          <w:color w:val="auto"/>
        </w:rPr>
        <w:t>each person or group who is known by us to own beneficially more than 5% of our outstanding shares of common stock;</w:t>
      </w:r>
    </w:p>
    <w:p>
      <w:pPr>
        <w:spacing w:after="0" w:line="114" w:lineRule="exact"/>
        <w:rPr>
          <w:rFonts w:ascii="Arial" w:cs="Arial" w:eastAsia="Arial" w:hAnsi="Arial"/>
          <w:sz w:val="17"/>
          <w:szCs w:val="17"/>
          <w:color w:val="00467D"/>
        </w:rPr>
      </w:pPr>
    </w:p>
    <w:p>
      <w:pPr>
        <w:ind w:left="1280" w:hanging="509"/>
        <w:spacing w:after="0"/>
        <w:tabs>
          <w:tab w:leader="none" w:pos="1280" w:val="left"/>
        </w:tabs>
        <w:numPr>
          <w:ilvl w:val="0"/>
          <w:numId w:val="49"/>
        </w:numPr>
        <w:rPr>
          <w:rFonts w:ascii="Arial" w:cs="Arial" w:eastAsia="Arial" w:hAnsi="Arial"/>
          <w:sz w:val="17"/>
          <w:szCs w:val="17"/>
          <w:color w:val="00467D"/>
        </w:rPr>
      </w:pPr>
      <w:r>
        <w:rPr>
          <w:rFonts w:ascii="Arial" w:cs="Arial" w:eastAsia="Arial" w:hAnsi="Arial"/>
          <w:sz w:val="17"/>
          <w:szCs w:val="17"/>
          <w:color w:val="auto"/>
        </w:rPr>
        <w:t>each of our Named Executive Officers;</w:t>
      </w:r>
    </w:p>
    <w:p>
      <w:pPr>
        <w:spacing w:after="0" w:line="114" w:lineRule="exact"/>
        <w:rPr>
          <w:rFonts w:ascii="Arial" w:cs="Arial" w:eastAsia="Arial" w:hAnsi="Arial"/>
          <w:sz w:val="17"/>
          <w:szCs w:val="17"/>
          <w:color w:val="00467D"/>
        </w:rPr>
      </w:pPr>
    </w:p>
    <w:p>
      <w:pPr>
        <w:ind w:left="1280" w:hanging="509"/>
        <w:spacing w:after="0"/>
        <w:tabs>
          <w:tab w:leader="none" w:pos="1280" w:val="left"/>
        </w:tabs>
        <w:numPr>
          <w:ilvl w:val="0"/>
          <w:numId w:val="49"/>
        </w:numPr>
        <w:rPr>
          <w:rFonts w:ascii="Arial" w:cs="Arial" w:eastAsia="Arial" w:hAnsi="Arial"/>
          <w:sz w:val="17"/>
          <w:szCs w:val="17"/>
          <w:color w:val="00467D"/>
        </w:rPr>
      </w:pPr>
      <w:r>
        <w:rPr>
          <w:rFonts w:ascii="Arial" w:cs="Arial" w:eastAsia="Arial" w:hAnsi="Arial"/>
          <w:sz w:val="17"/>
          <w:szCs w:val="17"/>
          <w:color w:val="auto"/>
        </w:rPr>
        <w:t>each of our directors; and</w:t>
      </w:r>
    </w:p>
    <w:p>
      <w:pPr>
        <w:spacing w:after="0" w:line="114" w:lineRule="exact"/>
        <w:rPr>
          <w:rFonts w:ascii="Arial" w:cs="Arial" w:eastAsia="Arial" w:hAnsi="Arial"/>
          <w:sz w:val="17"/>
          <w:szCs w:val="17"/>
          <w:color w:val="00467D"/>
        </w:rPr>
      </w:pPr>
    </w:p>
    <w:p>
      <w:pPr>
        <w:ind w:left="1280" w:hanging="509"/>
        <w:spacing w:after="0"/>
        <w:tabs>
          <w:tab w:leader="none" w:pos="1280" w:val="left"/>
        </w:tabs>
        <w:numPr>
          <w:ilvl w:val="0"/>
          <w:numId w:val="49"/>
        </w:numPr>
        <w:rPr>
          <w:rFonts w:ascii="Arial" w:cs="Arial" w:eastAsia="Arial" w:hAnsi="Arial"/>
          <w:sz w:val="17"/>
          <w:szCs w:val="17"/>
          <w:color w:val="00467D"/>
        </w:rPr>
      </w:pPr>
      <w:r>
        <w:rPr>
          <w:rFonts w:ascii="Arial" w:cs="Arial" w:eastAsia="Arial" w:hAnsi="Arial"/>
          <w:sz w:val="17"/>
          <w:szCs w:val="17"/>
          <w:color w:val="auto"/>
        </w:rPr>
        <w:t>all of the executive officers and directors as a group.</w:t>
      </w:r>
    </w:p>
    <w:p>
      <w:pPr>
        <w:spacing w:after="0" w:line="179" w:lineRule="exact"/>
        <w:rPr>
          <w:sz w:val="20"/>
          <w:szCs w:val="20"/>
          <w:color w:val="auto"/>
        </w:rPr>
      </w:pPr>
    </w:p>
    <w:p>
      <w:pPr>
        <w:ind w:left="360" w:right="140"/>
        <w:spacing w:after="0" w:line="242" w:lineRule="auto"/>
        <w:rPr>
          <w:sz w:val="20"/>
          <w:szCs w:val="20"/>
          <w:color w:val="auto"/>
        </w:rPr>
      </w:pPr>
      <w:r>
        <w:rPr>
          <w:rFonts w:ascii="Arial" w:cs="Arial" w:eastAsia="Arial" w:hAnsi="Arial"/>
          <w:sz w:val="17"/>
          <w:szCs w:val="17"/>
          <w:color w:val="auto"/>
        </w:rPr>
        <w:t>We have determined beneficial ownership in accordance with the rules and regulations of the SEC, and the information is not necessarily indicative of beneficial ownership for any other purpose. We have based the calculation of the percentage of beneficial ownership on 282,516,756 shares of common stock outstanding, as of March 31, 2023. For purposes of calculating each person’s percentage ownership, common stock issuable pursuant to options exercisable within 60 days of March 31, 2023 are included as outstanding and beneficially owned for that person or group, but are not deemed outstanding for purposes of computing the percentage ownership of any person. Except as disclosed in the footnotes to this table and subject to applicable community property laws, we believe that each shareholder identified in the table possesses sole voting and investment power over all shares of common stock shown as beneficially owned by the shareholder. Unless otherwise indicated, this table is based upon information supplied by officers, directors and principal shareholders and Schedules 13D and 13G filed with the SEC.</w:t>
      </w:r>
    </w:p>
    <w:p>
      <w:pPr>
        <w:spacing w:after="0" w:line="136" w:lineRule="exact"/>
        <w:rPr>
          <w:sz w:val="20"/>
          <w:szCs w:val="20"/>
          <w:color w:val="auto"/>
        </w:rPr>
      </w:pPr>
    </w:p>
    <w:p>
      <w:pPr>
        <w:ind w:left="360" w:right="320"/>
        <w:spacing w:after="0" w:line="274" w:lineRule="auto"/>
        <w:rPr>
          <w:sz w:val="20"/>
          <w:szCs w:val="20"/>
          <w:color w:val="auto"/>
        </w:rPr>
      </w:pPr>
      <w:r>
        <w:rPr>
          <w:rFonts w:ascii="Arial" w:cs="Arial" w:eastAsia="Arial" w:hAnsi="Arial"/>
          <w:sz w:val="17"/>
          <w:szCs w:val="17"/>
          <w:color w:val="auto"/>
        </w:rPr>
        <w:t>Unless otherwise indicated in the table or footnotes below, the address for each beneficial owner is c/o Sotera Health, 9100 South Hills Blvd, Suite 300, Broadview Heights, Ohio 44147.</w:t>
      </w:r>
    </w:p>
    <w:p>
      <w:pPr>
        <w:spacing w:after="0" w:line="176" w:lineRule="exact"/>
        <w:rPr>
          <w:sz w:val="20"/>
          <w:szCs w:val="20"/>
          <w:color w:val="auto"/>
        </w:rPr>
      </w:pPr>
    </w:p>
    <w:tbl>
      <w:tblPr>
        <w:tblLayout w:type="fixed"/>
        <w:tblInd w:w="360" w:type="dxa"/>
        <w:tblCellMar>
          <w:top w:w="0" w:type="dxa"/>
          <w:left w:w="0" w:type="dxa"/>
          <w:bottom w:w="0" w:type="dxa"/>
          <w:right w:w="0" w:type="dxa"/>
        </w:tblCellMar>
      </w:tblPr>
      <w:tr>
        <w:trPr>
          <w:trHeight w:val="181"/>
        </w:trPr>
        <w:tc>
          <w:tcPr>
            <w:tcW w:w="4860" w:type="dxa"/>
            <w:vAlign w:val="bottom"/>
          </w:tcPr>
          <w:p>
            <w:pPr>
              <w:spacing w:after="0"/>
              <w:rPr>
                <w:sz w:val="15"/>
                <w:szCs w:val="15"/>
                <w:color w:val="auto"/>
              </w:rPr>
            </w:pPr>
          </w:p>
        </w:tc>
        <w:tc>
          <w:tcPr>
            <w:tcW w:w="3660" w:type="dxa"/>
            <w:vAlign w:val="bottom"/>
          </w:tcPr>
          <w:p>
            <w:pPr>
              <w:jc w:val="right"/>
              <w:ind w:right="362"/>
              <w:spacing w:after="0"/>
              <w:rPr>
                <w:sz w:val="20"/>
                <w:szCs w:val="20"/>
                <w:color w:val="auto"/>
              </w:rPr>
            </w:pPr>
            <w:r>
              <w:rPr>
                <w:rFonts w:ascii="Arial" w:cs="Arial" w:eastAsia="Arial" w:hAnsi="Arial"/>
                <w:sz w:val="15"/>
                <w:szCs w:val="15"/>
                <w:b w:val="1"/>
                <w:bCs w:val="1"/>
                <w:color w:val="00467D"/>
              </w:rPr>
              <w:t>Number of Shares</w:t>
            </w:r>
          </w:p>
        </w:tc>
        <w:tc>
          <w:tcPr>
            <w:tcW w:w="2020" w:type="dxa"/>
            <w:vAlign w:val="bottom"/>
          </w:tcPr>
          <w:p>
            <w:pPr>
              <w:jc w:val="right"/>
              <w:ind w:right="43"/>
              <w:spacing w:after="0"/>
              <w:rPr>
                <w:sz w:val="20"/>
                <w:szCs w:val="20"/>
                <w:color w:val="auto"/>
              </w:rPr>
            </w:pPr>
            <w:r>
              <w:rPr>
                <w:rFonts w:ascii="Arial" w:cs="Arial" w:eastAsia="Arial" w:hAnsi="Arial"/>
                <w:sz w:val="15"/>
                <w:szCs w:val="15"/>
                <w:b w:val="1"/>
                <w:bCs w:val="1"/>
                <w:color w:val="00467D"/>
              </w:rPr>
              <w:t>Percentage of Shares</w:t>
            </w:r>
          </w:p>
        </w:tc>
      </w:tr>
      <w:tr>
        <w:trPr>
          <w:trHeight w:val="208"/>
        </w:trPr>
        <w:tc>
          <w:tcPr>
            <w:tcW w:w="4860" w:type="dxa"/>
            <w:vAlign w:val="bottom"/>
            <w:tcBorders>
              <w:bottom w:val="single" w:sz="8" w:color="00467D"/>
            </w:tcBorders>
          </w:tcPr>
          <w:p>
            <w:pPr>
              <w:ind w:left="60"/>
              <w:spacing w:after="0"/>
              <w:rPr>
                <w:sz w:val="20"/>
                <w:szCs w:val="20"/>
                <w:color w:val="auto"/>
              </w:rPr>
            </w:pPr>
            <w:r>
              <w:rPr>
                <w:rFonts w:ascii="Arial" w:cs="Arial" w:eastAsia="Arial" w:hAnsi="Arial"/>
                <w:sz w:val="15"/>
                <w:szCs w:val="15"/>
                <w:b w:val="1"/>
                <w:bCs w:val="1"/>
                <w:color w:val="00467D"/>
              </w:rPr>
              <w:t>Name of Beneficial Owner</w:t>
            </w:r>
          </w:p>
        </w:tc>
        <w:tc>
          <w:tcPr>
            <w:tcW w:w="3660" w:type="dxa"/>
            <w:vAlign w:val="bottom"/>
            <w:tcBorders>
              <w:bottom w:val="single" w:sz="8" w:color="00467D"/>
            </w:tcBorders>
          </w:tcPr>
          <w:p>
            <w:pPr>
              <w:jc w:val="right"/>
              <w:ind w:right="222"/>
              <w:spacing w:after="0" w:line="208" w:lineRule="exact"/>
              <w:rPr>
                <w:sz w:val="20"/>
                <w:szCs w:val="20"/>
                <w:color w:val="auto"/>
              </w:rPr>
            </w:pPr>
            <w:r>
              <w:rPr>
                <w:rFonts w:ascii="Arial" w:cs="Arial" w:eastAsia="Arial" w:hAnsi="Arial"/>
                <w:sz w:val="15"/>
                <w:szCs w:val="15"/>
                <w:b w:val="1"/>
                <w:bCs w:val="1"/>
                <w:color w:val="00467D"/>
              </w:rPr>
              <w:t xml:space="preserve">Beneficially Owned </w:t>
            </w:r>
            <w:r>
              <w:rPr>
                <w:rFonts w:ascii="Arial" w:cs="Arial" w:eastAsia="Arial" w:hAnsi="Arial"/>
                <w:sz w:val="23"/>
                <w:szCs w:val="23"/>
                <w:b w:val="1"/>
                <w:bCs w:val="1"/>
                <w:color w:val="00467D"/>
                <w:vertAlign w:val="superscript"/>
              </w:rPr>
              <w:t>(1)</w:t>
            </w:r>
          </w:p>
        </w:tc>
        <w:tc>
          <w:tcPr>
            <w:tcW w:w="2020" w:type="dxa"/>
            <w:vAlign w:val="bottom"/>
            <w:tcBorders>
              <w:bottom w:val="single" w:sz="8" w:color="00467D"/>
            </w:tcBorders>
          </w:tcPr>
          <w:p>
            <w:pPr>
              <w:jc w:val="right"/>
              <w:ind w:right="123"/>
              <w:spacing w:after="0"/>
              <w:rPr>
                <w:sz w:val="20"/>
                <w:szCs w:val="20"/>
                <w:color w:val="auto"/>
              </w:rPr>
            </w:pPr>
            <w:r>
              <w:rPr>
                <w:rFonts w:ascii="Arial" w:cs="Arial" w:eastAsia="Arial" w:hAnsi="Arial"/>
                <w:sz w:val="15"/>
                <w:szCs w:val="15"/>
                <w:b w:val="1"/>
                <w:bCs w:val="1"/>
                <w:color w:val="00467D"/>
              </w:rPr>
              <w:t>Beneficially Owned</w:t>
            </w:r>
          </w:p>
        </w:tc>
      </w:tr>
      <w:tr>
        <w:trPr>
          <w:trHeight w:val="232"/>
        </w:trPr>
        <w:tc>
          <w:tcPr>
            <w:tcW w:w="4860" w:type="dxa"/>
            <w:vAlign w:val="bottom"/>
          </w:tcPr>
          <w:p>
            <w:pPr>
              <w:ind w:left="60"/>
              <w:spacing w:after="0"/>
              <w:rPr>
                <w:sz w:val="20"/>
                <w:szCs w:val="20"/>
                <w:color w:val="auto"/>
              </w:rPr>
            </w:pPr>
            <w:r>
              <w:rPr>
                <w:rFonts w:ascii="Arial" w:cs="Arial" w:eastAsia="Arial" w:hAnsi="Arial"/>
                <w:sz w:val="15"/>
                <w:szCs w:val="15"/>
                <w:b w:val="1"/>
                <w:bCs w:val="1"/>
                <w:color w:val="00467D"/>
              </w:rPr>
              <w:t>5% Shareholders:</w:t>
            </w:r>
          </w:p>
        </w:tc>
        <w:tc>
          <w:tcPr>
            <w:tcW w:w="3660" w:type="dxa"/>
            <w:vAlign w:val="bottom"/>
          </w:tcPr>
          <w:p>
            <w:pPr>
              <w:spacing w:after="0"/>
              <w:rPr>
                <w:sz w:val="20"/>
                <w:szCs w:val="20"/>
                <w:color w:val="auto"/>
              </w:rPr>
            </w:pPr>
          </w:p>
        </w:tc>
        <w:tc>
          <w:tcPr>
            <w:tcW w:w="2020" w:type="dxa"/>
            <w:vAlign w:val="bottom"/>
          </w:tcPr>
          <w:p>
            <w:pPr>
              <w:spacing w:after="0"/>
              <w:rPr>
                <w:sz w:val="20"/>
                <w:szCs w:val="20"/>
                <w:color w:val="auto"/>
              </w:rPr>
            </w:pPr>
          </w:p>
        </w:tc>
      </w:tr>
      <w:tr>
        <w:trPr>
          <w:trHeight w:val="213"/>
        </w:trPr>
        <w:tc>
          <w:tcPr>
            <w:tcW w:w="4860" w:type="dxa"/>
            <w:vAlign w:val="bottom"/>
            <w:tcBorders>
              <w:bottom w:val="single" w:sz="8" w:color="99B5CB"/>
            </w:tcBorders>
          </w:tcPr>
          <w:p>
            <w:pPr>
              <w:ind w:left="60"/>
              <w:spacing w:after="0" w:line="213" w:lineRule="exact"/>
              <w:rPr>
                <w:sz w:val="20"/>
                <w:szCs w:val="20"/>
                <w:color w:val="auto"/>
              </w:rPr>
            </w:pPr>
            <w:r>
              <w:rPr>
                <w:rFonts w:ascii="Arial" w:cs="Arial" w:eastAsia="Arial" w:hAnsi="Arial"/>
                <w:sz w:val="15"/>
                <w:szCs w:val="15"/>
                <w:color w:val="auto"/>
              </w:rPr>
              <w:t>Investment funds and entities affiliated with Warburg Pincus</w:t>
            </w:r>
            <w:r>
              <w:rPr>
                <w:rFonts w:ascii="Arial" w:cs="Arial" w:eastAsia="Arial" w:hAnsi="Arial"/>
                <w:sz w:val="23"/>
                <w:szCs w:val="23"/>
                <w:color w:val="auto"/>
                <w:vertAlign w:val="superscript"/>
              </w:rPr>
              <w:t>(2)</w:t>
            </w:r>
          </w:p>
        </w:tc>
        <w:tc>
          <w:tcPr>
            <w:tcW w:w="3660" w:type="dxa"/>
            <w:vAlign w:val="bottom"/>
            <w:tcBorders>
              <w:bottom w:val="single" w:sz="8" w:color="99B5CB"/>
            </w:tcBorders>
          </w:tcPr>
          <w:p>
            <w:pPr>
              <w:jc w:val="right"/>
              <w:ind w:right="542"/>
              <w:spacing w:after="0"/>
              <w:rPr>
                <w:sz w:val="20"/>
                <w:szCs w:val="20"/>
                <w:color w:val="auto"/>
              </w:rPr>
            </w:pPr>
            <w:r>
              <w:rPr>
                <w:rFonts w:ascii="Arial" w:cs="Arial" w:eastAsia="Arial" w:hAnsi="Arial"/>
                <w:sz w:val="15"/>
                <w:szCs w:val="15"/>
                <w:color w:val="auto"/>
              </w:rPr>
              <w:t>105,417,315</w:t>
            </w:r>
          </w:p>
        </w:tc>
        <w:tc>
          <w:tcPr>
            <w:tcW w:w="2020" w:type="dxa"/>
            <w:vAlign w:val="bottom"/>
            <w:tcBorders>
              <w:bottom w:val="single" w:sz="8" w:color="99B5CB"/>
            </w:tcBorders>
          </w:tcPr>
          <w:p>
            <w:pPr>
              <w:jc w:val="right"/>
              <w:ind w:right="643"/>
              <w:spacing w:after="0"/>
              <w:rPr>
                <w:sz w:val="20"/>
                <w:szCs w:val="20"/>
                <w:color w:val="auto"/>
              </w:rPr>
            </w:pPr>
            <w:r>
              <w:rPr>
                <w:rFonts w:ascii="Arial" w:cs="Arial" w:eastAsia="Arial" w:hAnsi="Arial"/>
                <w:sz w:val="15"/>
                <w:szCs w:val="15"/>
                <w:color w:val="auto"/>
              </w:rPr>
              <w:t>37.31%</w:t>
            </w:r>
          </w:p>
        </w:tc>
      </w:tr>
      <w:tr>
        <w:trPr>
          <w:trHeight w:val="212"/>
        </w:trPr>
        <w:tc>
          <w:tcPr>
            <w:tcW w:w="4860" w:type="dxa"/>
            <w:vAlign w:val="bottom"/>
            <w:tcBorders>
              <w:bottom w:val="single" w:sz="8" w:color="99B5CB"/>
            </w:tcBorders>
          </w:tcPr>
          <w:p>
            <w:pPr>
              <w:ind w:left="60"/>
              <w:spacing w:after="0" w:line="212" w:lineRule="exact"/>
              <w:rPr>
                <w:sz w:val="20"/>
                <w:szCs w:val="20"/>
                <w:color w:val="auto"/>
              </w:rPr>
            </w:pPr>
            <w:r>
              <w:rPr>
                <w:rFonts w:ascii="Arial" w:cs="Arial" w:eastAsia="Arial" w:hAnsi="Arial"/>
                <w:sz w:val="15"/>
                <w:szCs w:val="15"/>
                <w:color w:val="auto"/>
              </w:rPr>
              <w:t>Investment funds and entities affiliated with GTCR</w:t>
            </w:r>
            <w:r>
              <w:rPr>
                <w:rFonts w:ascii="Arial" w:cs="Arial" w:eastAsia="Arial" w:hAnsi="Arial"/>
                <w:sz w:val="23"/>
                <w:szCs w:val="23"/>
                <w:color w:val="auto"/>
                <w:vertAlign w:val="superscript"/>
              </w:rPr>
              <w:t>(3)</w:t>
            </w:r>
          </w:p>
        </w:tc>
        <w:tc>
          <w:tcPr>
            <w:tcW w:w="3660" w:type="dxa"/>
            <w:vAlign w:val="bottom"/>
            <w:tcBorders>
              <w:bottom w:val="single" w:sz="8" w:color="99B5CB"/>
            </w:tcBorders>
          </w:tcPr>
          <w:p>
            <w:pPr>
              <w:jc w:val="right"/>
              <w:ind w:right="542"/>
              <w:spacing w:after="0"/>
              <w:rPr>
                <w:sz w:val="20"/>
                <w:szCs w:val="20"/>
                <w:color w:val="auto"/>
              </w:rPr>
            </w:pPr>
            <w:r>
              <w:rPr>
                <w:rFonts w:ascii="Arial" w:cs="Arial" w:eastAsia="Arial" w:hAnsi="Arial"/>
                <w:sz w:val="15"/>
                <w:szCs w:val="15"/>
                <w:color w:val="auto"/>
              </w:rPr>
              <w:t>70,278,209</w:t>
            </w:r>
          </w:p>
        </w:tc>
        <w:tc>
          <w:tcPr>
            <w:tcW w:w="2020" w:type="dxa"/>
            <w:vAlign w:val="bottom"/>
            <w:tcBorders>
              <w:bottom w:val="single" w:sz="8" w:color="99B5CB"/>
            </w:tcBorders>
          </w:tcPr>
          <w:p>
            <w:pPr>
              <w:jc w:val="right"/>
              <w:ind w:right="643"/>
              <w:spacing w:after="0"/>
              <w:rPr>
                <w:sz w:val="20"/>
                <w:szCs w:val="20"/>
                <w:color w:val="auto"/>
              </w:rPr>
            </w:pPr>
            <w:r>
              <w:rPr>
                <w:rFonts w:ascii="Arial" w:cs="Arial" w:eastAsia="Arial" w:hAnsi="Arial"/>
                <w:sz w:val="15"/>
                <w:szCs w:val="15"/>
                <w:color w:val="auto"/>
              </w:rPr>
              <w:t>24.88%</w:t>
            </w:r>
          </w:p>
        </w:tc>
      </w:tr>
      <w:tr>
        <w:trPr>
          <w:trHeight w:val="232"/>
        </w:trPr>
        <w:tc>
          <w:tcPr>
            <w:tcW w:w="4860" w:type="dxa"/>
            <w:vAlign w:val="bottom"/>
          </w:tcPr>
          <w:p>
            <w:pPr>
              <w:ind w:left="60"/>
              <w:spacing w:after="0"/>
              <w:rPr>
                <w:sz w:val="20"/>
                <w:szCs w:val="20"/>
                <w:color w:val="auto"/>
              </w:rPr>
            </w:pPr>
            <w:r>
              <w:rPr>
                <w:rFonts w:ascii="Arial" w:cs="Arial" w:eastAsia="Arial" w:hAnsi="Arial"/>
                <w:sz w:val="15"/>
                <w:szCs w:val="15"/>
                <w:b w:val="1"/>
                <w:bCs w:val="1"/>
                <w:color w:val="00467D"/>
              </w:rPr>
              <w:t>Named Executive Officers and Directors:</w:t>
            </w:r>
          </w:p>
        </w:tc>
        <w:tc>
          <w:tcPr>
            <w:tcW w:w="3660" w:type="dxa"/>
            <w:vAlign w:val="bottom"/>
          </w:tcPr>
          <w:p>
            <w:pPr>
              <w:spacing w:after="0"/>
              <w:rPr>
                <w:sz w:val="20"/>
                <w:szCs w:val="20"/>
                <w:color w:val="auto"/>
              </w:rPr>
            </w:pPr>
          </w:p>
        </w:tc>
        <w:tc>
          <w:tcPr>
            <w:tcW w:w="2020" w:type="dxa"/>
            <w:vAlign w:val="bottom"/>
          </w:tcPr>
          <w:p>
            <w:pPr>
              <w:spacing w:after="0"/>
              <w:rPr>
                <w:sz w:val="20"/>
                <w:szCs w:val="20"/>
                <w:color w:val="auto"/>
              </w:rPr>
            </w:pPr>
          </w:p>
        </w:tc>
      </w:tr>
      <w:tr>
        <w:trPr>
          <w:trHeight w:val="213"/>
        </w:trPr>
        <w:tc>
          <w:tcPr>
            <w:tcW w:w="4860" w:type="dxa"/>
            <w:vAlign w:val="bottom"/>
            <w:tcBorders>
              <w:bottom w:val="single" w:sz="8" w:color="99B5CB"/>
            </w:tcBorders>
          </w:tcPr>
          <w:p>
            <w:pPr>
              <w:ind w:left="60"/>
              <w:spacing w:after="0" w:line="213" w:lineRule="exact"/>
              <w:rPr>
                <w:sz w:val="20"/>
                <w:szCs w:val="20"/>
                <w:color w:val="auto"/>
              </w:rPr>
            </w:pPr>
            <w:r>
              <w:rPr>
                <w:rFonts w:ascii="Arial" w:cs="Arial" w:eastAsia="Arial" w:hAnsi="Arial"/>
                <w:sz w:val="15"/>
                <w:szCs w:val="15"/>
                <w:color w:val="auto"/>
              </w:rPr>
              <w:t>Michael B. Petras, Jr.</w:t>
            </w:r>
            <w:r>
              <w:rPr>
                <w:rFonts w:ascii="Arial" w:cs="Arial" w:eastAsia="Arial" w:hAnsi="Arial"/>
                <w:sz w:val="23"/>
                <w:szCs w:val="23"/>
                <w:color w:val="auto"/>
                <w:vertAlign w:val="superscript"/>
              </w:rPr>
              <w:t>(4)</w:t>
            </w:r>
          </w:p>
        </w:tc>
        <w:tc>
          <w:tcPr>
            <w:tcW w:w="3660" w:type="dxa"/>
            <w:vAlign w:val="bottom"/>
            <w:tcBorders>
              <w:bottom w:val="single" w:sz="8" w:color="99B5CB"/>
            </w:tcBorders>
          </w:tcPr>
          <w:p>
            <w:pPr>
              <w:jc w:val="right"/>
              <w:ind w:right="542"/>
              <w:spacing w:after="0"/>
              <w:rPr>
                <w:sz w:val="20"/>
                <w:szCs w:val="20"/>
                <w:color w:val="auto"/>
              </w:rPr>
            </w:pPr>
            <w:r>
              <w:rPr>
                <w:rFonts w:ascii="Arial" w:cs="Arial" w:eastAsia="Arial" w:hAnsi="Arial"/>
                <w:sz w:val="15"/>
                <w:szCs w:val="15"/>
                <w:color w:val="auto"/>
              </w:rPr>
              <w:t>7,212,067</w:t>
            </w:r>
          </w:p>
        </w:tc>
        <w:tc>
          <w:tcPr>
            <w:tcW w:w="2020" w:type="dxa"/>
            <w:vAlign w:val="bottom"/>
            <w:tcBorders>
              <w:bottom w:val="single" w:sz="8" w:color="99B5CB"/>
            </w:tcBorders>
          </w:tcPr>
          <w:p>
            <w:pPr>
              <w:jc w:val="right"/>
              <w:ind w:right="643"/>
              <w:spacing w:after="0"/>
              <w:rPr>
                <w:sz w:val="20"/>
                <w:szCs w:val="20"/>
                <w:color w:val="auto"/>
              </w:rPr>
            </w:pPr>
            <w:r>
              <w:rPr>
                <w:rFonts w:ascii="Arial" w:cs="Arial" w:eastAsia="Arial" w:hAnsi="Arial"/>
                <w:sz w:val="15"/>
                <w:szCs w:val="15"/>
                <w:color w:val="auto"/>
              </w:rPr>
              <w:t>2.55%</w:t>
            </w:r>
          </w:p>
        </w:tc>
      </w:tr>
      <w:tr>
        <w:trPr>
          <w:trHeight w:val="212"/>
        </w:trPr>
        <w:tc>
          <w:tcPr>
            <w:tcW w:w="4860" w:type="dxa"/>
            <w:vAlign w:val="bottom"/>
            <w:tcBorders>
              <w:bottom w:val="single" w:sz="8" w:color="99B5CB"/>
            </w:tcBorders>
          </w:tcPr>
          <w:p>
            <w:pPr>
              <w:ind w:left="60"/>
              <w:spacing w:after="0"/>
              <w:rPr>
                <w:sz w:val="20"/>
                <w:szCs w:val="20"/>
                <w:color w:val="auto"/>
              </w:rPr>
            </w:pPr>
            <w:r>
              <w:rPr>
                <w:rFonts w:ascii="Arial" w:cs="Arial" w:eastAsia="Arial" w:hAnsi="Arial"/>
                <w:sz w:val="15"/>
                <w:szCs w:val="15"/>
                <w:color w:val="auto"/>
              </w:rPr>
              <w:t>Michael F. Biehl</w:t>
            </w:r>
          </w:p>
        </w:tc>
        <w:tc>
          <w:tcPr>
            <w:tcW w:w="3660" w:type="dxa"/>
            <w:vAlign w:val="bottom"/>
            <w:tcBorders>
              <w:bottom w:val="single" w:sz="8" w:color="99B5CB"/>
            </w:tcBorders>
          </w:tcPr>
          <w:p>
            <w:pPr>
              <w:jc w:val="right"/>
              <w:ind w:right="542"/>
              <w:spacing w:after="0"/>
              <w:rPr>
                <w:sz w:val="20"/>
                <w:szCs w:val="20"/>
                <w:color w:val="auto"/>
              </w:rPr>
            </w:pPr>
            <w:r>
              <w:rPr>
                <w:rFonts w:ascii="Arial" w:cs="Arial" w:eastAsia="Arial" w:hAnsi="Arial"/>
                <w:sz w:val="15"/>
                <w:szCs w:val="15"/>
                <w:color w:val="auto"/>
              </w:rPr>
              <w:t>—</w:t>
            </w:r>
          </w:p>
        </w:tc>
        <w:tc>
          <w:tcPr>
            <w:tcW w:w="2020" w:type="dxa"/>
            <w:vAlign w:val="bottom"/>
            <w:tcBorders>
              <w:bottom w:val="single" w:sz="8" w:color="99B5CB"/>
            </w:tcBorders>
          </w:tcPr>
          <w:p>
            <w:pPr>
              <w:jc w:val="right"/>
              <w:ind w:right="783"/>
              <w:spacing w:after="0"/>
              <w:rPr>
                <w:sz w:val="20"/>
                <w:szCs w:val="20"/>
                <w:color w:val="auto"/>
              </w:rPr>
            </w:pPr>
            <w:r>
              <w:rPr>
                <w:rFonts w:ascii="Arial" w:cs="Arial" w:eastAsia="Arial" w:hAnsi="Arial"/>
                <w:sz w:val="15"/>
                <w:szCs w:val="15"/>
                <w:color w:val="auto"/>
              </w:rPr>
              <w:t>—</w:t>
            </w:r>
          </w:p>
        </w:tc>
      </w:tr>
      <w:tr>
        <w:trPr>
          <w:trHeight w:val="212"/>
        </w:trPr>
        <w:tc>
          <w:tcPr>
            <w:tcW w:w="4860" w:type="dxa"/>
            <w:vAlign w:val="bottom"/>
            <w:tcBorders>
              <w:bottom w:val="single" w:sz="8" w:color="99B5CB"/>
            </w:tcBorders>
          </w:tcPr>
          <w:p>
            <w:pPr>
              <w:ind w:left="60"/>
              <w:spacing w:after="0" w:line="212" w:lineRule="exact"/>
              <w:rPr>
                <w:sz w:val="20"/>
                <w:szCs w:val="20"/>
                <w:color w:val="auto"/>
              </w:rPr>
            </w:pPr>
            <w:r>
              <w:rPr>
                <w:rFonts w:ascii="Arial" w:cs="Arial" w:eastAsia="Arial" w:hAnsi="Arial"/>
                <w:sz w:val="15"/>
                <w:szCs w:val="15"/>
                <w:color w:val="auto"/>
              </w:rPr>
              <w:t>Scott J. Leffler</w:t>
            </w:r>
            <w:r>
              <w:rPr>
                <w:rFonts w:ascii="Arial" w:cs="Arial" w:eastAsia="Arial" w:hAnsi="Arial"/>
                <w:sz w:val="23"/>
                <w:szCs w:val="23"/>
                <w:color w:val="auto"/>
                <w:vertAlign w:val="superscript"/>
              </w:rPr>
              <w:t>(5)</w:t>
            </w:r>
          </w:p>
        </w:tc>
        <w:tc>
          <w:tcPr>
            <w:tcW w:w="3660" w:type="dxa"/>
            <w:vAlign w:val="bottom"/>
            <w:tcBorders>
              <w:bottom w:val="single" w:sz="8" w:color="99B5CB"/>
            </w:tcBorders>
          </w:tcPr>
          <w:p>
            <w:pPr>
              <w:jc w:val="right"/>
              <w:ind w:right="542"/>
              <w:spacing w:after="0"/>
              <w:rPr>
                <w:sz w:val="20"/>
                <w:szCs w:val="20"/>
                <w:color w:val="auto"/>
              </w:rPr>
            </w:pPr>
            <w:r>
              <w:rPr>
                <w:rFonts w:ascii="Arial" w:cs="Arial" w:eastAsia="Arial" w:hAnsi="Arial"/>
                <w:sz w:val="15"/>
                <w:szCs w:val="15"/>
                <w:color w:val="auto"/>
              </w:rPr>
              <w:t>493,307</w:t>
            </w:r>
          </w:p>
        </w:tc>
        <w:tc>
          <w:tcPr>
            <w:tcW w:w="2020" w:type="dxa"/>
            <w:vAlign w:val="bottom"/>
            <w:tcBorders>
              <w:bottom w:val="single" w:sz="8" w:color="99B5CB"/>
            </w:tcBorders>
          </w:tcPr>
          <w:p>
            <w:pPr>
              <w:jc w:val="right"/>
              <w:ind w:right="783"/>
              <w:spacing w:after="0"/>
              <w:rPr>
                <w:sz w:val="20"/>
                <w:szCs w:val="20"/>
                <w:color w:val="auto"/>
              </w:rPr>
            </w:pPr>
            <w:r>
              <w:rPr>
                <w:rFonts w:ascii="Arial" w:cs="Arial" w:eastAsia="Arial" w:hAnsi="Arial"/>
                <w:sz w:val="15"/>
                <w:szCs w:val="15"/>
                <w:color w:val="auto"/>
              </w:rPr>
              <w:t>*</w:t>
            </w:r>
          </w:p>
        </w:tc>
      </w:tr>
      <w:tr>
        <w:trPr>
          <w:trHeight w:val="212"/>
        </w:trPr>
        <w:tc>
          <w:tcPr>
            <w:tcW w:w="4860" w:type="dxa"/>
            <w:vAlign w:val="bottom"/>
            <w:tcBorders>
              <w:bottom w:val="single" w:sz="8" w:color="99B5CB"/>
            </w:tcBorders>
          </w:tcPr>
          <w:p>
            <w:pPr>
              <w:ind w:left="60"/>
              <w:spacing w:after="0" w:line="212" w:lineRule="exact"/>
              <w:rPr>
                <w:sz w:val="20"/>
                <w:szCs w:val="20"/>
                <w:color w:val="auto"/>
              </w:rPr>
            </w:pPr>
            <w:r>
              <w:rPr>
                <w:rFonts w:ascii="Arial" w:cs="Arial" w:eastAsia="Arial" w:hAnsi="Arial"/>
                <w:sz w:val="15"/>
                <w:szCs w:val="15"/>
                <w:color w:val="auto"/>
              </w:rPr>
              <w:t>Michael P. Rutz</w:t>
            </w:r>
            <w:r>
              <w:rPr>
                <w:rFonts w:ascii="Arial" w:cs="Arial" w:eastAsia="Arial" w:hAnsi="Arial"/>
                <w:sz w:val="23"/>
                <w:szCs w:val="23"/>
                <w:color w:val="auto"/>
                <w:vertAlign w:val="superscript"/>
              </w:rPr>
              <w:t>(6)</w:t>
            </w:r>
          </w:p>
        </w:tc>
        <w:tc>
          <w:tcPr>
            <w:tcW w:w="3660" w:type="dxa"/>
            <w:vAlign w:val="bottom"/>
            <w:tcBorders>
              <w:bottom w:val="single" w:sz="8" w:color="99B5CB"/>
            </w:tcBorders>
          </w:tcPr>
          <w:p>
            <w:pPr>
              <w:jc w:val="right"/>
              <w:ind w:right="542"/>
              <w:spacing w:after="0"/>
              <w:rPr>
                <w:sz w:val="20"/>
                <w:szCs w:val="20"/>
                <w:color w:val="auto"/>
              </w:rPr>
            </w:pPr>
            <w:r>
              <w:rPr>
                <w:rFonts w:ascii="Arial" w:cs="Arial" w:eastAsia="Arial" w:hAnsi="Arial"/>
                <w:sz w:val="15"/>
                <w:szCs w:val="15"/>
                <w:color w:val="auto"/>
              </w:rPr>
              <w:t>619,736</w:t>
            </w:r>
          </w:p>
        </w:tc>
        <w:tc>
          <w:tcPr>
            <w:tcW w:w="2020" w:type="dxa"/>
            <w:vAlign w:val="bottom"/>
            <w:tcBorders>
              <w:bottom w:val="single" w:sz="8" w:color="99B5CB"/>
            </w:tcBorders>
          </w:tcPr>
          <w:p>
            <w:pPr>
              <w:jc w:val="right"/>
              <w:ind w:right="783"/>
              <w:spacing w:after="0"/>
              <w:rPr>
                <w:sz w:val="20"/>
                <w:szCs w:val="20"/>
                <w:color w:val="auto"/>
              </w:rPr>
            </w:pPr>
            <w:r>
              <w:rPr>
                <w:rFonts w:ascii="Arial" w:cs="Arial" w:eastAsia="Arial" w:hAnsi="Arial"/>
                <w:sz w:val="15"/>
                <w:szCs w:val="15"/>
                <w:color w:val="auto"/>
              </w:rPr>
              <w:t>*</w:t>
            </w:r>
          </w:p>
        </w:tc>
      </w:tr>
      <w:tr>
        <w:trPr>
          <w:trHeight w:val="212"/>
        </w:trPr>
        <w:tc>
          <w:tcPr>
            <w:tcW w:w="4860" w:type="dxa"/>
            <w:vAlign w:val="bottom"/>
            <w:tcBorders>
              <w:bottom w:val="single" w:sz="8" w:color="99B5CB"/>
            </w:tcBorders>
          </w:tcPr>
          <w:p>
            <w:pPr>
              <w:ind w:left="60"/>
              <w:spacing w:after="0" w:line="212" w:lineRule="exact"/>
              <w:rPr>
                <w:sz w:val="20"/>
                <w:szCs w:val="20"/>
                <w:color w:val="auto"/>
              </w:rPr>
            </w:pPr>
            <w:r>
              <w:rPr>
                <w:rFonts w:ascii="Arial" w:cs="Arial" w:eastAsia="Arial" w:hAnsi="Arial"/>
                <w:sz w:val="15"/>
                <w:szCs w:val="15"/>
                <w:color w:val="auto"/>
              </w:rPr>
              <w:t>Matthew J. Klaben</w:t>
            </w:r>
            <w:r>
              <w:rPr>
                <w:rFonts w:ascii="Arial" w:cs="Arial" w:eastAsia="Arial" w:hAnsi="Arial"/>
                <w:sz w:val="23"/>
                <w:szCs w:val="23"/>
                <w:color w:val="auto"/>
                <w:vertAlign w:val="superscript"/>
              </w:rPr>
              <w:t>(7)</w:t>
            </w:r>
          </w:p>
        </w:tc>
        <w:tc>
          <w:tcPr>
            <w:tcW w:w="3660" w:type="dxa"/>
            <w:vAlign w:val="bottom"/>
            <w:tcBorders>
              <w:bottom w:val="single" w:sz="8" w:color="99B5CB"/>
            </w:tcBorders>
          </w:tcPr>
          <w:p>
            <w:pPr>
              <w:jc w:val="right"/>
              <w:ind w:right="542"/>
              <w:spacing w:after="0"/>
              <w:rPr>
                <w:sz w:val="20"/>
                <w:szCs w:val="20"/>
                <w:color w:val="auto"/>
              </w:rPr>
            </w:pPr>
            <w:r>
              <w:rPr>
                <w:rFonts w:ascii="Arial" w:cs="Arial" w:eastAsia="Arial" w:hAnsi="Arial"/>
                <w:sz w:val="15"/>
                <w:szCs w:val="15"/>
                <w:color w:val="auto"/>
              </w:rPr>
              <w:t>401,683</w:t>
            </w:r>
          </w:p>
        </w:tc>
        <w:tc>
          <w:tcPr>
            <w:tcW w:w="2020" w:type="dxa"/>
            <w:vAlign w:val="bottom"/>
            <w:tcBorders>
              <w:bottom w:val="single" w:sz="8" w:color="99B5CB"/>
            </w:tcBorders>
          </w:tcPr>
          <w:p>
            <w:pPr>
              <w:jc w:val="right"/>
              <w:ind w:right="783"/>
              <w:spacing w:after="0"/>
              <w:rPr>
                <w:sz w:val="20"/>
                <w:szCs w:val="20"/>
                <w:color w:val="auto"/>
              </w:rPr>
            </w:pPr>
            <w:r>
              <w:rPr>
                <w:rFonts w:ascii="Arial" w:cs="Arial" w:eastAsia="Arial" w:hAnsi="Arial"/>
                <w:sz w:val="15"/>
                <w:szCs w:val="15"/>
                <w:color w:val="auto"/>
              </w:rPr>
              <w:t>*</w:t>
            </w:r>
          </w:p>
        </w:tc>
      </w:tr>
      <w:tr>
        <w:trPr>
          <w:trHeight w:val="212"/>
        </w:trPr>
        <w:tc>
          <w:tcPr>
            <w:tcW w:w="4860" w:type="dxa"/>
            <w:vAlign w:val="bottom"/>
            <w:tcBorders>
              <w:bottom w:val="single" w:sz="8" w:color="99B5CB"/>
            </w:tcBorders>
          </w:tcPr>
          <w:p>
            <w:pPr>
              <w:ind w:left="60"/>
              <w:spacing w:after="0" w:line="212" w:lineRule="exact"/>
              <w:rPr>
                <w:sz w:val="20"/>
                <w:szCs w:val="20"/>
                <w:color w:val="auto"/>
              </w:rPr>
            </w:pPr>
            <w:r>
              <w:rPr>
                <w:rFonts w:ascii="Arial" w:cs="Arial" w:eastAsia="Arial" w:hAnsi="Arial"/>
                <w:sz w:val="15"/>
                <w:szCs w:val="15"/>
                <w:color w:val="auto"/>
              </w:rPr>
              <w:t>Terrence G. Hammons, Jr.</w:t>
            </w:r>
            <w:r>
              <w:rPr>
                <w:rFonts w:ascii="Arial" w:cs="Arial" w:eastAsia="Arial" w:hAnsi="Arial"/>
                <w:sz w:val="23"/>
                <w:szCs w:val="23"/>
                <w:color w:val="auto"/>
                <w:vertAlign w:val="superscript"/>
              </w:rPr>
              <w:t>(8)</w:t>
            </w:r>
          </w:p>
        </w:tc>
        <w:tc>
          <w:tcPr>
            <w:tcW w:w="3660" w:type="dxa"/>
            <w:vAlign w:val="bottom"/>
            <w:tcBorders>
              <w:bottom w:val="single" w:sz="8" w:color="99B5CB"/>
            </w:tcBorders>
          </w:tcPr>
          <w:p>
            <w:pPr>
              <w:jc w:val="right"/>
              <w:ind w:right="542"/>
              <w:spacing w:after="0"/>
              <w:rPr>
                <w:sz w:val="20"/>
                <w:szCs w:val="20"/>
                <w:color w:val="auto"/>
              </w:rPr>
            </w:pPr>
            <w:r>
              <w:rPr>
                <w:rFonts w:ascii="Arial" w:cs="Arial" w:eastAsia="Arial" w:hAnsi="Arial"/>
                <w:sz w:val="15"/>
                <w:szCs w:val="15"/>
                <w:color w:val="auto"/>
              </w:rPr>
              <w:t>—</w:t>
            </w:r>
          </w:p>
        </w:tc>
        <w:tc>
          <w:tcPr>
            <w:tcW w:w="2020" w:type="dxa"/>
            <w:vAlign w:val="bottom"/>
            <w:tcBorders>
              <w:bottom w:val="single" w:sz="8" w:color="99B5CB"/>
            </w:tcBorders>
          </w:tcPr>
          <w:p>
            <w:pPr>
              <w:jc w:val="right"/>
              <w:ind w:right="783"/>
              <w:spacing w:after="0"/>
              <w:rPr>
                <w:sz w:val="20"/>
                <w:szCs w:val="20"/>
                <w:color w:val="auto"/>
              </w:rPr>
            </w:pPr>
            <w:r>
              <w:rPr>
                <w:rFonts w:ascii="Arial" w:cs="Arial" w:eastAsia="Arial" w:hAnsi="Arial"/>
                <w:sz w:val="15"/>
                <w:szCs w:val="15"/>
                <w:color w:val="auto"/>
              </w:rPr>
              <w:t>—</w:t>
            </w:r>
          </w:p>
        </w:tc>
      </w:tr>
      <w:tr>
        <w:trPr>
          <w:trHeight w:val="212"/>
        </w:trPr>
        <w:tc>
          <w:tcPr>
            <w:tcW w:w="4860" w:type="dxa"/>
            <w:vAlign w:val="bottom"/>
            <w:tcBorders>
              <w:bottom w:val="single" w:sz="8" w:color="99B5CB"/>
            </w:tcBorders>
          </w:tcPr>
          <w:p>
            <w:pPr>
              <w:ind w:left="60"/>
              <w:spacing w:after="0" w:line="212" w:lineRule="exact"/>
              <w:rPr>
                <w:sz w:val="20"/>
                <w:szCs w:val="20"/>
                <w:color w:val="auto"/>
              </w:rPr>
            </w:pPr>
            <w:r>
              <w:rPr>
                <w:rFonts w:ascii="Arial" w:cs="Arial" w:eastAsia="Arial" w:hAnsi="Arial"/>
                <w:sz w:val="15"/>
                <w:szCs w:val="15"/>
                <w:color w:val="auto"/>
              </w:rPr>
              <w:t>Alexander Dimitrief</w:t>
            </w:r>
            <w:r>
              <w:rPr>
                <w:rFonts w:ascii="Arial" w:cs="Arial" w:eastAsia="Arial" w:hAnsi="Arial"/>
                <w:sz w:val="23"/>
                <w:szCs w:val="23"/>
                <w:color w:val="auto"/>
                <w:vertAlign w:val="superscript"/>
              </w:rPr>
              <w:t>(9)</w:t>
            </w:r>
          </w:p>
        </w:tc>
        <w:tc>
          <w:tcPr>
            <w:tcW w:w="3660" w:type="dxa"/>
            <w:vAlign w:val="bottom"/>
            <w:tcBorders>
              <w:bottom w:val="single" w:sz="8" w:color="99B5CB"/>
            </w:tcBorders>
          </w:tcPr>
          <w:p>
            <w:pPr>
              <w:jc w:val="right"/>
              <w:ind w:right="542"/>
              <w:spacing w:after="0"/>
              <w:rPr>
                <w:sz w:val="20"/>
                <w:szCs w:val="20"/>
                <w:color w:val="auto"/>
              </w:rPr>
            </w:pPr>
            <w:r>
              <w:rPr>
                <w:rFonts w:ascii="Arial" w:cs="Arial" w:eastAsia="Arial" w:hAnsi="Arial"/>
                <w:sz w:val="15"/>
                <w:szCs w:val="15"/>
                <w:color w:val="auto"/>
              </w:rPr>
              <w:t>235,478</w:t>
            </w:r>
          </w:p>
        </w:tc>
        <w:tc>
          <w:tcPr>
            <w:tcW w:w="2020" w:type="dxa"/>
            <w:vAlign w:val="bottom"/>
            <w:tcBorders>
              <w:bottom w:val="single" w:sz="8" w:color="99B5CB"/>
            </w:tcBorders>
          </w:tcPr>
          <w:p>
            <w:pPr>
              <w:jc w:val="right"/>
              <w:ind w:right="783"/>
              <w:spacing w:after="0"/>
              <w:rPr>
                <w:sz w:val="20"/>
                <w:szCs w:val="20"/>
                <w:color w:val="auto"/>
              </w:rPr>
            </w:pPr>
            <w:r>
              <w:rPr>
                <w:rFonts w:ascii="Arial" w:cs="Arial" w:eastAsia="Arial" w:hAnsi="Arial"/>
                <w:sz w:val="15"/>
                <w:szCs w:val="15"/>
                <w:color w:val="auto"/>
              </w:rPr>
              <w:t>*</w:t>
            </w:r>
          </w:p>
        </w:tc>
      </w:tr>
      <w:tr>
        <w:trPr>
          <w:trHeight w:val="212"/>
        </w:trPr>
        <w:tc>
          <w:tcPr>
            <w:tcW w:w="4860" w:type="dxa"/>
            <w:vAlign w:val="bottom"/>
            <w:tcBorders>
              <w:bottom w:val="single" w:sz="8" w:color="99B5CB"/>
            </w:tcBorders>
          </w:tcPr>
          <w:p>
            <w:pPr>
              <w:ind w:left="60"/>
              <w:spacing w:after="0" w:line="212" w:lineRule="exact"/>
              <w:rPr>
                <w:sz w:val="20"/>
                <w:szCs w:val="20"/>
                <w:color w:val="auto"/>
              </w:rPr>
            </w:pPr>
            <w:r>
              <w:rPr>
                <w:rFonts w:ascii="Arial" w:cs="Arial" w:eastAsia="Arial" w:hAnsi="Arial"/>
                <w:sz w:val="15"/>
                <w:szCs w:val="15"/>
                <w:color w:val="auto"/>
              </w:rPr>
              <w:t>Ruoxi Chen</w:t>
            </w:r>
            <w:r>
              <w:rPr>
                <w:rFonts w:ascii="Arial" w:cs="Arial" w:eastAsia="Arial" w:hAnsi="Arial"/>
                <w:sz w:val="23"/>
                <w:szCs w:val="23"/>
                <w:color w:val="auto"/>
                <w:vertAlign w:val="superscript"/>
              </w:rPr>
              <w:t>(10)</w:t>
            </w:r>
          </w:p>
        </w:tc>
        <w:tc>
          <w:tcPr>
            <w:tcW w:w="3660" w:type="dxa"/>
            <w:vAlign w:val="bottom"/>
            <w:tcBorders>
              <w:bottom w:val="single" w:sz="8" w:color="99B5CB"/>
            </w:tcBorders>
          </w:tcPr>
          <w:p>
            <w:pPr>
              <w:jc w:val="right"/>
              <w:ind w:right="542"/>
              <w:spacing w:after="0"/>
              <w:rPr>
                <w:sz w:val="20"/>
                <w:szCs w:val="20"/>
                <w:color w:val="auto"/>
              </w:rPr>
            </w:pPr>
            <w:r>
              <w:rPr>
                <w:rFonts w:ascii="Arial" w:cs="Arial" w:eastAsia="Arial" w:hAnsi="Arial"/>
                <w:sz w:val="15"/>
                <w:szCs w:val="15"/>
                <w:color w:val="auto"/>
              </w:rPr>
              <w:t>105,443,163</w:t>
            </w:r>
          </w:p>
        </w:tc>
        <w:tc>
          <w:tcPr>
            <w:tcW w:w="2020" w:type="dxa"/>
            <w:vAlign w:val="bottom"/>
            <w:tcBorders>
              <w:bottom w:val="single" w:sz="8" w:color="99B5CB"/>
            </w:tcBorders>
          </w:tcPr>
          <w:p>
            <w:pPr>
              <w:jc w:val="right"/>
              <w:ind w:right="643"/>
              <w:spacing w:after="0"/>
              <w:rPr>
                <w:sz w:val="20"/>
                <w:szCs w:val="20"/>
                <w:color w:val="auto"/>
              </w:rPr>
            </w:pPr>
            <w:r>
              <w:rPr>
                <w:rFonts w:ascii="Arial" w:cs="Arial" w:eastAsia="Arial" w:hAnsi="Arial"/>
                <w:sz w:val="15"/>
                <w:szCs w:val="15"/>
                <w:color w:val="auto"/>
              </w:rPr>
              <w:t>37.32%</w:t>
            </w:r>
          </w:p>
        </w:tc>
      </w:tr>
      <w:tr>
        <w:trPr>
          <w:trHeight w:val="212"/>
        </w:trPr>
        <w:tc>
          <w:tcPr>
            <w:tcW w:w="4860" w:type="dxa"/>
            <w:vAlign w:val="bottom"/>
            <w:tcBorders>
              <w:bottom w:val="single" w:sz="8" w:color="99B5CB"/>
            </w:tcBorders>
          </w:tcPr>
          <w:p>
            <w:pPr>
              <w:ind w:left="60"/>
              <w:spacing w:after="0" w:line="212" w:lineRule="exact"/>
              <w:rPr>
                <w:sz w:val="20"/>
                <w:szCs w:val="20"/>
                <w:color w:val="auto"/>
              </w:rPr>
            </w:pPr>
            <w:r>
              <w:rPr>
                <w:rFonts w:ascii="Arial" w:cs="Arial" w:eastAsia="Arial" w:hAnsi="Arial"/>
                <w:sz w:val="15"/>
                <w:szCs w:val="15"/>
                <w:color w:val="auto"/>
              </w:rPr>
              <w:t>Sean L. Cunningham</w:t>
            </w:r>
            <w:r>
              <w:rPr>
                <w:rFonts w:ascii="Arial" w:cs="Arial" w:eastAsia="Arial" w:hAnsi="Arial"/>
                <w:sz w:val="23"/>
                <w:szCs w:val="23"/>
                <w:color w:val="auto"/>
                <w:vertAlign w:val="superscript"/>
              </w:rPr>
              <w:t>(11)</w:t>
            </w:r>
          </w:p>
        </w:tc>
        <w:tc>
          <w:tcPr>
            <w:tcW w:w="3660" w:type="dxa"/>
            <w:vAlign w:val="bottom"/>
            <w:tcBorders>
              <w:bottom w:val="single" w:sz="8" w:color="99B5CB"/>
            </w:tcBorders>
          </w:tcPr>
          <w:p>
            <w:pPr>
              <w:jc w:val="right"/>
              <w:ind w:right="542"/>
              <w:spacing w:after="0"/>
              <w:rPr>
                <w:sz w:val="20"/>
                <w:szCs w:val="20"/>
                <w:color w:val="auto"/>
              </w:rPr>
            </w:pPr>
            <w:r>
              <w:rPr>
                <w:rFonts w:ascii="Arial" w:cs="Arial" w:eastAsia="Arial" w:hAnsi="Arial"/>
                <w:sz w:val="15"/>
                <w:szCs w:val="15"/>
                <w:color w:val="auto"/>
              </w:rPr>
              <w:t>70,304,057</w:t>
            </w:r>
          </w:p>
        </w:tc>
        <w:tc>
          <w:tcPr>
            <w:tcW w:w="2020" w:type="dxa"/>
            <w:vAlign w:val="bottom"/>
            <w:tcBorders>
              <w:bottom w:val="single" w:sz="8" w:color="99B5CB"/>
            </w:tcBorders>
          </w:tcPr>
          <w:p>
            <w:pPr>
              <w:jc w:val="right"/>
              <w:ind w:right="643"/>
              <w:spacing w:after="0"/>
              <w:rPr>
                <w:sz w:val="20"/>
                <w:szCs w:val="20"/>
                <w:color w:val="auto"/>
              </w:rPr>
            </w:pPr>
            <w:r>
              <w:rPr>
                <w:rFonts w:ascii="Arial" w:cs="Arial" w:eastAsia="Arial" w:hAnsi="Arial"/>
                <w:sz w:val="15"/>
                <w:szCs w:val="15"/>
                <w:color w:val="auto"/>
              </w:rPr>
              <w:t>24.88%</w:t>
            </w:r>
          </w:p>
        </w:tc>
      </w:tr>
      <w:tr>
        <w:trPr>
          <w:trHeight w:val="212"/>
        </w:trPr>
        <w:tc>
          <w:tcPr>
            <w:tcW w:w="4860" w:type="dxa"/>
            <w:vAlign w:val="bottom"/>
            <w:tcBorders>
              <w:bottom w:val="single" w:sz="8" w:color="99B5CB"/>
            </w:tcBorders>
          </w:tcPr>
          <w:p>
            <w:pPr>
              <w:ind w:left="60"/>
              <w:spacing w:after="0" w:line="212" w:lineRule="exact"/>
              <w:rPr>
                <w:sz w:val="20"/>
                <w:szCs w:val="20"/>
                <w:color w:val="auto"/>
              </w:rPr>
            </w:pPr>
            <w:r>
              <w:rPr>
                <w:rFonts w:ascii="Arial" w:cs="Arial" w:eastAsia="Arial" w:hAnsi="Arial"/>
                <w:sz w:val="15"/>
                <w:szCs w:val="15"/>
                <w:color w:val="auto"/>
              </w:rPr>
              <w:t>David A. Donnini</w:t>
            </w:r>
            <w:r>
              <w:rPr>
                <w:rFonts w:ascii="Arial" w:cs="Arial" w:eastAsia="Arial" w:hAnsi="Arial"/>
                <w:sz w:val="23"/>
                <w:szCs w:val="23"/>
                <w:color w:val="auto"/>
                <w:vertAlign w:val="superscript"/>
              </w:rPr>
              <w:t>(11)</w:t>
            </w:r>
          </w:p>
        </w:tc>
        <w:tc>
          <w:tcPr>
            <w:tcW w:w="3660" w:type="dxa"/>
            <w:vAlign w:val="bottom"/>
            <w:tcBorders>
              <w:bottom w:val="single" w:sz="8" w:color="99B5CB"/>
            </w:tcBorders>
          </w:tcPr>
          <w:p>
            <w:pPr>
              <w:jc w:val="right"/>
              <w:ind w:right="542"/>
              <w:spacing w:after="0"/>
              <w:rPr>
                <w:sz w:val="20"/>
                <w:szCs w:val="20"/>
                <w:color w:val="auto"/>
              </w:rPr>
            </w:pPr>
            <w:r>
              <w:rPr>
                <w:rFonts w:ascii="Arial" w:cs="Arial" w:eastAsia="Arial" w:hAnsi="Arial"/>
                <w:sz w:val="15"/>
                <w:szCs w:val="15"/>
                <w:color w:val="auto"/>
              </w:rPr>
              <w:t>70,304,057</w:t>
            </w:r>
          </w:p>
        </w:tc>
        <w:tc>
          <w:tcPr>
            <w:tcW w:w="2020" w:type="dxa"/>
            <w:vAlign w:val="bottom"/>
            <w:tcBorders>
              <w:bottom w:val="single" w:sz="8" w:color="99B5CB"/>
            </w:tcBorders>
          </w:tcPr>
          <w:p>
            <w:pPr>
              <w:jc w:val="right"/>
              <w:ind w:right="643"/>
              <w:spacing w:after="0"/>
              <w:rPr>
                <w:sz w:val="20"/>
                <w:szCs w:val="20"/>
                <w:color w:val="auto"/>
              </w:rPr>
            </w:pPr>
            <w:r>
              <w:rPr>
                <w:rFonts w:ascii="Arial" w:cs="Arial" w:eastAsia="Arial" w:hAnsi="Arial"/>
                <w:sz w:val="15"/>
                <w:szCs w:val="15"/>
                <w:color w:val="auto"/>
              </w:rPr>
              <w:t>24.88%</w:t>
            </w:r>
          </w:p>
        </w:tc>
      </w:tr>
      <w:tr>
        <w:trPr>
          <w:trHeight w:val="212"/>
        </w:trPr>
        <w:tc>
          <w:tcPr>
            <w:tcW w:w="4860" w:type="dxa"/>
            <w:vAlign w:val="bottom"/>
            <w:tcBorders>
              <w:bottom w:val="single" w:sz="8" w:color="99B5CB"/>
            </w:tcBorders>
          </w:tcPr>
          <w:p>
            <w:pPr>
              <w:ind w:left="60"/>
              <w:spacing w:after="0" w:line="212" w:lineRule="exact"/>
              <w:rPr>
                <w:sz w:val="20"/>
                <w:szCs w:val="20"/>
                <w:color w:val="auto"/>
              </w:rPr>
            </w:pPr>
            <w:r>
              <w:rPr>
                <w:rFonts w:ascii="Arial" w:cs="Arial" w:eastAsia="Arial" w:hAnsi="Arial"/>
                <w:sz w:val="15"/>
                <w:szCs w:val="15"/>
                <w:color w:val="auto"/>
              </w:rPr>
              <w:t>Robert B. Knauss</w:t>
            </w:r>
            <w:r>
              <w:rPr>
                <w:rFonts w:ascii="Arial" w:cs="Arial" w:eastAsia="Arial" w:hAnsi="Arial"/>
                <w:sz w:val="23"/>
                <w:szCs w:val="23"/>
                <w:color w:val="auto"/>
                <w:vertAlign w:val="superscript"/>
              </w:rPr>
              <w:t>(10)</w:t>
            </w:r>
          </w:p>
        </w:tc>
        <w:tc>
          <w:tcPr>
            <w:tcW w:w="3660" w:type="dxa"/>
            <w:vAlign w:val="bottom"/>
            <w:tcBorders>
              <w:bottom w:val="single" w:sz="8" w:color="99B5CB"/>
            </w:tcBorders>
          </w:tcPr>
          <w:p>
            <w:pPr>
              <w:jc w:val="right"/>
              <w:ind w:right="542"/>
              <w:spacing w:after="0"/>
              <w:rPr>
                <w:sz w:val="20"/>
                <w:szCs w:val="20"/>
                <w:color w:val="auto"/>
              </w:rPr>
            </w:pPr>
            <w:r>
              <w:rPr>
                <w:rFonts w:ascii="Arial" w:cs="Arial" w:eastAsia="Arial" w:hAnsi="Arial"/>
                <w:sz w:val="15"/>
                <w:szCs w:val="15"/>
                <w:color w:val="auto"/>
              </w:rPr>
              <w:t>105,417,315</w:t>
            </w:r>
          </w:p>
        </w:tc>
        <w:tc>
          <w:tcPr>
            <w:tcW w:w="2020" w:type="dxa"/>
            <w:vAlign w:val="bottom"/>
            <w:tcBorders>
              <w:bottom w:val="single" w:sz="8" w:color="99B5CB"/>
            </w:tcBorders>
          </w:tcPr>
          <w:p>
            <w:pPr>
              <w:jc w:val="right"/>
              <w:ind w:right="643"/>
              <w:spacing w:after="0"/>
              <w:rPr>
                <w:sz w:val="20"/>
                <w:szCs w:val="20"/>
                <w:color w:val="auto"/>
              </w:rPr>
            </w:pPr>
            <w:r>
              <w:rPr>
                <w:rFonts w:ascii="Arial" w:cs="Arial" w:eastAsia="Arial" w:hAnsi="Arial"/>
                <w:sz w:val="15"/>
                <w:szCs w:val="15"/>
                <w:color w:val="auto"/>
              </w:rPr>
              <w:t>37.31%</w:t>
            </w:r>
          </w:p>
        </w:tc>
      </w:tr>
      <w:tr>
        <w:trPr>
          <w:trHeight w:val="212"/>
        </w:trPr>
        <w:tc>
          <w:tcPr>
            <w:tcW w:w="4860" w:type="dxa"/>
            <w:vAlign w:val="bottom"/>
            <w:tcBorders>
              <w:bottom w:val="single" w:sz="8" w:color="99B5CB"/>
            </w:tcBorders>
          </w:tcPr>
          <w:p>
            <w:pPr>
              <w:ind w:left="60"/>
              <w:spacing w:after="0" w:line="212" w:lineRule="exact"/>
              <w:rPr>
                <w:sz w:val="20"/>
                <w:szCs w:val="20"/>
                <w:color w:val="auto"/>
              </w:rPr>
            </w:pPr>
            <w:r>
              <w:rPr>
                <w:rFonts w:ascii="Arial" w:cs="Arial" w:eastAsia="Arial" w:hAnsi="Arial"/>
                <w:sz w:val="15"/>
                <w:szCs w:val="15"/>
                <w:color w:val="auto"/>
              </w:rPr>
              <w:t>Ann R. Klee</w:t>
            </w:r>
            <w:r>
              <w:rPr>
                <w:rFonts w:ascii="Arial" w:cs="Arial" w:eastAsia="Arial" w:hAnsi="Arial"/>
                <w:sz w:val="23"/>
                <w:szCs w:val="23"/>
                <w:color w:val="auto"/>
                <w:vertAlign w:val="superscript"/>
              </w:rPr>
              <w:t>(12)</w:t>
            </w:r>
          </w:p>
        </w:tc>
        <w:tc>
          <w:tcPr>
            <w:tcW w:w="3660" w:type="dxa"/>
            <w:vAlign w:val="bottom"/>
            <w:tcBorders>
              <w:bottom w:val="single" w:sz="8" w:color="99B5CB"/>
            </w:tcBorders>
          </w:tcPr>
          <w:p>
            <w:pPr>
              <w:jc w:val="right"/>
              <w:ind w:right="542"/>
              <w:spacing w:after="0"/>
              <w:rPr>
                <w:sz w:val="20"/>
                <w:szCs w:val="20"/>
                <w:color w:val="auto"/>
              </w:rPr>
            </w:pPr>
            <w:r>
              <w:rPr>
                <w:rFonts w:ascii="Arial" w:cs="Arial" w:eastAsia="Arial" w:hAnsi="Arial"/>
                <w:sz w:val="15"/>
                <w:szCs w:val="15"/>
                <w:color w:val="auto"/>
              </w:rPr>
              <w:t>76,773</w:t>
            </w:r>
          </w:p>
        </w:tc>
        <w:tc>
          <w:tcPr>
            <w:tcW w:w="2020" w:type="dxa"/>
            <w:vAlign w:val="bottom"/>
            <w:tcBorders>
              <w:bottom w:val="single" w:sz="8" w:color="99B5CB"/>
            </w:tcBorders>
          </w:tcPr>
          <w:p>
            <w:pPr>
              <w:jc w:val="right"/>
              <w:ind w:right="783"/>
              <w:spacing w:after="0"/>
              <w:rPr>
                <w:sz w:val="20"/>
                <w:szCs w:val="20"/>
                <w:color w:val="auto"/>
              </w:rPr>
            </w:pPr>
            <w:r>
              <w:rPr>
                <w:rFonts w:ascii="Arial" w:cs="Arial" w:eastAsia="Arial" w:hAnsi="Arial"/>
                <w:sz w:val="15"/>
                <w:szCs w:val="15"/>
                <w:color w:val="auto"/>
              </w:rPr>
              <w:t>*</w:t>
            </w:r>
          </w:p>
        </w:tc>
      </w:tr>
      <w:tr>
        <w:trPr>
          <w:trHeight w:val="212"/>
        </w:trPr>
        <w:tc>
          <w:tcPr>
            <w:tcW w:w="4860" w:type="dxa"/>
            <w:vAlign w:val="bottom"/>
            <w:tcBorders>
              <w:bottom w:val="single" w:sz="8" w:color="99B5CB"/>
            </w:tcBorders>
          </w:tcPr>
          <w:p>
            <w:pPr>
              <w:ind w:left="60"/>
              <w:spacing w:after="0" w:line="212" w:lineRule="exact"/>
              <w:rPr>
                <w:sz w:val="20"/>
                <w:szCs w:val="20"/>
                <w:color w:val="auto"/>
              </w:rPr>
            </w:pPr>
            <w:r>
              <w:rPr>
                <w:rFonts w:ascii="Arial" w:cs="Arial" w:eastAsia="Arial" w:hAnsi="Arial"/>
                <w:sz w:val="15"/>
                <w:szCs w:val="15"/>
                <w:color w:val="auto"/>
              </w:rPr>
              <w:t>Constantine S. Mihas</w:t>
            </w:r>
            <w:r>
              <w:rPr>
                <w:rFonts w:ascii="Arial" w:cs="Arial" w:eastAsia="Arial" w:hAnsi="Arial"/>
                <w:sz w:val="23"/>
                <w:szCs w:val="23"/>
                <w:color w:val="auto"/>
                <w:vertAlign w:val="superscript"/>
              </w:rPr>
              <w:t>(11)</w:t>
            </w:r>
          </w:p>
        </w:tc>
        <w:tc>
          <w:tcPr>
            <w:tcW w:w="3660" w:type="dxa"/>
            <w:vAlign w:val="bottom"/>
            <w:tcBorders>
              <w:bottom w:val="single" w:sz="8" w:color="99B5CB"/>
            </w:tcBorders>
          </w:tcPr>
          <w:p>
            <w:pPr>
              <w:jc w:val="right"/>
              <w:ind w:right="542"/>
              <w:spacing w:after="0"/>
              <w:rPr>
                <w:sz w:val="20"/>
                <w:szCs w:val="20"/>
                <w:color w:val="auto"/>
              </w:rPr>
            </w:pPr>
            <w:r>
              <w:rPr>
                <w:rFonts w:ascii="Arial" w:cs="Arial" w:eastAsia="Arial" w:hAnsi="Arial"/>
                <w:sz w:val="15"/>
                <w:szCs w:val="15"/>
                <w:color w:val="auto"/>
              </w:rPr>
              <w:t>70,304,057</w:t>
            </w:r>
          </w:p>
        </w:tc>
        <w:tc>
          <w:tcPr>
            <w:tcW w:w="2020" w:type="dxa"/>
            <w:vAlign w:val="bottom"/>
            <w:tcBorders>
              <w:bottom w:val="single" w:sz="8" w:color="99B5CB"/>
            </w:tcBorders>
          </w:tcPr>
          <w:p>
            <w:pPr>
              <w:jc w:val="right"/>
              <w:ind w:right="643"/>
              <w:spacing w:after="0"/>
              <w:rPr>
                <w:sz w:val="20"/>
                <w:szCs w:val="20"/>
                <w:color w:val="auto"/>
              </w:rPr>
            </w:pPr>
            <w:r>
              <w:rPr>
                <w:rFonts w:ascii="Arial" w:cs="Arial" w:eastAsia="Arial" w:hAnsi="Arial"/>
                <w:sz w:val="15"/>
                <w:szCs w:val="15"/>
                <w:color w:val="auto"/>
              </w:rPr>
              <w:t>24.88%</w:t>
            </w:r>
          </w:p>
        </w:tc>
      </w:tr>
      <w:tr>
        <w:trPr>
          <w:trHeight w:val="212"/>
        </w:trPr>
        <w:tc>
          <w:tcPr>
            <w:tcW w:w="4860" w:type="dxa"/>
            <w:vAlign w:val="bottom"/>
            <w:tcBorders>
              <w:bottom w:val="single" w:sz="8" w:color="99B5CB"/>
            </w:tcBorders>
          </w:tcPr>
          <w:p>
            <w:pPr>
              <w:ind w:left="60"/>
              <w:spacing w:after="0" w:line="212" w:lineRule="exact"/>
              <w:rPr>
                <w:sz w:val="20"/>
                <w:szCs w:val="20"/>
                <w:color w:val="auto"/>
              </w:rPr>
            </w:pPr>
            <w:r>
              <w:rPr>
                <w:rFonts w:ascii="Arial" w:cs="Arial" w:eastAsia="Arial" w:hAnsi="Arial"/>
                <w:sz w:val="15"/>
                <w:szCs w:val="15"/>
                <w:color w:val="auto"/>
              </w:rPr>
              <w:t>James C. Neary</w:t>
            </w:r>
            <w:r>
              <w:rPr>
                <w:rFonts w:ascii="Arial" w:cs="Arial" w:eastAsia="Arial" w:hAnsi="Arial"/>
                <w:sz w:val="23"/>
                <w:szCs w:val="23"/>
                <w:color w:val="auto"/>
                <w:vertAlign w:val="superscript"/>
              </w:rPr>
              <w:t>(10)</w:t>
            </w:r>
          </w:p>
        </w:tc>
        <w:tc>
          <w:tcPr>
            <w:tcW w:w="3660" w:type="dxa"/>
            <w:vAlign w:val="bottom"/>
            <w:tcBorders>
              <w:bottom w:val="single" w:sz="8" w:color="99B5CB"/>
            </w:tcBorders>
          </w:tcPr>
          <w:p>
            <w:pPr>
              <w:jc w:val="right"/>
              <w:ind w:right="542"/>
              <w:spacing w:after="0"/>
              <w:rPr>
                <w:sz w:val="20"/>
                <w:szCs w:val="20"/>
                <w:color w:val="auto"/>
              </w:rPr>
            </w:pPr>
            <w:r>
              <w:rPr>
                <w:rFonts w:ascii="Arial" w:cs="Arial" w:eastAsia="Arial" w:hAnsi="Arial"/>
                <w:sz w:val="15"/>
                <w:szCs w:val="15"/>
                <w:color w:val="auto"/>
              </w:rPr>
              <w:t>105,443,163</w:t>
            </w:r>
          </w:p>
        </w:tc>
        <w:tc>
          <w:tcPr>
            <w:tcW w:w="2020" w:type="dxa"/>
            <w:vAlign w:val="bottom"/>
            <w:tcBorders>
              <w:bottom w:val="single" w:sz="8" w:color="99B5CB"/>
            </w:tcBorders>
          </w:tcPr>
          <w:p>
            <w:pPr>
              <w:jc w:val="right"/>
              <w:ind w:right="643"/>
              <w:spacing w:after="0"/>
              <w:rPr>
                <w:sz w:val="20"/>
                <w:szCs w:val="20"/>
                <w:color w:val="auto"/>
              </w:rPr>
            </w:pPr>
            <w:r>
              <w:rPr>
                <w:rFonts w:ascii="Arial" w:cs="Arial" w:eastAsia="Arial" w:hAnsi="Arial"/>
                <w:sz w:val="15"/>
                <w:szCs w:val="15"/>
                <w:color w:val="auto"/>
              </w:rPr>
              <w:t>37.32%</w:t>
            </w:r>
          </w:p>
        </w:tc>
      </w:tr>
      <w:tr>
        <w:trPr>
          <w:trHeight w:val="212"/>
        </w:trPr>
        <w:tc>
          <w:tcPr>
            <w:tcW w:w="4860" w:type="dxa"/>
            <w:vAlign w:val="bottom"/>
            <w:tcBorders>
              <w:bottom w:val="single" w:sz="8" w:color="99B5CB"/>
            </w:tcBorders>
          </w:tcPr>
          <w:p>
            <w:pPr>
              <w:ind w:left="60"/>
              <w:spacing w:after="0" w:line="212" w:lineRule="exact"/>
              <w:rPr>
                <w:sz w:val="20"/>
                <w:szCs w:val="20"/>
                <w:color w:val="auto"/>
              </w:rPr>
            </w:pPr>
            <w:r>
              <w:rPr>
                <w:rFonts w:ascii="Arial" w:cs="Arial" w:eastAsia="Arial" w:hAnsi="Arial"/>
                <w:sz w:val="15"/>
                <w:szCs w:val="15"/>
                <w:color w:val="auto"/>
              </w:rPr>
              <w:t>Vincent K. Petrella</w:t>
            </w:r>
            <w:r>
              <w:rPr>
                <w:rFonts w:ascii="Arial" w:cs="Arial" w:eastAsia="Arial" w:hAnsi="Arial"/>
                <w:sz w:val="23"/>
                <w:szCs w:val="23"/>
                <w:color w:val="auto"/>
                <w:vertAlign w:val="superscript"/>
              </w:rPr>
              <w:t>(13)</w:t>
            </w:r>
          </w:p>
        </w:tc>
        <w:tc>
          <w:tcPr>
            <w:tcW w:w="3660" w:type="dxa"/>
            <w:vAlign w:val="bottom"/>
            <w:tcBorders>
              <w:bottom w:val="single" w:sz="8" w:color="99B5CB"/>
            </w:tcBorders>
          </w:tcPr>
          <w:p>
            <w:pPr>
              <w:jc w:val="right"/>
              <w:ind w:right="542"/>
              <w:spacing w:after="0"/>
              <w:rPr>
                <w:sz w:val="20"/>
                <w:szCs w:val="20"/>
                <w:color w:val="auto"/>
              </w:rPr>
            </w:pPr>
            <w:r>
              <w:rPr>
                <w:rFonts w:ascii="Arial" w:cs="Arial" w:eastAsia="Arial" w:hAnsi="Arial"/>
                <w:sz w:val="15"/>
                <w:szCs w:val="15"/>
                <w:color w:val="auto"/>
              </w:rPr>
              <w:t>25,848</w:t>
            </w:r>
          </w:p>
        </w:tc>
        <w:tc>
          <w:tcPr>
            <w:tcW w:w="2020" w:type="dxa"/>
            <w:vAlign w:val="bottom"/>
            <w:tcBorders>
              <w:bottom w:val="single" w:sz="8" w:color="99B5CB"/>
            </w:tcBorders>
          </w:tcPr>
          <w:p>
            <w:pPr>
              <w:jc w:val="right"/>
              <w:ind w:right="783"/>
              <w:spacing w:after="0"/>
              <w:rPr>
                <w:sz w:val="20"/>
                <w:szCs w:val="20"/>
                <w:color w:val="auto"/>
              </w:rPr>
            </w:pPr>
            <w:r>
              <w:rPr>
                <w:rFonts w:ascii="Arial" w:cs="Arial" w:eastAsia="Arial" w:hAnsi="Arial"/>
                <w:sz w:val="15"/>
                <w:szCs w:val="15"/>
                <w:color w:val="auto"/>
              </w:rPr>
              <w:t>*</w:t>
            </w:r>
          </w:p>
        </w:tc>
      </w:tr>
      <w:tr>
        <w:trPr>
          <w:trHeight w:val="212"/>
        </w:trPr>
        <w:tc>
          <w:tcPr>
            <w:tcW w:w="4860" w:type="dxa"/>
            <w:vAlign w:val="bottom"/>
            <w:tcBorders>
              <w:bottom w:val="single" w:sz="8" w:color="99B5CB"/>
            </w:tcBorders>
          </w:tcPr>
          <w:p>
            <w:pPr>
              <w:ind w:left="60"/>
              <w:spacing w:after="0" w:line="212" w:lineRule="exact"/>
              <w:rPr>
                <w:sz w:val="20"/>
                <w:szCs w:val="20"/>
                <w:color w:val="auto"/>
              </w:rPr>
            </w:pPr>
            <w:r>
              <w:rPr>
                <w:rFonts w:ascii="Arial" w:cs="Arial" w:eastAsia="Arial" w:hAnsi="Arial"/>
                <w:sz w:val="15"/>
                <w:szCs w:val="15"/>
                <w:color w:val="auto"/>
              </w:rPr>
              <w:t>David E. Wheadon</w:t>
            </w:r>
            <w:r>
              <w:rPr>
                <w:rFonts w:ascii="Arial" w:cs="Arial" w:eastAsia="Arial" w:hAnsi="Arial"/>
                <w:sz w:val="23"/>
                <w:szCs w:val="23"/>
                <w:color w:val="auto"/>
                <w:vertAlign w:val="superscript"/>
              </w:rPr>
              <w:t>(14)</w:t>
            </w:r>
          </w:p>
        </w:tc>
        <w:tc>
          <w:tcPr>
            <w:tcW w:w="3660" w:type="dxa"/>
            <w:vAlign w:val="bottom"/>
            <w:tcBorders>
              <w:bottom w:val="single" w:sz="8" w:color="99B5CB"/>
            </w:tcBorders>
          </w:tcPr>
          <w:p>
            <w:pPr>
              <w:jc w:val="right"/>
              <w:ind w:right="542"/>
              <w:spacing w:after="0"/>
              <w:rPr>
                <w:sz w:val="20"/>
                <w:szCs w:val="20"/>
                <w:color w:val="auto"/>
              </w:rPr>
            </w:pPr>
            <w:r>
              <w:rPr>
                <w:rFonts w:ascii="Arial" w:cs="Arial" w:eastAsia="Arial" w:hAnsi="Arial"/>
                <w:sz w:val="15"/>
                <w:szCs w:val="15"/>
                <w:color w:val="auto"/>
              </w:rPr>
              <w:t>19,979</w:t>
            </w:r>
          </w:p>
        </w:tc>
        <w:tc>
          <w:tcPr>
            <w:tcW w:w="2020" w:type="dxa"/>
            <w:vAlign w:val="bottom"/>
            <w:tcBorders>
              <w:bottom w:val="single" w:sz="8" w:color="99B5CB"/>
            </w:tcBorders>
          </w:tcPr>
          <w:p>
            <w:pPr>
              <w:jc w:val="right"/>
              <w:ind w:right="783"/>
              <w:spacing w:after="0"/>
              <w:rPr>
                <w:sz w:val="20"/>
                <w:szCs w:val="20"/>
                <w:color w:val="auto"/>
              </w:rPr>
            </w:pPr>
            <w:r>
              <w:rPr>
                <w:rFonts w:ascii="Arial" w:cs="Arial" w:eastAsia="Arial" w:hAnsi="Arial"/>
                <w:sz w:val="15"/>
                <w:szCs w:val="15"/>
                <w:color w:val="auto"/>
              </w:rPr>
              <w:t>*</w:t>
            </w:r>
          </w:p>
        </w:tc>
      </w:tr>
      <w:tr>
        <w:trPr>
          <w:trHeight w:val="212"/>
        </w:trPr>
        <w:tc>
          <w:tcPr>
            <w:tcW w:w="4860" w:type="dxa"/>
            <w:vAlign w:val="bottom"/>
            <w:tcBorders>
              <w:bottom w:val="single" w:sz="8" w:color="00467D"/>
            </w:tcBorders>
          </w:tcPr>
          <w:p>
            <w:pPr>
              <w:ind w:left="60"/>
              <w:spacing w:after="0"/>
              <w:rPr>
                <w:sz w:val="20"/>
                <w:szCs w:val="20"/>
                <w:color w:val="auto"/>
              </w:rPr>
            </w:pPr>
            <w:r>
              <w:rPr>
                <w:rFonts w:ascii="Arial" w:cs="Arial" w:eastAsia="Arial" w:hAnsi="Arial"/>
                <w:sz w:val="15"/>
                <w:szCs w:val="15"/>
                <w:b w:val="1"/>
                <w:bCs w:val="1"/>
                <w:color w:val="00467D"/>
              </w:rPr>
              <w:t>All Executive Officers and Directors as a group (13 Persons)</w:t>
            </w:r>
          </w:p>
        </w:tc>
        <w:tc>
          <w:tcPr>
            <w:tcW w:w="3660" w:type="dxa"/>
            <w:vAlign w:val="bottom"/>
            <w:tcBorders>
              <w:bottom w:val="single" w:sz="8" w:color="00467D"/>
            </w:tcBorders>
          </w:tcPr>
          <w:p>
            <w:pPr>
              <w:jc w:val="right"/>
              <w:ind w:right="542"/>
              <w:spacing w:after="0"/>
              <w:rPr>
                <w:sz w:val="20"/>
                <w:szCs w:val="20"/>
                <w:color w:val="auto"/>
              </w:rPr>
            </w:pPr>
            <w:r>
              <w:rPr>
                <w:rFonts w:ascii="Arial" w:cs="Arial" w:eastAsia="Arial" w:hAnsi="Arial"/>
                <w:sz w:val="15"/>
                <w:szCs w:val="15"/>
                <w:color w:val="auto"/>
              </w:rPr>
              <w:t>184,014,645</w:t>
            </w:r>
          </w:p>
        </w:tc>
        <w:tc>
          <w:tcPr>
            <w:tcW w:w="2020" w:type="dxa"/>
            <w:vAlign w:val="bottom"/>
            <w:tcBorders>
              <w:bottom w:val="single" w:sz="8" w:color="00467D"/>
            </w:tcBorders>
          </w:tcPr>
          <w:p>
            <w:pPr>
              <w:jc w:val="right"/>
              <w:ind w:right="643"/>
              <w:spacing w:after="0"/>
              <w:rPr>
                <w:sz w:val="20"/>
                <w:szCs w:val="20"/>
                <w:color w:val="auto"/>
              </w:rPr>
            </w:pPr>
            <w:r>
              <w:rPr>
                <w:rFonts w:ascii="Arial" w:cs="Arial" w:eastAsia="Arial" w:hAnsi="Arial"/>
                <w:sz w:val="15"/>
                <w:szCs w:val="15"/>
                <w:color w:val="auto"/>
              </w:rPr>
              <w:t>65.13%</w:t>
            </w:r>
          </w:p>
        </w:tc>
      </w:tr>
      <w:tr>
        <w:trPr>
          <w:trHeight w:val="167"/>
        </w:trPr>
        <w:tc>
          <w:tcPr>
            <w:tcW w:w="4860" w:type="dxa"/>
            <w:vAlign w:val="bottom"/>
            <w:tcBorders>
              <w:bottom w:val="single" w:sz="8" w:color="00B0DB"/>
            </w:tcBorders>
          </w:tcPr>
          <w:p>
            <w:pPr>
              <w:spacing w:after="0"/>
              <w:rPr>
                <w:sz w:val="14"/>
                <w:szCs w:val="14"/>
                <w:color w:val="auto"/>
              </w:rPr>
            </w:pPr>
          </w:p>
        </w:tc>
        <w:tc>
          <w:tcPr>
            <w:tcW w:w="3660" w:type="dxa"/>
            <w:vAlign w:val="bottom"/>
            <w:tcBorders>
              <w:bottom w:val="single" w:sz="8" w:color="00B0DB"/>
            </w:tcBorders>
          </w:tcPr>
          <w:p>
            <w:pPr>
              <w:spacing w:after="0"/>
              <w:rPr>
                <w:sz w:val="14"/>
                <w:szCs w:val="14"/>
                <w:color w:val="auto"/>
              </w:rPr>
            </w:pPr>
          </w:p>
        </w:tc>
        <w:tc>
          <w:tcPr>
            <w:tcW w:w="2020" w:type="dxa"/>
            <w:vAlign w:val="bottom"/>
            <w:tcBorders>
              <w:bottom w:val="single" w:sz="8" w:color="00B0DB"/>
            </w:tcBorders>
          </w:tcPr>
          <w:p>
            <w:pPr>
              <w:spacing w:after="0"/>
              <w:rPr>
                <w:sz w:val="14"/>
                <w:szCs w:val="14"/>
                <w:color w:val="auto"/>
              </w:rPr>
            </w:pPr>
          </w:p>
        </w:tc>
      </w:tr>
      <w:tr>
        <w:trPr>
          <w:trHeight w:val="390"/>
        </w:trPr>
        <w:tc>
          <w:tcPr>
            <w:tcW w:w="4860" w:type="dxa"/>
            <w:vAlign w:val="bottom"/>
          </w:tcPr>
          <w:p>
            <w:pPr>
              <w:spacing w:after="0"/>
              <w:rPr>
                <w:sz w:val="20"/>
                <w:szCs w:val="20"/>
                <w:color w:val="auto"/>
              </w:rPr>
            </w:pPr>
            <w:r>
              <w:rPr>
                <w:rFonts w:ascii="Arial" w:cs="Arial" w:eastAsia="Arial" w:hAnsi="Arial"/>
                <w:sz w:val="17"/>
                <w:szCs w:val="17"/>
                <w:color w:val="auto"/>
              </w:rPr>
              <w:t>2023 Notice and Proxy Statement</w:t>
            </w:r>
          </w:p>
        </w:tc>
        <w:tc>
          <w:tcPr>
            <w:tcW w:w="3660" w:type="dxa"/>
            <w:vAlign w:val="bottom"/>
          </w:tcPr>
          <w:p>
            <w:pPr>
              <w:jc w:val="right"/>
              <w:ind w:right="3022"/>
              <w:spacing w:after="0"/>
              <w:rPr>
                <w:sz w:val="20"/>
                <w:szCs w:val="20"/>
                <w:color w:val="auto"/>
              </w:rPr>
            </w:pPr>
            <w:r>
              <w:rPr>
                <w:rFonts w:ascii="Arial" w:cs="Arial" w:eastAsia="Arial" w:hAnsi="Arial"/>
                <w:sz w:val="17"/>
                <w:szCs w:val="17"/>
                <w:color w:val="auto"/>
              </w:rPr>
              <w:t>70</w:t>
            </w:r>
          </w:p>
        </w:tc>
        <w:tc>
          <w:tcPr>
            <w:tcW w:w="2020" w:type="dxa"/>
            <w:vAlign w:val="bottom"/>
          </w:tcPr>
          <w:p>
            <w:pPr>
              <w:spacing w:after="0"/>
              <w:rPr>
                <w:sz w:val="24"/>
                <w:szCs w:val="24"/>
                <w:color w:val="auto"/>
              </w:rPr>
            </w:pPr>
          </w:p>
        </w:tc>
      </w:tr>
    </w:tbl>
    <w:p>
      <w:pPr>
        <w:sectPr>
          <w:pgSz w:w="11900" w:h="16838" w:orient="portrait"/>
          <w:cols w:equalWidth="0" w:num="1">
            <w:col w:w="10900"/>
          </w:cols>
          <w:pgMar w:left="320" w:top="468" w:right="67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5334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79945" cy="53340"/>
                    </a:xfrm>
                    <a:prstGeom prst="rect">
                      <a:avLst/>
                    </a:prstGeom>
                    <a:noFill/>
                  </pic:spPr>
                </pic:pic>
              </a:graphicData>
            </a:graphic>
          </wp:anchor>
        </w:drawing>
        <w:t>Table of Contents</w:t>
      </w:r>
    </w:p>
    <w:p>
      <w:pPr>
        <w:spacing w:after="0" w:line="296"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Security Ownership of Certain Beneficial Owners and Management</w:t>
      </w:r>
    </w:p>
    <w:p>
      <w:pPr>
        <w:spacing w:after="0" w:line="151" w:lineRule="exact"/>
        <w:rPr>
          <w:sz w:val="20"/>
          <w:szCs w:val="20"/>
          <w:color w:val="auto"/>
        </w:rPr>
      </w:pPr>
    </w:p>
    <w:p>
      <w:pPr>
        <w:ind w:left="780" w:hanging="422"/>
        <w:spacing w:after="0"/>
        <w:tabs>
          <w:tab w:leader="none" w:pos="780" w:val="left"/>
        </w:tabs>
        <w:numPr>
          <w:ilvl w:val="0"/>
          <w:numId w:val="50"/>
        </w:numPr>
        <w:rPr>
          <w:rFonts w:ascii="Arial" w:cs="Arial" w:eastAsia="Arial" w:hAnsi="Arial"/>
          <w:sz w:val="14"/>
          <w:szCs w:val="14"/>
          <w:color w:val="auto"/>
        </w:rPr>
      </w:pPr>
      <w:r>
        <w:rPr>
          <w:rFonts w:ascii="Arial" w:cs="Arial" w:eastAsia="Arial" w:hAnsi="Arial"/>
          <w:sz w:val="14"/>
          <w:szCs w:val="14"/>
          <w:color w:val="auto"/>
        </w:rPr>
        <w:t>Represents beneficial ownership of less than 1%</w:t>
      </w:r>
    </w:p>
    <w:p>
      <w:pPr>
        <w:spacing w:after="0" w:line="71" w:lineRule="exact"/>
        <w:rPr>
          <w:sz w:val="20"/>
          <w:szCs w:val="20"/>
          <w:color w:val="auto"/>
        </w:rPr>
      </w:pPr>
    </w:p>
    <w:p>
      <w:pPr>
        <w:ind w:left="780" w:right="560" w:hanging="422"/>
        <w:spacing w:after="0" w:line="259" w:lineRule="auto"/>
        <w:tabs>
          <w:tab w:leader="none" w:pos="780" w:val="left"/>
        </w:tabs>
        <w:numPr>
          <w:ilvl w:val="0"/>
          <w:numId w:val="51"/>
        </w:numPr>
        <w:rPr>
          <w:rFonts w:ascii="Arial" w:cs="Arial" w:eastAsia="Arial" w:hAnsi="Arial"/>
          <w:sz w:val="14"/>
          <w:szCs w:val="14"/>
          <w:color w:val="auto"/>
        </w:rPr>
      </w:pPr>
      <w:r>
        <w:rPr>
          <w:rFonts w:ascii="Arial" w:cs="Arial" w:eastAsia="Arial" w:hAnsi="Arial"/>
          <w:sz w:val="14"/>
          <w:szCs w:val="14"/>
          <w:color w:val="auto"/>
        </w:rPr>
        <w:t>Shares shown in the table above include shares held in the beneficial owner’s name or jointly with others, or in the name of a bank, nominee or trustee for the beneficial owner’s account.</w:t>
      </w:r>
    </w:p>
    <w:p>
      <w:pPr>
        <w:spacing w:after="0" w:line="39" w:lineRule="exact"/>
        <w:rPr>
          <w:rFonts w:ascii="Arial" w:cs="Arial" w:eastAsia="Arial" w:hAnsi="Arial"/>
          <w:sz w:val="14"/>
          <w:szCs w:val="14"/>
          <w:color w:val="auto"/>
        </w:rPr>
      </w:pPr>
    </w:p>
    <w:p>
      <w:pPr>
        <w:ind w:left="780" w:right="240" w:hanging="422"/>
        <w:spacing w:after="0" w:line="259" w:lineRule="auto"/>
        <w:tabs>
          <w:tab w:leader="none" w:pos="780" w:val="left"/>
        </w:tabs>
        <w:numPr>
          <w:ilvl w:val="0"/>
          <w:numId w:val="51"/>
        </w:numPr>
        <w:rPr>
          <w:rFonts w:ascii="Arial" w:cs="Arial" w:eastAsia="Arial" w:hAnsi="Arial"/>
          <w:sz w:val="14"/>
          <w:szCs w:val="14"/>
          <w:color w:val="auto"/>
        </w:rPr>
      </w:pPr>
      <w:r>
        <w:rPr>
          <w:rFonts w:ascii="Arial" w:cs="Arial" w:eastAsia="Arial" w:hAnsi="Arial"/>
          <w:sz w:val="14"/>
          <w:szCs w:val="14"/>
          <w:color w:val="auto"/>
        </w:rPr>
        <w:t>Consists of (i) 84,363,406 shares held of record by Bull Holdco L.P., a Delaware limited partnership (“Bull Holdco”) and (ii) 21,053,909 shares held of record by Bull Co-Invest L.P., a Delaware limited partnership (“WP Bull”).</w:t>
      </w:r>
    </w:p>
    <w:p>
      <w:pPr>
        <w:spacing w:after="0" w:line="39" w:lineRule="exact"/>
        <w:rPr>
          <w:rFonts w:ascii="Arial" w:cs="Arial" w:eastAsia="Arial" w:hAnsi="Arial"/>
          <w:sz w:val="14"/>
          <w:szCs w:val="14"/>
          <w:color w:val="auto"/>
        </w:rPr>
      </w:pPr>
    </w:p>
    <w:p>
      <w:pPr>
        <w:ind w:left="780" w:right="20"/>
        <w:spacing w:after="0" w:line="238" w:lineRule="auto"/>
        <w:rPr>
          <w:rFonts w:ascii="Arial" w:cs="Arial" w:eastAsia="Arial" w:hAnsi="Arial"/>
          <w:sz w:val="14"/>
          <w:szCs w:val="14"/>
          <w:color w:val="auto"/>
        </w:rPr>
      </w:pPr>
      <w:r>
        <w:rPr>
          <w:rFonts w:ascii="Arial" w:cs="Arial" w:eastAsia="Arial" w:hAnsi="Arial"/>
          <w:sz w:val="14"/>
          <w:szCs w:val="14"/>
          <w:color w:val="auto"/>
        </w:rPr>
        <w:t>Effective August 5, 2021, the Warburg Pincus Sponsors (as defined below), other than WP Bull, distributed their shares of common stock (the “Contributed Shares”) to Bull Holdco, pursuant to the terms of a Contribution and Exchange Agreement among such persons and Bull Holdco. The Warburg Pincus Sponsors (as defined below and other than WP Bull) share limited partnership ownership in Bull Holdco on a pro rata basis in accordance with their respective numbers of Contributed Shares. WP Bull Holdco GP LLC, a Delaware limited liability company, is the general partner of Bull Holdco, and WP XI (as defined below) is the sole member of WP Bull Holdco GP LLC.</w:t>
      </w:r>
    </w:p>
    <w:p>
      <w:pPr>
        <w:spacing w:after="0" w:line="53" w:lineRule="exact"/>
        <w:rPr>
          <w:rFonts w:ascii="Arial" w:cs="Arial" w:eastAsia="Arial" w:hAnsi="Arial"/>
          <w:sz w:val="14"/>
          <w:szCs w:val="14"/>
          <w:color w:val="auto"/>
        </w:rPr>
      </w:pPr>
    </w:p>
    <w:p>
      <w:pPr>
        <w:ind w:left="780" w:right="80"/>
        <w:spacing w:after="0" w:line="245" w:lineRule="auto"/>
        <w:rPr>
          <w:rFonts w:ascii="Arial" w:cs="Arial" w:eastAsia="Arial" w:hAnsi="Arial"/>
          <w:sz w:val="14"/>
          <w:szCs w:val="14"/>
          <w:color w:val="auto"/>
        </w:rPr>
      </w:pPr>
      <w:r>
        <w:rPr>
          <w:rFonts w:ascii="Arial" w:cs="Arial" w:eastAsia="Arial" w:hAnsi="Arial"/>
          <w:sz w:val="14"/>
          <w:szCs w:val="14"/>
          <w:color w:val="auto"/>
        </w:rPr>
        <w:t>The “Warburg Pincus Sponsors” include Warburg Pincus Private Equity XI, L.P., a Delaware limited partnership (“WP XI”), Warburg Pincus Private Equity XI-B, L.P., a Delaware limited partnership (“WP XI-B”), Warburg Pincus Private Equity XI-C, L.P., a Cayman Islands exempted limited partnership (“WP XI-C”), WP XI Partners, L.P., a Delaware limited partnership (“WP XIP”), Warburg Pincus XI Partners, L.P., a Delaware limited partnership (“WP XI Partners”) and WP Bull.</w:t>
      </w:r>
    </w:p>
    <w:p>
      <w:pPr>
        <w:spacing w:after="0" w:line="49" w:lineRule="exact"/>
        <w:rPr>
          <w:rFonts w:ascii="Arial" w:cs="Arial" w:eastAsia="Arial" w:hAnsi="Arial"/>
          <w:sz w:val="14"/>
          <w:szCs w:val="14"/>
          <w:color w:val="auto"/>
        </w:rPr>
      </w:pPr>
    </w:p>
    <w:p>
      <w:pPr>
        <w:ind w:left="780" w:right="220"/>
        <w:spacing w:after="0"/>
        <w:rPr>
          <w:rFonts w:ascii="Arial" w:cs="Arial" w:eastAsia="Arial" w:hAnsi="Arial"/>
          <w:sz w:val="14"/>
          <w:szCs w:val="14"/>
          <w:color w:val="auto"/>
        </w:rPr>
      </w:pPr>
      <w:r>
        <w:rPr>
          <w:rFonts w:ascii="Arial" w:cs="Arial" w:eastAsia="Arial" w:hAnsi="Arial"/>
          <w:sz w:val="14"/>
          <w:szCs w:val="14"/>
          <w:color w:val="auto"/>
        </w:rPr>
        <w:t>Warburg Pincus XI, L.P., a Delaware limited partnership (“WP XI GP”), is the general partner of each of (i) WP XI, (ii) WP XI-B, (iii) WP XI Partners and (iv) WP XIP. WP Global LLC, a Delaware limited liability company (“WP Global”), is the general partner of WP XI GP. Warburg Pincus Partners II, L.P., a Delaware limited partnership (“WPP II”), is the managing member of WP Global. Warburg Pincus Partners GP LLC, a Delaware limited liability company (“WPP GP LLC”), is the general partner of WPP II. Warburg Pincus &amp; Co., a New York general partnership (“WP”), is the managing member of WPP GP LLC.</w:t>
      </w:r>
    </w:p>
    <w:p>
      <w:pPr>
        <w:spacing w:after="0" w:line="52" w:lineRule="exact"/>
        <w:rPr>
          <w:rFonts w:ascii="Arial" w:cs="Arial" w:eastAsia="Arial" w:hAnsi="Arial"/>
          <w:sz w:val="14"/>
          <w:szCs w:val="14"/>
          <w:color w:val="auto"/>
        </w:rPr>
      </w:pPr>
    </w:p>
    <w:p>
      <w:pPr>
        <w:ind w:left="780" w:right="40"/>
        <w:spacing w:after="0" w:line="236" w:lineRule="auto"/>
        <w:rPr>
          <w:rFonts w:ascii="Arial" w:cs="Arial" w:eastAsia="Arial" w:hAnsi="Arial"/>
          <w:sz w:val="14"/>
          <w:szCs w:val="14"/>
          <w:color w:val="auto"/>
        </w:rPr>
      </w:pPr>
      <w:r>
        <w:rPr>
          <w:rFonts w:ascii="Arial" w:cs="Arial" w:eastAsia="Arial" w:hAnsi="Arial"/>
          <w:sz w:val="14"/>
          <w:szCs w:val="14"/>
          <w:color w:val="auto"/>
        </w:rPr>
        <w:t>Warburg Pincus (Cayman) XI, L.P., a Cayman Islands exempted limited partnership (“WP XI Cayman GP”), is the general partner of WP XI-C (WP XI-C and, together with WP XI, WP XI-B, WP XI Partners and WP XIP, the “WP XI Funds”). Warburg Pincus XI-C, LLC, a Delaware limited liability company (“WP XI-C LLC”), is the general partner of WP XI Cayman GP. Warburg Pincus Partners II (Cayman), L.P., a Cayman Islands exempted limited partnership (“WPP II Cayman”), is the managing member of WP XI-C LLC. Warburg Pincus (Bermuda) Private Equity GP Ltd., a Bermuda exempted company (“WP Bermuda GP”), is the general partner of WPP II Cayman. WP Bull Manager LLC, a Delaware limited Liability company (“WP Bull Manager”), is the general partner of WP Bull. WP is managing member of WP Bull Manager. Warburg Pincus LLC, a New York limited liability company (“WP LLC”), is the manager of the WP XI Funds. The address of the Warburg Pincus Sponsors is 450 Lexington Avenue, New York, New York 10017.</w:t>
      </w:r>
    </w:p>
    <w:p>
      <w:pPr>
        <w:spacing w:after="0" w:line="53" w:lineRule="exact"/>
        <w:rPr>
          <w:rFonts w:ascii="Arial" w:cs="Arial" w:eastAsia="Arial" w:hAnsi="Arial"/>
          <w:sz w:val="14"/>
          <w:szCs w:val="14"/>
          <w:color w:val="auto"/>
        </w:rPr>
      </w:pPr>
    </w:p>
    <w:p>
      <w:pPr>
        <w:ind w:left="780" w:right="40" w:hanging="422"/>
        <w:spacing w:after="0" w:line="235" w:lineRule="auto"/>
        <w:tabs>
          <w:tab w:leader="none" w:pos="780" w:val="left"/>
        </w:tabs>
        <w:numPr>
          <w:ilvl w:val="0"/>
          <w:numId w:val="51"/>
        </w:numPr>
        <w:rPr>
          <w:rFonts w:ascii="Arial" w:cs="Arial" w:eastAsia="Arial" w:hAnsi="Arial"/>
          <w:sz w:val="14"/>
          <w:szCs w:val="14"/>
          <w:color w:val="auto"/>
        </w:rPr>
      </w:pPr>
      <w:r>
        <w:rPr>
          <w:rFonts w:ascii="Arial" w:cs="Arial" w:eastAsia="Arial" w:hAnsi="Arial"/>
          <w:sz w:val="14"/>
          <w:szCs w:val="14"/>
          <w:color w:val="auto"/>
        </w:rPr>
        <w:t>Includes (i) 55,778,268 shares held of record by GTCR Fund XI/A LP, (ii) 14,052,901 shares held of record by GTCR Fund XI/C LP and (iii) 447,040 shares held of record by GTCR Co-Invest XI LP (collectively, the “GTCR Sponsors”). GTCR Partners XI/A&amp;C LP is the general partner of each of GTCR Fund XI/A LP and GTCR Fund XI/C LP. GTCR Investment XI LLC is the general partner of each of GTCR Co-Invest XI LP and GTCR Partners XI/A&amp;C LP. GTCR Investment XI LLC is managed by a board of managers (the “GTCR Board of Managers”) consisting of Mark M. Anderson, Craig A. Bondy, Aaron D. Cohen, Sean L. Cunningham, Benjamin J. Daverman, David A. Donnini, Constantine S. Mihas and Collin E. Roche, and no single person has voting or dispositive authority over the shares. Each of GTCR Partners XI/A&amp;C LP, GTCR Investment XI LLC and the GTCR Board of Managers may be deemed to share beneficial ownership of the shares held of record by the GTCR Stockholders, and each of the individual members of the GTCR Board of Managers disclaims beneficial ownership of the shares held of record by the GTCR Stockholders except to the extent of his pecuniary interest therein. The address for each of the GTCR Stockholders, GTCR Partners XI/A&amp;C LP and GTCR Investment XI LLC is 300 North LaSalle Street, Suite 5600, Chicago, Illinois, 60654.</w:t>
      </w:r>
    </w:p>
    <w:p>
      <w:pPr>
        <w:spacing w:after="0" w:line="52" w:lineRule="exact"/>
        <w:rPr>
          <w:rFonts w:ascii="Arial" w:cs="Arial" w:eastAsia="Arial" w:hAnsi="Arial"/>
          <w:sz w:val="14"/>
          <w:szCs w:val="14"/>
          <w:color w:val="auto"/>
        </w:rPr>
      </w:pPr>
    </w:p>
    <w:p>
      <w:pPr>
        <w:ind w:left="780" w:right="40" w:hanging="422"/>
        <w:spacing w:after="0" w:line="245" w:lineRule="auto"/>
        <w:tabs>
          <w:tab w:leader="none" w:pos="780" w:val="left"/>
        </w:tabs>
        <w:numPr>
          <w:ilvl w:val="0"/>
          <w:numId w:val="51"/>
        </w:numPr>
        <w:rPr>
          <w:rFonts w:ascii="Arial" w:cs="Arial" w:eastAsia="Arial" w:hAnsi="Arial"/>
          <w:sz w:val="14"/>
          <w:szCs w:val="14"/>
          <w:color w:val="auto"/>
        </w:rPr>
      </w:pPr>
      <w:r>
        <w:rPr>
          <w:rFonts w:ascii="Arial" w:cs="Arial" w:eastAsia="Arial" w:hAnsi="Arial"/>
          <w:sz w:val="14"/>
          <w:szCs w:val="14"/>
          <w:color w:val="auto"/>
        </w:rPr>
        <w:t>Mr. Petras is the grantor and trustee of estate planning trusts (the “Petras Trusts”). As a result, Mr. Petras may have voting and investment control over, and may be deemed to be the beneficial owner of, an aggregate of 6,377,185 shares of common stock owned by the Petras Trusts. Includes 116,232 shares of common stock and 718,650 shares underlying options that are currently exercisable or exercisable within 60 days of March 31, 2023.</w:t>
      </w:r>
    </w:p>
    <w:p>
      <w:pPr>
        <w:spacing w:after="0" w:line="49" w:lineRule="exact"/>
        <w:rPr>
          <w:rFonts w:ascii="Arial" w:cs="Arial" w:eastAsia="Arial" w:hAnsi="Arial"/>
          <w:sz w:val="14"/>
          <w:szCs w:val="14"/>
          <w:color w:val="auto"/>
        </w:rPr>
      </w:pPr>
    </w:p>
    <w:p>
      <w:pPr>
        <w:ind w:left="780" w:hanging="422"/>
        <w:spacing w:after="0"/>
        <w:tabs>
          <w:tab w:leader="none" w:pos="780" w:val="left"/>
        </w:tabs>
        <w:numPr>
          <w:ilvl w:val="0"/>
          <w:numId w:val="51"/>
        </w:numPr>
        <w:rPr>
          <w:rFonts w:ascii="Arial" w:cs="Arial" w:eastAsia="Arial" w:hAnsi="Arial"/>
          <w:sz w:val="14"/>
          <w:szCs w:val="14"/>
          <w:color w:val="auto"/>
        </w:rPr>
      </w:pPr>
      <w:r>
        <w:rPr>
          <w:rFonts w:ascii="Arial" w:cs="Arial" w:eastAsia="Arial" w:hAnsi="Arial"/>
          <w:sz w:val="14"/>
          <w:szCs w:val="14"/>
          <w:color w:val="auto"/>
        </w:rPr>
        <w:t>Consists of 493,307 shares of common stock. Mr. Leffler forfeited his outstanding unvested equity awards in connection with his departure.</w:t>
      </w:r>
    </w:p>
    <w:p>
      <w:pPr>
        <w:spacing w:after="0" w:line="71" w:lineRule="exact"/>
        <w:rPr>
          <w:rFonts w:ascii="Arial" w:cs="Arial" w:eastAsia="Arial" w:hAnsi="Arial"/>
          <w:sz w:val="14"/>
          <w:szCs w:val="14"/>
          <w:color w:val="auto"/>
        </w:rPr>
      </w:pPr>
    </w:p>
    <w:p>
      <w:pPr>
        <w:ind w:left="780" w:right="20" w:hanging="422"/>
        <w:spacing w:after="0" w:line="259" w:lineRule="auto"/>
        <w:tabs>
          <w:tab w:leader="none" w:pos="780" w:val="left"/>
        </w:tabs>
        <w:numPr>
          <w:ilvl w:val="0"/>
          <w:numId w:val="51"/>
        </w:numPr>
        <w:rPr>
          <w:rFonts w:ascii="Arial" w:cs="Arial" w:eastAsia="Arial" w:hAnsi="Arial"/>
          <w:sz w:val="14"/>
          <w:szCs w:val="14"/>
          <w:color w:val="auto"/>
        </w:rPr>
      </w:pPr>
      <w:r>
        <w:rPr>
          <w:rFonts w:ascii="Arial" w:cs="Arial" w:eastAsia="Arial" w:hAnsi="Arial"/>
          <w:sz w:val="14"/>
          <w:szCs w:val="14"/>
          <w:color w:val="auto"/>
        </w:rPr>
        <w:t>Consists of 297,410 shares of common stock, 245,140 shares of restricted common stock that remain subject to vesting and 77,186 shares underlying options that are currently exercisable or exercisable within 60 days of March 31, 2023.</w:t>
      </w:r>
    </w:p>
    <w:p>
      <w:pPr>
        <w:spacing w:after="0" w:line="39" w:lineRule="exact"/>
        <w:rPr>
          <w:rFonts w:ascii="Arial" w:cs="Arial" w:eastAsia="Arial" w:hAnsi="Arial"/>
          <w:sz w:val="14"/>
          <w:szCs w:val="14"/>
          <w:color w:val="auto"/>
        </w:rPr>
      </w:pPr>
    </w:p>
    <w:p>
      <w:pPr>
        <w:ind w:left="780" w:right="100" w:hanging="422"/>
        <w:spacing w:after="0" w:line="259" w:lineRule="auto"/>
        <w:tabs>
          <w:tab w:leader="none" w:pos="780" w:val="left"/>
        </w:tabs>
        <w:numPr>
          <w:ilvl w:val="0"/>
          <w:numId w:val="51"/>
        </w:numPr>
        <w:rPr>
          <w:rFonts w:ascii="Arial" w:cs="Arial" w:eastAsia="Arial" w:hAnsi="Arial"/>
          <w:sz w:val="14"/>
          <w:szCs w:val="14"/>
          <w:color w:val="auto"/>
        </w:rPr>
      </w:pPr>
      <w:r>
        <w:rPr>
          <w:rFonts w:ascii="Arial" w:cs="Arial" w:eastAsia="Arial" w:hAnsi="Arial"/>
          <w:sz w:val="14"/>
          <w:szCs w:val="14"/>
          <w:color w:val="auto"/>
        </w:rPr>
        <w:t>Consists of 233,392 shares of common stock, 93,760 shares of restricted common stock that remain subject to vesting and 74,531 shares underlying options that are currently exercisable or exercisable within 60 days of March 31, 2023.</w:t>
      </w:r>
    </w:p>
    <w:p>
      <w:pPr>
        <w:spacing w:after="0" w:line="39" w:lineRule="exact"/>
        <w:rPr>
          <w:rFonts w:ascii="Arial" w:cs="Arial" w:eastAsia="Arial" w:hAnsi="Arial"/>
          <w:sz w:val="14"/>
          <w:szCs w:val="14"/>
          <w:color w:val="auto"/>
        </w:rPr>
      </w:pPr>
    </w:p>
    <w:p>
      <w:pPr>
        <w:ind w:left="780" w:hanging="422"/>
        <w:spacing w:after="0"/>
        <w:tabs>
          <w:tab w:leader="none" w:pos="780" w:val="left"/>
        </w:tabs>
        <w:numPr>
          <w:ilvl w:val="0"/>
          <w:numId w:val="51"/>
        </w:numPr>
        <w:rPr>
          <w:rFonts w:ascii="Arial" w:cs="Arial" w:eastAsia="Arial" w:hAnsi="Arial"/>
          <w:sz w:val="14"/>
          <w:szCs w:val="14"/>
          <w:color w:val="auto"/>
        </w:rPr>
      </w:pPr>
      <w:r>
        <w:rPr>
          <w:rFonts w:ascii="Arial" w:cs="Arial" w:eastAsia="Arial" w:hAnsi="Arial"/>
          <w:sz w:val="14"/>
          <w:szCs w:val="14"/>
          <w:color w:val="auto"/>
        </w:rPr>
        <w:t>Mr. Hammons forfeited his outstanding unvested equity awards in connection with his departure.</w:t>
      </w:r>
    </w:p>
    <w:p>
      <w:pPr>
        <w:spacing w:after="0" w:line="71" w:lineRule="exact"/>
        <w:rPr>
          <w:rFonts w:ascii="Arial" w:cs="Arial" w:eastAsia="Arial" w:hAnsi="Arial"/>
          <w:sz w:val="14"/>
          <w:szCs w:val="14"/>
          <w:color w:val="auto"/>
        </w:rPr>
      </w:pPr>
    </w:p>
    <w:p>
      <w:pPr>
        <w:ind w:left="780" w:hanging="422"/>
        <w:spacing w:after="0"/>
        <w:tabs>
          <w:tab w:leader="none" w:pos="780" w:val="left"/>
        </w:tabs>
        <w:numPr>
          <w:ilvl w:val="0"/>
          <w:numId w:val="51"/>
        </w:numPr>
        <w:rPr>
          <w:rFonts w:ascii="Arial" w:cs="Arial" w:eastAsia="Arial" w:hAnsi="Arial"/>
          <w:sz w:val="14"/>
          <w:szCs w:val="14"/>
          <w:color w:val="auto"/>
        </w:rPr>
      </w:pPr>
      <w:r>
        <w:rPr>
          <w:rFonts w:ascii="Arial" w:cs="Arial" w:eastAsia="Arial" w:hAnsi="Arial"/>
          <w:sz w:val="14"/>
          <w:szCs w:val="14"/>
          <w:color w:val="auto"/>
        </w:rPr>
        <w:t>Consists of 235,478 shares of restricted common stock that remain subject to vesting.</w:t>
      </w:r>
    </w:p>
    <w:p>
      <w:pPr>
        <w:spacing w:after="0" w:line="71" w:lineRule="exact"/>
        <w:rPr>
          <w:rFonts w:ascii="Arial" w:cs="Arial" w:eastAsia="Arial" w:hAnsi="Arial"/>
          <w:sz w:val="14"/>
          <w:szCs w:val="14"/>
          <w:color w:val="auto"/>
        </w:rPr>
      </w:pPr>
    </w:p>
    <w:p>
      <w:pPr>
        <w:ind w:left="780" w:right="80" w:hanging="422"/>
        <w:spacing w:after="0" w:line="238" w:lineRule="auto"/>
        <w:tabs>
          <w:tab w:leader="none" w:pos="780" w:val="left"/>
        </w:tabs>
        <w:numPr>
          <w:ilvl w:val="0"/>
          <w:numId w:val="51"/>
        </w:numPr>
        <w:rPr>
          <w:rFonts w:ascii="Arial" w:cs="Arial" w:eastAsia="Arial" w:hAnsi="Arial"/>
          <w:sz w:val="14"/>
          <w:szCs w:val="14"/>
          <w:color w:val="auto"/>
        </w:rPr>
      </w:pPr>
      <w:r>
        <w:rPr>
          <w:rFonts w:ascii="Arial" w:cs="Arial" w:eastAsia="Arial" w:hAnsi="Arial"/>
          <w:sz w:val="14"/>
          <w:szCs w:val="14"/>
          <w:color w:val="auto"/>
        </w:rPr>
        <w:t>Includes 105,417,315 shares of common stock beneficially owned by the Warburg Pincus Sponsors because of the affiliations of Mr. Chen, Mr. Knauss and Mr. Neary with the Warburg Pincus Sponsors. Mr. Chen, Mr. Knauss and Mr. Neary each disclaim beneficial ownership of all shares of common stock owned by the Warburg Pincus Sponsors except to the extent of any indirect pecuniary interests therein. Also includes for Mr. Chen and Mr. Neary (i) 15,205 shares of common stock and (ii) 10,643 shares of common stock issuable in connection with RSUs granted under our non-employee director compensation policy, which will vest within 60 days of March 31, 2023.</w:t>
      </w:r>
    </w:p>
    <w:p>
      <w:pPr>
        <w:spacing w:after="0" w:line="53" w:lineRule="exact"/>
        <w:rPr>
          <w:rFonts w:ascii="Arial" w:cs="Arial" w:eastAsia="Arial" w:hAnsi="Arial"/>
          <w:sz w:val="14"/>
          <w:szCs w:val="14"/>
          <w:color w:val="auto"/>
        </w:rPr>
      </w:pPr>
    </w:p>
    <w:p>
      <w:pPr>
        <w:ind w:left="780" w:right="220" w:hanging="422"/>
        <w:spacing w:after="0" w:line="265" w:lineRule="auto"/>
        <w:tabs>
          <w:tab w:leader="none" w:pos="780" w:val="left"/>
        </w:tabs>
        <w:numPr>
          <w:ilvl w:val="0"/>
          <w:numId w:val="51"/>
        </w:numPr>
        <w:rPr>
          <w:rFonts w:ascii="Arial" w:cs="Arial" w:eastAsia="Arial" w:hAnsi="Arial"/>
          <w:sz w:val="13"/>
          <w:szCs w:val="13"/>
          <w:color w:val="auto"/>
        </w:rPr>
      </w:pPr>
      <w:r>
        <w:rPr>
          <w:rFonts w:ascii="Arial" w:cs="Arial" w:eastAsia="Arial" w:hAnsi="Arial"/>
          <w:sz w:val="13"/>
          <w:szCs w:val="13"/>
          <w:color w:val="auto"/>
        </w:rPr>
        <w:t>Includes 70,278,209 shares of common stock beneficially owned by the GTCR Sponsors because of the affiliations of Mr. Cunningham, Mr. Donnini and Mr. Mihas with the GTCR entities. Mr. Cunningham, Mr. Donnini and Mr. Mihas each disclaim beneficial ownership of all shares of common stock owned by the GTCR entities except to the extent of any indirect pecuniary interests therein. Also includes (i) 15,205 shares of common stock and (ii) 10,643 shares of common stock issuable in connection with RSUs granted under our non-employee director compensation policy, which will vest within 60 days of March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231775</wp:posOffset>
            </wp:positionH>
            <wp:positionV relativeFrom="paragraph">
              <wp:posOffset>85090</wp:posOffset>
            </wp:positionV>
            <wp:extent cx="6687820" cy="1651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687820" cy="16510"/>
                    </a:xfrm>
                    <a:prstGeom prst="rect">
                      <a:avLst/>
                    </a:prstGeom>
                    <a:noFill/>
                  </pic:spPr>
                </pic:pic>
              </a:graphicData>
            </a:graphic>
          </wp:anchor>
        </w:drawing>
      </w:r>
    </w:p>
    <w:p>
      <w:pPr>
        <w:spacing w:after="0" w:line="304"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6443980</wp:posOffset>
            </wp:positionH>
            <wp:positionV relativeFrom="paragraph">
              <wp:posOffset>-113030</wp:posOffset>
            </wp:positionV>
            <wp:extent cx="475615" cy="15557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475615" cy="155575"/>
                    </a:xfrm>
                    <a:prstGeom prst="rect">
                      <a:avLst/>
                    </a:prstGeom>
                    <a:noFill/>
                  </pic:spPr>
                </pic:pic>
              </a:graphicData>
            </a:graphic>
          </wp:anchor>
        </w:drawing>
      </w:r>
    </w:p>
    <w:p>
      <w:pPr>
        <w:sectPr>
          <w:pgSz w:w="11900" w:h="16838" w:orient="portrait"/>
          <w:cols w:equalWidth="0" w:num="1">
            <w:col w:w="10900"/>
          </w:cols>
          <w:pgMar w:left="320" w:top="468" w:right="67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5334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79945" cy="53340"/>
                    </a:xfrm>
                    <a:prstGeom prst="rect">
                      <a:avLst/>
                    </a:prstGeom>
                    <a:noFill/>
                  </pic:spPr>
                </pic:pic>
              </a:graphicData>
            </a:graphic>
          </wp:anchor>
        </w:drawing>
        <w:t>Table of Contents</w:t>
      </w:r>
    </w:p>
    <w:p>
      <w:pPr>
        <w:spacing w:after="0" w:line="296"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auto"/>
        </w:rPr>
        <w:t>Security Ownership of Certain Beneficial Owners and Management</w:t>
      </w:r>
    </w:p>
    <w:p>
      <w:pPr>
        <w:spacing w:after="0" w:line="151" w:lineRule="exact"/>
        <w:rPr>
          <w:sz w:val="20"/>
          <w:szCs w:val="20"/>
          <w:color w:val="auto"/>
        </w:rPr>
      </w:pPr>
    </w:p>
    <w:p>
      <w:pPr>
        <w:ind w:left="780" w:hanging="422"/>
        <w:spacing w:after="0" w:line="259" w:lineRule="auto"/>
        <w:tabs>
          <w:tab w:leader="none" w:pos="780" w:val="left"/>
        </w:tabs>
        <w:numPr>
          <w:ilvl w:val="0"/>
          <w:numId w:val="52"/>
        </w:numPr>
        <w:rPr>
          <w:rFonts w:ascii="Arial" w:cs="Arial" w:eastAsia="Arial" w:hAnsi="Arial"/>
          <w:sz w:val="14"/>
          <w:szCs w:val="14"/>
          <w:color w:val="auto"/>
        </w:rPr>
      </w:pPr>
      <w:r>
        <w:rPr>
          <w:rFonts w:ascii="Arial" w:cs="Arial" w:eastAsia="Arial" w:hAnsi="Arial"/>
          <w:sz w:val="14"/>
          <w:szCs w:val="14"/>
          <w:color w:val="auto"/>
        </w:rPr>
        <w:t>Consists of 51,155 shares of common stock, 14,975 shares of restricted common stock that remain subject to vesting and 10,643 shares of common stock issuable in connection with RSUs granted under our non-employee director compensation policy, which will vest within 60 days of March 31, 2023.</w:t>
      </w:r>
    </w:p>
    <w:p>
      <w:pPr>
        <w:spacing w:after="0" w:line="39" w:lineRule="exact"/>
        <w:rPr>
          <w:rFonts w:ascii="Arial" w:cs="Arial" w:eastAsia="Arial" w:hAnsi="Arial"/>
          <w:sz w:val="14"/>
          <w:szCs w:val="14"/>
          <w:color w:val="auto"/>
        </w:rPr>
      </w:pPr>
    </w:p>
    <w:p>
      <w:pPr>
        <w:ind w:left="780" w:right="460" w:hanging="422"/>
        <w:spacing w:after="0" w:line="259" w:lineRule="auto"/>
        <w:tabs>
          <w:tab w:leader="none" w:pos="780" w:val="left"/>
        </w:tabs>
        <w:numPr>
          <w:ilvl w:val="0"/>
          <w:numId w:val="52"/>
        </w:numPr>
        <w:rPr>
          <w:rFonts w:ascii="Arial" w:cs="Arial" w:eastAsia="Arial" w:hAnsi="Arial"/>
          <w:sz w:val="14"/>
          <w:szCs w:val="14"/>
          <w:color w:val="auto"/>
        </w:rPr>
      </w:pPr>
      <w:r>
        <w:rPr>
          <w:rFonts w:ascii="Arial" w:cs="Arial" w:eastAsia="Arial" w:hAnsi="Arial"/>
          <w:sz w:val="14"/>
          <w:szCs w:val="14"/>
          <w:color w:val="auto"/>
        </w:rPr>
        <w:t>Consists of 15,205 shares of common stock and 10,643 shares of common stock issuable in connection with RSUs granted under our compensation policy for non-employee directors, which will vest within 60 days of March 31, 2023.</w:t>
      </w:r>
    </w:p>
    <w:p>
      <w:pPr>
        <w:spacing w:after="0" w:line="39" w:lineRule="exact"/>
        <w:rPr>
          <w:rFonts w:ascii="Arial" w:cs="Arial" w:eastAsia="Arial" w:hAnsi="Arial"/>
          <w:sz w:val="14"/>
          <w:szCs w:val="14"/>
          <w:color w:val="auto"/>
        </w:rPr>
      </w:pPr>
    </w:p>
    <w:p>
      <w:pPr>
        <w:ind w:left="780" w:right="540" w:hanging="422"/>
        <w:spacing w:after="0" w:line="259" w:lineRule="auto"/>
        <w:tabs>
          <w:tab w:leader="none" w:pos="780" w:val="left"/>
        </w:tabs>
        <w:numPr>
          <w:ilvl w:val="0"/>
          <w:numId w:val="52"/>
        </w:numPr>
        <w:rPr>
          <w:rFonts w:ascii="Arial" w:cs="Arial" w:eastAsia="Arial" w:hAnsi="Arial"/>
          <w:sz w:val="14"/>
          <w:szCs w:val="14"/>
          <w:color w:val="auto"/>
        </w:rPr>
      </w:pPr>
      <w:r>
        <w:rPr>
          <w:rFonts w:ascii="Arial" w:cs="Arial" w:eastAsia="Arial" w:hAnsi="Arial"/>
          <w:sz w:val="14"/>
          <w:szCs w:val="14"/>
          <w:color w:val="auto"/>
        </w:rPr>
        <w:t>Consists of 9,336 shares of common stock and 10,643 shares of common stock issuable in connection with RSUs granted under our compensation policy for non-employee directors, which will vest within 60 days of March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231775</wp:posOffset>
            </wp:positionH>
            <wp:positionV relativeFrom="paragraph">
              <wp:posOffset>87630</wp:posOffset>
            </wp:positionV>
            <wp:extent cx="6687820" cy="1651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687820" cy="16510"/>
                    </a:xfrm>
                    <a:prstGeom prst="rect">
                      <a:avLst/>
                    </a:prstGeom>
                    <a:noFill/>
                  </pic:spPr>
                </pic:pic>
              </a:graphicData>
            </a:graphic>
          </wp:anchor>
        </w:drawing>
      </w:r>
    </w:p>
    <w:p>
      <w:pPr>
        <w:spacing w:after="0" w:line="307" w:lineRule="exact"/>
        <w:rPr>
          <w:sz w:val="20"/>
          <w:szCs w:val="20"/>
          <w:color w:val="auto"/>
        </w:rPr>
      </w:pPr>
    </w:p>
    <w:tbl>
      <w:tblPr>
        <w:tblLayout w:type="fixed"/>
        <w:tblInd w:w="360" w:type="dxa"/>
        <w:tblCellMar>
          <w:top w:w="0" w:type="dxa"/>
          <w:left w:w="0" w:type="dxa"/>
          <w:bottom w:w="0" w:type="dxa"/>
          <w:right w:w="0" w:type="dxa"/>
        </w:tblCellMar>
      </w:tblPr>
      <w:tr>
        <w:trPr>
          <w:trHeight w:val="226"/>
        </w:trPr>
        <w:tc>
          <w:tcPr>
            <w:tcW w:w="3900" w:type="dxa"/>
            <w:vAlign w:val="bottom"/>
          </w:tcPr>
          <w:p>
            <w:pPr>
              <w:spacing w:after="0"/>
              <w:rPr>
                <w:sz w:val="20"/>
                <w:szCs w:val="20"/>
                <w:color w:val="auto"/>
              </w:rPr>
            </w:pPr>
            <w:r>
              <w:rPr>
                <w:rFonts w:ascii="Arial" w:cs="Arial" w:eastAsia="Arial" w:hAnsi="Arial"/>
                <w:sz w:val="17"/>
                <w:szCs w:val="17"/>
                <w:color w:val="auto"/>
              </w:rPr>
              <w:t>2023 Notice and Proxy Statement</w:t>
            </w:r>
          </w:p>
        </w:tc>
        <w:tc>
          <w:tcPr>
            <w:tcW w:w="1520" w:type="dxa"/>
            <w:vAlign w:val="bottom"/>
          </w:tcPr>
          <w:p>
            <w:pPr>
              <w:jc w:val="right"/>
              <w:spacing w:after="0"/>
              <w:rPr>
                <w:sz w:val="20"/>
                <w:szCs w:val="20"/>
                <w:color w:val="auto"/>
              </w:rPr>
            </w:pPr>
            <w:r>
              <w:rPr>
                <w:rFonts w:ascii="Arial" w:cs="Arial" w:eastAsia="Arial" w:hAnsi="Arial"/>
                <w:sz w:val="17"/>
                <w:szCs w:val="17"/>
                <w:color w:val="auto"/>
              </w:rPr>
              <w:t>72</w:t>
            </w:r>
          </w:p>
        </w:tc>
      </w:tr>
    </w:tbl>
    <w:p>
      <w:pPr>
        <w:sectPr>
          <w:pgSz w:w="11900" w:h="16838" w:orient="portrait"/>
          <w:cols w:equalWidth="0" w:num="1">
            <w:col w:w="10840"/>
          </w:cols>
          <w:pgMar w:left="320" w:top="468" w:right="7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5334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79945" cy="53340"/>
                    </a:xfrm>
                    <a:prstGeom prst="rect">
                      <a:avLst/>
                    </a:prstGeom>
                    <a:noFill/>
                  </pic:spPr>
                </pic:pic>
              </a:graphicData>
            </a:graphic>
          </wp:anchor>
        </w:drawing>
        <w:t>Table of Contents</w:t>
      </w:r>
    </w:p>
    <w:p>
      <w:pPr>
        <w:spacing w:after="0" w:line="296" w:lineRule="exact"/>
        <w:rPr>
          <w:sz w:val="20"/>
          <w:szCs w:val="20"/>
          <w:color w:val="auto"/>
        </w:rPr>
      </w:pPr>
    </w:p>
    <w:p>
      <w:pPr>
        <w:jc w:val="right"/>
        <w:ind w:right="20"/>
        <w:spacing w:after="0"/>
        <w:rPr>
          <w:sz w:val="20"/>
          <w:szCs w:val="20"/>
          <w:color w:val="auto"/>
        </w:rPr>
      </w:pPr>
      <w:r>
        <w:rPr>
          <w:rFonts w:ascii="Arial" w:cs="Arial" w:eastAsia="Arial" w:hAnsi="Arial"/>
          <w:sz w:val="17"/>
          <w:szCs w:val="17"/>
          <w:b w:val="1"/>
          <w:bCs w:val="1"/>
          <w:color w:val="auto"/>
        </w:rPr>
        <w:t>Certain Relationships and Related Party Transactions</w:t>
      </w:r>
    </w:p>
    <w:p>
      <w:pPr>
        <w:spacing w:after="0" w:line="21" w:lineRule="exact"/>
        <w:rPr>
          <w:sz w:val="20"/>
          <w:szCs w:val="20"/>
          <w:color w:val="auto"/>
        </w:rPr>
      </w:pPr>
    </w:p>
    <w:p>
      <w:pPr>
        <w:ind w:left="8860"/>
        <w:spacing w:after="0"/>
        <w:rPr>
          <w:sz w:val="20"/>
          <w:szCs w:val="20"/>
          <w:color w:val="auto"/>
        </w:rPr>
      </w:pPr>
      <w:r>
        <w:rPr>
          <w:rFonts w:ascii="Arial" w:cs="Arial" w:eastAsia="Arial" w:hAnsi="Arial"/>
          <w:sz w:val="13"/>
          <w:szCs w:val="13"/>
          <w:b w:val="1"/>
          <w:bCs w:val="1"/>
          <w:color w:val="auto"/>
        </w:rPr>
        <w:t>Registration Rights Agreement</w:t>
      </w:r>
    </w:p>
    <w:p>
      <w:pPr>
        <w:spacing w:after="0" w:line="101" w:lineRule="exact"/>
        <w:rPr>
          <w:sz w:val="20"/>
          <w:szCs w:val="20"/>
          <w:color w:val="auto"/>
        </w:rPr>
      </w:pPr>
    </w:p>
    <w:p>
      <w:pPr>
        <w:ind w:left="360" w:right="780"/>
        <w:spacing w:after="0" w:line="293" w:lineRule="auto"/>
        <w:rPr>
          <w:sz w:val="20"/>
          <w:szCs w:val="20"/>
          <w:color w:val="auto"/>
        </w:rPr>
      </w:pPr>
      <w:r>
        <w:rPr>
          <w:rFonts w:ascii="Arial" w:cs="Arial" w:eastAsia="Arial" w:hAnsi="Arial"/>
          <w:sz w:val="41"/>
          <w:szCs w:val="41"/>
          <w:b w:val="1"/>
          <w:bCs w:val="1"/>
          <w:color w:val="00B0DB"/>
        </w:rPr>
        <w:t>CERTAIN RELATIONSHIPS AND RELATED PARTY TRANSACTIONS</w:t>
      </w:r>
    </w:p>
    <w:p>
      <w:pPr>
        <w:spacing w:after="0" w:line="35" w:lineRule="exact"/>
        <w:rPr>
          <w:sz w:val="20"/>
          <w:szCs w:val="20"/>
          <w:color w:val="auto"/>
        </w:rPr>
      </w:pPr>
    </w:p>
    <w:p>
      <w:pPr>
        <w:ind w:left="360" w:right="460"/>
        <w:spacing w:after="0" w:line="274" w:lineRule="auto"/>
        <w:rPr>
          <w:sz w:val="20"/>
          <w:szCs w:val="20"/>
          <w:color w:val="auto"/>
        </w:rPr>
      </w:pPr>
      <w:r>
        <w:rPr>
          <w:rFonts w:ascii="Arial" w:cs="Arial" w:eastAsia="Arial" w:hAnsi="Arial"/>
          <w:sz w:val="17"/>
          <w:szCs w:val="17"/>
          <w:color w:val="auto"/>
        </w:rPr>
        <w:t>Under SEC rules, a related person is an officer, director, nominee for director or beneficial holder of more than 5% of any class of our voting securities since the beginning of the last fiscal year or an immediate family member of any of the foregoing.</w:t>
      </w:r>
    </w:p>
    <w:p>
      <w:pPr>
        <w:spacing w:after="0" w:line="122" w:lineRule="exact"/>
        <w:rPr>
          <w:sz w:val="20"/>
          <w:szCs w:val="20"/>
          <w:color w:val="auto"/>
        </w:rPr>
      </w:pPr>
    </w:p>
    <w:p>
      <w:pPr>
        <w:ind w:left="360" w:right="120"/>
        <w:spacing w:after="0" w:line="245" w:lineRule="auto"/>
        <w:rPr>
          <w:sz w:val="20"/>
          <w:szCs w:val="20"/>
          <w:color w:val="auto"/>
        </w:rPr>
      </w:pPr>
      <w:r>
        <w:rPr>
          <w:rFonts w:ascii="Arial" w:cs="Arial" w:eastAsia="Arial" w:hAnsi="Arial"/>
          <w:sz w:val="17"/>
          <w:szCs w:val="17"/>
          <w:color w:val="auto"/>
        </w:rPr>
        <w:t>Other than the transactions described below, and compensation agreements and other arrangements which are described in the sections “Compensation Discussion and Analysis” and “Employment Agreements” since January 1, 2022 there has not been, and there is not currently proposed, any transaction or series of similar transactions to which we were or will be a party in which the amount involved exceeded or will exceed $120,000 and in which any related person had or will have a direct or indirect material interest. We believe the terms of the transactions described below were comparable to the terms we could have obtained in arms-length dealings with unrelated third parties.</w:t>
      </w:r>
    </w:p>
    <w:p>
      <w:pPr>
        <w:spacing w:after="0" w:line="132" w:lineRule="exact"/>
        <w:rPr>
          <w:sz w:val="20"/>
          <w:szCs w:val="20"/>
          <w:color w:val="auto"/>
        </w:rPr>
      </w:pPr>
    </w:p>
    <w:p>
      <w:pPr>
        <w:ind w:left="360" w:right="480"/>
        <w:spacing w:after="0" w:line="274" w:lineRule="auto"/>
        <w:rPr>
          <w:sz w:val="20"/>
          <w:szCs w:val="20"/>
          <w:color w:val="auto"/>
        </w:rPr>
      </w:pPr>
      <w:r>
        <w:rPr>
          <w:rFonts w:ascii="Arial" w:cs="Arial" w:eastAsia="Arial" w:hAnsi="Arial"/>
          <w:sz w:val="17"/>
          <w:szCs w:val="17"/>
          <w:color w:val="auto"/>
        </w:rPr>
        <w:t>From time to time, we do business with other companies affiliated with certain holders of our common stock. We believe that all such arrangements have been entered into in the ordinary course of business and have been conducted on an arm’s-length basis.</w:t>
      </w:r>
    </w:p>
    <w:p>
      <w:pPr>
        <w:spacing w:after="0" w:line="241" w:lineRule="exact"/>
        <w:rPr>
          <w:sz w:val="20"/>
          <w:szCs w:val="20"/>
          <w:color w:val="auto"/>
        </w:rPr>
      </w:pPr>
    </w:p>
    <w:p>
      <w:pPr>
        <w:ind w:left="360"/>
        <w:spacing w:after="0"/>
        <w:rPr>
          <w:sz w:val="20"/>
          <w:szCs w:val="20"/>
          <w:color w:val="auto"/>
        </w:rPr>
      </w:pPr>
      <w:r>
        <w:rPr>
          <w:rFonts w:ascii="Arial" w:cs="Arial" w:eastAsia="Arial" w:hAnsi="Arial"/>
          <w:sz w:val="31"/>
          <w:szCs w:val="31"/>
          <w:color w:val="00B0DB"/>
        </w:rPr>
        <w:t>Registration Rights Agreement</w:t>
      </w:r>
    </w:p>
    <w:p>
      <w:pPr>
        <w:spacing w:after="0" w:line="221" w:lineRule="exact"/>
        <w:rPr>
          <w:sz w:val="20"/>
          <w:szCs w:val="20"/>
          <w:color w:val="auto"/>
        </w:rPr>
      </w:pPr>
    </w:p>
    <w:p>
      <w:pPr>
        <w:ind w:left="360" w:right="20"/>
        <w:spacing w:after="0" w:line="250" w:lineRule="auto"/>
        <w:rPr>
          <w:sz w:val="20"/>
          <w:szCs w:val="20"/>
          <w:color w:val="auto"/>
        </w:rPr>
      </w:pPr>
      <w:r>
        <w:rPr>
          <w:rFonts w:ascii="Arial" w:cs="Arial" w:eastAsia="Arial" w:hAnsi="Arial"/>
          <w:sz w:val="17"/>
          <w:szCs w:val="17"/>
          <w:color w:val="auto"/>
        </w:rPr>
        <w:t>We are a party to a second amended and restated registration rights agreement (the “Registration Rights Agreement”) with certain holders of our common stock. Pursuant to the Registration Rights Agreement, we have agreed to register under the Securities Act the sale of shares of our common stock under specified circumstances, including the 175,695,524 shares held by the Sponsors as of March 31, 2023. After registration pursuant to these rights, these shares will become freely tradable without restriction under the Securities Act.</w:t>
      </w:r>
    </w:p>
    <w:p>
      <w:pPr>
        <w:spacing w:after="0" w:line="128" w:lineRule="exact"/>
        <w:rPr>
          <w:sz w:val="20"/>
          <w:szCs w:val="20"/>
          <w:color w:val="auto"/>
        </w:rPr>
      </w:pPr>
    </w:p>
    <w:p>
      <w:pPr>
        <w:ind w:left="360" w:right="40"/>
        <w:spacing w:after="0"/>
        <w:rPr>
          <w:sz w:val="20"/>
          <w:szCs w:val="20"/>
          <w:color w:val="auto"/>
        </w:rPr>
      </w:pPr>
      <w:r>
        <w:rPr>
          <w:rFonts w:ascii="Arial" w:cs="Arial" w:eastAsia="Arial" w:hAnsi="Arial"/>
          <w:sz w:val="17"/>
          <w:szCs w:val="17"/>
          <w:color w:val="auto"/>
        </w:rPr>
        <w:t>Notwithstanding any contractual restrictions on the sale of our shares, we may be required by investment funds and entities affiliated with either Warburg Pincus or GTCR to register all or part of their shares of common stock in accordance with the Securities Act and the Registration Rights Agreement. The net aggregate offering price of shares that investment funds and entities affiliated with either Warburg Pincus or GTCR propose to sell in any demand registration must be at least $50 million, or such holder must propose to sell all of such holder’s shares if the net aggregate offering price of such shares is less than $ 50 million. Each of Warburg Pincus and GTCR is entitled to request unlimited demand registrations, but in each case we are not obligated to effect more than three long-form registrations on Form S-1 or four marketed underwritten shelf take-downs each year at the request of Warburg Pincus or more than three long-form registrations on Form S-1 or four marketed underwritten shelf take-downs each year at the request of GTCR. We also are not obligated to effect more than one marketed underwritten offering in any consecutive 90-day period without the consent of investment funds and entities affiliated with either Warburg Pincus or GTCR. There is no limitation on the number of unmarketed underwritten offerings that we may be obligated to effect at the request of investment funds and entities affiliated with either Warburg Pincus or GTCR. We have specified rights to delay the filing or initial effectiveness of, or suspend the use of, any registration statement filed or to be filed in connection with an exercise of a holder’s demand registration rights.</w:t>
      </w:r>
    </w:p>
    <w:p>
      <w:pPr>
        <w:spacing w:after="0" w:line="156" w:lineRule="exact"/>
        <w:rPr>
          <w:sz w:val="20"/>
          <w:szCs w:val="20"/>
          <w:color w:val="auto"/>
        </w:rPr>
      </w:pPr>
    </w:p>
    <w:p>
      <w:pPr>
        <w:ind w:left="360" w:right="40"/>
        <w:spacing w:after="0" w:line="256" w:lineRule="auto"/>
        <w:rPr>
          <w:sz w:val="20"/>
          <w:szCs w:val="20"/>
          <w:color w:val="auto"/>
        </w:rPr>
      </w:pPr>
      <w:r>
        <w:rPr>
          <w:rFonts w:ascii="Arial" w:cs="Arial" w:eastAsia="Arial" w:hAnsi="Arial"/>
          <w:sz w:val="17"/>
          <w:szCs w:val="17"/>
          <w:color w:val="auto"/>
        </w:rPr>
        <w:t>In addition, if we propose to file a registration statement under the Securities Act with respect to specified offerings of shares of our common stock, we must allow holders of shares subject to registration rights to include their shares in that registration, subject to specified conditions and limitations.</w:t>
      </w:r>
    </w:p>
    <w:p>
      <w:pPr>
        <w:spacing w:after="0" w:line="123" w:lineRule="exact"/>
        <w:rPr>
          <w:sz w:val="20"/>
          <w:szCs w:val="20"/>
          <w:color w:val="auto"/>
        </w:rPr>
      </w:pPr>
    </w:p>
    <w:p>
      <w:pPr>
        <w:ind w:left="360" w:right="340"/>
        <w:spacing w:after="0" w:line="250" w:lineRule="auto"/>
        <w:rPr>
          <w:sz w:val="20"/>
          <w:szCs w:val="20"/>
          <w:color w:val="auto"/>
        </w:rPr>
      </w:pPr>
      <w:r>
        <w:rPr>
          <w:rFonts w:ascii="Arial" w:cs="Arial" w:eastAsia="Arial" w:hAnsi="Arial"/>
          <w:sz w:val="17"/>
          <w:szCs w:val="17"/>
          <w:color w:val="auto"/>
        </w:rPr>
        <w:t>These registration rights are subject to specified conditions and limitations, including the right of the underwriters to limit the number of shares to be included in a registration in certain circumstances and our right to delay a registration statement under specified circumstances. Pursuant to the Registration Rights Agreement, we are required to pay all registration expenses and indemnify each participating holder with respect to each registration of registrable shares that is affected.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231775</wp:posOffset>
            </wp:positionH>
            <wp:positionV relativeFrom="paragraph">
              <wp:posOffset>92075</wp:posOffset>
            </wp:positionV>
            <wp:extent cx="6687820" cy="1651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687820" cy="16510"/>
                    </a:xfrm>
                    <a:prstGeom prst="rect">
                      <a:avLst/>
                    </a:prstGeom>
                    <a:noFill/>
                  </pic:spPr>
                </pic:pic>
              </a:graphicData>
            </a:graphic>
          </wp:anchor>
        </w:drawing>
      </w:r>
    </w:p>
    <w:p>
      <w:pPr>
        <w:spacing w:after="0" w:line="314"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6443980</wp:posOffset>
            </wp:positionH>
            <wp:positionV relativeFrom="paragraph">
              <wp:posOffset>-113030</wp:posOffset>
            </wp:positionV>
            <wp:extent cx="475615" cy="15557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475615" cy="155575"/>
                    </a:xfrm>
                    <a:prstGeom prst="rect">
                      <a:avLst/>
                    </a:prstGeom>
                    <a:noFill/>
                  </pic:spPr>
                </pic:pic>
              </a:graphicData>
            </a:graphic>
          </wp:anchor>
        </w:drawing>
      </w:r>
    </w:p>
    <w:p>
      <w:pPr>
        <w:sectPr>
          <w:pgSz w:w="11900" w:h="16838" w:orient="portrait"/>
          <w:cols w:equalWidth="0" w:num="1">
            <w:col w:w="10900"/>
          </w:cols>
          <w:pgMar w:left="320" w:top="468" w:right="67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5334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79945" cy="53340"/>
                    </a:xfrm>
                    <a:prstGeom prst="rect">
                      <a:avLst/>
                    </a:prstGeom>
                    <a:noFill/>
                  </pic:spPr>
                </pic:pic>
              </a:graphicData>
            </a:graphic>
          </wp:anchor>
        </w:drawing>
        <w:t>Table of Contents</w:t>
      </w:r>
    </w:p>
    <w:p>
      <w:pPr>
        <w:spacing w:after="0" w:line="296"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auto"/>
        </w:rPr>
        <w:t>Certain Relationships and Related Party Transactions</w:t>
      </w:r>
    </w:p>
    <w:p>
      <w:pPr>
        <w:spacing w:after="0" w:line="21" w:lineRule="exact"/>
        <w:rPr>
          <w:sz w:val="20"/>
          <w:szCs w:val="20"/>
          <w:color w:val="auto"/>
        </w:rPr>
      </w:pPr>
    </w:p>
    <w:p>
      <w:pPr>
        <w:ind w:left="360"/>
        <w:spacing w:after="0"/>
        <w:rPr>
          <w:sz w:val="20"/>
          <w:szCs w:val="20"/>
          <w:color w:val="auto"/>
        </w:rPr>
      </w:pPr>
      <w:r>
        <w:rPr>
          <w:rFonts w:ascii="Arial" w:cs="Arial" w:eastAsia="Arial" w:hAnsi="Arial"/>
          <w:sz w:val="14"/>
          <w:szCs w:val="14"/>
          <w:b w:val="1"/>
          <w:bCs w:val="1"/>
          <w:color w:val="auto"/>
        </w:rPr>
        <w:t>Stockholders’ Agreement</w:t>
      </w:r>
    </w:p>
    <w:p>
      <w:pPr>
        <w:spacing w:after="0" w:line="105" w:lineRule="exact"/>
        <w:rPr>
          <w:sz w:val="20"/>
          <w:szCs w:val="20"/>
          <w:color w:val="auto"/>
        </w:rPr>
      </w:pPr>
    </w:p>
    <w:p>
      <w:pPr>
        <w:ind w:left="360"/>
        <w:spacing w:after="0"/>
        <w:rPr>
          <w:sz w:val="20"/>
          <w:szCs w:val="20"/>
          <w:color w:val="auto"/>
        </w:rPr>
      </w:pPr>
      <w:r>
        <w:rPr>
          <w:rFonts w:ascii="Arial" w:cs="Arial" w:eastAsia="Arial" w:hAnsi="Arial"/>
          <w:sz w:val="31"/>
          <w:szCs w:val="31"/>
          <w:color w:val="00B0DB"/>
        </w:rPr>
        <w:t>Stockholders’ Agreement</w:t>
      </w:r>
    </w:p>
    <w:p>
      <w:pPr>
        <w:spacing w:after="0" w:line="221" w:lineRule="exact"/>
        <w:rPr>
          <w:sz w:val="20"/>
          <w:szCs w:val="20"/>
          <w:color w:val="auto"/>
        </w:rPr>
      </w:pPr>
    </w:p>
    <w:p>
      <w:pPr>
        <w:ind w:left="360" w:right="320"/>
        <w:spacing w:after="0" w:line="245" w:lineRule="auto"/>
        <w:rPr>
          <w:sz w:val="20"/>
          <w:szCs w:val="20"/>
          <w:color w:val="auto"/>
        </w:rPr>
      </w:pPr>
      <w:r>
        <w:rPr>
          <w:rFonts w:ascii="Arial" w:cs="Arial" w:eastAsia="Arial" w:hAnsi="Arial"/>
          <w:sz w:val="17"/>
          <w:szCs w:val="17"/>
          <w:color w:val="auto"/>
        </w:rPr>
        <w:t>We and the Sponsors are party to a Stockholders’ Agreement. Our Stockholders’ Agreement provides that, for so long as the Stockholders’ Agreement is in effect, we and the Sponsors are required to take all actions reasonably necessary, subject to applicable regulatory and stock exchange listing requirements (including director independence requirements), to cause the membership of the Board and any committees of the Board to be consistent with the terms of the agreement. In accordance with the Stockholders’ Agreement, Warburg Pincus has designated Messrs. Chen, Knauss and Neary as nominees to our Board and GTCR has designated Messrs. Cunningham, Donnini and Mihas as nominees to our Board.</w:t>
      </w:r>
    </w:p>
    <w:p>
      <w:pPr>
        <w:spacing w:after="0" w:line="261" w:lineRule="exact"/>
        <w:rPr>
          <w:sz w:val="20"/>
          <w:szCs w:val="20"/>
          <w:color w:val="auto"/>
        </w:rPr>
      </w:pPr>
    </w:p>
    <w:p>
      <w:pPr>
        <w:ind w:left="360"/>
        <w:spacing w:after="0"/>
        <w:rPr>
          <w:sz w:val="20"/>
          <w:szCs w:val="20"/>
          <w:color w:val="auto"/>
        </w:rPr>
      </w:pPr>
      <w:r>
        <w:rPr>
          <w:rFonts w:ascii="Arial" w:cs="Arial" w:eastAsia="Arial" w:hAnsi="Arial"/>
          <w:sz w:val="28"/>
          <w:szCs w:val="28"/>
          <w:color w:val="auto"/>
        </w:rPr>
        <w:t>Director Designees; Committee Membership</w:t>
      </w:r>
    </w:p>
    <w:p>
      <w:pPr>
        <w:spacing w:after="0" w:line="220" w:lineRule="exact"/>
        <w:rPr>
          <w:sz w:val="20"/>
          <w:szCs w:val="20"/>
          <w:color w:val="auto"/>
        </w:rPr>
      </w:pPr>
    </w:p>
    <w:p>
      <w:pPr>
        <w:ind w:left="360" w:right="80"/>
        <w:spacing w:after="0" w:line="250" w:lineRule="auto"/>
        <w:rPr>
          <w:sz w:val="20"/>
          <w:szCs w:val="20"/>
          <w:color w:val="auto"/>
        </w:rPr>
      </w:pPr>
      <w:r>
        <w:rPr>
          <w:rFonts w:ascii="Arial" w:cs="Arial" w:eastAsia="Arial" w:hAnsi="Arial"/>
          <w:sz w:val="17"/>
          <w:szCs w:val="17"/>
          <w:color w:val="auto"/>
        </w:rPr>
        <w:t>Under the terms of our Stockholders’ Agreement, for so long as each of our Sponsors, Warburg Pincus and GTCR, hold a certain percentage of the shares of common stock that they held immediately following our IPO, each of them is entitled to designate a certain number of directors for election to our Board, which designees are reviewed by the Governance Committee. See “Corporate Governance — Structure and Role of the Board of Directors — Certain Sponsor Rights.”</w:t>
      </w:r>
    </w:p>
    <w:p>
      <w:pPr>
        <w:spacing w:after="0" w:line="141" w:lineRule="exact"/>
        <w:rPr>
          <w:sz w:val="20"/>
          <w:szCs w:val="20"/>
          <w:color w:val="auto"/>
        </w:rPr>
      </w:pPr>
    </w:p>
    <w:p>
      <w:pPr>
        <w:ind w:left="360" w:right="200"/>
        <w:spacing w:after="0" w:line="250" w:lineRule="auto"/>
        <w:rPr>
          <w:sz w:val="20"/>
          <w:szCs w:val="20"/>
          <w:color w:val="auto"/>
        </w:rPr>
      </w:pPr>
      <w:r>
        <w:rPr>
          <w:rFonts w:ascii="Arial" w:cs="Arial" w:eastAsia="Arial" w:hAnsi="Arial"/>
          <w:sz w:val="17"/>
          <w:szCs w:val="17"/>
          <w:color w:val="auto"/>
        </w:rPr>
        <w:t>The Governance Committee reviews Board committee composition annually. Subject to any restrictions under applicable law or the Nasdaq rules, each of Warburg Pincus and GTCR is entitled to representation on each Board committee proportionate to the number of directors they are entitled to designate on our Board. In addition, Warburg Pincus is entitled to appoint the chairperson of our LD&amp;C Committee for so long as Warburg Pincus has the right to designate at least one director for election to our Board.</w:t>
      </w:r>
    </w:p>
    <w:p>
      <w:pPr>
        <w:spacing w:after="0" w:line="257" w:lineRule="exact"/>
        <w:rPr>
          <w:sz w:val="20"/>
          <w:szCs w:val="20"/>
          <w:color w:val="auto"/>
        </w:rPr>
      </w:pPr>
    </w:p>
    <w:p>
      <w:pPr>
        <w:ind w:left="360"/>
        <w:spacing w:after="0"/>
        <w:rPr>
          <w:sz w:val="20"/>
          <w:szCs w:val="20"/>
          <w:color w:val="auto"/>
        </w:rPr>
      </w:pPr>
      <w:r>
        <w:rPr>
          <w:rFonts w:ascii="Arial" w:cs="Arial" w:eastAsia="Arial" w:hAnsi="Arial"/>
          <w:sz w:val="28"/>
          <w:szCs w:val="28"/>
          <w:color w:val="auto"/>
        </w:rPr>
        <w:t>Removal of Directors</w:t>
      </w:r>
    </w:p>
    <w:p>
      <w:pPr>
        <w:spacing w:after="0" w:line="220" w:lineRule="exact"/>
        <w:rPr>
          <w:sz w:val="20"/>
          <w:szCs w:val="20"/>
          <w:color w:val="auto"/>
        </w:rPr>
      </w:pPr>
    </w:p>
    <w:p>
      <w:pPr>
        <w:ind w:left="360"/>
        <w:spacing w:after="0" w:line="250" w:lineRule="auto"/>
        <w:rPr>
          <w:sz w:val="20"/>
          <w:szCs w:val="20"/>
          <w:color w:val="auto"/>
        </w:rPr>
      </w:pPr>
      <w:r>
        <w:rPr>
          <w:rFonts w:ascii="Arial" w:cs="Arial" w:eastAsia="Arial" w:hAnsi="Arial"/>
          <w:sz w:val="17"/>
          <w:szCs w:val="17"/>
          <w:color w:val="auto"/>
        </w:rPr>
        <w:t>For so long as investment funds and entities affiliated with either Warburg Pincus or GTCR, collectively, hold at least a majority of our outstanding capital stock, a director designated by investment funds and entities affiliated with either Warburg Pincus or GTCR, respectively, may be removed with or without cause by the affirmative vote of the holders of a majority of our outstanding capital stock and with the consent of Warburg Pincus or GTCR, respectively.</w:t>
      </w:r>
    </w:p>
    <w:p>
      <w:pPr>
        <w:spacing w:after="0" w:line="257" w:lineRule="exact"/>
        <w:rPr>
          <w:sz w:val="20"/>
          <w:szCs w:val="20"/>
          <w:color w:val="auto"/>
        </w:rPr>
      </w:pPr>
    </w:p>
    <w:p>
      <w:pPr>
        <w:ind w:left="360"/>
        <w:spacing w:after="0"/>
        <w:rPr>
          <w:sz w:val="20"/>
          <w:szCs w:val="20"/>
          <w:color w:val="auto"/>
        </w:rPr>
      </w:pPr>
      <w:r>
        <w:rPr>
          <w:rFonts w:ascii="Arial" w:cs="Arial" w:eastAsia="Arial" w:hAnsi="Arial"/>
          <w:sz w:val="28"/>
          <w:szCs w:val="28"/>
          <w:color w:val="auto"/>
        </w:rPr>
        <w:t>Quorum</w:t>
      </w:r>
    </w:p>
    <w:p>
      <w:pPr>
        <w:spacing w:after="0" w:line="220" w:lineRule="exact"/>
        <w:rPr>
          <w:sz w:val="20"/>
          <w:szCs w:val="20"/>
          <w:color w:val="auto"/>
        </w:rPr>
      </w:pPr>
    </w:p>
    <w:p>
      <w:pPr>
        <w:ind w:left="360" w:right="80"/>
        <w:spacing w:after="0" w:line="245" w:lineRule="auto"/>
        <w:rPr>
          <w:sz w:val="20"/>
          <w:szCs w:val="20"/>
          <w:color w:val="auto"/>
        </w:rPr>
      </w:pPr>
      <w:r>
        <w:rPr>
          <w:rFonts w:ascii="Arial" w:cs="Arial" w:eastAsia="Arial" w:hAnsi="Arial"/>
          <w:sz w:val="17"/>
          <w:szCs w:val="17"/>
          <w:color w:val="auto"/>
        </w:rPr>
        <w:t>For so long as investment funds and entities affiliated with Warburg Pincus have the right to designate at least one director for election to our Board and for so long as investment funds and entities affiliated with GTCR have the right to designate at least one director for election to our Board, in each case, a quorum of our Board will not exist without at least one director designee of each of Warburg Pincus and GTCR present at such meeting; provided that if a meeting of our Board fails to achieve a quorum due to the absence of a director designee of Warburg Pincus or GTCR, as applicable, the presence of at least one director designee of Warburg Pincus or GTCR, as applicable, will not be required in order for a quorum to exist at the next meeting of our Board.</w:t>
      </w:r>
    </w:p>
    <w:p>
      <w:pPr>
        <w:spacing w:after="0" w:line="158" w:lineRule="exact"/>
        <w:rPr>
          <w:sz w:val="20"/>
          <w:szCs w:val="20"/>
          <w:color w:val="auto"/>
        </w:rPr>
      </w:pPr>
    </w:p>
    <w:p>
      <w:pPr>
        <w:ind w:left="360"/>
        <w:spacing w:after="0"/>
        <w:rPr>
          <w:sz w:val="20"/>
          <w:szCs w:val="20"/>
          <w:color w:val="auto"/>
        </w:rPr>
      </w:pPr>
      <w:r>
        <w:rPr>
          <w:rFonts w:ascii="Arial" w:cs="Arial" w:eastAsia="Arial" w:hAnsi="Arial"/>
          <w:sz w:val="28"/>
          <w:szCs w:val="28"/>
          <w:color w:val="auto"/>
        </w:rPr>
        <w:t>Transfer Restrictions</w:t>
      </w:r>
    </w:p>
    <w:p>
      <w:pPr>
        <w:spacing w:after="0" w:line="220" w:lineRule="exact"/>
        <w:rPr>
          <w:sz w:val="20"/>
          <w:szCs w:val="20"/>
          <w:color w:val="auto"/>
        </w:rPr>
      </w:pPr>
    </w:p>
    <w:p>
      <w:pPr>
        <w:ind w:left="360" w:right="40"/>
        <w:spacing w:after="0" w:line="243" w:lineRule="auto"/>
        <w:rPr>
          <w:sz w:val="20"/>
          <w:szCs w:val="20"/>
          <w:color w:val="auto"/>
        </w:rPr>
      </w:pPr>
      <w:r>
        <w:rPr>
          <w:rFonts w:ascii="Arial" w:cs="Arial" w:eastAsia="Arial" w:hAnsi="Arial"/>
          <w:sz w:val="17"/>
          <w:szCs w:val="17"/>
          <w:color w:val="auto"/>
        </w:rPr>
        <w:t>Unless otherwise waived by the LD&amp;C Committee and except for certain permitted transfers, management shareholders may transfer a number of vested shares of our common stock equal to the product of (i) the number of shares of our common stock then owned by such management shareholder multiplied by (ii) a fraction, the numerator of which is the number of shares of our common stock sold by the Sponsors in a public or private sale to a third party and the denominator of which is the total number of shares of our common stock held by the Sponsors immediately prior to such public or private sale. These transfer restrictions only apply to shares of common stock held by management shareholders at closing of the IPO (or securities issued in respect thereof) and remain in effect until the sixth anniversary of the completion of the IPO.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231775</wp:posOffset>
            </wp:positionH>
            <wp:positionV relativeFrom="paragraph">
              <wp:posOffset>97790</wp:posOffset>
            </wp:positionV>
            <wp:extent cx="6687820" cy="1651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6687820" cy="16510"/>
                    </a:xfrm>
                    <a:prstGeom prst="rect">
                      <a:avLst/>
                    </a:prstGeom>
                    <a:noFill/>
                  </pic:spPr>
                </pic:pic>
              </a:graphicData>
            </a:graphic>
          </wp:anchor>
        </w:drawing>
      </w:r>
    </w:p>
    <w:p>
      <w:pPr>
        <w:spacing w:after="0" w:line="311" w:lineRule="exact"/>
        <w:rPr>
          <w:sz w:val="20"/>
          <w:szCs w:val="20"/>
          <w:color w:val="auto"/>
        </w:rPr>
      </w:pPr>
    </w:p>
    <w:tbl>
      <w:tblPr>
        <w:tblLayout w:type="fixed"/>
        <w:tblInd w:w="360" w:type="dxa"/>
        <w:tblCellMar>
          <w:top w:w="0" w:type="dxa"/>
          <w:left w:w="0" w:type="dxa"/>
          <w:bottom w:w="0" w:type="dxa"/>
          <w:right w:w="0" w:type="dxa"/>
        </w:tblCellMar>
      </w:tblPr>
      <w:tr>
        <w:trPr>
          <w:trHeight w:val="226"/>
        </w:trPr>
        <w:tc>
          <w:tcPr>
            <w:tcW w:w="3900" w:type="dxa"/>
            <w:vAlign w:val="bottom"/>
          </w:tcPr>
          <w:p>
            <w:pPr>
              <w:spacing w:after="0"/>
              <w:rPr>
                <w:sz w:val="20"/>
                <w:szCs w:val="20"/>
                <w:color w:val="auto"/>
              </w:rPr>
            </w:pPr>
            <w:r>
              <w:rPr>
                <w:rFonts w:ascii="Arial" w:cs="Arial" w:eastAsia="Arial" w:hAnsi="Arial"/>
                <w:sz w:val="17"/>
                <w:szCs w:val="17"/>
                <w:color w:val="auto"/>
              </w:rPr>
              <w:t>2023 Notice and Proxy Statement</w:t>
            </w:r>
          </w:p>
        </w:tc>
        <w:tc>
          <w:tcPr>
            <w:tcW w:w="1520" w:type="dxa"/>
            <w:vAlign w:val="bottom"/>
          </w:tcPr>
          <w:p>
            <w:pPr>
              <w:jc w:val="right"/>
              <w:spacing w:after="0"/>
              <w:rPr>
                <w:sz w:val="20"/>
                <w:szCs w:val="20"/>
                <w:color w:val="auto"/>
              </w:rPr>
            </w:pPr>
            <w:r>
              <w:rPr>
                <w:rFonts w:ascii="Arial" w:cs="Arial" w:eastAsia="Arial" w:hAnsi="Arial"/>
                <w:sz w:val="17"/>
                <w:szCs w:val="17"/>
                <w:color w:val="auto"/>
              </w:rPr>
              <w:t>74</w:t>
            </w:r>
          </w:p>
        </w:tc>
      </w:tr>
    </w:tbl>
    <w:p>
      <w:pPr>
        <w:sectPr>
          <w:pgSz w:w="11900" w:h="16838" w:orient="portrait"/>
          <w:cols w:equalWidth="0" w:num="1">
            <w:col w:w="10840"/>
          </w:cols>
          <w:pgMar w:left="320" w:top="468" w:right="7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5334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79945" cy="53340"/>
                    </a:xfrm>
                    <a:prstGeom prst="rect">
                      <a:avLst/>
                    </a:prstGeom>
                    <a:noFill/>
                  </pic:spPr>
                </pic:pic>
              </a:graphicData>
            </a:graphic>
          </wp:anchor>
        </w:drawing>
        <w:t>Table of Contents</w:t>
      </w:r>
    </w:p>
    <w:p>
      <w:pPr>
        <w:spacing w:after="0" w:line="296" w:lineRule="exact"/>
        <w:rPr>
          <w:sz w:val="20"/>
          <w:szCs w:val="20"/>
          <w:color w:val="auto"/>
        </w:rPr>
      </w:pPr>
    </w:p>
    <w:p>
      <w:pPr>
        <w:jc w:val="right"/>
        <w:ind w:right="20"/>
        <w:spacing w:after="0"/>
        <w:rPr>
          <w:sz w:val="20"/>
          <w:szCs w:val="20"/>
          <w:color w:val="auto"/>
        </w:rPr>
      </w:pPr>
      <w:r>
        <w:rPr>
          <w:rFonts w:ascii="Arial" w:cs="Arial" w:eastAsia="Arial" w:hAnsi="Arial"/>
          <w:sz w:val="17"/>
          <w:szCs w:val="17"/>
          <w:b w:val="1"/>
          <w:bCs w:val="1"/>
          <w:color w:val="auto"/>
        </w:rPr>
        <w:t>Certain Relationships and Related Party Transactions</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Stockholders’ Agreement</w:t>
      </w:r>
    </w:p>
    <w:p>
      <w:pPr>
        <w:spacing w:after="0" w:line="101" w:lineRule="exact"/>
        <w:rPr>
          <w:sz w:val="20"/>
          <w:szCs w:val="20"/>
          <w:color w:val="auto"/>
        </w:rPr>
      </w:pPr>
    </w:p>
    <w:p>
      <w:pPr>
        <w:ind w:left="360"/>
        <w:spacing w:after="0"/>
        <w:rPr>
          <w:sz w:val="20"/>
          <w:szCs w:val="20"/>
          <w:color w:val="auto"/>
        </w:rPr>
      </w:pPr>
      <w:r>
        <w:rPr>
          <w:rFonts w:ascii="Arial" w:cs="Arial" w:eastAsia="Arial" w:hAnsi="Arial"/>
          <w:sz w:val="28"/>
          <w:szCs w:val="28"/>
          <w:color w:val="auto"/>
        </w:rPr>
        <w:t>Corporate Opportunities</w:t>
      </w:r>
    </w:p>
    <w:p>
      <w:pPr>
        <w:spacing w:after="0" w:line="220" w:lineRule="exact"/>
        <w:rPr>
          <w:sz w:val="20"/>
          <w:szCs w:val="20"/>
          <w:color w:val="auto"/>
        </w:rPr>
      </w:pPr>
    </w:p>
    <w:p>
      <w:pPr>
        <w:ind w:left="360" w:right="120"/>
        <w:spacing w:after="0" w:line="242" w:lineRule="auto"/>
        <w:rPr>
          <w:sz w:val="20"/>
          <w:szCs w:val="20"/>
          <w:color w:val="auto"/>
        </w:rPr>
      </w:pPr>
      <w:r>
        <w:rPr>
          <w:rFonts w:ascii="Arial" w:cs="Arial" w:eastAsia="Arial" w:hAnsi="Arial"/>
          <w:sz w:val="17"/>
          <w:szCs w:val="17"/>
          <w:color w:val="auto"/>
        </w:rPr>
        <w:t>To the fullest extent permitted by law, we have, on behalf of ourselves, our subsidiaries and our and their respective shareholders, renounced any interest or expectancy in, or in being offered an opportunity to participate in, any business opportunity that may be presented to Warburg Pincus, GTCR or any of their respective affiliates, partners, principals, directors, officers, members, managers, employees or other representatives, and no such person has any duty to communicate or offer such business opportunity to us or any of our subsidiaries or shall be liable to us or any of our subsidiaries or any of our or its shareholders for breach of any duty, as a director or officer or otherwise, by reason of the fact that such person pursues or acquires such business opportunity, directs such business opportunity to another person or fails to present such business opportunity, or information regarding such business opportunity, to us or our subsidiaries, unless, in the case of any such person who is a director or officer of ours, such business opportunity is expressly offered to such director or officer in writing solely in his or her capacity as a director or officer of ours.</w:t>
      </w:r>
    </w:p>
    <w:p>
      <w:pPr>
        <w:spacing w:after="0" w:line="265" w:lineRule="exact"/>
        <w:rPr>
          <w:sz w:val="20"/>
          <w:szCs w:val="20"/>
          <w:color w:val="auto"/>
        </w:rPr>
      </w:pPr>
    </w:p>
    <w:p>
      <w:pPr>
        <w:ind w:left="360"/>
        <w:spacing w:after="0"/>
        <w:rPr>
          <w:sz w:val="20"/>
          <w:szCs w:val="20"/>
          <w:color w:val="auto"/>
        </w:rPr>
      </w:pPr>
      <w:r>
        <w:rPr>
          <w:rFonts w:ascii="Arial" w:cs="Arial" w:eastAsia="Arial" w:hAnsi="Arial"/>
          <w:sz w:val="28"/>
          <w:szCs w:val="28"/>
          <w:color w:val="auto"/>
        </w:rPr>
        <w:t>Indemnification</w:t>
      </w:r>
    </w:p>
    <w:p>
      <w:pPr>
        <w:spacing w:after="0" w:line="220" w:lineRule="exact"/>
        <w:rPr>
          <w:sz w:val="20"/>
          <w:szCs w:val="20"/>
          <w:color w:val="auto"/>
        </w:rPr>
      </w:pPr>
    </w:p>
    <w:p>
      <w:pPr>
        <w:ind w:left="360" w:right="40"/>
        <w:spacing w:after="0" w:line="241" w:lineRule="auto"/>
        <w:rPr>
          <w:sz w:val="20"/>
          <w:szCs w:val="20"/>
          <w:color w:val="auto"/>
        </w:rPr>
      </w:pPr>
      <w:r>
        <w:rPr>
          <w:rFonts w:ascii="Arial" w:cs="Arial" w:eastAsia="Arial" w:hAnsi="Arial"/>
          <w:sz w:val="17"/>
          <w:szCs w:val="17"/>
          <w:color w:val="auto"/>
        </w:rPr>
        <w:t>Under the Stockholders’ Agreement, we have agreed, subject to certain exceptions, to indemnify the Sponsors, and various affiliated persons and indirect equityholders of the Sponsors from losses arising out of any threatened or actual litigation by reason of the fact that the indemnified person is or was a holder of our common stock or of equity interests in Sotera Health Company. This indemnification is in addition to a similar indemnification provision under Topco Parent’s limited partnership agreement, which survived the termination of such agreement. Two of our subsidiaries and GTCR are co-defendants in tort lawsuits related to purported emissions and releases of EO from a former Sterigenics facility in Willowbrook, Illinois. Some of the plaintiffs in those tort lawsuits filed an additional lawsuit, related to certain transfers of assets, in which the Company and certain affiliates, subsidiaries, current and former officers and various investment funds and entities affiliated with the Sponsors are named as co-defendants or “respondents in discovery.” The Company, certain current and former directors and officers, the Sponsors, and the financial institutions that served as underwriters in the Company’s IPO and Secondary Public Offering are co-defendants in a putative shareholder class action alleging violations of federal securities laws. In satisfaction of our indemnity obligations, we are bearing the costs of the defense of indemnitees in these actions.</w:t>
      </w:r>
    </w:p>
    <w:p>
      <w:pPr>
        <w:spacing w:after="0" w:line="271" w:lineRule="exact"/>
        <w:rPr>
          <w:sz w:val="20"/>
          <w:szCs w:val="20"/>
          <w:color w:val="auto"/>
        </w:rPr>
      </w:pPr>
    </w:p>
    <w:p>
      <w:pPr>
        <w:ind w:left="360"/>
        <w:spacing w:after="0"/>
        <w:rPr>
          <w:sz w:val="20"/>
          <w:szCs w:val="20"/>
          <w:color w:val="auto"/>
        </w:rPr>
      </w:pPr>
      <w:r>
        <w:rPr>
          <w:rFonts w:ascii="Arial" w:cs="Arial" w:eastAsia="Arial" w:hAnsi="Arial"/>
          <w:sz w:val="31"/>
          <w:szCs w:val="31"/>
          <w:color w:val="00B0DB"/>
        </w:rPr>
        <w:t>Limitation of Liability and Indemnification of Officers and Directors</w:t>
      </w:r>
    </w:p>
    <w:p>
      <w:pPr>
        <w:spacing w:after="0" w:line="221" w:lineRule="exact"/>
        <w:rPr>
          <w:sz w:val="20"/>
          <w:szCs w:val="20"/>
          <w:color w:val="auto"/>
        </w:rPr>
      </w:pPr>
    </w:p>
    <w:p>
      <w:pPr>
        <w:ind w:left="360" w:right="100"/>
        <w:spacing w:after="0" w:line="243" w:lineRule="auto"/>
        <w:rPr>
          <w:sz w:val="20"/>
          <w:szCs w:val="20"/>
          <w:color w:val="auto"/>
        </w:rPr>
      </w:pPr>
      <w:r>
        <w:rPr>
          <w:rFonts w:ascii="Arial" w:cs="Arial" w:eastAsia="Arial" w:hAnsi="Arial"/>
          <w:sz w:val="17"/>
          <w:szCs w:val="17"/>
          <w:color w:val="auto"/>
        </w:rPr>
        <w:t>Our amended and restated certificate of incorporation provides for indemnification of directors and officers to the fullest extent permitted by law, including payment of expenses in advance of resolution of any such matter. Our amended and restated certificate of incorporation eliminates the potential personal monetary liability of our directors to us or our shareholders for breaches of their duties as directors to the fullest extent permitted by the DGCL. Any amendment to, or repeal of, these provisions will not eliminate or reduce the effect of these provisions in respect of any act, omission or claim that occurred or arose prior to that amendment or repeal. If the DGCL is amended to provide for further limitations on the personal liability of directors of corporations, then the personal liability of our directors will be further limited to the greatest extent permitted by the DGCL.</w:t>
      </w:r>
    </w:p>
    <w:p>
      <w:pPr>
        <w:spacing w:after="0" w:line="150" w:lineRule="exact"/>
        <w:rPr>
          <w:sz w:val="20"/>
          <w:szCs w:val="20"/>
          <w:color w:val="auto"/>
        </w:rPr>
      </w:pPr>
    </w:p>
    <w:p>
      <w:pPr>
        <w:ind w:left="360" w:right="40"/>
        <w:spacing w:after="0" w:line="241" w:lineRule="auto"/>
        <w:rPr>
          <w:sz w:val="20"/>
          <w:szCs w:val="20"/>
          <w:color w:val="auto"/>
        </w:rPr>
      </w:pPr>
      <w:r>
        <w:rPr>
          <w:rFonts w:ascii="Arial" w:cs="Arial" w:eastAsia="Arial" w:hAnsi="Arial"/>
          <w:sz w:val="17"/>
          <w:szCs w:val="17"/>
          <w:color w:val="auto"/>
        </w:rPr>
        <w:t>We have entered into separate indemnification agreements with our directors and officers that are broader than the mandatory indemnification rights required by the DGCL. Each indemnification agreement provides, among other things, for indemnification to the fullest extent permitted by law and our amended and restated certificate of incorporation and amended and restated bylaws against any and all expenses, judgments, fines and amounts paid in settlement of any claim. The indemnification agreements also provide for the advancement or payment of all expenses to the indemnitee and for reimbursement to us if it is found that such indemnitee is not entitled to such indemnification under applicable law and our amended and restated certificate of incorporation and amended and restated bylaws. We believe that these agreements are necessary to attract and retain qualified individuals to serve as directors and officers, and in satisfaction of our indemnity obligations, we are bearing the costs of the defense of those current and former directors and officers who are named as co-defendants or “respondents in discovery” in the tort, asset transfer and putative shareholder class action lawsuits described in the preceding section, “Stockholders’ Agreement — Indemnification”.</w:t>
      </w:r>
    </w:p>
    <w:p>
      <w:pPr>
        <w:spacing w:after="0" w:line="141" w:lineRule="exact"/>
        <w:rPr>
          <w:sz w:val="20"/>
          <w:szCs w:val="20"/>
          <w:color w:val="auto"/>
        </w:rPr>
      </w:pPr>
    </w:p>
    <w:p>
      <w:pPr>
        <w:ind w:left="360" w:right="220"/>
        <w:spacing w:after="0" w:line="250" w:lineRule="auto"/>
        <w:rPr>
          <w:sz w:val="20"/>
          <w:szCs w:val="20"/>
          <w:color w:val="auto"/>
        </w:rPr>
      </w:pPr>
      <w:r>
        <w:rPr>
          <w:rFonts w:ascii="Arial" w:cs="Arial" w:eastAsia="Arial" w:hAnsi="Arial"/>
          <w:sz w:val="17"/>
          <w:szCs w:val="17"/>
          <w:color w:val="auto"/>
        </w:rPr>
        <w:t>The limitation of liability and indemnification provisions included in our amended and restated certificate of incorporation and the indemnification agreements that we have entered into or will enter into with our directors and officers may discourage shareholders from bringing a lawsuit against our directors and officers for breach of their fiduciary duties. They may also reduce the likelihood of derivative litigation against our directors and officers, even though any such action, 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231775</wp:posOffset>
            </wp:positionH>
            <wp:positionV relativeFrom="paragraph">
              <wp:posOffset>92075</wp:posOffset>
            </wp:positionV>
            <wp:extent cx="6687820" cy="1651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6687820" cy="16510"/>
                    </a:xfrm>
                    <a:prstGeom prst="rect">
                      <a:avLst/>
                    </a:prstGeom>
                    <a:noFill/>
                  </pic:spPr>
                </pic:pic>
              </a:graphicData>
            </a:graphic>
          </wp:anchor>
        </w:drawing>
      </w:r>
    </w:p>
    <w:p>
      <w:pPr>
        <w:spacing w:after="0" w:line="314"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6443980</wp:posOffset>
            </wp:positionH>
            <wp:positionV relativeFrom="paragraph">
              <wp:posOffset>-113030</wp:posOffset>
            </wp:positionV>
            <wp:extent cx="475615" cy="15557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475615" cy="155575"/>
                    </a:xfrm>
                    <a:prstGeom prst="rect">
                      <a:avLst/>
                    </a:prstGeom>
                    <a:noFill/>
                  </pic:spPr>
                </pic:pic>
              </a:graphicData>
            </a:graphic>
          </wp:anchor>
        </w:drawing>
      </w:r>
    </w:p>
    <w:p>
      <w:pPr>
        <w:sectPr>
          <w:pgSz w:w="11900" w:h="16838" w:orient="portrait"/>
          <w:cols w:equalWidth="0" w:num="1">
            <w:col w:w="10900"/>
          </w:cols>
          <w:pgMar w:left="320" w:top="468" w:right="67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5334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79945" cy="53340"/>
                    </a:xfrm>
                    <a:prstGeom prst="rect">
                      <a:avLst/>
                    </a:prstGeom>
                    <a:noFill/>
                  </pic:spPr>
                </pic:pic>
              </a:graphicData>
            </a:graphic>
          </wp:anchor>
        </w:drawing>
        <w:t>Table of Contents</w:t>
      </w:r>
    </w:p>
    <w:p>
      <w:pPr>
        <w:spacing w:after="0" w:line="296"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auto"/>
        </w:rPr>
        <w:t>Certain Relationships and Related Party Transactions</w:t>
      </w:r>
    </w:p>
    <w:p>
      <w:pPr>
        <w:spacing w:after="0" w:line="21" w:lineRule="exact"/>
        <w:rPr>
          <w:sz w:val="20"/>
          <w:szCs w:val="20"/>
          <w:color w:val="auto"/>
        </w:rPr>
      </w:pPr>
    </w:p>
    <w:p>
      <w:pPr>
        <w:ind w:left="360"/>
        <w:spacing w:after="0"/>
        <w:rPr>
          <w:sz w:val="20"/>
          <w:szCs w:val="20"/>
          <w:color w:val="auto"/>
        </w:rPr>
      </w:pPr>
      <w:r>
        <w:rPr>
          <w:rFonts w:ascii="Arial" w:cs="Arial" w:eastAsia="Arial" w:hAnsi="Arial"/>
          <w:sz w:val="14"/>
          <w:szCs w:val="14"/>
          <w:b w:val="1"/>
          <w:bCs w:val="1"/>
          <w:color w:val="auto"/>
        </w:rPr>
        <w:t>Limitation of Liability and Indemnification of Officers and Directors</w:t>
      </w:r>
    </w:p>
    <w:p>
      <w:pPr>
        <w:spacing w:after="0" w:line="114" w:lineRule="exact"/>
        <w:rPr>
          <w:sz w:val="20"/>
          <w:szCs w:val="20"/>
          <w:color w:val="auto"/>
        </w:rPr>
      </w:pPr>
    </w:p>
    <w:p>
      <w:pPr>
        <w:ind w:left="360" w:right="120"/>
        <w:spacing w:after="0" w:line="274" w:lineRule="auto"/>
        <w:rPr>
          <w:sz w:val="20"/>
          <w:szCs w:val="20"/>
          <w:color w:val="auto"/>
        </w:rPr>
      </w:pPr>
      <w:r>
        <w:rPr>
          <w:rFonts w:ascii="Arial" w:cs="Arial" w:eastAsia="Arial" w:hAnsi="Arial"/>
          <w:sz w:val="17"/>
          <w:szCs w:val="17"/>
          <w:color w:val="auto"/>
        </w:rPr>
        <w:t>successful, might benefit us and other shareholders. Further, a shareholder’s investment may be adversely affected to the extent that we pay the costs of settlement and damage awards against directors and officers as required by these indemnification provisions.</w:t>
      </w:r>
    </w:p>
    <w:p>
      <w:pPr>
        <w:spacing w:after="0" w:line="122" w:lineRule="exact"/>
        <w:rPr>
          <w:sz w:val="20"/>
          <w:szCs w:val="20"/>
          <w:color w:val="auto"/>
        </w:rPr>
      </w:pPr>
    </w:p>
    <w:p>
      <w:pPr>
        <w:ind w:left="360"/>
        <w:spacing w:after="0" w:line="246" w:lineRule="auto"/>
        <w:rPr>
          <w:sz w:val="20"/>
          <w:szCs w:val="20"/>
          <w:color w:val="auto"/>
        </w:rPr>
      </w:pPr>
      <w:r>
        <w:rPr>
          <w:rFonts w:ascii="Arial" w:cs="Arial" w:eastAsia="Arial" w:hAnsi="Arial"/>
          <w:sz w:val="17"/>
          <w:szCs w:val="17"/>
          <w:color w:val="auto"/>
        </w:rPr>
        <w:t>We maintain Side-A directors and officers liability insurance policies under which, subject to the terms, conditions, exclusions, and limits of the policies, defense and indemnity coverage is provided to our directors and officers for claims alleging a breach of duty or other wrongful acts as a director or officer, including claims relating to public securities matters. Our directors and officers liability insurance policies since the time of the IPO do not provide coverage to the Company for the Company’s indemnification of directors and officers, nor for direct claims against the Company.</w:t>
      </w:r>
    </w:p>
    <w:p>
      <w:pPr>
        <w:spacing w:after="0" w:line="134" w:lineRule="exact"/>
        <w:rPr>
          <w:sz w:val="20"/>
          <w:szCs w:val="20"/>
          <w:color w:val="auto"/>
        </w:rPr>
      </w:pPr>
    </w:p>
    <w:p>
      <w:pPr>
        <w:ind w:left="360" w:right="120"/>
        <w:spacing w:after="0" w:line="242" w:lineRule="auto"/>
        <w:rPr>
          <w:sz w:val="20"/>
          <w:szCs w:val="20"/>
          <w:color w:val="auto"/>
        </w:rPr>
      </w:pPr>
      <w:r>
        <w:rPr>
          <w:rFonts w:ascii="Arial" w:cs="Arial" w:eastAsia="Arial" w:hAnsi="Arial"/>
          <w:sz w:val="17"/>
          <w:szCs w:val="17"/>
          <w:color w:val="auto"/>
        </w:rPr>
        <w:t>Certain of our non-employee directors may, through their relationships with their employers, be insured or indemnified against certain liabilities incurred in their capacity as members of our Board. Although directors designated for election to our Board by investment funds and entities affiliated with either Warburg Pincus or GTCR may have certain rights to indemnification, advancement of expenses or insurance provided or obtained by investment funds and entities affiliated with either Warburg Pincus or GTCR, respectively, we have agreed in our Stockholders’ Agreement that we will be the indemnitor of first resort, will advance the full amount of expenses incurred by each such director and, to the extent that investment funds and entities affiliated with either Warburg Pincus or GTCR or their insurers make any payment to, or advance any expenses to, any such director, we will reimburse those investment funds and entities and their insurers for such amounts.</w:t>
      </w:r>
    </w:p>
    <w:p>
      <w:pPr>
        <w:spacing w:after="0" w:line="140" w:lineRule="exact"/>
        <w:rPr>
          <w:sz w:val="20"/>
          <w:szCs w:val="20"/>
          <w:color w:val="auto"/>
        </w:rPr>
      </w:pPr>
    </w:p>
    <w:p>
      <w:pPr>
        <w:jc w:val="both"/>
        <w:ind w:left="360" w:right="260"/>
        <w:spacing w:after="0" w:line="256" w:lineRule="auto"/>
        <w:rPr>
          <w:sz w:val="20"/>
          <w:szCs w:val="20"/>
          <w:color w:val="auto"/>
        </w:rPr>
      </w:pPr>
      <w:r>
        <w:rPr>
          <w:rFonts w:ascii="Arial" w:cs="Arial" w:eastAsia="Arial" w:hAnsi="Arial"/>
          <w:sz w:val="17"/>
          <w:szCs w:val="17"/>
          <w:color w:val="auto"/>
        </w:rPr>
        <w:t>Insofar as indemnification for liabilities arising under the Securities Act may be permitted to directors, officers or persons controlling our Company pursuant to the foregoing provisions, we have been informed that, in the opinion of the SEC, such indemnification is against public policy as expressed in the Securities Act and is therefore unenforceable.</w:t>
      </w:r>
    </w:p>
    <w:p>
      <w:pPr>
        <w:spacing w:after="0" w:line="255" w:lineRule="exact"/>
        <w:rPr>
          <w:sz w:val="20"/>
          <w:szCs w:val="20"/>
          <w:color w:val="auto"/>
        </w:rPr>
      </w:pPr>
    </w:p>
    <w:p>
      <w:pPr>
        <w:ind w:left="360"/>
        <w:spacing w:after="0"/>
        <w:rPr>
          <w:sz w:val="20"/>
          <w:szCs w:val="20"/>
          <w:color w:val="auto"/>
        </w:rPr>
      </w:pPr>
      <w:r>
        <w:rPr>
          <w:rFonts w:ascii="Arial" w:cs="Arial" w:eastAsia="Arial" w:hAnsi="Arial"/>
          <w:sz w:val="31"/>
          <w:szCs w:val="31"/>
          <w:color w:val="00B0DB"/>
        </w:rPr>
        <w:t>Policies and Procedures for Related Party Transactions</w:t>
      </w:r>
    </w:p>
    <w:p>
      <w:pPr>
        <w:spacing w:after="0" w:line="221" w:lineRule="exact"/>
        <w:rPr>
          <w:sz w:val="20"/>
          <w:szCs w:val="20"/>
          <w:color w:val="auto"/>
        </w:rPr>
      </w:pPr>
    </w:p>
    <w:p>
      <w:pPr>
        <w:ind w:left="360" w:right="20"/>
        <w:spacing w:after="0" w:line="242" w:lineRule="auto"/>
        <w:rPr>
          <w:sz w:val="20"/>
          <w:szCs w:val="20"/>
          <w:color w:val="auto"/>
        </w:rPr>
      </w:pPr>
      <w:r>
        <w:rPr>
          <w:rFonts w:ascii="Arial" w:cs="Arial" w:eastAsia="Arial" w:hAnsi="Arial"/>
          <w:sz w:val="17"/>
          <w:szCs w:val="17"/>
          <w:color w:val="auto"/>
        </w:rPr>
        <w:t>Pursuant to our written related party transaction policy, the Audit Committee of the Board is responsible for evaluating each related party transaction and making a determination as to whether the transaction at issue is fair, reasonable and within our policy and whether it should be ratified and approved. The Audit Committee, in making its determination, considers various factors, including the benefit of the transaction to us, the terms of the transaction and whether they are at arm’s-length and in the ordinary course of our business, whether the transaction would impair the independence of an otherwise independent director, the direct or indirect nature of the related person’s interest in the transaction, the size and expected term of the transaction and other facts and circumstances that bear on the materiality of the related party transaction under applicable law and listing standards. The Audit Committee reviews, at least annually, a summary of our transactions with our directors and officers and with firms that employ our directors, as well as any other related person transactions.</w:t>
      </w:r>
    </w:p>
    <w:p>
      <w:pPr>
        <w:spacing w:after="0" w:line="153" w:lineRule="exact"/>
        <w:rPr>
          <w:sz w:val="20"/>
          <w:szCs w:val="20"/>
          <w:color w:val="auto"/>
        </w:rPr>
      </w:pPr>
    </w:p>
    <w:p>
      <w:pPr>
        <w:ind w:left="360" w:right="80"/>
        <w:spacing w:after="0" w:line="256" w:lineRule="auto"/>
        <w:rPr>
          <w:sz w:val="20"/>
          <w:szCs w:val="20"/>
          <w:color w:val="auto"/>
        </w:rPr>
      </w:pPr>
      <w:r>
        <w:rPr>
          <w:rFonts w:ascii="Arial" w:cs="Arial" w:eastAsia="Arial" w:hAnsi="Arial"/>
          <w:sz w:val="17"/>
          <w:szCs w:val="17"/>
          <w:color w:val="auto"/>
        </w:rPr>
        <w:t>Curia Global (“Curia”), is a contract research, development and manufacturing organization, and a customer of our Nelson Labs business segment. Curia is an affiliate of GTCR, one of our Sponsors. In fiscal year 2022, we recorded sales of $3.7 million to Curia and amounts due from Curia during the same period were $0.8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231775</wp:posOffset>
            </wp:positionH>
            <wp:positionV relativeFrom="paragraph">
              <wp:posOffset>88900</wp:posOffset>
            </wp:positionV>
            <wp:extent cx="6687820" cy="1651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687820" cy="16510"/>
                    </a:xfrm>
                    <a:prstGeom prst="rect">
                      <a:avLst/>
                    </a:prstGeom>
                    <a:noFill/>
                  </pic:spPr>
                </pic:pic>
              </a:graphicData>
            </a:graphic>
          </wp:anchor>
        </w:drawing>
      </w:r>
    </w:p>
    <w:p>
      <w:pPr>
        <w:spacing w:after="0" w:line="297" w:lineRule="exact"/>
        <w:rPr>
          <w:sz w:val="20"/>
          <w:szCs w:val="20"/>
          <w:color w:val="auto"/>
        </w:rPr>
      </w:pPr>
    </w:p>
    <w:tbl>
      <w:tblPr>
        <w:tblLayout w:type="fixed"/>
        <w:tblInd w:w="360" w:type="dxa"/>
        <w:tblCellMar>
          <w:top w:w="0" w:type="dxa"/>
          <w:left w:w="0" w:type="dxa"/>
          <w:bottom w:w="0" w:type="dxa"/>
          <w:right w:w="0" w:type="dxa"/>
        </w:tblCellMar>
      </w:tblPr>
      <w:tr>
        <w:trPr>
          <w:trHeight w:val="226"/>
        </w:trPr>
        <w:tc>
          <w:tcPr>
            <w:tcW w:w="3900" w:type="dxa"/>
            <w:vAlign w:val="bottom"/>
          </w:tcPr>
          <w:p>
            <w:pPr>
              <w:spacing w:after="0"/>
              <w:rPr>
                <w:sz w:val="20"/>
                <w:szCs w:val="20"/>
                <w:color w:val="auto"/>
              </w:rPr>
            </w:pPr>
            <w:r>
              <w:rPr>
                <w:rFonts w:ascii="Arial" w:cs="Arial" w:eastAsia="Arial" w:hAnsi="Arial"/>
                <w:sz w:val="17"/>
                <w:szCs w:val="17"/>
                <w:color w:val="auto"/>
              </w:rPr>
              <w:t>2023 Notice and Proxy Statement</w:t>
            </w:r>
          </w:p>
        </w:tc>
        <w:tc>
          <w:tcPr>
            <w:tcW w:w="1520" w:type="dxa"/>
            <w:vAlign w:val="bottom"/>
          </w:tcPr>
          <w:p>
            <w:pPr>
              <w:jc w:val="right"/>
              <w:spacing w:after="0"/>
              <w:rPr>
                <w:sz w:val="20"/>
                <w:szCs w:val="20"/>
                <w:color w:val="auto"/>
              </w:rPr>
            </w:pPr>
            <w:r>
              <w:rPr>
                <w:rFonts w:ascii="Arial" w:cs="Arial" w:eastAsia="Arial" w:hAnsi="Arial"/>
                <w:sz w:val="17"/>
                <w:szCs w:val="17"/>
                <w:color w:val="auto"/>
              </w:rPr>
              <w:t>76</w:t>
            </w:r>
          </w:p>
        </w:tc>
      </w:tr>
    </w:tbl>
    <w:p>
      <w:pPr>
        <w:sectPr>
          <w:pgSz w:w="11900" w:h="16838" w:orient="portrait"/>
          <w:cols w:equalWidth="0" w:num="1">
            <w:col w:w="10860"/>
          </w:cols>
          <w:pgMar w:left="320" w:top="468" w:right="71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5334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79945" cy="53340"/>
                    </a:xfrm>
                    <a:prstGeom prst="rect">
                      <a:avLst/>
                    </a:prstGeom>
                    <a:noFill/>
                  </pic:spPr>
                </pic:pic>
              </a:graphicData>
            </a:graphic>
          </wp:anchor>
        </w:drawing>
        <w:t>Table of Contents</w:t>
      </w:r>
    </w:p>
    <w:p>
      <w:pPr>
        <w:spacing w:after="0" w:line="296"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Other Information</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2024 Shareholder Proposals</w:t>
      </w:r>
    </w:p>
    <w:p>
      <w:pPr>
        <w:spacing w:after="0" w:line="90" w:lineRule="exact"/>
        <w:rPr>
          <w:sz w:val="20"/>
          <w:szCs w:val="20"/>
          <w:color w:val="auto"/>
        </w:rPr>
      </w:pPr>
    </w:p>
    <w:p>
      <w:pPr>
        <w:ind w:left="360"/>
        <w:spacing w:after="0"/>
        <w:rPr>
          <w:sz w:val="20"/>
          <w:szCs w:val="20"/>
          <w:color w:val="auto"/>
        </w:rPr>
      </w:pPr>
      <w:r>
        <w:rPr>
          <w:rFonts w:ascii="Arial" w:cs="Arial" w:eastAsia="Arial" w:hAnsi="Arial"/>
          <w:sz w:val="41"/>
          <w:szCs w:val="41"/>
          <w:b w:val="1"/>
          <w:bCs w:val="1"/>
          <w:color w:val="00B0DB"/>
        </w:rPr>
        <w:t>OTHER INFORMATION</w:t>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31"/>
          <w:szCs w:val="31"/>
          <w:color w:val="00B0DB"/>
        </w:rPr>
        <w:t>2024 Shareholder Proposals</w:t>
      </w:r>
    </w:p>
    <w:p>
      <w:pPr>
        <w:spacing w:after="0" w:line="221" w:lineRule="exact"/>
        <w:rPr>
          <w:sz w:val="20"/>
          <w:szCs w:val="20"/>
          <w:color w:val="auto"/>
        </w:rPr>
      </w:pPr>
    </w:p>
    <w:p>
      <w:pPr>
        <w:ind w:left="360" w:right="140"/>
        <w:spacing w:after="0" w:line="245" w:lineRule="auto"/>
        <w:rPr>
          <w:sz w:val="20"/>
          <w:szCs w:val="20"/>
          <w:color w:val="auto"/>
        </w:rPr>
      </w:pPr>
      <w:r>
        <w:rPr>
          <w:rFonts w:ascii="Arial" w:cs="Arial" w:eastAsia="Arial" w:hAnsi="Arial"/>
          <w:sz w:val="17"/>
          <w:szCs w:val="17"/>
          <w:color w:val="auto"/>
        </w:rPr>
        <w:t>Proposals by shareholders for inclusion in our proxy statement and form of proxy for the Annual Meeting to be held in 2024 pursuant to Rule 14a-8 of the Exchange Act should be addressed to the Corporate Secretary, Sotera Health Company, 9100 South Hills Blvd, Suite 300, Broadview Heights, Ohio 44147. Proposals must be received at this address no later than December 15, 2023. The proposal must meet the requirements under Rule 14a-8 to be valid. Upon receipt of a proposal, we will determine whether to include the proposal in the proxy statement and form of proxy in accordance with applicable law. It is suggested that proposals be forwarded by certified mail, return receipt requested.</w:t>
      </w:r>
    </w:p>
    <w:p>
      <w:pPr>
        <w:spacing w:after="0" w:line="264" w:lineRule="exact"/>
        <w:rPr>
          <w:sz w:val="20"/>
          <w:szCs w:val="20"/>
          <w:color w:val="auto"/>
        </w:rPr>
      </w:pPr>
    </w:p>
    <w:p>
      <w:pPr>
        <w:ind w:left="360"/>
        <w:spacing w:after="0"/>
        <w:rPr>
          <w:sz w:val="20"/>
          <w:szCs w:val="20"/>
          <w:color w:val="auto"/>
        </w:rPr>
      </w:pPr>
      <w:r>
        <w:rPr>
          <w:rFonts w:ascii="Arial" w:cs="Arial" w:eastAsia="Arial" w:hAnsi="Arial"/>
          <w:sz w:val="31"/>
          <w:szCs w:val="31"/>
          <w:color w:val="00B0DB"/>
        </w:rPr>
        <w:t>Annual Meeting Advance Notice Requirements</w:t>
      </w:r>
    </w:p>
    <w:p>
      <w:pPr>
        <w:spacing w:after="0" w:line="221" w:lineRule="exact"/>
        <w:rPr>
          <w:sz w:val="20"/>
          <w:szCs w:val="20"/>
          <w:color w:val="auto"/>
        </w:rPr>
      </w:pPr>
    </w:p>
    <w:p>
      <w:pPr>
        <w:ind w:left="360" w:right="20"/>
        <w:spacing w:after="0" w:line="247" w:lineRule="auto"/>
        <w:rPr>
          <w:sz w:val="20"/>
          <w:szCs w:val="20"/>
          <w:color w:val="auto"/>
        </w:rPr>
      </w:pPr>
      <w:r>
        <w:rPr>
          <w:rFonts w:ascii="Arial" w:cs="Arial" w:eastAsia="Arial" w:hAnsi="Arial"/>
          <w:sz w:val="17"/>
          <w:szCs w:val="17"/>
          <w:color w:val="auto"/>
        </w:rPr>
        <w:t>Under Article II, Section 2 of our amended and restated bylaws, in order for a shareholder to submit a proposal or to nominate any director at next year’s annual meeting of shareholders, written notice must be addressed to the Corporate Secretary, Sotera Health Company,</w:t>
      </w:r>
    </w:p>
    <w:p>
      <w:pPr>
        <w:spacing w:after="0" w:line="1" w:lineRule="exact"/>
        <w:rPr>
          <w:sz w:val="20"/>
          <w:szCs w:val="20"/>
          <w:color w:val="auto"/>
        </w:rPr>
      </w:pPr>
    </w:p>
    <w:p>
      <w:pPr>
        <w:jc w:val="both"/>
        <w:ind w:left="360"/>
        <w:spacing w:after="0" w:line="237" w:lineRule="auto"/>
        <w:rPr>
          <w:sz w:val="20"/>
          <w:szCs w:val="20"/>
          <w:color w:val="auto"/>
        </w:rPr>
      </w:pPr>
      <w:r>
        <w:rPr>
          <w:rFonts w:ascii="Arial" w:cs="Arial" w:eastAsia="Arial" w:hAnsi="Arial"/>
          <w:sz w:val="17"/>
          <w:szCs w:val="17"/>
          <w:color w:val="auto"/>
        </w:rPr>
        <w:t>9100 South Hills Blvd, Suite 300, Broadview Heights, Ohio 44147, and must be received not earlier than the opening of business 120 days before, and not later than the close of business 90 days before, the first anniversary of the date of the preceding year’s annual meeting of shareholders, provided next year’s annual meeting is called for on a date that is within 30 days before or after such anniversary date.</w:t>
      </w:r>
    </w:p>
    <w:p>
      <w:pPr>
        <w:spacing w:after="0" w:line="2" w:lineRule="exact"/>
        <w:rPr>
          <w:sz w:val="20"/>
          <w:szCs w:val="20"/>
          <w:color w:val="auto"/>
        </w:rPr>
      </w:pPr>
    </w:p>
    <w:p>
      <w:pPr>
        <w:ind w:left="360" w:right="300"/>
        <w:spacing w:after="0" w:line="246" w:lineRule="auto"/>
        <w:rPr>
          <w:sz w:val="20"/>
          <w:szCs w:val="20"/>
          <w:color w:val="auto"/>
        </w:rPr>
      </w:pPr>
      <w:r>
        <w:rPr>
          <w:rFonts w:ascii="Arial" w:cs="Arial" w:eastAsia="Arial" w:hAnsi="Arial"/>
          <w:sz w:val="17"/>
          <w:szCs w:val="17"/>
          <w:color w:val="auto"/>
        </w:rPr>
        <w:t>Assuming that next year’s annual meeting is held on schedule, we must receive written notice between January 26, 2024 and February 26, 2024 of an intention to introduce a nomination or other item of business at that meeting that meets all of the requirements contained in our amended and restated bylaws.</w:t>
      </w:r>
    </w:p>
    <w:p>
      <w:pPr>
        <w:spacing w:after="0" w:line="170" w:lineRule="exact"/>
        <w:rPr>
          <w:sz w:val="20"/>
          <w:szCs w:val="20"/>
          <w:color w:val="auto"/>
        </w:rPr>
      </w:pPr>
    </w:p>
    <w:p>
      <w:pPr>
        <w:jc w:val="both"/>
        <w:ind w:left="360" w:right="80"/>
        <w:spacing w:after="0" w:line="256" w:lineRule="auto"/>
        <w:rPr>
          <w:sz w:val="20"/>
          <w:szCs w:val="20"/>
          <w:color w:val="auto"/>
        </w:rPr>
      </w:pPr>
      <w:r>
        <w:rPr>
          <w:rFonts w:ascii="Arial" w:cs="Arial" w:eastAsia="Arial" w:hAnsi="Arial"/>
          <w:sz w:val="17"/>
          <w:szCs w:val="17"/>
          <w:color w:val="auto"/>
        </w:rPr>
        <w:t>In addition, to comply with the universal proxy rules, shareholders who intend to solicit proxies in support of director nominees other than the Company’s nominees must provide notice that sets forth the information required by Rule 14a-19(b) under the Exchange Act between January 26, 2024 and February 26,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231775</wp:posOffset>
            </wp:positionH>
            <wp:positionV relativeFrom="paragraph">
              <wp:posOffset>88900</wp:posOffset>
            </wp:positionV>
            <wp:extent cx="6687820" cy="1651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6687820" cy="16510"/>
                    </a:xfrm>
                    <a:prstGeom prst="rect">
                      <a:avLst/>
                    </a:prstGeom>
                    <a:noFill/>
                  </pic:spPr>
                </pic:pic>
              </a:graphicData>
            </a:graphic>
          </wp:anchor>
        </w:drawing>
      </w:r>
    </w:p>
    <w:p>
      <w:pPr>
        <w:spacing w:after="0" w:line="310"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6443980</wp:posOffset>
            </wp:positionH>
            <wp:positionV relativeFrom="paragraph">
              <wp:posOffset>-113030</wp:posOffset>
            </wp:positionV>
            <wp:extent cx="475615" cy="15557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475615" cy="155575"/>
                    </a:xfrm>
                    <a:prstGeom prst="rect">
                      <a:avLst/>
                    </a:prstGeom>
                    <a:noFill/>
                  </pic:spPr>
                </pic:pic>
              </a:graphicData>
            </a:graphic>
          </wp:anchor>
        </w:drawing>
      </w:r>
    </w:p>
    <w:p>
      <w:pPr>
        <w:sectPr>
          <w:pgSz w:w="11900" w:h="16838" w:orient="portrait"/>
          <w:cols w:equalWidth="0" w:num="1">
            <w:col w:w="10880"/>
          </w:cols>
          <w:pgMar w:left="320" w:top="468" w:right="69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5334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79945" cy="53340"/>
                    </a:xfrm>
                    <a:prstGeom prst="rect">
                      <a:avLst/>
                    </a:prstGeom>
                    <a:noFill/>
                  </pic:spPr>
                </pic:pic>
              </a:graphicData>
            </a:graphic>
          </wp:anchor>
        </w:drawing>
        <w:t>Table of Contents</w:t>
      </w:r>
    </w:p>
    <w:p>
      <w:pPr>
        <w:spacing w:after="0" w:line="296"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auto"/>
        </w:rPr>
        <w:t>Questions and Answers About the Proxy Statement and Our 2023 Annual Meeting of Shareholders</w:t>
      </w:r>
    </w:p>
    <w:p>
      <w:pPr>
        <w:spacing w:after="0" w:line="117" w:lineRule="exact"/>
        <w:rPr>
          <w:sz w:val="20"/>
          <w:szCs w:val="20"/>
          <w:color w:val="auto"/>
        </w:rPr>
      </w:pPr>
    </w:p>
    <w:p>
      <w:pPr>
        <w:ind w:left="360" w:right="460"/>
        <w:spacing w:after="0" w:line="268" w:lineRule="auto"/>
        <w:rPr>
          <w:sz w:val="20"/>
          <w:szCs w:val="20"/>
          <w:color w:val="auto"/>
        </w:rPr>
      </w:pPr>
      <w:r>
        <w:rPr>
          <w:rFonts w:ascii="Arial" w:cs="Arial" w:eastAsia="Arial" w:hAnsi="Arial"/>
          <w:sz w:val="41"/>
          <w:szCs w:val="41"/>
          <w:b w:val="1"/>
          <w:bCs w:val="1"/>
          <w:color w:val="00B0DB"/>
        </w:rPr>
        <w:t>QUESTIONS AND ANSWERS ABOUT THE PROXY STATEMENT AND OUR 2023 ANNUAL MEETING OF SHAREHOLDERS</w:t>
      </w:r>
    </w:p>
    <w:p>
      <w:pPr>
        <w:spacing w:after="0" w:line="97" w:lineRule="exact"/>
        <w:rPr>
          <w:sz w:val="20"/>
          <w:szCs w:val="20"/>
          <w:color w:val="auto"/>
        </w:rPr>
      </w:pPr>
    </w:p>
    <w:p>
      <w:pPr>
        <w:ind w:left="360"/>
        <w:spacing w:after="0"/>
        <w:rPr>
          <w:sz w:val="20"/>
          <w:szCs w:val="20"/>
          <w:color w:val="auto"/>
        </w:rPr>
      </w:pPr>
      <w:r>
        <w:rPr>
          <w:rFonts w:ascii="Arial" w:cs="Arial" w:eastAsia="Arial" w:hAnsi="Arial"/>
          <w:sz w:val="28"/>
          <w:szCs w:val="28"/>
          <w:color w:val="auto"/>
        </w:rPr>
        <w:t>Q: Why am I receiving these materials?</w:t>
      </w:r>
    </w:p>
    <w:p>
      <w:pPr>
        <w:spacing w:after="0" w:line="246" w:lineRule="exact"/>
        <w:rPr>
          <w:sz w:val="20"/>
          <w:szCs w:val="20"/>
          <w:color w:val="auto"/>
        </w:rPr>
      </w:pPr>
    </w:p>
    <w:p>
      <w:pPr>
        <w:ind w:left="780" w:right="140" w:hanging="422"/>
        <w:spacing w:after="0" w:line="250" w:lineRule="auto"/>
        <w:tabs>
          <w:tab w:leader="none" w:pos="780" w:val="left"/>
        </w:tabs>
        <w:numPr>
          <w:ilvl w:val="0"/>
          <w:numId w:val="53"/>
        </w:numPr>
        <w:rPr>
          <w:rFonts w:ascii="Arial" w:cs="Arial" w:eastAsia="Arial" w:hAnsi="Arial"/>
          <w:sz w:val="17"/>
          <w:szCs w:val="17"/>
          <w:b w:val="1"/>
          <w:bCs w:val="1"/>
          <w:color w:val="00B0DB"/>
        </w:rPr>
      </w:pPr>
      <w:r>
        <w:rPr>
          <w:rFonts w:ascii="Arial" w:cs="Arial" w:eastAsia="Arial" w:hAnsi="Arial"/>
          <w:sz w:val="17"/>
          <w:szCs w:val="17"/>
          <w:color w:val="auto"/>
        </w:rPr>
        <w:t xml:space="preserve">The Board is providing these materials to you in connection with its solicitation of proxies for use at the Company’s Annual Meeting. The Annual Meeting will be held on Thursday, May 25, 2023. The Annual Meeting will be held online at </w:t>
      </w:r>
      <w:r>
        <w:rPr>
          <w:rFonts w:ascii="Arial" w:cs="Arial" w:eastAsia="Arial" w:hAnsi="Arial"/>
          <w:sz w:val="17"/>
          <w:szCs w:val="17"/>
          <w:b w:val="1"/>
          <w:bCs w:val="1"/>
          <w:color w:val="auto"/>
        </w:rPr>
        <w:t xml:space="preserve">www.virtualshareholdermeeting.com/SHC2023 </w:t>
      </w:r>
      <w:r>
        <w:rPr>
          <w:rFonts w:ascii="Arial" w:cs="Arial" w:eastAsia="Arial" w:hAnsi="Arial"/>
          <w:sz w:val="17"/>
          <w:szCs w:val="17"/>
          <w:color w:val="auto"/>
        </w:rPr>
        <w:t>via a live audio webcast. Shareholders are invited to attend the Annual Meeting</w:t>
      </w:r>
      <w:r>
        <w:rPr>
          <w:rFonts w:ascii="Arial" w:cs="Arial" w:eastAsia="Arial" w:hAnsi="Arial"/>
          <w:sz w:val="17"/>
          <w:szCs w:val="17"/>
          <w:b w:val="1"/>
          <w:bCs w:val="1"/>
          <w:color w:val="auto"/>
        </w:rPr>
        <w:t xml:space="preserve"> </w:t>
      </w:r>
      <w:r>
        <w:rPr>
          <w:rFonts w:ascii="Arial" w:cs="Arial" w:eastAsia="Arial" w:hAnsi="Arial"/>
          <w:sz w:val="17"/>
          <w:szCs w:val="17"/>
          <w:color w:val="auto"/>
        </w:rPr>
        <w:t>via the live audio webcast and to vote on the proposals described in this Proxy Statement.</w:t>
      </w:r>
    </w:p>
    <w:p>
      <w:pPr>
        <w:spacing w:after="0" w:line="140" w:lineRule="exact"/>
        <w:rPr>
          <w:rFonts w:ascii="Arial" w:cs="Arial" w:eastAsia="Arial" w:hAnsi="Arial"/>
          <w:sz w:val="17"/>
          <w:szCs w:val="17"/>
          <w:b w:val="1"/>
          <w:bCs w:val="1"/>
          <w:color w:val="00B0DB"/>
        </w:rPr>
      </w:pPr>
    </w:p>
    <w:p>
      <w:pPr>
        <w:ind w:left="780" w:right="220"/>
        <w:spacing w:after="0" w:line="274" w:lineRule="auto"/>
        <w:rPr>
          <w:rFonts w:ascii="Arial" w:cs="Arial" w:eastAsia="Arial" w:hAnsi="Arial"/>
          <w:sz w:val="17"/>
          <w:szCs w:val="17"/>
          <w:b w:val="1"/>
          <w:bCs w:val="1"/>
          <w:color w:val="00B0DB"/>
        </w:rPr>
      </w:pPr>
      <w:r>
        <w:rPr>
          <w:rFonts w:ascii="Arial" w:cs="Arial" w:eastAsia="Arial" w:hAnsi="Arial"/>
          <w:sz w:val="17"/>
          <w:szCs w:val="17"/>
          <w:color w:val="auto"/>
        </w:rPr>
        <w:t>These proxy materials are being provided on or about April 13, 2023 to all shareholders of record of Sotera Health as of March 31, 2023.</w:t>
      </w:r>
    </w:p>
    <w:p>
      <w:pPr>
        <w:spacing w:after="0" w:line="276" w:lineRule="exact"/>
        <w:rPr>
          <w:sz w:val="20"/>
          <w:szCs w:val="20"/>
          <w:color w:val="auto"/>
        </w:rPr>
      </w:pPr>
    </w:p>
    <w:p>
      <w:pPr>
        <w:ind w:left="360"/>
        <w:spacing w:after="0"/>
        <w:rPr>
          <w:sz w:val="20"/>
          <w:szCs w:val="20"/>
          <w:color w:val="auto"/>
        </w:rPr>
      </w:pPr>
      <w:r>
        <w:rPr>
          <w:rFonts w:ascii="Arial" w:cs="Arial" w:eastAsia="Arial" w:hAnsi="Arial"/>
          <w:sz w:val="28"/>
          <w:szCs w:val="28"/>
          <w:color w:val="auto"/>
        </w:rPr>
        <w:t>Q: What information is contained in these materials?</w:t>
      </w:r>
    </w:p>
    <w:p>
      <w:pPr>
        <w:spacing w:after="0" w:line="246" w:lineRule="exact"/>
        <w:rPr>
          <w:sz w:val="20"/>
          <w:szCs w:val="20"/>
          <w:color w:val="auto"/>
        </w:rPr>
      </w:pPr>
    </w:p>
    <w:p>
      <w:pPr>
        <w:ind w:left="780" w:right="180" w:hanging="422"/>
        <w:spacing w:after="0" w:line="230" w:lineRule="auto"/>
        <w:tabs>
          <w:tab w:leader="none" w:pos="780" w:val="left"/>
        </w:tabs>
        <w:numPr>
          <w:ilvl w:val="0"/>
          <w:numId w:val="54"/>
        </w:numPr>
        <w:rPr>
          <w:rFonts w:ascii="Arial" w:cs="Arial" w:eastAsia="Arial" w:hAnsi="Arial"/>
          <w:sz w:val="21"/>
          <w:szCs w:val="21"/>
          <w:b w:val="1"/>
          <w:bCs w:val="1"/>
          <w:color w:val="00B0DB"/>
        </w:rPr>
      </w:pPr>
      <w:r>
        <w:rPr>
          <w:rFonts w:ascii="Arial" w:cs="Arial" w:eastAsia="Arial" w:hAnsi="Arial"/>
          <w:sz w:val="17"/>
          <w:szCs w:val="17"/>
          <w:color w:val="auto"/>
        </w:rPr>
        <w:t>This Proxy Statement contains important information regarding the Annual Meeting, the proposals on which you are being asked to vote, the voting process and procedures, and information you may find useful in determining how to vote.</w:t>
      </w:r>
    </w:p>
    <w:p>
      <w:pPr>
        <w:spacing w:after="0" w:line="136" w:lineRule="exact"/>
        <w:rPr>
          <w:rFonts w:ascii="Arial" w:cs="Arial" w:eastAsia="Arial" w:hAnsi="Arial"/>
          <w:sz w:val="21"/>
          <w:szCs w:val="21"/>
          <w:b w:val="1"/>
          <w:bCs w:val="1"/>
          <w:color w:val="00B0DB"/>
        </w:rPr>
      </w:pPr>
    </w:p>
    <w:p>
      <w:pPr>
        <w:ind w:left="780" w:right="180"/>
        <w:spacing w:after="0" w:line="250" w:lineRule="auto"/>
        <w:rPr>
          <w:rFonts w:ascii="Arial" w:cs="Arial" w:eastAsia="Arial" w:hAnsi="Arial"/>
          <w:sz w:val="21"/>
          <w:szCs w:val="21"/>
          <w:b w:val="1"/>
          <w:bCs w:val="1"/>
          <w:color w:val="00B0DB"/>
        </w:rPr>
      </w:pPr>
      <w:r>
        <w:rPr>
          <w:rFonts w:ascii="Arial" w:cs="Arial" w:eastAsia="Arial" w:hAnsi="Arial"/>
          <w:sz w:val="17"/>
          <w:szCs w:val="17"/>
          <w:color w:val="auto"/>
        </w:rPr>
        <w:t>If you requested to receive printed proxy materials, these materials also include an accompanying proxy card. If you received more than one proxy card, this generally means your shares are registered differently or are in more than one account. Please provide voting instructions for each proxy card or, if you vote via the Internet or by telephone, vote once for each proxy card you receive to ensure all of your shares are voted.</w:t>
      </w:r>
    </w:p>
    <w:p>
      <w:pPr>
        <w:spacing w:after="0" w:line="295" w:lineRule="exact"/>
        <w:rPr>
          <w:sz w:val="20"/>
          <w:szCs w:val="20"/>
          <w:color w:val="auto"/>
        </w:rPr>
      </w:pPr>
    </w:p>
    <w:p>
      <w:pPr>
        <w:ind w:left="780" w:right="680" w:hanging="422"/>
        <w:spacing w:after="0" w:line="271" w:lineRule="auto"/>
        <w:tabs>
          <w:tab w:leader="none" w:pos="780" w:val="left"/>
        </w:tabs>
        <w:numPr>
          <w:ilvl w:val="0"/>
          <w:numId w:val="55"/>
        </w:numPr>
        <w:rPr>
          <w:rFonts w:ascii="Arial" w:cs="Arial" w:eastAsia="Arial" w:hAnsi="Arial"/>
          <w:sz w:val="28"/>
          <w:szCs w:val="28"/>
          <w:color w:val="auto"/>
        </w:rPr>
      </w:pPr>
      <w:r>
        <w:rPr>
          <w:rFonts w:ascii="Arial" w:cs="Arial" w:eastAsia="Arial" w:hAnsi="Arial"/>
          <w:sz w:val="28"/>
          <w:szCs w:val="28"/>
          <w:color w:val="auto"/>
        </w:rPr>
        <w:t>What proposals will be voted on at the Annual Meeting? What are the Board’s recommendations?</w:t>
      </w:r>
    </w:p>
    <w:p>
      <w:pPr>
        <w:spacing w:after="0" w:line="148" w:lineRule="exact"/>
        <w:rPr>
          <w:sz w:val="20"/>
          <w:szCs w:val="20"/>
          <w:color w:val="auto"/>
        </w:rPr>
      </w:pPr>
    </w:p>
    <w:p>
      <w:pPr>
        <w:ind w:left="780" w:hanging="422"/>
        <w:spacing w:after="0"/>
        <w:tabs>
          <w:tab w:leader="none" w:pos="780" w:val="left"/>
        </w:tabs>
        <w:numPr>
          <w:ilvl w:val="0"/>
          <w:numId w:val="56"/>
        </w:numPr>
        <w:rPr>
          <w:rFonts w:ascii="Arial" w:cs="Arial" w:eastAsia="Arial" w:hAnsi="Arial"/>
          <w:sz w:val="21"/>
          <w:szCs w:val="21"/>
          <w:b w:val="1"/>
          <w:bCs w:val="1"/>
          <w:color w:val="00B0DB"/>
        </w:rPr>
      </w:pPr>
      <w:r>
        <w:rPr>
          <w:rFonts w:ascii="Arial" w:cs="Arial" w:eastAsia="Arial" w:hAnsi="Arial"/>
          <w:sz w:val="17"/>
          <w:szCs w:val="17"/>
          <w:color w:val="auto"/>
        </w:rPr>
        <w:t>The following table describes the proposals to be voted on at the Annual Meeting and the Board’s voting recommendations:</w:t>
      </w:r>
    </w:p>
    <w:p>
      <w:pPr>
        <w:spacing w:after="0" w:line="216" w:lineRule="exact"/>
        <w:rPr>
          <w:sz w:val="20"/>
          <w:szCs w:val="20"/>
          <w:color w:val="auto"/>
        </w:rPr>
      </w:pPr>
    </w:p>
    <w:tbl>
      <w:tblPr>
        <w:tblLayout w:type="fixed"/>
        <w:tblInd w:w="360" w:type="dxa"/>
        <w:tblCellMar>
          <w:top w:w="0" w:type="dxa"/>
          <w:left w:w="0" w:type="dxa"/>
          <w:bottom w:w="0" w:type="dxa"/>
          <w:right w:w="0" w:type="dxa"/>
        </w:tblCellMar>
      </w:tblPr>
      <w:tr>
        <w:trPr>
          <w:trHeight w:val="195"/>
        </w:trPr>
        <w:tc>
          <w:tcPr>
            <w:tcW w:w="3740" w:type="dxa"/>
            <w:vAlign w:val="bottom"/>
            <w:tcBorders>
              <w:bottom w:val="single" w:sz="8" w:color="00467D"/>
            </w:tcBorders>
          </w:tcPr>
          <w:p>
            <w:pPr>
              <w:ind w:left="60"/>
              <w:spacing w:after="0"/>
              <w:rPr>
                <w:sz w:val="20"/>
                <w:szCs w:val="20"/>
                <w:color w:val="auto"/>
              </w:rPr>
            </w:pPr>
            <w:r>
              <w:rPr>
                <w:rFonts w:ascii="Arial" w:cs="Arial" w:eastAsia="Arial" w:hAnsi="Arial"/>
                <w:sz w:val="15"/>
                <w:szCs w:val="15"/>
                <w:b w:val="1"/>
                <w:bCs w:val="1"/>
                <w:color w:val="00467D"/>
              </w:rPr>
              <w:t>Proposal</w:t>
            </w:r>
          </w:p>
        </w:tc>
        <w:tc>
          <w:tcPr>
            <w:tcW w:w="3780" w:type="dxa"/>
            <w:vAlign w:val="bottom"/>
            <w:tcBorders>
              <w:bottom w:val="single" w:sz="8" w:color="00467D"/>
            </w:tcBorders>
          </w:tcPr>
          <w:p>
            <w:pPr>
              <w:ind w:left="1440"/>
              <w:spacing w:after="0"/>
              <w:rPr>
                <w:sz w:val="20"/>
                <w:szCs w:val="20"/>
                <w:color w:val="auto"/>
              </w:rPr>
            </w:pPr>
            <w:r>
              <w:rPr>
                <w:rFonts w:ascii="Arial" w:cs="Arial" w:eastAsia="Arial" w:hAnsi="Arial"/>
                <w:sz w:val="15"/>
                <w:szCs w:val="15"/>
                <w:b w:val="1"/>
                <w:bCs w:val="1"/>
                <w:color w:val="00467D"/>
              </w:rPr>
              <w:t>Description</w:t>
            </w:r>
          </w:p>
        </w:tc>
        <w:tc>
          <w:tcPr>
            <w:tcW w:w="3020" w:type="dxa"/>
            <w:vAlign w:val="bottom"/>
            <w:tcBorders>
              <w:bottom w:val="single" w:sz="8" w:color="00467D"/>
            </w:tcBorders>
          </w:tcPr>
          <w:p>
            <w:pPr>
              <w:jc w:val="center"/>
              <w:spacing w:after="0"/>
              <w:rPr>
                <w:sz w:val="20"/>
                <w:szCs w:val="20"/>
                <w:color w:val="auto"/>
              </w:rPr>
            </w:pPr>
            <w:r>
              <w:rPr>
                <w:rFonts w:ascii="Arial" w:cs="Arial" w:eastAsia="Arial" w:hAnsi="Arial"/>
                <w:sz w:val="15"/>
                <w:szCs w:val="15"/>
                <w:b w:val="1"/>
                <w:bCs w:val="1"/>
                <w:color w:val="00467D"/>
              </w:rPr>
              <w:t>Board Voting Recommendation</w:t>
            </w:r>
          </w:p>
        </w:tc>
        <w:tc>
          <w:tcPr>
            <w:tcW w:w="0" w:type="dxa"/>
            <w:vAlign w:val="bottom"/>
          </w:tcPr>
          <w:p>
            <w:pPr>
              <w:spacing w:after="0"/>
              <w:rPr>
                <w:sz w:val="1"/>
                <w:szCs w:val="1"/>
                <w:color w:val="auto"/>
              </w:rPr>
            </w:pPr>
          </w:p>
        </w:tc>
      </w:tr>
      <w:tr>
        <w:trPr>
          <w:trHeight w:val="260"/>
        </w:trPr>
        <w:tc>
          <w:tcPr>
            <w:tcW w:w="3740" w:type="dxa"/>
            <w:vAlign w:val="bottom"/>
          </w:tcPr>
          <w:p>
            <w:pPr>
              <w:spacing w:after="0"/>
              <w:rPr>
                <w:sz w:val="22"/>
                <w:szCs w:val="22"/>
                <w:color w:val="auto"/>
              </w:rPr>
            </w:pPr>
          </w:p>
        </w:tc>
        <w:tc>
          <w:tcPr>
            <w:tcW w:w="3780" w:type="dxa"/>
            <w:vAlign w:val="bottom"/>
          </w:tcPr>
          <w:p>
            <w:pPr>
              <w:ind w:left="160"/>
              <w:spacing w:after="0"/>
              <w:rPr>
                <w:sz w:val="20"/>
                <w:szCs w:val="20"/>
                <w:color w:val="auto"/>
              </w:rPr>
            </w:pPr>
            <w:r>
              <w:rPr>
                <w:rFonts w:ascii="Arial" w:cs="Arial" w:eastAsia="Arial" w:hAnsi="Arial"/>
                <w:sz w:val="17"/>
                <w:szCs w:val="17"/>
                <w:color w:val="auto"/>
              </w:rPr>
              <w:t>Election of Sean L. Cunningham, Robert B.</w:t>
            </w:r>
          </w:p>
        </w:tc>
        <w:tc>
          <w:tcPr>
            <w:tcW w:w="3020" w:type="dxa"/>
            <w:vAlign w:val="bottom"/>
            <w:vMerge w:val="restart"/>
          </w:tcPr>
          <w:p>
            <w:pPr>
              <w:jc w:val="center"/>
              <w:spacing w:after="0"/>
              <w:rPr>
                <w:sz w:val="20"/>
                <w:szCs w:val="20"/>
                <w:color w:val="auto"/>
              </w:rPr>
            </w:pPr>
            <w:r>
              <w:rPr>
                <w:rFonts w:ascii="Arial" w:cs="Arial" w:eastAsia="Arial" w:hAnsi="Arial"/>
                <w:sz w:val="24"/>
                <w:szCs w:val="24"/>
                <w:b w:val="1"/>
                <w:bCs w:val="1"/>
                <w:color w:val="00467D"/>
                <w:w w:val="98"/>
              </w:rPr>
              <w:t>FOR</w:t>
            </w:r>
          </w:p>
        </w:tc>
        <w:tc>
          <w:tcPr>
            <w:tcW w:w="0" w:type="dxa"/>
            <w:vAlign w:val="bottom"/>
          </w:tcPr>
          <w:p>
            <w:pPr>
              <w:spacing w:after="0"/>
              <w:rPr>
                <w:sz w:val="1"/>
                <w:szCs w:val="1"/>
                <w:color w:val="auto"/>
              </w:rPr>
            </w:pPr>
          </w:p>
        </w:tc>
      </w:tr>
      <w:tr>
        <w:trPr>
          <w:trHeight w:val="198"/>
        </w:trPr>
        <w:tc>
          <w:tcPr>
            <w:tcW w:w="3740" w:type="dxa"/>
            <w:vAlign w:val="bottom"/>
          </w:tcPr>
          <w:p>
            <w:pPr>
              <w:ind w:left="100"/>
              <w:spacing w:after="0"/>
              <w:rPr>
                <w:sz w:val="20"/>
                <w:szCs w:val="20"/>
                <w:color w:val="auto"/>
              </w:rPr>
            </w:pPr>
            <w:r>
              <w:rPr>
                <w:rFonts w:ascii="Arial" w:cs="Arial" w:eastAsia="Arial" w:hAnsi="Arial"/>
                <w:sz w:val="17"/>
                <w:szCs w:val="17"/>
                <w:b w:val="1"/>
                <w:bCs w:val="1"/>
                <w:color w:val="00467D"/>
              </w:rPr>
              <w:t>1.</w:t>
            </w:r>
            <w:r>
              <w:rPr>
                <w:rFonts w:ascii="Arial" w:cs="Arial" w:eastAsia="Arial" w:hAnsi="Arial"/>
                <w:sz w:val="17"/>
                <w:szCs w:val="17"/>
                <w:color w:val="000000"/>
              </w:rPr>
              <w:t xml:space="preserve">   Election of directors</w:t>
            </w:r>
          </w:p>
        </w:tc>
        <w:tc>
          <w:tcPr>
            <w:tcW w:w="3780" w:type="dxa"/>
            <w:vAlign w:val="bottom"/>
          </w:tcPr>
          <w:p>
            <w:pPr>
              <w:ind w:left="160"/>
              <w:spacing w:after="0"/>
              <w:rPr>
                <w:sz w:val="20"/>
                <w:szCs w:val="20"/>
                <w:color w:val="auto"/>
              </w:rPr>
            </w:pPr>
            <w:r>
              <w:rPr>
                <w:rFonts w:ascii="Arial" w:cs="Arial" w:eastAsia="Arial" w:hAnsi="Arial"/>
                <w:sz w:val="17"/>
                <w:szCs w:val="17"/>
                <w:color w:val="auto"/>
              </w:rPr>
              <w:t>Knauss, and Vincent K. Petrella as Class III</w:t>
            </w:r>
          </w:p>
        </w:tc>
        <w:tc>
          <w:tcPr>
            <w:tcW w:w="30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3740" w:type="dxa"/>
            <w:vAlign w:val="bottom"/>
          </w:tcPr>
          <w:p>
            <w:pPr>
              <w:spacing w:after="0"/>
              <w:rPr>
                <w:sz w:val="19"/>
                <w:szCs w:val="19"/>
                <w:color w:val="auto"/>
              </w:rPr>
            </w:pPr>
          </w:p>
        </w:tc>
        <w:tc>
          <w:tcPr>
            <w:tcW w:w="3780" w:type="dxa"/>
            <w:vAlign w:val="bottom"/>
          </w:tcPr>
          <w:p>
            <w:pPr>
              <w:ind w:left="160"/>
              <w:spacing w:after="0"/>
              <w:rPr>
                <w:sz w:val="20"/>
                <w:szCs w:val="20"/>
                <w:color w:val="auto"/>
              </w:rPr>
            </w:pPr>
            <w:r>
              <w:rPr>
                <w:rFonts w:ascii="Arial" w:cs="Arial" w:eastAsia="Arial" w:hAnsi="Arial"/>
                <w:sz w:val="17"/>
                <w:szCs w:val="17"/>
                <w:color w:val="auto"/>
              </w:rPr>
              <w:t>directors to serve a three-year term</w:t>
            </w:r>
          </w:p>
        </w:tc>
        <w:tc>
          <w:tcPr>
            <w:tcW w:w="3020" w:type="dxa"/>
            <w:vAlign w:val="bottom"/>
          </w:tcPr>
          <w:p>
            <w:pPr>
              <w:jc w:val="center"/>
              <w:spacing w:after="0"/>
              <w:rPr>
                <w:sz w:val="20"/>
                <w:szCs w:val="20"/>
                <w:color w:val="auto"/>
              </w:rPr>
            </w:pPr>
            <w:r>
              <w:rPr>
                <w:rFonts w:ascii="Arial" w:cs="Arial" w:eastAsia="Arial" w:hAnsi="Arial"/>
                <w:sz w:val="17"/>
                <w:szCs w:val="17"/>
                <w:color w:val="auto"/>
              </w:rPr>
              <w:t>these nominees</w:t>
            </w:r>
          </w:p>
        </w:tc>
        <w:tc>
          <w:tcPr>
            <w:tcW w:w="0" w:type="dxa"/>
            <w:vAlign w:val="bottom"/>
          </w:tcPr>
          <w:p>
            <w:pPr>
              <w:spacing w:after="0"/>
              <w:rPr>
                <w:sz w:val="1"/>
                <w:szCs w:val="1"/>
                <w:color w:val="auto"/>
              </w:rPr>
            </w:pPr>
          </w:p>
        </w:tc>
      </w:tr>
      <w:tr>
        <w:trPr>
          <w:trHeight w:val="32"/>
        </w:trPr>
        <w:tc>
          <w:tcPr>
            <w:tcW w:w="3740" w:type="dxa"/>
            <w:vAlign w:val="bottom"/>
            <w:tcBorders>
              <w:bottom w:val="single" w:sz="8" w:color="99B5CB"/>
            </w:tcBorders>
          </w:tcPr>
          <w:p>
            <w:pPr>
              <w:spacing w:after="0"/>
              <w:rPr>
                <w:sz w:val="2"/>
                <w:szCs w:val="2"/>
                <w:color w:val="auto"/>
              </w:rPr>
            </w:pPr>
          </w:p>
        </w:tc>
        <w:tc>
          <w:tcPr>
            <w:tcW w:w="3780" w:type="dxa"/>
            <w:vAlign w:val="bottom"/>
            <w:tcBorders>
              <w:bottom w:val="single" w:sz="8" w:color="99B5CB"/>
            </w:tcBorders>
          </w:tcPr>
          <w:p>
            <w:pPr>
              <w:spacing w:after="0"/>
              <w:rPr>
                <w:sz w:val="2"/>
                <w:szCs w:val="2"/>
                <w:color w:val="auto"/>
              </w:rPr>
            </w:pPr>
          </w:p>
        </w:tc>
        <w:tc>
          <w:tcPr>
            <w:tcW w:w="3020" w:type="dxa"/>
            <w:vAlign w:val="bottom"/>
            <w:tcBorders>
              <w:bottom w:val="single" w:sz="8" w:color="99B5CB"/>
            </w:tcBorders>
          </w:tcPr>
          <w:p>
            <w:pPr>
              <w:spacing w:after="0"/>
              <w:rPr>
                <w:sz w:val="2"/>
                <w:szCs w:val="2"/>
                <w:color w:val="auto"/>
              </w:rPr>
            </w:pPr>
          </w:p>
        </w:tc>
        <w:tc>
          <w:tcPr>
            <w:tcW w:w="0" w:type="dxa"/>
            <w:vAlign w:val="bottom"/>
          </w:tcPr>
          <w:p>
            <w:pPr>
              <w:spacing w:after="0"/>
              <w:rPr>
                <w:sz w:val="1"/>
                <w:szCs w:val="1"/>
                <w:color w:val="auto"/>
              </w:rPr>
            </w:pPr>
          </w:p>
        </w:tc>
      </w:tr>
      <w:tr>
        <w:trPr>
          <w:trHeight w:val="303"/>
        </w:trPr>
        <w:tc>
          <w:tcPr>
            <w:tcW w:w="3740" w:type="dxa"/>
            <w:vAlign w:val="bottom"/>
          </w:tcPr>
          <w:p>
            <w:pPr>
              <w:ind w:left="100"/>
              <w:spacing w:after="0"/>
              <w:rPr>
                <w:sz w:val="20"/>
                <w:szCs w:val="20"/>
                <w:color w:val="auto"/>
              </w:rPr>
            </w:pPr>
            <w:r>
              <w:rPr>
                <w:rFonts w:ascii="Arial" w:cs="Arial" w:eastAsia="Arial" w:hAnsi="Arial"/>
                <w:sz w:val="17"/>
                <w:szCs w:val="17"/>
                <w:b w:val="1"/>
                <w:bCs w:val="1"/>
                <w:color w:val="00467D"/>
              </w:rPr>
              <w:t>2.</w:t>
            </w:r>
            <w:r>
              <w:rPr>
                <w:rFonts w:ascii="Arial" w:cs="Arial" w:eastAsia="Arial" w:hAnsi="Arial"/>
                <w:sz w:val="17"/>
                <w:szCs w:val="17"/>
                <w:color w:val="000000"/>
              </w:rPr>
              <w:t xml:space="preserve">   Vote to approve, on an advisory basis,</w:t>
            </w:r>
          </w:p>
        </w:tc>
        <w:tc>
          <w:tcPr>
            <w:tcW w:w="3780" w:type="dxa"/>
            <w:vAlign w:val="bottom"/>
          </w:tcPr>
          <w:p>
            <w:pPr>
              <w:ind w:left="160"/>
              <w:spacing w:after="0"/>
              <w:rPr>
                <w:sz w:val="20"/>
                <w:szCs w:val="20"/>
                <w:color w:val="auto"/>
              </w:rPr>
            </w:pPr>
            <w:r>
              <w:rPr>
                <w:rFonts w:ascii="Arial" w:cs="Arial" w:eastAsia="Arial" w:hAnsi="Arial"/>
                <w:sz w:val="17"/>
                <w:szCs w:val="17"/>
                <w:color w:val="auto"/>
              </w:rPr>
              <w:t>Advisory vote to approve our named</w:t>
            </w:r>
          </w:p>
        </w:tc>
        <w:tc>
          <w:tcPr>
            <w:tcW w:w="3020" w:type="dxa"/>
            <w:vAlign w:val="bottom"/>
            <w:vMerge w:val="restart"/>
          </w:tcPr>
          <w:p>
            <w:pPr>
              <w:jc w:val="center"/>
              <w:spacing w:after="0"/>
              <w:rPr>
                <w:sz w:val="20"/>
                <w:szCs w:val="20"/>
                <w:color w:val="auto"/>
              </w:rPr>
            </w:pPr>
            <w:r>
              <w:rPr>
                <w:rFonts w:ascii="Arial" w:cs="Arial" w:eastAsia="Arial" w:hAnsi="Arial"/>
                <w:sz w:val="24"/>
                <w:szCs w:val="24"/>
                <w:b w:val="1"/>
                <w:bCs w:val="1"/>
                <w:color w:val="00467D"/>
                <w:w w:val="98"/>
              </w:rPr>
              <w:t>FOR</w:t>
            </w:r>
          </w:p>
        </w:tc>
        <w:tc>
          <w:tcPr>
            <w:tcW w:w="0" w:type="dxa"/>
            <w:vAlign w:val="bottom"/>
          </w:tcPr>
          <w:p>
            <w:pPr>
              <w:spacing w:after="0"/>
              <w:rPr>
                <w:sz w:val="1"/>
                <w:szCs w:val="1"/>
                <w:color w:val="auto"/>
              </w:rPr>
            </w:pPr>
          </w:p>
        </w:tc>
      </w:tr>
      <w:tr>
        <w:trPr>
          <w:trHeight w:val="194"/>
        </w:trPr>
        <w:tc>
          <w:tcPr>
            <w:tcW w:w="3740" w:type="dxa"/>
            <w:vAlign w:val="bottom"/>
          </w:tcPr>
          <w:p>
            <w:pPr>
              <w:ind w:left="340"/>
              <w:spacing w:after="0" w:line="194" w:lineRule="exact"/>
              <w:rPr>
                <w:sz w:val="20"/>
                <w:szCs w:val="20"/>
                <w:color w:val="auto"/>
              </w:rPr>
            </w:pPr>
            <w:r>
              <w:rPr>
                <w:rFonts w:ascii="Arial" w:cs="Arial" w:eastAsia="Arial" w:hAnsi="Arial"/>
                <w:sz w:val="17"/>
                <w:szCs w:val="17"/>
                <w:color w:val="auto"/>
              </w:rPr>
              <w:t>named executive officer compensation</w:t>
            </w:r>
          </w:p>
        </w:tc>
        <w:tc>
          <w:tcPr>
            <w:tcW w:w="3780" w:type="dxa"/>
            <w:vAlign w:val="bottom"/>
          </w:tcPr>
          <w:p>
            <w:pPr>
              <w:ind w:left="160"/>
              <w:spacing w:after="0" w:line="194" w:lineRule="exact"/>
              <w:rPr>
                <w:sz w:val="20"/>
                <w:szCs w:val="20"/>
                <w:color w:val="auto"/>
              </w:rPr>
            </w:pPr>
            <w:r>
              <w:rPr>
                <w:rFonts w:ascii="Arial" w:cs="Arial" w:eastAsia="Arial" w:hAnsi="Arial"/>
                <w:sz w:val="17"/>
                <w:szCs w:val="17"/>
                <w:color w:val="auto"/>
              </w:rPr>
              <w:t>executive officers’ compensation</w:t>
            </w:r>
          </w:p>
        </w:tc>
        <w:tc>
          <w:tcPr>
            <w:tcW w:w="3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3740" w:type="dxa"/>
            <w:vAlign w:val="bottom"/>
            <w:tcBorders>
              <w:bottom w:val="single" w:sz="8" w:color="99B5CB"/>
            </w:tcBorders>
          </w:tcPr>
          <w:p>
            <w:pPr>
              <w:ind w:left="340"/>
              <w:spacing w:after="0" w:line="168" w:lineRule="exact"/>
              <w:rPr>
                <w:sz w:val="20"/>
                <w:szCs w:val="20"/>
                <w:color w:val="auto"/>
              </w:rPr>
            </w:pPr>
            <w:r>
              <w:rPr>
                <w:rFonts w:ascii="Arial" w:cs="Arial" w:eastAsia="Arial" w:hAnsi="Arial"/>
                <w:sz w:val="17"/>
                <w:szCs w:val="17"/>
                <w:color w:val="auto"/>
              </w:rPr>
              <w:t>(Say-on-Pay)</w:t>
            </w:r>
          </w:p>
        </w:tc>
        <w:tc>
          <w:tcPr>
            <w:tcW w:w="3780" w:type="dxa"/>
            <w:vAlign w:val="bottom"/>
            <w:tcBorders>
              <w:bottom w:val="single" w:sz="8" w:color="99B5CB"/>
            </w:tcBorders>
          </w:tcPr>
          <w:p>
            <w:pPr>
              <w:spacing w:after="0"/>
              <w:rPr>
                <w:sz w:val="14"/>
                <w:szCs w:val="14"/>
                <w:color w:val="auto"/>
              </w:rPr>
            </w:pPr>
          </w:p>
        </w:tc>
        <w:tc>
          <w:tcPr>
            <w:tcW w:w="3020" w:type="dxa"/>
            <w:vAlign w:val="bottom"/>
            <w:tcBorders>
              <w:bottom w:val="single" w:sz="8" w:color="99B5CB"/>
            </w:tcBorders>
          </w:tcPr>
          <w:p>
            <w:pPr>
              <w:spacing w:after="0"/>
              <w:rPr>
                <w:sz w:val="14"/>
                <w:szCs w:val="14"/>
                <w:color w:val="auto"/>
              </w:rPr>
            </w:pPr>
          </w:p>
        </w:tc>
        <w:tc>
          <w:tcPr>
            <w:tcW w:w="0" w:type="dxa"/>
            <w:vAlign w:val="bottom"/>
          </w:tcPr>
          <w:p>
            <w:pPr>
              <w:spacing w:after="0"/>
              <w:rPr>
                <w:sz w:val="1"/>
                <w:szCs w:val="1"/>
                <w:color w:val="auto"/>
              </w:rPr>
            </w:pPr>
          </w:p>
        </w:tc>
      </w:tr>
      <w:tr>
        <w:trPr>
          <w:trHeight w:val="260"/>
        </w:trPr>
        <w:tc>
          <w:tcPr>
            <w:tcW w:w="3740" w:type="dxa"/>
            <w:vAlign w:val="bottom"/>
            <w:vMerge w:val="restart"/>
          </w:tcPr>
          <w:p>
            <w:pPr>
              <w:ind w:left="100"/>
              <w:spacing w:after="0"/>
              <w:rPr>
                <w:sz w:val="20"/>
                <w:szCs w:val="20"/>
                <w:color w:val="auto"/>
              </w:rPr>
            </w:pPr>
            <w:r>
              <w:rPr>
                <w:rFonts w:ascii="Arial" w:cs="Arial" w:eastAsia="Arial" w:hAnsi="Arial"/>
                <w:sz w:val="17"/>
                <w:szCs w:val="17"/>
                <w:b w:val="1"/>
                <w:bCs w:val="1"/>
                <w:color w:val="00467D"/>
              </w:rPr>
              <w:t>3.</w:t>
            </w:r>
            <w:r>
              <w:rPr>
                <w:rFonts w:ascii="Arial" w:cs="Arial" w:eastAsia="Arial" w:hAnsi="Arial"/>
                <w:sz w:val="17"/>
                <w:szCs w:val="17"/>
                <w:color w:val="000000"/>
              </w:rPr>
              <w:t xml:space="preserve">   Ratification of appointment of independent</w:t>
            </w:r>
          </w:p>
        </w:tc>
        <w:tc>
          <w:tcPr>
            <w:tcW w:w="3780" w:type="dxa"/>
            <w:vAlign w:val="bottom"/>
          </w:tcPr>
          <w:p>
            <w:pPr>
              <w:ind w:left="160"/>
              <w:spacing w:after="0"/>
              <w:rPr>
                <w:sz w:val="20"/>
                <w:szCs w:val="20"/>
                <w:color w:val="auto"/>
              </w:rPr>
            </w:pPr>
            <w:r>
              <w:rPr>
                <w:rFonts w:ascii="Arial" w:cs="Arial" w:eastAsia="Arial" w:hAnsi="Arial"/>
                <w:sz w:val="17"/>
                <w:szCs w:val="17"/>
                <w:color w:val="auto"/>
              </w:rPr>
              <w:t>Ratification of the appointment of Ernst &amp;</w:t>
            </w:r>
          </w:p>
        </w:tc>
        <w:tc>
          <w:tcPr>
            <w:tcW w:w="3020" w:type="dxa"/>
            <w:vAlign w:val="bottom"/>
            <w:vMerge w:val="restart"/>
          </w:tcPr>
          <w:p>
            <w:pPr>
              <w:jc w:val="center"/>
              <w:spacing w:after="0"/>
              <w:rPr>
                <w:sz w:val="20"/>
                <w:szCs w:val="20"/>
                <w:color w:val="auto"/>
              </w:rPr>
            </w:pPr>
            <w:r>
              <w:rPr>
                <w:rFonts w:ascii="Arial" w:cs="Arial" w:eastAsia="Arial" w:hAnsi="Arial"/>
                <w:sz w:val="24"/>
                <w:szCs w:val="24"/>
                <w:b w:val="1"/>
                <w:bCs w:val="1"/>
                <w:color w:val="00467D"/>
                <w:w w:val="98"/>
              </w:rPr>
              <w:t>FOR</w:t>
            </w:r>
          </w:p>
        </w:tc>
        <w:tc>
          <w:tcPr>
            <w:tcW w:w="0" w:type="dxa"/>
            <w:vAlign w:val="bottom"/>
          </w:tcPr>
          <w:p>
            <w:pPr>
              <w:spacing w:after="0"/>
              <w:rPr>
                <w:sz w:val="1"/>
                <w:szCs w:val="1"/>
                <w:color w:val="auto"/>
              </w:rPr>
            </w:pPr>
          </w:p>
        </w:tc>
      </w:tr>
      <w:tr>
        <w:trPr>
          <w:trHeight w:val="116"/>
        </w:trPr>
        <w:tc>
          <w:tcPr>
            <w:tcW w:w="3740" w:type="dxa"/>
            <w:vAlign w:val="bottom"/>
            <w:vMerge w:val="continue"/>
          </w:tcPr>
          <w:p>
            <w:pPr>
              <w:spacing w:after="0"/>
              <w:rPr>
                <w:sz w:val="10"/>
                <w:szCs w:val="10"/>
                <w:color w:val="auto"/>
              </w:rPr>
            </w:pPr>
          </w:p>
        </w:tc>
        <w:tc>
          <w:tcPr>
            <w:tcW w:w="3780" w:type="dxa"/>
            <w:vAlign w:val="bottom"/>
            <w:vMerge w:val="restart"/>
          </w:tcPr>
          <w:p>
            <w:pPr>
              <w:ind w:left="160"/>
              <w:spacing w:after="0" w:line="194" w:lineRule="exact"/>
              <w:rPr>
                <w:sz w:val="20"/>
                <w:szCs w:val="20"/>
                <w:color w:val="auto"/>
              </w:rPr>
            </w:pPr>
            <w:r>
              <w:rPr>
                <w:rFonts w:ascii="Arial" w:cs="Arial" w:eastAsia="Arial" w:hAnsi="Arial"/>
                <w:sz w:val="17"/>
                <w:szCs w:val="17"/>
                <w:color w:val="auto"/>
              </w:rPr>
              <w:t>Young LLP as our independent auditors for</w:t>
            </w:r>
          </w:p>
        </w:tc>
        <w:tc>
          <w:tcPr>
            <w:tcW w:w="3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7"/>
        </w:trPr>
        <w:tc>
          <w:tcPr>
            <w:tcW w:w="3740" w:type="dxa"/>
            <w:vAlign w:val="bottom"/>
            <w:vMerge w:val="restart"/>
          </w:tcPr>
          <w:p>
            <w:pPr>
              <w:ind w:left="340"/>
              <w:spacing w:after="0"/>
              <w:rPr>
                <w:sz w:val="20"/>
                <w:szCs w:val="20"/>
                <w:color w:val="auto"/>
              </w:rPr>
            </w:pPr>
            <w:r>
              <w:rPr>
                <w:rFonts w:ascii="Arial" w:cs="Arial" w:eastAsia="Arial" w:hAnsi="Arial"/>
                <w:sz w:val="17"/>
                <w:szCs w:val="17"/>
                <w:color w:val="auto"/>
              </w:rPr>
              <w:t>auditors</w:t>
            </w:r>
          </w:p>
        </w:tc>
        <w:tc>
          <w:tcPr>
            <w:tcW w:w="3780" w:type="dxa"/>
            <w:vAlign w:val="bottom"/>
            <w:vMerge w:val="continue"/>
          </w:tcPr>
          <w:p>
            <w:pPr>
              <w:spacing w:after="0"/>
              <w:rPr>
                <w:sz w:val="6"/>
                <w:szCs w:val="6"/>
                <w:color w:val="auto"/>
              </w:rPr>
            </w:pPr>
          </w:p>
        </w:tc>
        <w:tc>
          <w:tcPr>
            <w:tcW w:w="30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3740" w:type="dxa"/>
            <w:vAlign w:val="bottom"/>
            <w:vMerge w:val="continue"/>
          </w:tcPr>
          <w:p>
            <w:pPr>
              <w:spacing w:after="0"/>
              <w:rPr>
                <w:sz w:val="12"/>
                <w:szCs w:val="12"/>
                <w:color w:val="auto"/>
              </w:rPr>
            </w:pPr>
          </w:p>
        </w:tc>
        <w:tc>
          <w:tcPr>
            <w:tcW w:w="3780" w:type="dxa"/>
            <w:vAlign w:val="bottom"/>
            <w:vMerge w:val="restart"/>
          </w:tcPr>
          <w:p>
            <w:pPr>
              <w:ind w:left="160"/>
              <w:spacing w:after="0"/>
              <w:rPr>
                <w:sz w:val="20"/>
                <w:szCs w:val="20"/>
                <w:color w:val="auto"/>
              </w:rPr>
            </w:pPr>
            <w:r>
              <w:rPr>
                <w:rFonts w:ascii="Arial" w:cs="Arial" w:eastAsia="Arial" w:hAnsi="Arial"/>
                <w:sz w:val="17"/>
                <w:szCs w:val="17"/>
                <w:color w:val="auto"/>
              </w:rPr>
              <w:t>2023</w:t>
            </w:r>
          </w:p>
        </w:tc>
        <w:tc>
          <w:tcPr>
            <w:tcW w:w="3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77"/>
        </w:trPr>
        <w:tc>
          <w:tcPr>
            <w:tcW w:w="3740" w:type="dxa"/>
            <w:vAlign w:val="bottom"/>
          </w:tcPr>
          <w:p>
            <w:pPr>
              <w:spacing w:after="0"/>
              <w:rPr>
                <w:sz w:val="6"/>
                <w:szCs w:val="6"/>
                <w:color w:val="auto"/>
              </w:rPr>
            </w:pPr>
          </w:p>
        </w:tc>
        <w:tc>
          <w:tcPr>
            <w:tcW w:w="3780" w:type="dxa"/>
            <w:vAlign w:val="bottom"/>
            <w:vMerge w:val="continue"/>
          </w:tcPr>
          <w:p>
            <w:pPr>
              <w:spacing w:after="0"/>
              <w:rPr>
                <w:sz w:val="6"/>
                <w:szCs w:val="6"/>
                <w:color w:val="auto"/>
              </w:rPr>
            </w:pPr>
          </w:p>
        </w:tc>
        <w:tc>
          <w:tcPr>
            <w:tcW w:w="30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3740" w:type="dxa"/>
            <w:vAlign w:val="bottom"/>
            <w:tcBorders>
              <w:bottom w:val="single" w:sz="8" w:color="00467D"/>
            </w:tcBorders>
          </w:tcPr>
          <w:p>
            <w:pPr>
              <w:spacing w:after="0"/>
              <w:rPr>
                <w:sz w:val="3"/>
                <w:szCs w:val="3"/>
                <w:color w:val="auto"/>
              </w:rPr>
            </w:pPr>
          </w:p>
        </w:tc>
        <w:tc>
          <w:tcPr>
            <w:tcW w:w="3780" w:type="dxa"/>
            <w:vAlign w:val="bottom"/>
            <w:tcBorders>
              <w:bottom w:val="single" w:sz="8" w:color="00467D"/>
            </w:tcBorders>
          </w:tcPr>
          <w:p>
            <w:pPr>
              <w:spacing w:after="0"/>
              <w:rPr>
                <w:sz w:val="3"/>
                <w:szCs w:val="3"/>
                <w:color w:val="auto"/>
              </w:rPr>
            </w:pPr>
          </w:p>
        </w:tc>
        <w:tc>
          <w:tcPr>
            <w:tcW w:w="3020" w:type="dxa"/>
            <w:vAlign w:val="bottom"/>
            <w:tcBorders>
              <w:bottom w:val="single" w:sz="8" w:color="00467D"/>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151" w:lineRule="exact"/>
        <w:rPr>
          <w:sz w:val="20"/>
          <w:szCs w:val="20"/>
          <w:color w:val="auto"/>
        </w:rPr>
      </w:pPr>
    </w:p>
    <w:p>
      <w:pPr>
        <w:ind w:left="780" w:right="240"/>
        <w:spacing w:after="0" w:line="274" w:lineRule="auto"/>
        <w:rPr>
          <w:sz w:val="20"/>
          <w:szCs w:val="20"/>
          <w:color w:val="auto"/>
        </w:rPr>
      </w:pPr>
      <w:r>
        <w:rPr>
          <w:rFonts w:ascii="Arial" w:cs="Arial" w:eastAsia="Arial" w:hAnsi="Arial"/>
          <w:sz w:val="17"/>
          <w:szCs w:val="17"/>
          <w:color w:val="auto"/>
        </w:rPr>
        <w:t>At the time this Proxy Statement was mailed, we were not aware of any other matters to be presented at the Annual Meeting other than those set forth in this Proxy Statement and in the notice accompanying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231775</wp:posOffset>
            </wp:positionH>
            <wp:positionV relativeFrom="paragraph">
              <wp:posOffset>79375</wp:posOffset>
            </wp:positionV>
            <wp:extent cx="6687820" cy="1651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6687820" cy="16510"/>
                    </a:xfrm>
                    <a:prstGeom prst="rect">
                      <a:avLst/>
                    </a:prstGeom>
                    <a:noFill/>
                  </pic:spPr>
                </pic:pic>
              </a:graphicData>
            </a:graphic>
          </wp:anchor>
        </w:drawing>
      </w:r>
    </w:p>
    <w:p>
      <w:pPr>
        <w:spacing w:after="0" w:line="295" w:lineRule="exact"/>
        <w:rPr>
          <w:sz w:val="20"/>
          <w:szCs w:val="20"/>
          <w:color w:val="auto"/>
        </w:rPr>
      </w:pPr>
    </w:p>
    <w:tbl>
      <w:tblPr>
        <w:tblLayout w:type="fixed"/>
        <w:tblInd w:w="360" w:type="dxa"/>
        <w:tblCellMar>
          <w:top w:w="0" w:type="dxa"/>
          <w:left w:w="0" w:type="dxa"/>
          <w:bottom w:w="0" w:type="dxa"/>
          <w:right w:w="0" w:type="dxa"/>
        </w:tblCellMar>
      </w:tblPr>
      <w:tr>
        <w:trPr>
          <w:trHeight w:val="226"/>
        </w:trPr>
        <w:tc>
          <w:tcPr>
            <w:tcW w:w="3900" w:type="dxa"/>
            <w:vAlign w:val="bottom"/>
          </w:tcPr>
          <w:p>
            <w:pPr>
              <w:spacing w:after="0"/>
              <w:rPr>
                <w:sz w:val="20"/>
                <w:szCs w:val="20"/>
                <w:color w:val="auto"/>
              </w:rPr>
            </w:pPr>
            <w:r>
              <w:rPr>
                <w:rFonts w:ascii="Arial" w:cs="Arial" w:eastAsia="Arial" w:hAnsi="Arial"/>
                <w:sz w:val="17"/>
                <w:szCs w:val="17"/>
                <w:color w:val="auto"/>
              </w:rPr>
              <w:t>2023 Notice and Proxy Statement</w:t>
            </w:r>
          </w:p>
        </w:tc>
        <w:tc>
          <w:tcPr>
            <w:tcW w:w="1520" w:type="dxa"/>
            <w:vAlign w:val="bottom"/>
          </w:tcPr>
          <w:p>
            <w:pPr>
              <w:jc w:val="right"/>
              <w:spacing w:after="0"/>
              <w:rPr>
                <w:sz w:val="20"/>
                <w:szCs w:val="20"/>
                <w:color w:val="auto"/>
              </w:rPr>
            </w:pPr>
            <w:r>
              <w:rPr>
                <w:rFonts w:ascii="Arial" w:cs="Arial" w:eastAsia="Arial" w:hAnsi="Arial"/>
                <w:sz w:val="17"/>
                <w:szCs w:val="17"/>
                <w:color w:val="auto"/>
              </w:rPr>
              <w:t>78</w:t>
            </w:r>
          </w:p>
        </w:tc>
      </w:tr>
    </w:tbl>
    <w:p>
      <w:pPr>
        <w:sectPr>
          <w:pgSz w:w="11900" w:h="16838" w:orient="portrait"/>
          <w:cols w:equalWidth="0" w:num="1">
            <w:col w:w="10900"/>
          </w:cols>
          <w:pgMar w:left="320" w:top="468" w:right="67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5334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79945" cy="53340"/>
                    </a:xfrm>
                    <a:prstGeom prst="rect">
                      <a:avLst/>
                    </a:prstGeom>
                    <a:noFill/>
                  </pic:spPr>
                </pic:pic>
              </a:graphicData>
            </a:graphic>
          </wp:anchor>
        </w:drawing>
        <w:t>Table of Contents</w:t>
      </w:r>
    </w:p>
    <w:p>
      <w:pPr>
        <w:spacing w:after="0" w:line="296" w:lineRule="exact"/>
        <w:rPr>
          <w:sz w:val="20"/>
          <w:szCs w:val="20"/>
          <w:color w:val="auto"/>
        </w:rPr>
      </w:pPr>
    </w:p>
    <w:p>
      <w:pPr>
        <w:ind w:left="2860"/>
        <w:spacing w:after="0"/>
        <w:rPr>
          <w:sz w:val="20"/>
          <w:szCs w:val="20"/>
          <w:color w:val="auto"/>
        </w:rPr>
      </w:pPr>
      <w:r>
        <w:rPr>
          <w:rFonts w:ascii="Arial" w:cs="Arial" w:eastAsia="Arial" w:hAnsi="Arial"/>
          <w:sz w:val="17"/>
          <w:szCs w:val="17"/>
          <w:b w:val="1"/>
          <w:bCs w:val="1"/>
          <w:color w:val="auto"/>
        </w:rPr>
        <w:t>Questions and Answers About the Proxy Statement and Our 2023 Annual Meeting of Shareholders</w:t>
      </w:r>
    </w:p>
    <w:p>
      <w:pPr>
        <w:spacing w:after="0" w:line="129" w:lineRule="exact"/>
        <w:rPr>
          <w:sz w:val="20"/>
          <w:szCs w:val="20"/>
          <w:color w:val="auto"/>
        </w:rPr>
      </w:pPr>
    </w:p>
    <w:p>
      <w:pPr>
        <w:ind w:left="360"/>
        <w:spacing w:after="0"/>
        <w:rPr>
          <w:sz w:val="20"/>
          <w:szCs w:val="20"/>
          <w:color w:val="auto"/>
        </w:rPr>
      </w:pPr>
      <w:r>
        <w:rPr>
          <w:rFonts w:ascii="Arial" w:cs="Arial" w:eastAsia="Arial" w:hAnsi="Arial"/>
          <w:sz w:val="28"/>
          <w:szCs w:val="28"/>
          <w:color w:val="auto"/>
        </w:rPr>
        <w:t>Q: What is the record date? How many shares are entitled to vote?</w:t>
      </w:r>
    </w:p>
    <w:p>
      <w:pPr>
        <w:spacing w:after="0" w:line="246" w:lineRule="exact"/>
        <w:rPr>
          <w:sz w:val="20"/>
          <w:szCs w:val="20"/>
          <w:color w:val="auto"/>
        </w:rPr>
      </w:pPr>
    </w:p>
    <w:p>
      <w:pPr>
        <w:ind w:left="780" w:right="40" w:hanging="422"/>
        <w:spacing w:after="0" w:line="250" w:lineRule="auto"/>
        <w:tabs>
          <w:tab w:leader="none" w:pos="780" w:val="left"/>
        </w:tabs>
        <w:numPr>
          <w:ilvl w:val="0"/>
          <w:numId w:val="57"/>
        </w:numPr>
        <w:rPr>
          <w:rFonts w:ascii="Arial" w:cs="Arial" w:eastAsia="Arial" w:hAnsi="Arial"/>
          <w:sz w:val="17"/>
          <w:szCs w:val="17"/>
          <w:b w:val="1"/>
          <w:bCs w:val="1"/>
          <w:color w:val="00B0DB"/>
        </w:rPr>
      </w:pPr>
      <w:r>
        <w:rPr>
          <w:rFonts w:ascii="Arial" w:cs="Arial" w:eastAsia="Arial" w:hAnsi="Arial"/>
          <w:sz w:val="17"/>
          <w:szCs w:val="17"/>
          <w:color w:val="auto"/>
        </w:rPr>
        <w:t>Shareholders who own Sotera Health common stock at the close of business on March 31, 2023, the record date, are entitled to vote at the Annual Meeting. On the record date, there were 282,516,756 shares of Sotera Health common stock outstanding. Each share of Sotera Health common stock is entitled to one vote for each director nominee and one vote for each of the proposals to be voted on.</w:t>
      </w:r>
    </w:p>
    <w:p>
      <w:pPr>
        <w:spacing w:after="0" w:line="295" w:lineRule="exact"/>
        <w:rPr>
          <w:sz w:val="20"/>
          <w:szCs w:val="20"/>
          <w:color w:val="auto"/>
        </w:rPr>
      </w:pPr>
    </w:p>
    <w:p>
      <w:pPr>
        <w:ind w:left="780" w:right="120" w:hanging="422"/>
        <w:spacing w:after="0" w:line="271" w:lineRule="auto"/>
        <w:tabs>
          <w:tab w:leader="none" w:pos="780" w:val="left"/>
        </w:tabs>
        <w:numPr>
          <w:ilvl w:val="0"/>
          <w:numId w:val="58"/>
        </w:numPr>
        <w:rPr>
          <w:rFonts w:ascii="Arial" w:cs="Arial" w:eastAsia="Arial" w:hAnsi="Arial"/>
          <w:sz w:val="28"/>
          <w:szCs w:val="28"/>
          <w:color w:val="auto"/>
        </w:rPr>
      </w:pPr>
      <w:r>
        <w:rPr>
          <w:rFonts w:ascii="Arial" w:cs="Arial" w:eastAsia="Arial" w:hAnsi="Arial"/>
          <w:sz w:val="28"/>
          <w:szCs w:val="28"/>
          <w:color w:val="auto"/>
        </w:rPr>
        <w:t>What is the difference between holding shares as a stockholder of record and as a beneficial owner?</w:t>
      </w:r>
    </w:p>
    <w:p>
      <w:pPr>
        <w:spacing w:after="0" w:line="164" w:lineRule="exact"/>
        <w:rPr>
          <w:sz w:val="20"/>
          <w:szCs w:val="20"/>
          <w:color w:val="auto"/>
        </w:rPr>
      </w:pPr>
    </w:p>
    <w:p>
      <w:pPr>
        <w:ind w:left="780" w:right="160" w:hanging="422"/>
        <w:spacing w:after="0" w:line="274" w:lineRule="auto"/>
        <w:tabs>
          <w:tab w:leader="none" w:pos="780" w:val="left"/>
        </w:tabs>
        <w:numPr>
          <w:ilvl w:val="0"/>
          <w:numId w:val="59"/>
        </w:numPr>
        <w:rPr>
          <w:rFonts w:ascii="Arial" w:cs="Arial" w:eastAsia="Arial" w:hAnsi="Arial"/>
          <w:sz w:val="17"/>
          <w:szCs w:val="17"/>
          <w:b w:val="1"/>
          <w:bCs w:val="1"/>
          <w:color w:val="00B0DB"/>
        </w:rPr>
      </w:pPr>
      <w:r>
        <w:rPr>
          <w:rFonts w:ascii="Arial" w:cs="Arial" w:eastAsia="Arial" w:hAnsi="Arial"/>
          <w:sz w:val="17"/>
          <w:szCs w:val="17"/>
          <w:color w:val="auto"/>
        </w:rPr>
        <w:t>Most Sotera Health shareholders hold their shares as beneficial owners (through a broker, bank, or other nominee) rather than as a shareholder of record (directly in their own name).</w:t>
      </w:r>
    </w:p>
    <w:p>
      <w:pPr>
        <w:spacing w:after="0" w:line="121" w:lineRule="exact"/>
        <w:rPr>
          <w:rFonts w:ascii="Arial" w:cs="Arial" w:eastAsia="Arial" w:hAnsi="Arial"/>
          <w:sz w:val="17"/>
          <w:szCs w:val="17"/>
          <w:b w:val="1"/>
          <w:bCs w:val="1"/>
          <w:color w:val="00B0DB"/>
        </w:rPr>
      </w:pPr>
    </w:p>
    <w:p>
      <w:pPr>
        <w:ind w:left="780" w:right="20"/>
        <w:spacing w:after="0" w:line="245" w:lineRule="auto"/>
        <w:rPr>
          <w:rFonts w:ascii="Arial" w:cs="Arial" w:eastAsia="Arial" w:hAnsi="Arial"/>
          <w:sz w:val="17"/>
          <w:szCs w:val="17"/>
          <w:b w:val="1"/>
          <w:bCs w:val="1"/>
          <w:color w:val="00B0DB"/>
        </w:rPr>
      </w:pPr>
      <w:r>
        <w:rPr>
          <w:rFonts w:ascii="Arial" w:cs="Arial" w:eastAsia="Arial" w:hAnsi="Arial"/>
          <w:sz w:val="17"/>
          <w:szCs w:val="17"/>
          <w:i w:val="1"/>
          <w:iCs w:val="1"/>
          <w:color w:val="auto"/>
        </w:rPr>
        <w:t>Shareholders of Record</w:t>
      </w:r>
      <w:r>
        <w:rPr>
          <w:rFonts w:ascii="Arial" w:cs="Arial" w:eastAsia="Arial" w:hAnsi="Arial"/>
          <w:sz w:val="17"/>
          <w:szCs w:val="17"/>
          <w:color w:val="auto"/>
        </w:rPr>
        <w:t>. If your shares of Sotera Health common stock are registered directly in your name with Sotera Health’s</w:t>
      </w:r>
      <w:r>
        <w:rPr>
          <w:rFonts w:ascii="Arial" w:cs="Arial" w:eastAsia="Arial" w:hAnsi="Arial"/>
          <w:sz w:val="17"/>
          <w:szCs w:val="17"/>
          <w:i w:val="1"/>
          <w:iCs w:val="1"/>
          <w:color w:val="auto"/>
        </w:rPr>
        <w:t xml:space="preserve"> </w:t>
      </w:r>
      <w:r>
        <w:rPr>
          <w:rFonts w:ascii="Arial" w:cs="Arial" w:eastAsia="Arial" w:hAnsi="Arial"/>
          <w:sz w:val="17"/>
          <w:szCs w:val="17"/>
          <w:color w:val="auto"/>
        </w:rPr>
        <w:t>transfer agent, Computershare, you are considered the shareholder of record with respect to those shares, and these proxy materials are being sent directly to you. As a shareholder of record, you have the right to grant your voting proxy directly to Sotera Health or to vote electronically at the Annual Meeting. If you requested printed proxy materials, we have enclosed an accompanying proxy card for you to use. You may also submit voting instructions via the Internet or by telephone by following the instructions on the accompanying proxy card, as described below under “How can I vote my shares?”</w:t>
      </w:r>
    </w:p>
    <w:p>
      <w:pPr>
        <w:spacing w:after="0" w:line="132" w:lineRule="exact"/>
        <w:rPr>
          <w:rFonts w:ascii="Arial" w:cs="Arial" w:eastAsia="Arial" w:hAnsi="Arial"/>
          <w:sz w:val="17"/>
          <w:szCs w:val="17"/>
          <w:b w:val="1"/>
          <w:bCs w:val="1"/>
          <w:color w:val="00B0DB"/>
        </w:rPr>
      </w:pPr>
    </w:p>
    <w:p>
      <w:pPr>
        <w:ind w:left="780" w:right="40"/>
        <w:spacing w:after="0" w:line="242" w:lineRule="auto"/>
        <w:rPr>
          <w:rFonts w:ascii="Arial" w:cs="Arial" w:eastAsia="Arial" w:hAnsi="Arial"/>
          <w:sz w:val="17"/>
          <w:szCs w:val="17"/>
          <w:b w:val="1"/>
          <w:bCs w:val="1"/>
          <w:color w:val="00B0DB"/>
        </w:rPr>
      </w:pPr>
      <w:r>
        <w:rPr>
          <w:rFonts w:ascii="Arial" w:cs="Arial" w:eastAsia="Arial" w:hAnsi="Arial"/>
          <w:sz w:val="17"/>
          <w:szCs w:val="17"/>
          <w:i w:val="1"/>
          <w:iCs w:val="1"/>
          <w:color w:val="auto"/>
        </w:rPr>
        <w:t xml:space="preserve">Beneficial </w:t>
      </w:r>
      <w:r>
        <w:rPr>
          <w:rFonts w:ascii="Arial" w:cs="Arial" w:eastAsia="Arial" w:hAnsi="Arial"/>
          <w:sz w:val="17"/>
          <w:szCs w:val="17"/>
          <w:color w:val="auto"/>
        </w:rPr>
        <w:t>Owners. If your shares of Sotera Health common stock are held in a brokerage account or by a broker, bank, or other</w:t>
      </w:r>
      <w:r>
        <w:rPr>
          <w:rFonts w:ascii="Arial" w:cs="Arial" w:eastAsia="Arial" w:hAnsi="Arial"/>
          <w:sz w:val="17"/>
          <w:szCs w:val="17"/>
          <w:i w:val="1"/>
          <w:iCs w:val="1"/>
          <w:color w:val="auto"/>
        </w:rPr>
        <w:t xml:space="preserve"> </w:t>
      </w:r>
      <w:r>
        <w:rPr>
          <w:rFonts w:ascii="Arial" w:cs="Arial" w:eastAsia="Arial" w:hAnsi="Arial"/>
          <w:sz w:val="17"/>
          <w:szCs w:val="17"/>
          <w:color w:val="auto"/>
        </w:rPr>
        <w:t>nominee, you are considered the beneficial owner of shares held in street name, and these proxy materials are being forwarded to you by your broker, bank, or other nominee, which is considered the shareholder of record with respect to those shares. As a beneficial owner, you have the right to direct your broker, bank, or other nominee on how to vote the shares in your account. However, because you are not the shareholder of record, you may not vote these shares electronically at the Annual Meeting, unless you follow the instructions from your broker, bank or other nominee. Your broker, bank, or other nominee has included a voting instruction form for you to use to direct them how to vote your shares. Please instruct your broker, bank, or other nominee how to vote your shares using the voting instruction form you received from them.</w:t>
      </w:r>
    </w:p>
    <w:p>
      <w:pPr>
        <w:spacing w:after="0" w:line="307" w:lineRule="exact"/>
        <w:rPr>
          <w:sz w:val="20"/>
          <w:szCs w:val="20"/>
          <w:color w:val="auto"/>
        </w:rPr>
      </w:pPr>
    </w:p>
    <w:p>
      <w:pPr>
        <w:ind w:left="360"/>
        <w:spacing w:after="0"/>
        <w:rPr>
          <w:sz w:val="20"/>
          <w:szCs w:val="20"/>
          <w:color w:val="auto"/>
        </w:rPr>
      </w:pPr>
      <w:r>
        <w:rPr>
          <w:rFonts w:ascii="Arial" w:cs="Arial" w:eastAsia="Arial" w:hAnsi="Arial"/>
          <w:sz w:val="28"/>
          <w:szCs w:val="28"/>
          <w:color w:val="auto"/>
        </w:rPr>
        <w:t>Q: Can I attend the Annual Meeting?</w:t>
      </w:r>
    </w:p>
    <w:p>
      <w:pPr>
        <w:spacing w:after="0" w:line="246" w:lineRule="exact"/>
        <w:rPr>
          <w:sz w:val="20"/>
          <w:szCs w:val="20"/>
          <w:color w:val="auto"/>
        </w:rPr>
      </w:pPr>
    </w:p>
    <w:p>
      <w:pPr>
        <w:ind w:left="780" w:right="220" w:hanging="422"/>
        <w:spacing w:after="0" w:line="250" w:lineRule="auto"/>
        <w:tabs>
          <w:tab w:leader="none" w:pos="780" w:val="left"/>
        </w:tabs>
        <w:numPr>
          <w:ilvl w:val="0"/>
          <w:numId w:val="60"/>
        </w:numPr>
        <w:rPr>
          <w:rFonts w:ascii="Arial" w:cs="Arial" w:eastAsia="Arial" w:hAnsi="Arial"/>
          <w:sz w:val="17"/>
          <w:szCs w:val="17"/>
          <w:b w:val="1"/>
          <w:bCs w:val="1"/>
          <w:color w:val="00B0DB"/>
        </w:rPr>
      </w:pPr>
      <w:r>
        <w:rPr>
          <w:rFonts w:ascii="Arial" w:cs="Arial" w:eastAsia="Arial" w:hAnsi="Arial"/>
          <w:sz w:val="17"/>
          <w:szCs w:val="17"/>
          <w:color w:val="auto"/>
        </w:rPr>
        <w:t xml:space="preserve">Sotera Health shareholders on the record date or their legal proxy holders may attend the Annual Meeting online at </w:t>
      </w:r>
      <w:r>
        <w:rPr>
          <w:rFonts w:ascii="Arial" w:cs="Arial" w:eastAsia="Arial" w:hAnsi="Arial"/>
          <w:sz w:val="17"/>
          <w:szCs w:val="17"/>
          <w:b w:val="1"/>
          <w:bCs w:val="1"/>
          <w:color w:val="auto"/>
        </w:rPr>
        <w:t>www.virtualshareholdermeeting.com/SHC2023</w:t>
      </w:r>
      <w:r>
        <w:rPr>
          <w:rFonts w:ascii="Arial" w:cs="Arial" w:eastAsia="Arial" w:hAnsi="Arial"/>
          <w:sz w:val="17"/>
          <w:szCs w:val="17"/>
          <w:color w:val="auto"/>
        </w:rPr>
        <w:t>. To participate in the Annual Meeting, you will need the 16-digit control number</w:t>
      </w:r>
      <w:r>
        <w:rPr>
          <w:rFonts w:ascii="Arial" w:cs="Arial" w:eastAsia="Arial" w:hAnsi="Arial"/>
          <w:sz w:val="17"/>
          <w:szCs w:val="17"/>
          <w:b w:val="1"/>
          <w:bCs w:val="1"/>
          <w:color w:val="auto"/>
        </w:rPr>
        <w:t xml:space="preserve"> </w:t>
      </w:r>
      <w:r>
        <w:rPr>
          <w:rFonts w:ascii="Arial" w:cs="Arial" w:eastAsia="Arial" w:hAnsi="Arial"/>
          <w:sz w:val="17"/>
          <w:szCs w:val="17"/>
          <w:color w:val="auto"/>
        </w:rPr>
        <w:t>included on your Notice of Internet Availability of Proxy Materials, on your proxy card, or on the instructions that accompanied your proxy materials.</w:t>
      </w:r>
    </w:p>
    <w:p>
      <w:pPr>
        <w:spacing w:after="0" w:line="295" w:lineRule="exact"/>
        <w:rPr>
          <w:sz w:val="20"/>
          <w:szCs w:val="20"/>
          <w:color w:val="auto"/>
        </w:rPr>
      </w:pPr>
    </w:p>
    <w:p>
      <w:pPr>
        <w:ind w:left="360"/>
        <w:spacing w:after="0"/>
        <w:rPr>
          <w:sz w:val="20"/>
          <w:szCs w:val="20"/>
          <w:color w:val="auto"/>
        </w:rPr>
      </w:pPr>
      <w:r>
        <w:rPr>
          <w:rFonts w:ascii="Arial" w:cs="Arial" w:eastAsia="Arial" w:hAnsi="Arial"/>
          <w:sz w:val="28"/>
          <w:szCs w:val="28"/>
          <w:color w:val="auto"/>
        </w:rPr>
        <w:t>Q: How can I vote my shares?</w:t>
      </w:r>
    </w:p>
    <w:p>
      <w:pPr>
        <w:spacing w:after="0" w:line="246" w:lineRule="exact"/>
        <w:rPr>
          <w:sz w:val="20"/>
          <w:szCs w:val="20"/>
          <w:color w:val="auto"/>
        </w:rPr>
      </w:pPr>
    </w:p>
    <w:p>
      <w:pPr>
        <w:ind w:left="780" w:right="120" w:hanging="422"/>
        <w:spacing w:after="0" w:line="274" w:lineRule="auto"/>
        <w:tabs>
          <w:tab w:leader="none" w:pos="780" w:val="left"/>
        </w:tabs>
        <w:numPr>
          <w:ilvl w:val="0"/>
          <w:numId w:val="61"/>
        </w:numPr>
        <w:rPr>
          <w:rFonts w:ascii="Arial" w:cs="Arial" w:eastAsia="Arial" w:hAnsi="Arial"/>
          <w:sz w:val="17"/>
          <w:szCs w:val="17"/>
          <w:b w:val="1"/>
          <w:bCs w:val="1"/>
          <w:color w:val="00B0DB"/>
        </w:rPr>
      </w:pPr>
      <w:r>
        <w:rPr>
          <w:rFonts w:ascii="Arial" w:cs="Arial" w:eastAsia="Arial" w:hAnsi="Arial"/>
          <w:sz w:val="17"/>
          <w:szCs w:val="17"/>
          <w:color w:val="auto"/>
        </w:rPr>
        <w:t>You may vote over the Internet, by telephone, by mail, or electronically at the Annual Meeting. Votes submitted by telephone or over the Internet must be received by 11:59 p.m., Eastern Daylight Time, on Wednesday, May 24, 2023, unless otherwise indicated.</w:t>
      </w:r>
    </w:p>
    <w:p>
      <w:pPr>
        <w:spacing w:after="0" w:line="108" w:lineRule="exact"/>
        <w:rPr>
          <w:rFonts w:ascii="Arial" w:cs="Arial" w:eastAsia="Arial" w:hAnsi="Arial"/>
          <w:sz w:val="17"/>
          <w:szCs w:val="17"/>
          <w:b w:val="1"/>
          <w:bCs w:val="1"/>
          <w:color w:val="00B0DB"/>
        </w:rPr>
      </w:pPr>
    </w:p>
    <w:p>
      <w:pPr>
        <w:ind w:left="780" w:right="20"/>
        <w:spacing w:after="0" w:line="250" w:lineRule="auto"/>
        <w:rPr>
          <w:rFonts w:ascii="Arial" w:cs="Arial" w:eastAsia="Arial" w:hAnsi="Arial"/>
          <w:sz w:val="17"/>
          <w:szCs w:val="17"/>
          <w:b w:val="1"/>
          <w:bCs w:val="1"/>
          <w:color w:val="00B0DB"/>
        </w:rPr>
      </w:pPr>
      <w:r>
        <w:rPr>
          <w:rFonts w:ascii="Arial" w:cs="Arial" w:eastAsia="Arial" w:hAnsi="Arial"/>
          <w:sz w:val="17"/>
          <w:szCs w:val="17"/>
          <w:i w:val="1"/>
          <w:iCs w:val="1"/>
          <w:color w:val="auto"/>
        </w:rPr>
        <w:t>Voting over the Internet</w:t>
      </w:r>
      <w:r>
        <w:rPr>
          <w:rFonts w:ascii="Arial" w:cs="Arial" w:eastAsia="Arial" w:hAnsi="Arial"/>
          <w:sz w:val="17"/>
          <w:szCs w:val="17"/>
          <w:color w:val="auto"/>
        </w:rPr>
        <w:t>. To vote over the Internet, please follow either the instructions included on your proxy card or the voting</w:t>
      </w:r>
      <w:r>
        <w:rPr>
          <w:rFonts w:ascii="Arial" w:cs="Arial" w:eastAsia="Arial" w:hAnsi="Arial"/>
          <w:sz w:val="17"/>
          <w:szCs w:val="17"/>
          <w:i w:val="1"/>
          <w:iCs w:val="1"/>
          <w:color w:val="auto"/>
        </w:rPr>
        <w:t xml:space="preserve"> </w:t>
      </w:r>
      <w:r>
        <w:rPr>
          <w:rFonts w:ascii="Arial" w:cs="Arial" w:eastAsia="Arial" w:hAnsi="Arial"/>
          <w:sz w:val="17"/>
          <w:szCs w:val="17"/>
          <w:color w:val="auto"/>
        </w:rPr>
        <w:t>instructions you receive by e-mail or that are being provided via the Internet. You will be asked to provide the 16-digit control number on your Notice of Internet Availability or Voting Instruction Form. If you vote over the Internet, you do not need to complete and mail a proxy card.</w:t>
      </w:r>
    </w:p>
    <w:p>
      <w:pPr>
        <w:spacing w:after="0" w:line="140" w:lineRule="exact"/>
        <w:rPr>
          <w:rFonts w:ascii="Arial" w:cs="Arial" w:eastAsia="Arial" w:hAnsi="Arial"/>
          <w:sz w:val="17"/>
          <w:szCs w:val="17"/>
          <w:b w:val="1"/>
          <w:bCs w:val="1"/>
          <w:color w:val="00B0DB"/>
        </w:rPr>
      </w:pPr>
    </w:p>
    <w:p>
      <w:pPr>
        <w:ind w:left="780" w:right="280"/>
        <w:spacing w:after="0" w:line="256" w:lineRule="auto"/>
        <w:rPr>
          <w:rFonts w:ascii="Arial" w:cs="Arial" w:eastAsia="Arial" w:hAnsi="Arial"/>
          <w:sz w:val="17"/>
          <w:szCs w:val="17"/>
          <w:b w:val="1"/>
          <w:bCs w:val="1"/>
          <w:color w:val="00B0DB"/>
        </w:rPr>
      </w:pPr>
      <w:r>
        <w:rPr>
          <w:rFonts w:ascii="Arial" w:cs="Arial" w:eastAsia="Arial" w:hAnsi="Arial"/>
          <w:sz w:val="17"/>
          <w:szCs w:val="17"/>
          <w:i w:val="1"/>
          <w:iCs w:val="1"/>
          <w:color w:val="auto"/>
        </w:rPr>
        <w:t>Voting by Telephone</w:t>
      </w:r>
      <w:r>
        <w:rPr>
          <w:rFonts w:ascii="Arial" w:cs="Arial" w:eastAsia="Arial" w:hAnsi="Arial"/>
          <w:sz w:val="17"/>
          <w:szCs w:val="17"/>
          <w:color w:val="auto"/>
        </w:rPr>
        <w:t>. To vote by telephone, dial 1-800-690-6903 and follow the recorded instructions. You will be asked to provide</w:t>
      </w:r>
      <w:r>
        <w:rPr>
          <w:rFonts w:ascii="Arial" w:cs="Arial" w:eastAsia="Arial" w:hAnsi="Arial"/>
          <w:sz w:val="17"/>
          <w:szCs w:val="17"/>
          <w:i w:val="1"/>
          <w:iCs w:val="1"/>
          <w:color w:val="auto"/>
        </w:rPr>
        <w:t xml:space="preserve"> </w:t>
      </w:r>
      <w:r>
        <w:rPr>
          <w:rFonts w:ascii="Arial" w:cs="Arial" w:eastAsia="Arial" w:hAnsi="Arial"/>
          <w:sz w:val="17"/>
          <w:szCs w:val="17"/>
          <w:color w:val="auto"/>
        </w:rPr>
        <w:t>the 16-digit control number on your Notice of Internet Availability or Voting Instruction Form. If you vote by telephone, you do not need to complete and mail a proxy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231775</wp:posOffset>
            </wp:positionH>
            <wp:positionV relativeFrom="paragraph">
              <wp:posOffset>88900</wp:posOffset>
            </wp:positionV>
            <wp:extent cx="6687820" cy="1651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6687820" cy="16510"/>
                    </a:xfrm>
                    <a:prstGeom prst="rect">
                      <a:avLst/>
                    </a:prstGeom>
                    <a:noFill/>
                  </pic:spPr>
                </pic:pic>
              </a:graphicData>
            </a:graphic>
          </wp:anchor>
        </w:drawing>
      </w:r>
    </w:p>
    <w:p>
      <w:pPr>
        <w:spacing w:after="0" w:line="297"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6443980</wp:posOffset>
            </wp:positionH>
            <wp:positionV relativeFrom="paragraph">
              <wp:posOffset>-113030</wp:posOffset>
            </wp:positionV>
            <wp:extent cx="475615" cy="15557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475615" cy="155575"/>
                    </a:xfrm>
                    <a:prstGeom prst="rect">
                      <a:avLst/>
                    </a:prstGeom>
                    <a:noFill/>
                  </pic:spPr>
                </pic:pic>
              </a:graphicData>
            </a:graphic>
          </wp:anchor>
        </w:drawing>
      </w:r>
    </w:p>
    <w:p>
      <w:pPr>
        <w:sectPr>
          <w:pgSz w:w="11900" w:h="16838" w:orient="portrait"/>
          <w:cols w:equalWidth="0" w:num="1">
            <w:col w:w="10900"/>
          </w:cols>
          <w:pgMar w:left="320" w:top="468" w:right="67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5334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79945" cy="53340"/>
                    </a:xfrm>
                    <a:prstGeom prst="rect">
                      <a:avLst/>
                    </a:prstGeom>
                    <a:noFill/>
                  </pic:spPr>
                </pic:pic>
              </a:graphicData>
            </a:graphic>
          </wp:anchor>
        </w:drawing>
        <w:t>Table of Contents</w:t>
      </w:r>
    </w:p>
    <w:p>
      <w:pPr>
        <w:spacing w:after="0" w:line="296"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auto"/>
        </w:rPr>
        <w:t>Questions and Answers About the Proxy Statement and Our 2023 Annual Meeting of Shareholders</w:t>
      </w:r>
    </w:p>
    <w:p>
      <w:pPr>
        <w:spacing w:after="0" w:line="142" w:lineRule="exact"/>
        <w:rPr>
          <w:sz w:val="20"/>
          <w:szCs w:val="20"/>
          <w:color w:val="auto"/>
        </w:rPr>
      </w:pPr>
    </w:p>
    <w:p>
      <w:pPr>
        <w:ind w:left="780"/>
        <w:spacing w:after="0" w:line="242" w:lineRule="auto"/>
        <w:rPr>
          <w:sz w:val="20"/>
          <w:szCs w:val="20"/>
          <w:color w:val="auto"/>
        </w:rPr>
      </w:pPr>
      <w:r>
        <w:rPr>
          <w:rFonts w:ascii="Arial" w:cs="Arial" w:eastAsia="Arial" w:hAnsi="Arial"/>
          <w:sz w:val="17"/>
          <w:szCs w:val="17"/>
          <w:i w:val="1"/>
          <w:iCs w:val="1"/>
          <w:color w:val="auto"/>
        </w:rPr>
        <w:t>Voting by Mail</w:t>
      </w:r>
      <w:r>
        <w:rPr>
          <w:rFonts w:ascii="Arial" w:cs="Arial" w:eastAsia="Arial" w:hAnsi="Arial"/>
          <w:sz w:val="17"/>
          <w:szCs w:val="17"/>
          <w:color w:val="auto"/>
        </w:rPr>
        <w:t>. If you have requested printed proxy materials, you may vote by mail by signing the proxy card and returning it in the</w:t>
      </w:r>
      <w:r>
        <w:rPr>
          <w:rFonts w:ascii="Arial" w:cs="Arial" w:eastAsia="Arial" w:hAnsi="Arial"/>
          <w:sz w:val="17"/>
          <w:szCs w:val="17"/>
          <w:i w:val="1"/>
          <w:iCs w:val="1"/>
          <w:color w:val="auto"/>
        </w:rPr>
        <w:t xml:space="preserve"> </w:t>
      </w:r>
      <w:r>
        <w:rPr>
          <w:rFonts w:ascii="Arial" w:cs="Arial" w:eastAsia="Arial" w:hAnsi="Arial"/>
          <w:sz w:val="17"/>
          <w:szCs w:val="17"/>
          <w:color w:val="auto"/>
        </w:rPr>
        <w:t>prepaid and addressed envelope enclosed with the proxy materials. By signing and returning the proxy card, you are authorizing the individuals named on the proxy card to vote your shares at the Annual Meeting in the manner you indicate. We encourage you to sign and return the proxy card even if you plan to attend the Annual Meeting so that your shares of Sotera Health common stock will be voted if you are unable to attend the Annual Meeting. If you receive more than one proxy card, it is an indication that your shares are held in multiple accounts. Please sign and return all proxy cards to ensure that all of your shares are voted. Your printed proxy materials may also indicate methods whereby you may vote by telephone or over the Internet instead of signing, dating and returning the proxy card by mail.</w:t>
      </w:r>
    </w:p>
    <w:p>
      <w:pPr>
        <w:spacing w:after="0" w:line="153" w:lineRule="exact"/>
        <w:rPr>
          <w:sz w:val="20"/>
          <w:szCs w:val="20"/>
          <w:color w:val="auto"/>
        </w:rPr>
      </w:pPr>
    </w:p>
    <w:p>
      <w:pPr>
        <w:ind w:left="780" w:right="160"/>
        <w:spacing w:after="0" w:line="246" w:lineRule="auto"/>
        <w:rPr>
          <w:sz w:val="20"/>
          <w:szCs w:val="20"/>
          <w:color w:val="auto"/>
        </w:rPr>
      </w:pPr>
      <w:r>
        <w:rPr>
          <w:rFonts w:ascii="Arial" w:cs="Arial" w:eastAsia="Arial" w:hAnsi="Arial"/>
          <w:sz w:val="17"/>
          <w:szCs w:val="17"/>
          <w:i w:val="1"/>
          <w:iCs w:val="1"/>
          <w:color w:val="auto"/>
        </w:rPr>
        <w:t>Voting Electronically at the Meeting</w:t>
      </w:r>
      <w:r>
        <w:rPr>
          <w:rFonts w:ascii="Arial" w:cs="Arial" w:eastAsia="Arial" w:hAnsi="Arial"/>
          <w:sz w:val="17"/>
          <w:szCs w:val="17"/>
          <w:color w:val="auto"/>
        </w:rPr>
        <w:t>. If you attend the virtual Annual Meeting and plan to vote electronically at the Annual Meeting,</w:t>
      </w:r>
      <w:r>
        <w:rPr>
          <w:rFonts w:ascii="Arial" w:cs="Arial" w:eastAsia="Arial" w:hAnsi="Arial"/>
          <w:sz w:val="17"/>
          <w:szCs w:val="17"/>
          <w:i w:val="1"/>
          <w:iCs w:val="1"/>
          <w:color w:val="auto"/>
        </w:rPr>
        <w:t xml:space="preserve"> </w:t>
      </w:r>
      <w:r>
        <w:rPr>
          <w:rFonts w:ascii="Arial" w:cs="Arial" w:eastAsia="Arial" w:hAnsi="Arial"/>
          <w:sz w:val="17"/>
          <w:szCs w:val="17"/>
          <w:color w:val="auto"/>
        </w:rPr>
        <w:t>you can vote by following the instructions provided when you log in to the online virtual Annual Meeting platform. If you are a shareholder of record, you have the right to vote electronically at the Annual Meeting. If you are the beneficial owner of shares held in street name, you may also vote electronically at the Annual Meeting if you follow the instructions from your broker, bank or other nominee to vote those shares.</w:t>
      </w:r>
    </w:p>
    <w:p>
      <w:pPr>
        <w:spacing w:after="0" w:line="302" w:lineRule="exact"/>
        <w:rPr>
          <w:sz w:val="20"/>
          <w:szCs w:val="20"/>
          <w:color w:val="auto"/>
        </w:rPr>
      </w:pPr>
    </w:p>
    <w:p>
      <w:pPr>
        <w:ind w:left="360"/>
        <w:spacing w:after="0"/>
        <w:rPr>
          <w:sz w:val="20"/>
          <w:szCs w:val="20"/>
          <w:color w:val="auto"/>
        </w:rPr>
      </w:pPr>
      <w:r>
        <w:rPr>
          <w:rFonts w:ascii="Arial" w:cs="Arial" w:eastAsia="Arial" w:hAnsi="Arial"/>
          <w:sz w:val="28"/>
          <w:szCs w:val="28"/>
          <w:color w:val="auto"/>
        </w:rPr>
        <w:t>Q: Can I change my vote or revoke my proxy?</w:t>
      </w:r>
    </w:p>
    <w:p>
      <w:pPr>
        <w:spacing w:after="0" w:line="246" w:lineRule="exact"/>
        <w:rPr>
          <w:sz w:val="20"/>
          <w:szCs w:val="20"/>
          <w:color w:val="auto"/>
        </w:rPr>
      </w:pPr>
    </w:p>
    <w:p>
      <w:pPr>
        <w:ind w:left="780" w:hanging="422"/>
        <w:spacing w:after="0" w:line="274" w:lineRule="auto"/>
        <w:tabs>
          <w:tab w:leader="none" w:pos="780" w:val="left"/>
        </w:tabs>
        <w:numPr>
          <w:ilvl w:val="0"/>
          <w:numId w:val="62"/>
        </w:numPr>
        <w:rPr>
          <w:rFonts w:ascii="Arial" w:cs="Arial" w:eastAsia="Arial" w:hAnsi="Arial"/>
          <w:sz w:val="17"/>
          <w:szCs w:val="17"/>
          <w:b w:val="1"/>
          <w:bCs w:val="1"/>
          <w:color w:val="00B0DB"/>
        </w:rPr>
      </w:pPr>
      <w:r>
        <w:rPr>
          <w:rFonts w:ascii="Arial" w:cs="Arial" w:eastAsia="Arial" w:hAnsi="Arial"/>
          <w:sz w:val="17"/>
          <w:szCs w:val="17"/>
          <w:color w:val="auto"/>
        </w:rPr>
        <w:t>If you are a shareholder of record, you may change your vote or revoke your proxy at any time before the Annual Meeting. To change your vote or revoke your proxy, you must:</w:t>
      </w:r>
    </w:p>
    <w:p>
      <w:pPr>
        <w:spacing w:after="0" w:line="147" w:lineRule="exact"/>
        <w:rPr>
          <w:rFonts w:ascii="Arial" w:cs="Arial" w:eastAsia="Arial" w:hAnsi="Arial"/>
          <w:sz w:val="17"/>
          <w:szCs w:val="17"/>
          <w:b w:val="1"/>
          <w:bCs w:val="1"/>
          <w:color w:val="00B0DB"/>
        </w:rPr>
      </w:pPr>
    </w:p>
    <w:p>
      <w:pPr>
        <w:ind w:left="1280" w:hanging="509"/>
        <w:spacing w:after="0"/>
        <w:tabs>
          <w:tab w:leader="none" w:pos="1280" w:val="left"/>
        </w:tabs>
        <w:numPr>
          <w:ilvl w:val="1"/>
          <w:numId w:val="62"/>
        </w:numPr>
        <w:rPr>
          <w:rFonts w:ascii="Arial" w:cs="Arial" w:eastAsia="Arial" w:hAnsi="Arial"/>
          <w:sz w:val="17"/>
          <w:szCs w:val="17"/>
          <w:color w:val="00467D"/>
        </w:rPr>
      </w:pPr>
      <w:r>
        <w:rPr>
          <w:rFonts w:ascii="Arial" w:cs="Arial" w:eastAsia="Arial" w:hAnsi="Arial"/>
          <w:sz w:val="17"/>
          <w:szCs w:val="17"/>
          <w:color w:val="auto"/>
        </w:rPr>
        <w:t>Sign and return a later-dated proxy card, or enter a new vote over the Internet or by telephone; or</w:t>
      </w:r>
    </w:p>
    <w:p>
      <w:pPr>
        <w:spacing w:after="0" w:line="204" w:lineRule="exact"/>
        <w:rPr>
          <w:rFonts w:ascii="Arial" w:cs="Arial" w:eastAsia="Arial" w:hAnsi="Arial"/>
          <w:sz w:val="17"/>
          <w:szCs w:val="17"/>
          <w:color w:val="00467D"/>
        </w:rPr>
      </w:pPr>
    </w:p>
    <w:p>
      <w:pPr>
        <w:ind w:left="1280" w:right="360" w:hanging="509"/>
        <w:spacing w:after="0" w:line="256" w:lineRule="auto"/>
        <w:tabs>
          <w:tab w:leader="none" w:pos="1280" w:val="left"/>
        </w:tabs>
        <w:numPr>
          <w:ilvl w:val="1"/>
          <w:numId w:val="62"/>
        </w:numPr>
        <w:rPr>
          <w:rFonts w:ascii="Arial" w:cs="Arial" w:eastAsia="Arial" w:hAnsi="Arial"/>
          <w:sz w:val="17"/>
          <w:szCs w:val="17"/>
          <w:color w:val="00467D"/>
        </w:rPr>
      </w:pPr>
      <w:r>
        <w:rPr>
          <w:rFonts w:ascii="Arial" w:cs="Arial" w:eastAsia="Arial" w:hAnsi="Arial"/>
          <w:sz w:val="17"/>
          <w:szCs w:val="17"/>
          <w:color w:val="auto"/>
        </w:rPr>
        <w:t>Provide written notice of the revocation to Sotera Health’s Corporate Secretary at: Sotera Health Company, Attention: Alexander Dimitrief, Secretary, 9100 South Hills Blvd., Suite 300, Broadview Heights, Ohio 44147, before the proxies vote your shares at the Annual Meeting; or</w:t>
      </w:r>
    </w:p>
    <w:p>
      <w:pPr>
        <w:spacing w:after="0" w:line="161" w:lineRule="exact"/>
        <w:rPr>
          <w:rFonts w:ascii="Arial" w:cs="Arial" w:eastAsia="Arial" w:hAnsi="Arial"/>
          <w:sz w:val="17"/>
          <w:szCs w:val="17"/>
          <w:color w:val="00467D"/>
        </w:rPr>
      </w:pPr>
    </w:p>
    <w:p>
      <w:pPr>
        <w:ind w:left="1280" w:hanging="509"/>
        <w:spacing w:after="0"/>
        <w:tabs>
          <w:tab w:leader="none" w:pos="1280" w:val="left"/>
        </w:tabs>
        <w:numPr>
          <w:ilvl w:val="1"/>
          <w:numId w:val="62"/>
        </w:numPr>
        <w:rPr>
          <w:rFonts w:ascii="Arial" w:cs="Arial" w:eastAsia="Arial" w:hAnsi="Arial"/>
          <w:sz w:val="17"/>
          <w:szCs w:val="17"/>
          <w:color w:val="00467D"/>
        </w:rPr>
      </w:pPr>
      <w:r>
        <w:rPr>
          <w:rFonts w:ascii="Arial" w:cs="Arial" w:eastAsia="Arial" w:hAnsi="Arial"/>
          <w:sz w:val="17"/>
          <w:szCs w:val="17"/>
          <w:color w:val="auto"/>
        </w:rPr>
        <w:t>Attend the virtual Annual Meeting and vote electronically at the meeting.</w:t>
      </w:r>
    </w:p>
    <w:p>
      <w:pPr>
        <w:spacing w:after="0" w:line="166" w:lineRule="exact"/>
        <w:rPr>
          <w:sz w:val="20"/>
          <w:szCs w:val="20"/>
          <w:color w:val="auto"/>
        </w:rPr>
      </w:pPr>
    </w:p>
    <w:p>
      <w:pPr>
        <w:ind w:left="780" w:right="560"/>
        <w:spacing w:after="0" w:line="274" w:lineRule="auto"/>
        <w:rPr>
          <w:sz w:val="20"/>
          <w:szCs w:val="20"/>
          <w:color w:val="auto"/>
        </w:rPr>
      </w:pPr>
      <w:r>
        <w:rPr>
          <w:rFonts w:ascii="Arial" w:cs="Arial" w:eastAsia="Arial" w:hAnsi="Arial"/>
          <w:sz w:val="17"/>
          <w:szCs w:val="17"/>
          <w:color w:val="auto"/>
        </w:rPr>
        <w:t>If you are a beneficial shareholder, you may revoke your proxy or change your vote only by following the separate instructions provided by your broker, trust, bank or other nominee.</w:t>
      </w:r>
    </w:p>
    <w:p>
      <w:pPr>
        <w:spacing w:after="0" w:line="109" w:lineRule="exact"/>
        <w:rPr>
          <w:sz w:val="20"/>
          <w:szCs w:val="20"/>
          <w:color w:val="auto"/>
        </w:rPr>
      </w:pPr>
    </w:p>
    <w:p>
      <w:pPr>
        <w:ind w:left="780"/>
        <w:spacing w:after="0"/>
        <w:rPr>
          <w:sz w:val="20"/>
          <w:szCs w:val="20"/>
          <w:color w:val="auto"/>
        </w:rPr>
      </w:pPr>
      <w:r>
        <w:rPr>
          <w:rFonts w:ascii="Arial" w:cs="Arial" w:eastAsia="Arial" w:hAnsi="Arial"/>
          <w:sz w:val="17"/>
          <w:szCs w:val="17"/>
          <w:color w:val="auto"/>
        </w:rPr>
        <w:t>Only the latest validly-executed proxy that you submit will be counted.</w:t>
      </w:r>
    </w:p>
    <w:p>
      <w:pPr>
        <w:spacing w:after="0" w:line="333" w:lineRule="exact"/>
        <w:rPr>
          <w:sz w:val="20"/>
          <w:szCs w:val="20"/>
          <w:color w:val="auto"/>
        </w:rPr>
      </w:pPr>
    </w:p>
    <w:p>
      <w:pPr>
        <w:ind w:left="360"/>
        <w:spacing w:after="0"/>
        <w:rPr>
          <w:sz w:val="20"/>
          <w:szCs w:val="20"/>
          <w:color w:val="auto"/>
        </w:rPr>
      </w:pPr>
      <w:r>
        <w:rPr>
          <w:rFonts w:ascii="Arial" w:cs="Arial" w:eastAsia="Arial" w:hAnsi="Arial"/>
          <w:sz w:val="28"/>
          <w:szCs w:val="28"/>
          <w:color w:val="auto"/>
        </w:rPr>
        <w:t>Q: What is the quorum requirement for the Annual Meeting?</w:t>
      </w:r>
    </w:p>
    <w:p>
      <w:pPr>
        <w:spacing w:after="0" w:line="246" w:lineRule="exact"/>
        <w:rPr>
          <w:sz w:val="20"/>
          <w:szCs w:val="20"/>
          <w:color w:val="auto"/>
        </w:rPr>
      </w:pPr>
    </w:p>
    <w:p>
      <w:pPr>
        <w:ind w:left="780" w:hanging="422"/>
        <w:spacing w:after="0" w:line="256" w:lineRule="auto"/>
        <w:tabs>
          <w:tab w:leader="none" w:pos="780" w:val="left"/>
        </w:tabs>
        <w:numPr>
          <w:ilvl w:val="0"/>
          <w:numId w:val="63"/>
        </w:numPr>
        <w:rPr>
          <w:rFonts w:ascii="Arial" w:cs="Arial" w:eastAsia="Arial" w:hAnsi="Arial"/>
          <w:sz w:val="17"/>
          <w:szCs w:val="17"/>
          <w:b w:val="1"/>
          <w:bCs w:val="1"/>
          <w:color w:val="00B0DB"/>
        </w:rPr>
      </w:pPr>
      <w:r>
        <w:rPr>
          <w:rFonts w:ascii="Arial" w:cs="Arial" w:eastAsia="Arial" w:hAnsi="Arial"/>
          <w:sz w:val="17"/>
          <w:szCs w:val="17"/>
          <w:color w:val="auto"/>
        </w:rPr>
        <w:t>A majority of the outstanding shares entitled to vote as of the record date must be present at the Annual Meeting to constitute a quorum and in order to conduct business at the Annual Meeting. Your shares of Sotera Health common stock are counted as present if you vote in person at the Annual Meeting, over the Internet, by telephone, or by submitting a properly executed proxy card by mail.</w:t>
      </w:r>
    </w:p>
    <w:p>
      <w:pPr>
        <w:spacing w:after="0" w:line="161" w:lineRule="exact"/>
        <w:rPr>
          <w:rFonts w:ascii="Arial" w:cs="Arial" w:eastAsia="Arial" w:hAnsi="Arial"/>
          <w:sz w:val="17"/>
          <w:szCs w:val="17"/>
          <w:b w:val="1"/>
          <w:bCs w:val="1"/>
          <w:color w:val="00B0DB"/>
        </w:rPr>
      </w:pPr>
    </w:p>
    <w:p>
      <w:pPr>
        <w:ind w:left="780"/>
        <w:spacing w:after="0"/>
        <w:rPr>
          <w:rFonts w:ascii="Arial" w:cs="Arial" w:eastAsia="Arial" w:hAnsi="Arial"/>
          <w:sz w:val="17"/>
          <w:szCs w:val="17"/>
          <w:b w:val="1"/>
          <w:bCs w:val="1"/>
          <w:color w:val="00B0DB"/>
        </w:rPr>
      </w:pPr>
      <w:r>
        <w:rPr>
          <w:rFonts w:ascii="Arial" w:cs="Arial" w:eastAsia="Arial" w:hAnsi="Arial"/>
          <w:sz w:val="17"/>
          <w:szCs w:val="17"/>
          <w:color w:val="auto"/>
        </w:rPr>
        <w:t>Abstentions and broker non-votes are counted as present for the purpose of determining a quorum.</w:t>
      </w:r>
    </w:p>
    <w:p>
      <w:pPr>
        <w:spacing w:after="0" w:line="333" w:lineRule="exact"/>
        <w:rPr>
          <w:sz w:val="20"/>
          <w:szCs w:val="20"/>
          <w:color w:val="auto"/>
        </w:rPr>
      </w:pPr>
    </w:p>
    <w:p>
      <w:pPr>
        <w:ind w:left="360"/>
        <w:spacing w:after="0"/>
        <w:rPr>
          <w:sz w:val="20"/>
          <w:szCs w:val="20"/>
          <w:color w:val="auto"/>
        </w:rPr>
      </w:pPr>
      <w:r>
        <w:rPr>
          <w:rFonts w:ascii="Arial" w:cs="Arial" w:eastAsia="Arial" w:hAnsi="Arial"/>
          <w:sz w:val="28"/>
          <w:szCs w:val="28"/>
          <w:color w:val="auto"/>
        </w:rPr>
        <w:t>Q: How are votes counted?</w:t>
      </w:r>
    </w:p>
    <w:p>
      <w:pPr>
        <w:spacing w:after="0" w:line="246" w:lineRule="exact"/>
        <w:rPr>
          <w:sz w:val="20"/>
          <w:szCs w:val="20"/>
          <w:color w:val="auto"/>
        </w:rPr>
      </w:pPr>
    </w:p>
    <w:p>
      <w:pPr>
        <w:ind w:left="780" w:hanging="422"/>
        <w:spacing w:after="0"/>
        <w:tabs>
          <w:tab w:leader="none" w:pos="780" w:val="left"/>
        </w:tabs>
        <w:numPr>
          <w:ilvl w:val="0"/>
          <w:numId w:val="64"/>
        </w:numPr>
        <w:rPr>
          <w:rFonts w:ascii="Arial" w:cs="Arial" w:eastAsia="Arial" w:hAnsi="Arial"/>
          <w:sz w:val="17"/>
          <w:szCs w:val="17"/>
          <w:b w:val="1"/>
          <w:bCs w:val="1"/>
          <w:color w:val="00B0DB"/>
        </w:rPr>
      </w:pPr>
      <w:r>
        <w:rPr>
          <w:rFonts w:ascii="Arial" w:cs="Arial" w:eastAsia="Arial" w:hAnsi="Arial"/>
          <w:sz w:val="17"/>
          <w:szCs w:val="17"/>
          <w:color w:val="auto"/>
        </w:rPr>
        <w:t>The following table describes how voting results will be tabulated.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231775</wp:posOffset>
            </wp:positionH>
            <wp:positionV relativeFrom="paragraph">
              <wp:posOffset>116205</wp:posOffset>
            </wp:positionV>
            <wp:extent cx="6687820" cy="1651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6687820" cy="16510"/>
                    </a:xfrm>
                    <a:prstGeom prst="rect">
                      <a:avLst/>
                    </a:prstGeom>
                    <a:noFill/>
                  </pic:spPr>
                </pic:pic>
              </a:graphicData>
            </a:graphic>
          </wp:anchor>
        </w:drawing>
      </w:r>
    </w:p>
    <w:p>
      <w:pPr>
        <w:spacing w:after="0" w:line="352" w:lineRule="exact"/>
        <w:rPr>
          <w:sz w:val="20"/>
          <w:szCs w:val="20"/>
          <w:color w:val="auto"/>
        </w:rPr>
      </w:pPr>
    </w:p>
    <w:tbl>
      <w:tblPr>
        <w:tblLayout w:type="fixed"/>
        <w:tblInd w:w="360" w:type="dxa"/>
        <w:tblCellMar>
          <w:top w:w="0" w:type="dxa"/>
          <w:left w:w="0" w:type="dxa"/>
          <w:bottom w:w="0" w:type="dxa"/>
          <w:right w:w="0" w:type="dxa"/>
        </w:tblCellMar>
      </w:tblPr>
      <w:tr>
        <w:trPr>
          <w:trHeight w:val="226"/>
        </w:trPr>
        <w:tc>
          <w:tcPr>
            <w:tcW w:w="3900" w:type="dxa"/>
            <w:vAlign w:val="bottom"/>
          </w:tcPr>
          <w:p>
            <w:pPr>
              <w:spacing w:after="0"/>
              <w:rPr>
                <w:sz w:val="20"/>
                <w:szCs w:val="20"/>
                <w:color w:val="auto"/>
              </w:rPr>
            </w:pPr>
            <w:r>
              <w:rPr>
                <w:rFonts w:ascii="Arial" w:cs="Arial" w:eastAsia="Arial" w:hAnsi="Arial"/>
                <w:sz w:val="17"/>
                <w:szCs w:val="17"/>
                <w:color w:val="auto"/>
              </w:rPr>
              <w:t>2023 Notice and Proxy Statement</w:t>
            </w:r>
          </w:p>
        </w:tc>
        <w:tc>
          <w:tcPr>
            <w:tcW w:w="1520" w:type="dxa"/>
            <w:vAlign w:val="bottom"/>
          </w:tcPr>
          <w:p>
            <w:pPr>
              <w:jc w:val="right"/>
              <w:spacing w:after="0"/>
              <w:rPr>
                <w:sz w:val="20"/>
                <w:szCs w:val="20"/>
                <w:color w:val="auto"/>
              </w:rPr>
            </w:pPr>
            <w:r>
              <w:rPr>
                <w:rFonts w:ascii="Arial" w:cs="Arial" w:eastAsia="Arial" w:hAnsi="Arial"/>
                <w:sz w:val="17"/>
                <w:szCs w:val="17"/>
                <w:color w:val="auto"/>
              </w:rPr>
              <w:t>80</w:t>
            </w:r>
          </w:p>
        </w:tc>
      </w:tr>
    </w:tbl>
    <w:p>
      <w:pPr>
        <w:sectPr>
          <w:pgSz w:w="11900" w:h="16838" w:orient="portrait"/>
          <w:cols w:equalWidth="0" w:num="1">
            <w:col w:w="10880"/>
          </w:cols>
          <w:pgMar w:left="320" w:top="468" w:right="69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5334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79945" cy="53340"/>
                    </a:xfrm>
                    <a:prstGeom prst="rect">
                      <a:avLst/>
                    </a:prstGeom>
                    <a:noFill/>
                  </pic:spPr>
                </pic:pic>
              </a:graphicData>
            </a:graphic>
          </wp:anchor>
        </w:drawing>
        <w:t>Table of Contents</w:t>
      </w:r>
    </w:p>
    <w:p>
      <w:pPr>
        <w:spacing w:after="0" w:line="296"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Questions and Answers About the Proxy Statement and Our 2023 Annual Meeting of Shareholders</w:t>
      </w:r>
    </w:p>
    <w:p>
      <w:pPr>
        <w:spacing w:after="0" w:line="143" w:lineRule="exact"/>
        <w:rPr>
          <w:sz w:val="20"/>
          <w:szCs w:val="20"/>
          <w:color w:val="auto"/>
        </w:rPr>
      </w:pPr>
    </w:p>
    <w:tbl>
      <w:tblPr>
        <w:tblLayout w:type="fixed"/>
        <w:tblInd w:w="360" w:type="dxa"/>
        <w:tblCellMar>
          <w:top w:w="0" w:type="dxa"/>
          <w:left w:w="0" w:type="dxa"/>
          <w:bottom w:w="0" w:type="dxa"/>
          <w:right w:w="0" w:type="dxa"/>
        </w:tblCellMar>
      </w:tblPr>
      <w:tr>
        <w:trPr>
          <w:trHeight w:val="161"/>
        </w:trPr>
        <w:tc>
          <w:tcPr>
            <w:tcW w:w="318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00467D"/>
                <w:w w:val="97"/>
              </w:rPr>
              <w:t>Broker</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18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1100" w:type="dxa"/>
            <w:vAlign w:val="bottom"/>
          </w:tcPr>
          <w:p>
            <w:pPr>
              <w:jc w:val="center"/>
              <w:spacing w:after="0" w:line="155" w:lineRule="exact"/>
              <w:rPr>
                <w:sz w:val="20"/>
                <w:szCs w:val="20"/>
                <w:color w:val="auto"/>
              </w:rPr>
            </w:pPr>
            <w:r>
              <w:rPr>
                <w:rFonts w:ascii="Arial" w:cs="Arial" w:eastAsia="Arial" w:hAnsi="Arial"/>
                <w:sz w:val="14"/>
                <w:szCs w:val="14"/>
                <w:b w:val="1"/>
                <w:bCs w:val="1"/>
                <w:color w:val="00467D"/>
                <w:w w:val="98"/>
              </w:rPr>
              <w:t>Discretionary</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18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060" w:type="dxa"/>
            <w:vAlign w:val="bottom"/>
          </w:tcPr>
          <w:p>
            <w:pPr>
              <w:ind w:left="260"/>
              <w:spacing w:after="0" w:line="155" w:lineRule="exact"/>
              <w:rPr>
                <w:sz w:val="20"/>
                <w:szCs w:val="20"/>
                <w:color w:val="auto"/>
              </w:rPr>
            </w:pPr>
            <w:r>
              <w:rPr>
                <w:rFonts w:ascii="Arial" w:cs="Arial" w:eastAsia="Arial" w:hAnsi="Arial"/>
                <w:sz w:val="14"/>
                <w:szCs w:val="14"/>
                <w:b w:val="1"/>
                <w:bCs w:val="1"/>
                <w:color w:val="00467D"/>
              </w:rPr>
              <w:t>Effect of Abstentions and</w:t>
            </w:r>
          </w:p>
        </w:tc>
        <w:tc>
          <w:tcPr>
            <w:tcW w:w="1100" w:type="dxa"/>
            <w:vAlign w:val="bottom"/>
          </w:tcPr>
          <w:p>
            <w:pPr>
              <w:jc w:val="center"/>
              <w:spacing w:after="0" w:line="155" w:lineRule="exact"/>
              <w:rPr>
                <w:sz w:val="20"/>
                <w:szCs w:val="20"/>
                <w:color w:val="auto"/>
              </w:rPr>
            </w:pPr>
            <w:r>
              <w:rPr>
                <w:rFonts w:ascii="Arial" w:cs="Arial" w:eastAsia="Arial" w:hAnsi="Arial"/>
                <w:sz w:val="14"/>
                <w:szCs w:val="14"/>
                <w:b w:val="1"/>
                <w:bCs w:val="1"/>
                <w:color w:val="00467D"/>
                <w:w w:val="91"/>
              </w:rPr>
              <w:t>Voting</w:t>
            </w:r>
          </w:p>
        </w:tc>
        <w:tc>
          <w:tcPr>
            <w:tcW w:w="800" w:type="dxa"/>
            <w:vAlign w:val="bottom"/>
          </w:tcPr>
          <w:p>
            <w:pPr>
              <w:jc w:val="center"/>
              <w:spacing w:after="0" w:line="155" w:lineRule="exact"/>
              <w:rPr>
                <w:sz w:val="20"/>
                <w:szCs w:val="20"/>
                <w:color w:val="auto"/>
              </w:rPr>
            </w:pPr>
            <w:r>
              <w:rPr>
                <w:rFonts w:ascii="Arial" w:cs="Arial" w:eastAsia="Arial" w:hAnsi="Arial"/>
                <w:sz w:val="14"/>
                <w:szCs w:val="14"/>
                <w:b w:val="1"/>
                <w:bCs w:val="1"/>
                <w:color w:val="00467D"/>
              </w:rPr>
              <w:t>Advisory</w:t>
            </w:r>
          </w:p>
        </w:tc>
        <w:tc>
          <w:tcPr>
            <w:tcW w:w="0" w:type="dxa"/>
            <w:vAlign w:val="bottom"/>
          </w:tcPr>
          <w:p>
            <w:pPr>
              <w:spacing w:after="0"/>
              <w:rPr>
                <w:sz w:val="1"/>
                <w:szCs w:val="1"/>
                <w:color w:val="auto"/>
              </w:rPr>
            </w:pPr>
          </w:p>
        </w:tc>
      </w:tr>
      <w:tr>
        <w:trPr>
          <w:trHeight w:val="177"/>
        </w:trPr>
        <w:tc>
          <w:tcPr>
            <w:tcW w:w="3180" w:type="dxa"/>
            <w:vAlign w:val="bottom"/>
            <w:tcBorders>
              <w:bottom w:val="single" w:sz="8" w:color="00467D"/>
            </w:tcBorders>
          </w:tcPr>
          <w:p>
            <w:pPr>
              <w:ind w:left="60"/>
              <w:spacing w:after="0"/>
              <w:rPr>
                <w:sz w:val="20"/>
                <w:szCs w:val="20"/>
                <w:color w:val="auto"/>
              </w:rPr>
            </w:pPr>
            <w:r>
              <w:rPr>
                <w:rFonts w:ascii="Arial" w:cs="Arial" w:eastAsia="Arial" w:hAnsi="Arial"/>
                <w:sz w:val="14"/>
                <w:szCs w:val="14"/>
                <w:b w:val="1"/>
                <w:bCs w:val="1"/>
                <w:color w:val="00467D"/>
              </w:rPr>
              <w:t>Proposal</w:t>
            </w:r>
          </w:p>
        </w:tc>
        <w:tc>
          <w:tcPr>
            <w:tcW w:w="2280" w:type="dxa"/>
            <w:vAlign w:val="bottom"/>
            <w:tcBorders>
              <w:bottom w:val="single" w:sz="8" w:color="00467D"/>
            </w:tcBorders>
          </w:tcPr>
          <w:p>
            <w:pPr>
              <w:ind w:left="740"/>
              <w:spacing w:after="0"/>
              <w:rPr>
                <w:sz w:val="20"/>
                <w:szCs w:val="20"/>
                <w:color w:val="auto"/>
              </w:rPr>
            </w:pPr>
            <w:r>
              <w:rPr>
                <w:rFonts w:ascii="Arial" w:cs="Arial" w:eastAsia="Arial" w:hAnsi="Arial"/>
                <w:sz w:val="14"/>
                <w:szCs w:val="14"/>
                <w:b w:val="1"/>
                <w:bCs w:val="1"/>
                <w:color w:val="00467D"/>
              </w:rPr>
              <w:t>Voting Options</w:t>
            </w:r>
          </w:p>
        </w:tc>
        <w:tc>
          <w:tcPr>
            <w:tcW w:w="1120" w:type="dxa"/>
            <w:vAlign w:val="bottom"/>
            <w:tcBorders>
              <w:bottom w:val="single" w:sz="8" w:color="00467D"/>
            </w:tcBorders>
          </w:tcPr>
          <w:p>
            <w:pPr>
              <w:jc w:val="center"/>
              <w:spacing w:after="0"/>
              <w:rPr>
                <w:sz w:val="20"/>
                <w:szCs w:val="20"/>
                <w:color w:val="auto"/>
              </w:rPr>
            </w:pPr>
            <w:r>
              <w:rPr>
                <w:rFonts w:ascii="Arial" w:cs="Arial" w:eastAsia="Arial" w:hAnsi="Arial"/>
                <w:sz w:val="14"/>
                <w:szCs w:val="14"/>
                <w:b w:val="1"/>
                <w:bCs w:val="1"/>
                <w:color w:val="00467D"/>
                <w:w w:val="96"/>
              </w:rPr>
              <w:t>Required Vote</w:t>
            </w:r>
          </w:p>
        </w:tc>
        <w:tc>
          <w:tcPr>
            <w:tcW w:w="2060" w:type="dxa"/>
            <w:vAlign w:val="bottom"/>
            <w:tcBorders>
              <w:bottom w:val="single" w:sz="8" w:color="00467D"/>
            </w:tcBorders>
          </w:tcPr>
          <w:p>
            <w:pPr>
              <w:ind w:left="480"/>
              <w:spacing w:after="0"/>
              <w:rPr>
                <w:sz w:val="20"/>
                <w:szCs w:val="20"/>
                <w:color w:val="auto"/>
              </w:rPr>
            </w:pPr>
            <w:r>
              <w:rPr>
                <w:rFonts w:ascii="Arial" w:cs="Arial" w:eastAsia="Arial" w:hAnsi="Arial"/>
                <w:sz w:val="14"/>
                <w:szCs w:val="14"/>
                <w:b w:val="1"/>
                <w:bCs w:val="1"/>
                <w:color w:val="00467D"/>
              </w:rPr>
              <w:t>Broker Non-Votes</w:t>
            </w:r>
          </w:p>
        </w:tc>
        <w:tc>
          <w:tcPr>
            <w:tcW w:w="1100" w:type="dxa"/>
            <w:vAlign w:val="bottom"/>
            <w:tcBorders>
              <w:bottom w:val="single" w:sz="8" w:color="00467D"/>
            </w:tcBorders>
          </w:tcPr>
          <w:p>
            <w:pPr>
              <w:jc w:val="center"/>
              <w:spacing w:after="0"/>
              <w:rPr>
                <w:sz w:val="20"/>
                <w:szCs w:val="20"/>
                <w:color w:val="auto"/>
              </w:rPr>
            </w:pPr>
            <w:r>
              <w:rPr>
                <w:rFonts w:ascii="Arial" w:cs="Arial" w:eastAsia="Arial" w:hAnsi="Arial"/>
                <w:sz w:val="14"/>
                <w:szCs w:val="14"/>
                <w:b w:val="1"/>
                <w:bCs w:val="1"/>
                <w:color w:val="00467D"/>
                <w:w w:val="96"/>
              </w:rPr>
              <w:t>Allowed?</w:t>
            </w:r>
          </w:p>
        </w:tc>
        <w:tc>
          <w:tcPr>
            <w:tcW w:w="800" w:type="dxa"/>
            <w:vAlign w:val="bottom"/>
            <w:tcBorders>
              <w:bottom w:val="single" w:sz="8" w:color="00467D"/>
            </w:tcBorders>
          </w:tcPr>
          <w:p>
            <w:pPr>
              <w:jc w:val="center"/>
              <w:spacing w:after="0"/>
              <w:rPr>
                <w:sz w:val="20"/>
                <w:szCs w:val="20"/>
                <w:color w:val="auto"/>
              </w:rPr>
            </w:pPr>
            <w:r>
              <w:rPr>
                <w:rFonts w:ascii="Arial" w:cs="Arial" w:eastAsia="Arial" w:hAnsi="Arial"/>
                <w:sz w:val="14"/>
                <w:szCs w:val="14"/>
                <w:b w:val="1"/>
                <w:bCs w:val="1"/>
                <w:color w:val="00467D"/>
                <w:w w:val="99"/>
              </w:rPr>
              <w:t>Proposal?</w:t>
            </w:r>
          </w:p>
        </w:tc>
        <w:tc>
          <w:tcPr>
            <w:tcW w:w="0" w:type="dxa"/>
            <w:vAlign w:val="bottom"/>
          </w:tcPr>
          <w:p>
            <w:pPr>
              <w:spacing w:after="0"/>
              <w:rPr>
                <w:sz w:val="1"/>
                <w:szCs w:val="1"/>
                <w:color w:val="auto"/>
              </w:rPr>
            </w:pPr>
          </w:p>
        </w:tc>
      </w:tr>
      <w:tr>
        <w:trPr>
          <w:trHeight w:val="231"/>
        </w:trPr>
        <w:tc>
          <w:tcPr>
            <w:tcW w:w="3180" w:type="dxa"/>
            <w:vAlign w:val="bottom"/>
            <w:vMerge w:val="restart"/>
          </w:tcPr>
          <w:p>
            <w:pPr>
              <w:ind w:left="80"/>
              <w:spacing w:after="0"/>
              <w:rPr>
                <w:sz w:val="20"/>
                <w:szCs w:val="20"/>
                <w:color w:val="auto"/>
              </w:rPr>
            </w:pPr>
            <w:r>
              <w:rPr>
                <w:rFonts w:ascii="Arial" w:cs="Arial" w:eastAsia="Arial" w:hAnsi="Arial"/>
                <w:sz w:val="14"/>
                <w:szCs w:val="14"/>
                <w:b w:val="1"/>
                <w:bCs w:val="1"/>
                <w:color w:val="00467D"/>
              </w:rPr>
              <w:t>1.</w:t>
            </w:r>
            <w:r>
              <w:rPr>
                <w:rFonts w:ascii="Arial" w:cs="Arial" w:eastAsia="Arial" w:hAnsi="Arial"/>
                <w:sz w:val="14"/>
                <w:szCs w:val="14"/>
                <w:color w:val="000000"/>
              </w:rPr>
              <w:t xml:space="preserve">   Election of directors</w:t>
            </w:r>
          </w:p>
        </w:tc>
        <w:tc>
          <w:tcPr>
            <w:tcW w:w="2280" w:type="dxa"/>
            <w:vAlign w:val="bottom"/>
          </w:tcPr>
          <w:p>
            <w:pPr>
              <w:ind w:left="180"/>
              <w:spacing w:after="0"/>
              <w:rPr>
                <w:sz w:val="20"/>
                <w:szCs w:val="20"/>
                <w:color w:val="auto"/>
              </w:rPr>
            </w:pPr>
            <w:r>
              <w:rPr>
                <w:rFonts w:ascii="Arial" w:cs="Arial" w:eastAsia="Arial" w:hAnsi="Arial"/>
                <w:sz w:val="14"/>
                <w:szCs w:val="14"/>
                <w:color w:val="auto"/>
              </w:rPr>
              <w:t>FOR, AGAINST or</w:t>
            </w:r>
          </w:p>
        </w:tc>
        <w:tc>
          <w:tcPr>
            <w:tcW w:w="1120" w:type="dxa"/>
            <w:vAlign w:val="bottom"/>
            <w:vMerge w:val="restart"/>
          </w:tcPr>
          <w:p>
            <w:pPr>
              <w:jc w:val="center"/>
              <w:spacing w:after="0"/>
              <w:rPr>
                <w:sz w:val="20"/>
                <w:szCs w:val="20"/>
                <w:color w:val="auto"/>
              </w:rPr>
            </w:pPr>
            <w:r>
              <w:rPr>
                <w:rFonts w:ascii="Arial" w:cs="Arial" w:eastAsia="Arial" w:hAnsi="Arial"/>
                <w:sz w:val="14"/>
                <w:szCs w:val="14"/>
                <w:color w:val="auto"/>
                <w:w w:val="99"/>
              </w:rPr>
              <w:t>Majority of</w:t>
            </w:r>
          </w:p>
        </w:tc>
        <w:tc>
          <w:tcPr>
            <w:tcW w:w="2060" w:type="dxa"/>
            <w:vAlign w:val="bottom"/>
            <w:vMerge w:val="restart"/>
          </w:tcPr>
          <w:p>
            <w:pPr>
              <w:ind w:left="60"/>
              <w:spacing w:after="0"/>
              <w:rPr>
                <w:sz w:val="20"/>
                <w:szCs w:val="20"/>
                <w:color w:val="auto"/>
              </w:rPr>
            </w:pPr>
            <w:r>
              <w:rPr>
                <w:rFonts w:ascii="Arial" w:cs="Arial" w:eastAsia="Arial" w:hAnsi="Arial"/>
                <w:sz w:val="14"/>
                <w:szCs w:val="14"/>
                <w:color w:val="auto"/>
              </w:rPr>
              <w:t>No effect - not counted</w:t>
            </w:r>
          </w:p>
        </w:tc>
        <w:tc>
          <w:tcPr>
            <w:tcW w:w="1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2"/>
        </w:trPr>
        <w:tc>
          <w:tcPr>
            <w:tcW w:w="3180" w:type="dxa"/>
            <w:vAlign w:val="bottom"/>
            <w:vMerge w:val="continue"/>
          </w:tcPr>
          <w:p>
            <w:pPr>
              <w:spacing w:after="0"/>
              <w:rPr>
                <w:sz w:val="6"/>
                <w:szCs w:val="6"/>
                <w:color w:val="auto"/>
              </w:rPr>
            </w:pPr>
          </w:p>
        </w:tc>
        <w:tc>
          <w:tcPr>
            <w:tcW w:w="2280" w:type="dxa"/>
            <w:vAlign w:val="bottom"/>
            <w:vMerge w:val="restart"/>
          </w:tcPr>
          <w:p>
            <w:pPr>
              <w:ind w:left="180"/>
              <w:spacing w:after="0" w:line="155" w:lineRule="exact"/>
              <w:rPr>
                <w:sz w:val="20"/>
                <w:szCs w:val="20"/>
                <w:color w:val="auto"/>
              </w:rPr>
            </w:pPr>
            <w:r>
              <w:rPr>
                <w:rFonts w:ascii="Arial" w:cs="Arial" w:eastAsia="Arial" w:hAnsi="Arial"/>
                <w:sz w:val="14"/>
                <w:szCs w:val="14"/>
                <w:color w:val="auto"/>
              </w:rPr>
              <w:t>ABSTAIN with respect</w:t>
            </w:r>
          </w:p>
        </w:tc>
        <w:tc>
          <w:tcPr>
            <w:tcW w:w="1120" w:type="dxa"/>
            <w:vAlign w:val="bottom"/>
            <w:vMerge w:val="continue"/>
          </w:tcPr>
          <w:p>
            <w:pPr>
              <w:spacing w:after="0"/>
              <w:rPr>
                <w:sz w:val="6"/>
                <w:szCs w:val="6"/>
                <w:color w:val="auto"/>
              </w:rPr>
            </w:pPr>
          </w:p>
        </w:tc>
        <w:tc>
          <w:tcPr>
            <w:tcW w:w="2060" w:type="dxa"/>
            <w:vAlign w:val="bottom"/>
            <w:vMerge w:val="continue"/>
          </w:tcPr>
          <w:p>
            <w:pPr>
              <w:spacing w:after="0"/>
              <w:rPr>
                <w:sz w:val="6"/>
                <w:szCs w:val="6"/>
                <w:color w:val="auto"/>
              </w:rPr>
            </w:pPr>
          </w:p>
        </w:tc>
        <w:tc>
          <w:tcPr>
            <w:tcW w:w="1100" w:type="dxa"/>
            <w:vAlign w:val="bottom"/>
            <w:vMerge w:val="restart"/>
          </w:tcPr>
          <w:p>
            <w:pPr>
              <w:jc w:val="center"/>
              <w:spacing w:after="0" w:line="155" w:lineRule="exact"/>
              <w:rPr>
                <w:sz w:val="20"/>
                <w:szCs w:val="20"/>
                <w:color w:val="auto"/>
              </w:rPr>
            </w:pPr>
            <w:r>
              <w:rPr>
                <w:rFonts w:ascii="Arial" w:cs="Arial" w:eastAsia="Arial" w:hAnsi="Arial"/>
                <w:sz w:val="14"/>
                <w:szCs w:val="14"/>
                <w:color w:val="auto"/>
                <w:w w:val="89"/>
              </w:rPr>
              <w:t>No</w:t>
            </w:r>
          </w:p>
        </w:tc>
        <w:tc>
          <w:tcPr>
            <w:tcW w:w="800" w:type="dxa"/>
            <w:vAlign w:val="bottom"/>
            <w:vMerge w:val="restart"/>
          </w:tcPr>
          <w:p>
            <w:pPr>
              <w:jc w:val="center"/>
              <w:spacing w:after="0" w:line="155" w:lineRule="exact"/>
              <w:rPr>
                <w:sz w:val="20"/>
                <w:szCs w:val="20"/>
                <w:color w:val="auto"/>
              </w:rPr>
            </w:pPr>
            <w:r>
              <w:rPr>
                <w:rFonts w:ascii="Arial" w:cs="Arial" w:eastAsia="Arial" w:hAnsi="Arial"/>
                <w:sz w:val="14"/>
                <w:szCs w:val="14"/>
                <w:color w:val="auto"/>
                <w:w w:val="89"/>
              </w:rPr>
              <w:t>No</w:t>
            </w:r>
          </w:p>
        </w:tc>
        <w:tc>
          <w:tcPr>
            <w:tcW w:w="0" w:type="dxa"/>
            <w:vAlign w:val="bottom"/>
          </w:tcPr>
          <w:p>
            <w:pPr>
              <w:spacing w:after="0"/>
              <w:rPr>
                <w:sz w:val="1"/>
                <w:szCs w:val="1"/>
                <w:color w:val="auto"/>
              </w:rPr>
            </w:pPr>
          </w:p>
        </w:tc>
      </w:tr>
      <w:tr>
        <w:trPr>
          <w:trHeight w:val="83"/>
        </w:trPr>
        <w:tc>
          <w:tcPr>
            <w:tcW w:w="3180" w:type="dxa"/>
            <w:vAlign w:val="bottom"/>
            <w:vMerge w:val="continue"/>
          </w:tcPr>
          <w:p>
            <w:pPr>
              <w:spacing w:after="0"/>
              <w:rPr>
                <w:sz w:val="7"/>
                <w:szCs w:val="7"/>
                <w:color w:val="auto"/>
              </w:rPr>
            </w:pPr>
          </w:p>
        </w:tc>
        <w:tc>
          <w:tcPr>
            <w:tcW w:w="2280" w:type="dxa"/>
            <w:vAlign w:val="bottom"/>
            <w:vMerge w:val="continue"/>
          </w:tcPr>
          <w:p>
            <w:pPr>
              <w:spacing w:after="0"/>
              <w:rPr>
                <w:sz w:val="7"/>
                <w:szCs w:val="7"/>
                <w:color w:val="auto"/>
              </w:rPr>
            </w:pPr>
          </w:p>
        </w:tc>
        <w:tc>
          <w:tcPr>
            <w:tcW w:w="1120" w:type="dxa"/>
            <w:vAlign w:val="bottom"/>
            <w:vMerge w:val="restart"/>
          </w:tcPr>
          <w:p>
            <w:pPr>
              <w:jc w:val="center"/>
              <w:spacing w:after="0" w:line="220" w:lineRule="exact"/>
              <w:rPr>
                <w:sz w:val="20"/>
                <w:szCs w:val="20"/>
                <w:color w:val="auto"/>
              </w:rPr>
            </w:pPr>
            <w:r>
              <w:rPr>
                <w:rFonts w:ascii="Arial" w:cs="Arial" w:eastAsia="Arial" w:hAnsi="Arial"/>
                <w:sz w:val="14"/>
                <w:szCs w:val="14"/>
                <w:color w:val="auto"/>
                <w:w w:val="96"/>
              </w:rPr>
              <w:t>votes cast</w:t>
            </w:r>
            <w:r>
              <w:rPr>
                <w:rFonts w:ascii="Arial" w:cs="Arial" w:eastAsia="Arial" w:hAnsi="Arial"/>
                <w:sz w:val="20"/>
                <w:szCs w:val="20"/>
                <w:color w:val="auto"/>
                <w:w w:val="96"/>
                <w:vertAlign w:val="superscript"/>
              </w:rPr>
              <w:t>1</w:t>
            </w:r>
          </w:p>
        </w:tc>
        <w:tc>
          <w:tcPr>
            <w:tcW w:w="2060" w:type="dxa"/>
            <w:vAlign w:val="bottom"/>
            <w:vMerge w:val="restart"/>
          </w:tcPr>
          <w:p>
            <w:pPr>
              <w:ind w:left="60"/>
              <w:spacing w:after="0"/>
              <w:rPr>
                <w:sz w:val="20"/>
                <w:szCs w:val="20"/>
                <w:color w:val="auto"/>
              </w:rPr>
            </w:pPr>
            <w:r>
              <w:rPr>
                <w:rFonts w:ascii="Arial" w:cs="Arial" w:eastAsia="Arial" w:hAnsi="Arial"/>
                <w:sz w:val="14"/>
                <w:szCs w:val="14"/>
                <w:color w:val="auto"/>
              </w:rPr>
              <w:t>as a “vote cast”</w:t>
            </w:r>
          </w:p>
        </w:tc>
        <w:tc>
          <w:tcPr>
            <w:tcW w:w="1100" w:type="dxa"/>
            <w:vAlign w:val="bottom"/>
            <w:vMerge w:val="continue"/>
          </w:tcPr>
          <w:p>
            <w:pPr>
              <w:spacing w:after="0"/>
              <w:rPr>
                <w:sz w:val="7"/>
                <w:szCs w:val="7"/>
                <w:color w:val="auto"/>
              </w:rPr>
            </w:pPr>
          </w:p>
        </w:tc>
        <w:tc>
          <w:tcPr>
            <w:tcW w:w="8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7"/>
        </w:trPr>
        <w:tc>
          <w:tcPr>
            <w:tcW w:w="3180" w:type="dxa"/>
            <w:vAlign w:val="bottom"/>
          </w:tcPr>
          <w:p>
            <w:pPr>
              <w:spacing w:after="0"/>
              <w:rPr>
                <w:sz w:val="11"/>
                <w:szCs w:val="11"/>
                <w:color w:val="auto"/>
              </w:rPr>
            </w:pPr>
          </w:p>
        </w:tc>
        <w:tc>
          <w:tcPr>
            <w:tcW w:w="2280" w:type="dxa"/>
            <w:vAlign w:val="bottom"/>
            <w:vMerge w:val="restart"/>
          </w:tcPr>
          <w:p>
            <w:pPr>
              <w:ind w:left="180"/>
              <w:spacing w:after="0"/>
              <w:rPr>
                <w:sz w:val="20"/>
                <w:szCs w:val="20"/>
                <w:color w:val="auto"/>
              </w:rPr>
            </w:pPr>
            <w:r>
              <w:rPr>
                <w:rFonts w:ascii="Arial" w:cs="Arial" w:eastAsia="Arial" w:hAnsi="Arial"/>
                <w:sz w:val="14"/>
                <w:szCs w:val="14"/>
                <w:color w:val="auto"/>
              </w:rPr>
              <w:t>to each of the director nominees</w:t>
            </w:r>
          </w:p>
        </w:tc>
        <w:tc>
          <w:tcPr>
            <w:tcW w:w="1120" w:type="dxa"/>
            <w:vAlign w:val="bottom"/>
            <w:vMerge w:val="continue"/>
          </w:tcPr>
          <w:p>
            <w:pPr>
              <w:spacing w:after="0"/>
              <w:rPr>
                <w:sz w:val="11"/>
                <w:szCs w:val="11"/>
                <w:color w:val="auto"/>
              </w:rPr>
            </w:pPr>
          </w:p>
        </w:tc>
        <w:tc>
          <w:tcPr>
            <w:tcW w:w="2060" w:type="dxa"/>
            <w:vAlign w:val="bottom"/>
            <w:vMerge w:val="continue"/>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9"/>
        </w:trPr>
        <w:tc>
          <w:tcPr>
            <w:tcW w:w="3180" w:type="dxa"/>
            <w:vAlign w:val="bottom"/>
            <w:tcBorders>
              <w:bottom w:val="single" w:sz="8" w:color="99B5CB"/>
            </w:tcBorders>
          </w:tcPr>
          <w:p>
            <w:pPr>
              <w:spacing w:after="0"/>
              <w:rPr>
                <w:sz w:val="3"/>
                <w:szCs w:val="3"/>
                <w:color w:val="auto"/>
              </w:rPr>
            </w:pPr>
          </w:p>
        </w:tc>
        <w:tc>
          <w:tcPr>
            <w:tcW w:w="2280" w:type="dxa"/>
            <w:vAlign w:val="bottom"/>
            <w:tcBorders>
              <w:bottom w:val="single" w:sz="8" w:color="99B5CB"/>
            </w:tcBorders>
            <w:vMerge w:val="continue"/>
          </w:tcPr>
          <w:p>
            <w:pPr>
              <w:spacing w:after="0"/>
              <w:rPr>
                <w:sz w:val="3"/>
                <w:szCs w:val="3"/>
                <w:color w:val="auto"/>
              </w:rPr>
            </w:pPr>
          </w:p>
        </w:tc>
        <w:tc>
          <w:tcPr>
            <w:tcW w:w="1120" w:type="dxa"/>
            <w:vAlign w:val="bottom"/>
            <w:tcBorders>
              <w:bottom w:val="single" w:sz="8" w:color="99B5CB"/>
            </w:tcBorders>
          </w:tcPr>
          <w:p>
            <w:pPr>
              <w:spacing w:after="0"/>
              <w:rPr>
                <w:sz w:val="3"/>
                <w:szCs w:val="3"/>
                <w:color w:val="auto"/>
              </w:rPr>
            </w:pPr>
          </w:p>
        </w:tc>
        <w:tc>
          <w:tcPr>
            <w:tcW w:w="2060" w:type="dxa"/>
            <w:vAlign w:val="bottom"/>
            <w:tcBorders>
              <w:bottom w:val="single" w:sz="8" w:color="99B5CB"/>
            </w:tcBorders>
          </w:tcPr>
          <w:p>
            <w:pPr>
              <w:spacing w:after="0"/>
              <w:rPr>
                <w:sz w:val="3"/>
                <w:szCs w:val="3"/>
                <w:color w:val="auto"/>
              </w:rPr>
            </w:pPr>
          </w:p>
        </w:tc>
        <w:tc>
          <w:tcPr>
            <w:tcW w:w="1100" w:type="dxa"/>
            <w:vAlign w:val="bottom"/>
            <w:tcBorders>
              <w:bottom w:val="single" w:sz="8" w:color="99B5CB"/>
            </w:tcBorders>
          </w:tcPr>
          <w:p>
            <w:pPr>
              <w:spacing w:after="0"/>
              <w:rPr>
                <w:sz w:val="3"/>
                <w:szCs w:val="3"/>
                <w:color w:val="auto"/>
              </w:rPr>
            </w:pPr>
          </w:p>
        </w:tc>
        <w:tc>
          <w:tcPr>
            <w:tcW w:w="800" w:type="dxa"/>
            <w:vAlign w:val="bottom"/>
            <w:tcBorders>
              <w:bottom w:val="single" w:sz="8" w:color="99B5CB"/>
            </w:tcBorders>
          </w:tcPr>
          <w:p>
            <w:pPr>
              <w:spacing w:after="0"/>
              <w:rPr>
                <w:sz w:val="3"/>
                <w:szCs w:val="3"/>
                <w:color w:val="auto"/>
              </w:rPr>
            </w:pPr>
          </w:p>
        </w:tc>
        <w:tc>
          <w:tcPr>
            <w:tcW w:w="0" w:type="dxa"/>
            <w:vAlign w:val="bottom"/>
          </w:tcPr>
          <w:p>
            <w:pPr>
              <w:spacing w:after="0"/>
              <w:rPr>
                <w:sz w:val="1"/>
                <w:szCs w:val="1"/>
                <w:color w:val="auto"/>
              </w:rPr>
            </w:pPr>
          </w:p>
        </w:tc>
      </w:tr>
      <w:tr>
        <w:trPr>
          <w:trHeight w:val="231"/>
        </w:trPr>
        <w:tc>
          <w:tcPr>
            <w:tcW w:w="3180" w:type="dxa"/>
            <w:vAlign w:val="bottom"/>
          </w:tcPr>
          <w:p>
            <w:pPr>
              <w:ind w:left="80"/>
              <w:spacing w:after="0"/>
              <w:rPr>
                <w:sz w:val="20"/>
                <w:szCs w:val="20"/>
                <w:color w:val="auto"/>
              </w:rPr>
            </w:pPr>
            <w:r>
              <w:rPr>
                <w:rFonts w:ascii="Arial" w:cs="Arial" w:eastAsia="Arial" w:hAnsi="Arial"/>
                <w:sz w:val="14"/>
                <w:szCs w:val="14"/>
                <w:b w:val="1"/>
                <w:bCs w:val="1"/>
                <w:color w:val="00467D"/>
              </w:rPr>
              <w:t>2.</w:t>
            </w:r>
            <w:r>
              <w:rPr>
                <w:rFonts w:ascii="Arial" w:cs="Arial" w:eastAsia="Arial" w:hAnsi="Arial"/>
                <w:sz w:val="14"/>
                <w:szCs w:val="14"/>
                <w:color w:val="000000"/>
              </w:rPr>
              <w:t xml:space="preserve">   Vote to approve named</w:t>
            </w:r>
          </w:p>
        </w:tc>
        <w:tc>
          <w:tcPr>
            <w:tcW w:w="2280" w:type="dxa"/>
            <w:vAlign w:val="bottom"/>
            <w:vMerge w:val="restart"/>
          </w:tcPr>
          <w:p>
            <w:pPr>
              <w:ind w:left="180"/>
              <w:spacing w:after="0"/>
              <w:rPr>
                <w:sz w:val="20"/>
                <w:szCs w:val="20"/>
                <w:color w:val="auto"/>
              </w:rPr>
            </w:pPr>
            <w:r>
              <w:rPr>
                <w:rFonts w:ascii="Arial" w:cs="Arial" w:eastAsia="Arial" w:hAnsi="Arial"/>
                <w:sz w:val="14"/>
                <w:szCs w:val="14"/>
                <w:color w:val="auto"/>
              </w:rPr>
              <w:t>FOR, AGAINST or ABSTAIN</w:t>
            </w:r>
          </w:p>
        </w:tc>
        <w:tc>
          <w:tcPr>
            <w:tcW w:w="1120" w:type="dxa"/>
            <w:vAlign w:val="bottom"/>
          </w:tcPr>
          <w:p>
            <w:pPr>
              <w:jc w:val="center"/>
              <w:spacing w:after="0"/>
              <w:rPr>
                <w:sz w:val="20"/>
                <w:szCs w:val="20"/>
                <w:color w:val="auto"/>
              </w:rPr>
            </w:pPr>
            <w:r>
              <w:rPr>
                <w:rFonts w:ascii="Arial" w:cs="Arial" w:eastAsia="Arial" w:hAnsi="Arial"/>
                <w:sz w:val="14"/>
                <w:szCs w:val="14"/>
                <w:color w:val="auto"/>
                <w:w w:val="99"/>
              </w:rPr>
              <w:t>Majority of</w:t>
            </w:r>
          </w:p>
        </w:tc>
        <w:tc>
          <w:tcPr>
            <w:tcW w:w="2060" w:type="dxa"/>
            <w:vAlign w:val="bottom"/>
          </w:tcPr>
          <w:p>
            <w:pPr>
              <w:ind w:left="60"/>
              <w:spacing w:after="0"/>
              <w:rPr>
                <w:sz w:val="20"/>
                <w:szCs w:val="20"/>
                <w:color w:val="auto"/>
              </w:rPr>
            </w:pPr>
            <w:r>
              <w:rPr>
                <w:rFonts w:ascii="Arial" w:cs="Arial" w:eastAsia="Arial" w:hAnsi="Arial"/>
                <w:sz w:val="14"/>
                <w:szCs w:val="14"/>
                <w:color w:val="auto"/>
              </w:rPr>
              <w:t>No effect - not counted</w:t>
            </w:r>
          </w:p>
        </w:tc>
        <w:tc>
          <w:tcPr>
            <w:tcW w:w="1100" w:type="dxa"/>
            <w:vAlign w:val="bottom"/>
            <w:vMerge w:val="restart"/>
          </w:tcPr>
          <w:p>
            <w:pPr>
              <w:jc w:val="center"/>
              <w:spacing w:after="0"/>
              <w:rPr>
                <w:sz w:val="20"/>
                <w:szCs w:val="20"/>
                <w:color w:val="auto"/>
              </w:rPr>
            </w:pPr>
            <w:r>
              <w:rPr>
                <w:rFonts w:ascii="Arial" w:cs="Arial" w:eastAsia="Arial" w:hAnsi="Arial"/>
                <w:sz w:val="14"/>
                <w:szCs w:val="14"/>
                <w:color w:val="auto"/>
                <w:w w:val="89"/>
              </w:rPr>
              <w:t>No</w:t>
            </w:r>
          </w:p>
        </w:tc>
        <w:tc>
          <w:tcPr>
            <w:tcW w:w="800" w:type="dxa"/>
            <w:vAlign w:val="bottom"/>
            <w:vMerge w:val="restart"/>
          </w:tcPr>
          <w:p>
            <w:pPr>
              <w:jc w:val="center"/>
              <w:spacing w:after="0"/>
              <w:rPr>
                <w:sz w:val="20"/>
                <w:szCs w:val="20"/>
                <w:color w:val="auto"/>
              </w:rPr>
            </w:pPr>
            <w:r>
              <w:rPr>
                <w:rFonts w:ascii="Arial" w:cs="Arial" w:eastAsia="Arial" w:hAnsi="Arial"/>
                <w:sz w:val="14"/>
                <w:szCs w:val="14"/>
                <w:color w:val="auto"/>
                <w:w w:val="99"/>
              </w:rPr>
              <w:t>Yes</w:t>
            </w:r>
          </w:p>
        </w:tc>
        <w:tc>
          <w:tcPr>
            <w:tcW w:w="0" w:type="dxa"/>
            <w:vAlign w:val="bottom"/>
          </w:tcPr>
          <w:p>
            <w:pPr>
              <w:spacing w:after="0"/>
              <w:rPr>
                <w:sz w:val="1"/>
                <w:szCs w:val="1"/>
                <w:color w:val="auto"/>
              </w:rPr>
            </w:pPr>
          </w:p>
        </w:tc>
      </w:tr>
      <w:tr>
        <w:trPr>
          <w:trHeight w:val="103"/>
        </w:trPr>
        <w:tc>
          <w:tcPr>
            <w:tcW w:w="3180" w:type="dxa"/>
            <w:vAlign w:val="bottom"/>
            <w:vMerge w:val="restart"/>
          </w:tcPr>
          <w:p>
            <w:pPr>
              <w:ind w:left="280"/>
              <w:spacing w:after="0"/>
              <w:rPr>
                <w:sz w:val="20"/>
                <w:szCs w:val="20"/>
                <w:color w:val="auto"/>
              </w:rPr>
            </w:pPr>
            <w:r>
              <w:rPr>
                <w:rFonts w:ascii="Arial" w:cs="Arial" w:eastAsia="Arial" w:hAnsi="Arial"/>
                <w:sz w:val="14"/>
                <w:szCs w:val="14"/>
                <w:color w:val="auto"/>
              </w:rPr>
              <w:t>executive officer compensation (Say-on-Pay)</w:t>
            </w:r>
          </w:p>
        </w:tc>
        <w:tc>
          <w:tcPr>
            <w:tcW w:w="2280" w:type="dxa"/>
            <w:vAlign w:val="bottom"/>
            <w:vMerge w:val="continue"/>
          </w:tcPr>
          <w:p>
            <w:pPr>
              <w:spacing w:after="0"/>
              <w:rPr>
                <w:sz w:val="8"/>
                <w:szCs w:val="8"/>
                <w:color w:val="auto"/>
              </w:rPr>
            </w:pPr>
          </w:p>
        </w:tc>
        <w:tc>
          <w:tcPr>
            <w:tcW w:w="1120" w:type="dxa"/>
            <w:vAlign w:val="bottom"/>
            <w:vMerge w:val="restart"/>
          </w:tcPr>
          <w:p>
            <w:pPr>
              <w:jc w:val="center"/>
              <w:spacing w:after="0"/>
              <w:rPr>
                <w:sz w:val="20"/>
                <w:szCs w:val="20"/>
                <w:color w:val="auto"/>
              </w:rPr>
            </w:pPr>
            <w:r>
              <w:rPr>
                <w:rFonts w:ascii="Arial" w:cs="Arial" w:eastAsia="Arial" w:hAnsi="Arial"/>
                <w:sz w:val="14"/>
                <w:szCs w:val="14"/>
                <w:color w:val="auto"/>
                <w:w w:val="98"/>
              </w:rPr>
              <w:t>votes cast</w:t>
            </w:r>
          </w:p>
        </w:tc>
        <w:tc>
          <w:tcPr>
            <w:tcW w:w="2060" w:type="dxa"/>
            <w:vAlign w:val="bottom"/>
            <w:vMerge w:val="restart"/>
          </w:tcPr>
          <w:p>
            <w:pPr>
              <w:ind w:left="60"/>
              <w:spacing w:after="0"/>
              <w:rPr>
                <w:sz w:val="20"/>
                <w:szCs w:val="20"/>
                <w:color w:val="auto"/>
              </w:rPr>
            </w:pPr>
            <w:r>
              <w:rPr>
                <w:rFonts w:ascii="Arial" w:cs="Arial" w:eastAsia="Arial" w:hAnsi="Arial"/>
                <w:sz w:val="14"/>
                <w:szCs w:val="14"/>
                <w:color w:val="auto"/>
              </w:rPr>
              <w:t>as a “vote cast”</w:t>
            </w:r>
          </w:p>
        </w:tc>
        <w:tc>
          <w:tcPr>
            <w:tcW w:w="110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2"/>
        </w:trPr>
        <w:tc>
          <w:tcPr>
            <w:tcW w:w="3180" w:type="dxa"/>
            <w:vAlign w:val="bottom"/>
            <w:tcBorders>
              <w:bottom w:val="single" w:sz="8" w:color="99B5CB"/>
            </w:tcBorders>
            <w:vMerge w:val="continue"/>
          </w:tcPr>
          <w:p>
            <w:pPr>
              <w:spacing w:after="0"/>
              <w:rPr>
                <w:sz w:val="6"/>
                <w:szCs w:val="6"/>
                <w:color w:val="auto"/>
              </w:rPr>
            </w:pPr>
          </w:p>
        </w:tc>
        <w:tc>
          <w:tcPr>
            <w:tcW w:w="2280" w:type="dxa"/>
            <w:vAlign w:val="bottom"/>
            <w:tcBorders>
              <w:bottom w:val="single" w:sz="8" w:color="99B5CB"/>
            </w:tcBorders>
          </w:tcPr>
          <w:p>
            <w:pPr>
              <w:spacing w:after="0"/>
              <w:rPr>
                <w:sz w:val="6"/>
                <w:szCs w:val="6"/>
                <w:color w:val="auto"/>
              </w:rPr>
            </w:pPr>
          </w:p>
        </w:tc>
        <w:tc>
          <w:tcPr>
            <w:tcW w:w="1120" w:type="dxa"/>
            <w:vAlign w:val="bottom"/>
            <w:tcBorders>
              <w:bottom w:val="single" w:sz="8" w:color="99B5CB"/>
            </w:tcBorders>
            <w:vMerge w:val="continue"/>
          </w:tcPr>
          <w:p>
            <w:pPr>
              <w:spacing w:after="0"/>
              <w:rPr>
                <w:sz w:val="6"/>
                <w:szCs w:val="6"/>
                <w:color w:val="auto"/>
              </w:rPr>
            </w:pPr>
          </w:p>
        </w:tc>
        <w:tc>
          <w:tcPr>
            <w:tcW w:w="2060" w:type="dxa"/>
            <w:vAlign w:val="bottom"/>
            <w:tcBorders>
              <w:bottom w:val="single" w:sz="8" w:color="99B5CB"/>
            </w:tcBorders>
            <w:vMerge w:val="continue"/>
          </w:tcPr>
          <w:p>
            <w:pPr>
              <w:spacing w:after="0"/>
              <w:rPr>
                <w:sz w:val="6"/>
                <w:szCs w:val="6"/>
                <w:color w:val="auto"/>
              </w:rPr>
            </w:pPr>
          </w:p>
        </w:tc>
        <w:tc>
          <w:tcPr>
            <w:tcW w:w="1100" w:type="dxa"/>
            <w:vAlign w:val="bottom"/>
            <w:tcBorders>
              <w:bottom w:val="single" w:sz="8" w:color="99B5CB"/>
            </w:tcBorders>
          </w:tcPr>
          <w:p>
            <w:pPr>
              <w:spacing w:after="0"/>
              <w:rPr>
                <w:sz w:val="6"/>
                <w:szCs w:val="6"/>
                <w:color w:val="auto"/>
              </w:rPr>
            </w:pPr>
          </w:p>
        </w:tc>
        <w:tc>
          <w:tcPr>
            <w:tcW w:w="800" w:type="dxa"/>
            <w:vAlign w:val="bottom"/>
            <w:tcBorders>
              <w:bottom w:val="single" w:sz="8" w:color="99B5CB"/>
            </w:tcBorders>
          </w:tcPr>
          <w:p>
            <w:pPr>
              <w:spacing w:after="0"/>
              <w:rPr>
                <w:sz w:val="6"/>
                <w:szCs w:val="6"/>
                <w:color w:val="auto"/>
              </w:rPr>
            </w:pPr>
          </w:p>
        </w:tc>
        <w:tc>
          <w:tcPr>
            <w:tcW w:w="0" w:type="dxa"/>
            <w:vAlign w:val="bottom"/>
          </w:tcPr>
          <w:p>
            <w:pPr>
              <w:spacing w:after="0"/>
              <w:rPr>
                <w:sz w:val="1"/>
                <w:szCs w:val="1"/>
                <w:color w:val="auto"/>
              </w:rPr>
            </w:pPr>
          </w:p>
        </w:tc>
      </w:tr>
      <w:tr>
        <w:trPr>
          <w:trHeight w:val="231"/>
        </w:trPr>
        <w:tc>
          <w:tcPr>
            <w:tcW w:w="318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60" w:type="dxa"/>
            <w:vAlign w:val="bottom"/>
          </w:tcPr>
          <w:p>
            <w:pPr>
              <w:ind w:left="60"/>
              <w:spacing w:after="0"/>
              <w:rPr>
                <w:sz w:val="20"/>
                <w:szCs w:val="20"/>
                <w:color w:val="auto"/>
              </w:rPr>
            </w:pPr>
            <w:r>
              <w:rPr>
                <w:rFonts w:ascii="Arial" w:cs="Arial" w:eastAsia="Arial" w:hAnsi="Arial"/>
                <w:sz w:val="14"/>
                <w:szCs w:val="14"/>
                <w:color w:val="auto"/>
              </w:rPr>
              <w:t>Abstentions have no</w:t>
            </w:r>
          </w:p>
        </w:tc>
        <w:tc>
          <w:tcPr>
            <w:tcW w:w="1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3180" w:type="dxa"/>
            <w:vAlign w:val="bottom"/>
            <w:vMerge w:val="restart"/>
          </w:tcPr>
          <w:p>
            <w:pPr>
              <w:ind w:left="80"/>
              <w:spacing w:after="0"/>
              <w:rPr>
                <w:sz w:val="20"/>
                <w:szCs w:val="20"/>
                <w:color w:val="auto"/>
              </w:rPr>
            </w:pPr>
            <w:r>
              <w:rPr>
                <w:rFonts w:ascii="Arial" w:cs="Arial" w:eastAsia="Arial" w:hAnsi="Arial"/>
                <w:sz w:val="14"/>
                <w:szCs w:val="14"/>
                <w:b w:val="1"/>
                <w:bCs w:val="1"/>
                <w:color w:val="00467D"/>
              </w:rPr>
              <w:t>3.</w:t>
            </w:r>
            <w:r>
              <w:rPr>
                <w:rFonts w:ascii="Arial" w:cs="Arial" w:eastAsia="Arial" w:hAnsi="Arial"/>
                <w:sz w:val="14"/>
                <w:szCs w:val="14"/>
                <w:color w:val="000000"/>
              </w:rPr>
              <w:t xml:space="preserve">   Ratification of appointment of independent</w:t>
            </w:r>
          </w:p>
        </w:tc>
        <w:tc>
          <w:tcPr>
            <w:tcW w:w="2280" w:type="dxa"/>
            <w:vAlign w:val="bottom"/>
            <w:vMerge w:val="restart"/>
          </w:tcPr>
          <w:p>
            <w:pPr>
              <w:ind w:left="180"/>
              <w:spacing w:after="0"/>
              <w:rPr>
                <w:sz w:val="20"/>
                <w:szCs w:val="20"/>
                <w:color w:val="auto"/>
              </w:rPr>
            </w:pPr>
            <w:r>
              <w:rPr>
                <w:rFonts w:ascii="Arial" w:cs="Arial" w:eastAsia="Arial" w:hAnsi="Arial"/>
                <w:sz w:val="14"/>
                <w:szCs w:val="14"/>
                <w:color w:val="auto"/>
              </w:rPr>
              <w:t>FOR, AGAINST or ABSTAIN</w:t>
            </w:r>
          </w:p>
        </w:tc>
        <w:tc>
          <w:tcPr>
            <w:tcW w:w="1120" w:type="dxa"/>
            <w:vAlign w:val="bottom"/>
            <w:vMerge w:val="restart"/>
          </w:tcPr>
          <w:p>
            <w:pPr>
              <w:jc w:val="center"/>
              <w:spacing w:after="0"/>
              <w:rPr>
                <w:sz w:val="20"/>
                <w:szCs w:val="20"/>
                <w:color w:val="auto"/>
              </w:rPr>
            </w:pPr>
            <w:r>
              <w:rPr>
                <w:rFonts w:ascii="Arial" w:cs="Arial" w:eastAsia="Arial" w:hAnsi="Arial"/>
                <w:sz w:val="14"/>
                <w:szCs w:val="14"/>
                <w:color w:val="auto"/>
                <w:w w:val="99"/>
              </w:rPr>
              <w:t>Majority of</w:t>
            </w:r>
          </w:p>
        </w:tc>
        <w:tc>
          <w:tcPr>
            <w:tcW w:w="2060" w:type="dxa"/>
            <w:vAlign w:val="bottom"/>
          </w:tcPr>
          <w:p>
            <w:pPr>
              <w:ind w:left="60"/>
              <w:spacing w:after="0" w:line="155" w:lineRule="exact"/>
              <w:rPr>
                <w:sz w:val="20"/>
                <w:szCs w:val="20"/>
                <w:color w:val="auto"/>
              </w:rPr>
            </w:pPr>
            <w:r>
              <w:rPr>
                <w:rFonts w:ascii="Arial" w:cs="Arial" w:eastAsia="Arial" w:hAnsi="Arial"/>
                <w:sz w:val="14"/>
                <w:szCs w:val="14"/>
                <w:color w:val="auto"/>
              </w:rPr>
              <w:t>effect - not counted as</w:t>
            </w:r>
          </w:p>
        </w:tc>
        <w:tc>
          <w:tcPr>
            <w:tcW w:w="1100" w:type="dxa"/>
            <w:vAlign w:val="bottom"/>
            <w:vMerge w:val="restart"/>
          </w:tcPr>
          <w:p>
            <w:pPr>
              <w:jc w:val="center"/>
              <w:spacing w:after="0"/>
              <w:rPr>
                <w:sz w:val="20"/>
                <w:szCs w:val="20"/>
                <w:color w:val="auto"/>
              </w:rPr>
            </w:pPr>
            <w:r>
              <w:rPr>
                <w:rFonts w:ascii="Arial" w:cs="Arial" w:eastAsia="Arial" w:hAnsi="Arial"/>
                <w:sz w:val="14"/>
                <w:szCs w:val="14"/>
                <w:color w:val="auto"/>
                <w:w w:val="99"/>
              </w:rPr>
              <w:t>Yes</w:t>
            </w:r>
          </w:p>
        </w:tc>
        <w:tc>
          <w:tcPr>
            <w:tcW w:w="800" w:type="dxa"/>
            <w:vAlign w:val="bottom"/>
            <w:vMerge w:val="restart"/>
          </w:tcPr>
          <w:p>
            <w:pPr>
              <w:jc w:val="center"/>
              <w:spacing w:after="0"/>
              <w:rPr>
                <w:sz w:val="20"/>
                <w:szCs w:val="20"/>
                <w:color w:val="auto"/>
              </w:rPr>
            </w:pPr>
            <w:r>
              <w:rPr>
                <w:rFonts w:ascii="Arial" w:cs="Arial" w:eastAsia="Arial" w:hAnsi="Arial"/>
                <w:sz w:val="14"/>
                <w:szCs w:val="14"/>
                <w:color w:val="auto"/>
                <w:w w:val="99"/>
              </w:rPr>
              <w:t>Yes</w:t>
            </w:r>
          </w:p>
        </w:tc>
        <w:tc>
          <w:tcPr>
            <w:tcW w:w="0" w:type="dxa"/>
            <w:vAlign w:val="bottom"/>
          </w:tcPr>
          <w:p>
            <w:pPr>
              <w:spacing w:after="0"/>
              <w:rPr>
                <w:sz w:val="1"/>
                <w:szCs w:val="1"/>
                <w:color w:val="auto"/>
              </w:rPr>
            </w:pPr>
          </w:p>
        </w:tc>
      </w:tr>
      <w:tr>
        <w:trPr>
          <w:trHeight w:val="52"/>
        </w:trPr>
        <w:tc>
          <w:tcPr>
            <w:tcW w:w="3180" w:type="dxa"/>
            <w:vAlign w:val="bottom"/>
            <w:vMerge w:val="continue"/>
          </w:tcPr>
          <w:p>
            <w:pPr>
              <w:spacing w:after="0"/>
              <w:rPr>
                <w:sz w:val="4"/>
                <w:szCs w:val="4"/>
                <w:color w:val="auto"/>
              </w:rPr>
            </w:pPr>
          </w:p>
        </w:tc>
        <w:tc>
          <w:tcPr>
            <w:tcW w:w="228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2060" w:type="dxa"/>
            <w:vAlign w:val="bottom"/>
            <w:vMerge w:val="restart"/>
          </w:tcPr>
          <w:p>
            <w:pPr>
              <w:ind w:left="60"/>
              <w:spacing w:after="0"/>
              <w:rPr>
                <w:sz w:val="20"/>
                <w:szCs w:val="20"/>
                <w:color w:val="auto"/>
              </w:rPr>
            </w:pPr>
            <w:r>
              <w:rPr>
                <w:rFonts w:ascii="Arial" w:cs="Arial" w:eastAsia="Arial" w:hAnsi="Arial"/>
                <w:sz w:val="14"/>
                <w:szCs w:val="14"/>
                <w:color w:val="auto"/>
              </w:rPr>
              <w:t>a “vote cast”</w:t>
            </w:r>
          </w:p>
        </w:tc>
        <w:tc>
          <w:tcPr>
            <w:tcW w:w="1100" w:type="dxa"/>
            <w:vAlign w:val="bottom"/>
            <w:vMerge w:val="continue"/>
          </w:tcPr>
          <w:p>
            <w:pPr>
              <w:spacing w:after="0"/>
              <w:rPr>
                <w:sz w:val="4"/>
                <w:szCs w:val="4"/>
                <w:color w:val="auto"/>
              </w:rPr>
            </w:pPr>
          </w:p>
        </w:tc>
        <w:tc>
          <w:tcPr>
            <w:tcW w:w="8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9"/>
        </w:trPr>
        <w:tc>
          <w:tcPr>
            <w:tcW w:w="3180" w:type="dxa"/>
            <w:vAlign w:val="bottom"/>
            <w:vMerge w:val="restart"/>
          </w:tcPr>
          <w:p>
            <w:pPr>
              <w:ind w:left="280"/>
              <w:spacing w:after="0"/>
              <w:rPr>
                <w:sz w:val="20"/>
                <w:szCs w:val="20"/>
                <w:color w:val="auto"/>
              </w:rPr>
            </w:pPr>
            <w:r>
              <w:rPr>
                <w:rFonts w:ascii="Arial" w:cs="Arial" w:eastAsia="Arial" w:hAnsi="Arial"/>
                <w:sz w:val="14"/>
                <w:szCs w:val="14"/>
                <w:color w:val="auto"/>
              </w:rPr>
              <w:t>auditors</w:t>
            </w:r>
          </w:p>
        </w:tc>
        <w:tc>
          <w:tcPr>
            <w:tcW w:w="2280" w:type="dxa"/>
            <w:vAlign w:val="bottom"/>
            <w:vMerge w:val="continue"/>
          </w:tcPr>
          <w:p>
            <w:pPr>
              <w:spacing w:after="0"/>
              <w:rPr>
                <w:sz w:val="11"/>
                <w:szCs w:val="11"/>
                <w:color w:val="auto"/>
              </w:rPr>
            </w:pPr>
          </w:p>
        </w:tc>
        <w:tc>
          <w:tcPr>
            <w:tcW w:w="1120" w:type="dxa"/>
            <w:vAlign w:val="bottom"/>
            <w:vMerge w:val="restart"/>
          </w:tcPr>
          <w:p>
            <w:pPr>
              <w:jc w:val="center"/>
              <w:spacing w:after="0"/>
              <w:rPr>
                <w:sz w:val="20"/>
                <w:szCs w:val="20"/>
                <w:color w:val="auto"/>
              </w:rPr>
            </w:pPr>
            <w:r>
              <w:rPr>
                <w:rFonts w:ascii="Arial" w:cs="Arial" w:eastAsia="Arial" w:hAnsi="Arial"/>
                <w:sz w:val="14"/>
                <w:szCs w:val="14"/>
                <w:color w:val="auto"/>
                <w:w w:val="98"/>
              </w:rPr>
              <w:t>votes cast</w:t>
            </w:r>
          </w:p>
        </w:tc>
        <w:tc>
          <w:tcPr>
            <w:tcW w:w="2060" w:type="dxa"/>
            <w:vAlign w:val="bottom"/>
            <w:vMerge w:val="continue"/>
          </w:tcPr>
          <w:p>
            <w:pPr>
              <w:spacing w:after="0"/>
              <w:rPr>
                <w:sz w:val="11"/>
                <w:szCs w:val="11"/>
                <w:color w:val="auto"/>
              </w:rPr>
            </w:pPr>
          </w:p>
        </w:tc>
        <w:tc>
          <w:tcPr>
            <w:tcW w:w="1100" w:type="dxa"/>
            <w:vAlign w:val="bottom"/>
            <w:vMerge w:val="continue"/>
          </w:tcPr>
          <w:p>
            <w:pPr>
              <w:spacing w:after="0"/>
              <w:rPr>
                <w:sz w:val="11"/>
                <w:szCs w:val="11"/>
                <w:color w:val="auto"/>
              </w:rPr>
            </w:pPr>
          </w:p>
        </w:tc>
        <w:tc>
          <w:tcPr>
            <w:tcW w:w="8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5"/>
        </w:trPr>
        <w:tc>
          <w:tcPr>
            <w:tcW w:w="3180" w:type="dxa"/>
            <w:vAlign w:val="bottom"/>
            <w:vMerge w:val="continue"/>
          </w:tcPr>
          <w:p>
            <w:pPr>
              <w:spacing w:after="0"/>
              <w:rPr>
                <w:sz w:val="5"/>
                <w:szCs w:val="5"/>
                <w:color w:val="auto"/>
              </w:rPr>
            </w:pPr>
          </w:p>
        </w:tc>
        <w:tc>
          <w:tcPr>
            <w:tcW w:w="228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20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7"/>
        </w:trPr>
        <w:tc>
          <w:tcPr>
            <w:tcW w:w="318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60" w:type="dxa"/>
            <w:vAlign w:val="bottom"/>
          </w:tcPr>
          <w:p>
            <w:pPr>
              <w:ind w:left="60"/>
              <w:spacing w:after="0"/>
              <w:rPr>
                <w:sz w:val="20"/>
                <w:szCs w:val="20"/>
                <w:color w:val="auto"/>
              </w:rPr>
            </w:pPr>
            <w:r>
              <w:rPr>
                <w:rFonts w:ascii="Arial" w:cs="Arial" w:eastAsia="Arial" w:hAnsi="Arial"/>
                <w:sz w:val="14"/>
                <w:szCs w:val="14"/>
                <w:color w:val="auto"/>
              </w:rPr>
              <w:t>Broker Non-Votes are counted</w:t>
            </w:r>
          </w:p>
        </w:tc>
        <w:tc>
          <w:tcPr>
            <w:tcW w:w="1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231775</wp:posOffset>
            </wp:positionH>
            <wp:positionV relativeFrom="paragraph">
              <wp:posOffset>62230</wp:posOffset>
            </wp:positionV>
            <wp:extent cx="668782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6687820" cy="8255"/>
                    </a:xfrm>
                    <a:prstGeom prst="rect">
                      <a:avLst/>
                    </a:prstGeom>
                    <a:noFill/>
                  </pic:spPr>
                </pic:pic>
              </a:graphicData>
            </a:graphic>
          </wp:anchor>
        </w:drawing>
      </w:r>
    </w:p>
    <w:p>
      <w:pPr>
        <w:spacing w:after="0" w:line="161" w:lineRule="exact"/>
        <w:rPr>
          <w:sz w:val="20"/>
          <w:szCs w:val="20"/>
          <w:color w:val="auto"/>
        </w:rPr>
      </w:pPr>
    </w:p>
    <w:p>
      <w:pPr>
        <w:ind w:left="780" w:right="180" w:hanging="422"/>
        <w:spacing w:after="0" w:line="259" w:lineRule="auto"/>
        <w:tabs>
          <w:tab w:leader="none" w:pos="780" w:val="left"/>
        </w:tabs>
        <w:numPr>
          <w:ilvl w:val="0"/>
          <w:numId w:val="65"/>
        </w:numPr>
        <w:rPr>
          <w:rFonts w:ascii="Arial" w:cs="Arial" w:eastAsia="Arial" w:hAnsi="Arial"/>
          <w:sz w:val="14"/>
          <w:szCs w:val="14"/>
          <w:color w:val="auto"/>
        </w:rPr>
      </w:pPr>
      <w:r>
        <w:rPr>
          <w:rFonts w:ascii="Arial" w:cs="Arial" w:eastAsia="Arial" w:hAnsi="Arial"/>
          <w:sz w:val="14"/>
          <w:szCs w:val="14"/>
          <w:color w:val="auto"/>
        </w:rPr>
        <w:t>In accordance with our Corporate Governance Guidelines, because the election of directors is uncontested, a director nominee must receive more votes cast “FOR” than “AGAINST” his election in order to be elected.</w:t>
      </w:r>
    </w:p>
    <w:p>
      <w:pPr>
        <w:spacing w:after="0" w:line="134" w:lineRule="exact"/>
        <w:rPr>
          <w:sz w:val="20"/>
          <w:szCs w:val="20"/>
          <w:color w:val="auto"/>
        </w:rPr>
      </w:pPr>
    </w:p>
    <w:p>
      <w:pPr>
        <w:jc w:val="both"/>
        <w:ind w:left="780" w:right="80"/>
        <w:spacing w:after="0" w:line="256" w:lineRule="auto"/>
        <w:rPr>
          <w:sz w:val="20"/>
          <w:szCs w:val="20"/>
          <w:color w:val="auto"/>
        </w:rPr>
      </w:pPr>
      <w:r>
        <w:rPr>
          <w:rFonts w:ascii="Arial" w:cs="Arial" w:eastAsia="Arial" w:hAnsi="Arial"/>
          <w:sz w:val="17"/>
          <w:szCs w:val="17"/>
          <w:color w:val="auto"/>
        </w:rPr>
        <w:t>If you are a shareholder of record and you sign and return your proxy card without giving specific voting instructions, your shares will be voted on the proposals as recommended by our Board and in accordance with the discretion of the persons named on the proxy card with respect to any other matters that may properly come before the Annual Meeting.</w:t>
      </w:r>
    </w:p>
    <w:p>
      <w:pPr>
        <w:spacing w:after="0" w:line="123" w:lineRule="exact"/>
        <w:rPr>
          <w:sz w:val="20"/>
          <w:szCs w:val="20"/>
          <w:color w:val="auto"/>
        </w:rPr>
      </w:pPr>
    </w:p>
    <w:p>
      <w:pPr>
        <w:ind w:left="780" w:right="40"/>
        <w:spacing w:after="0" w:line="243" w:lineRule="auto"/>
        <w:rPr>
          <w:sz w:val="20"/>
          <w:szCs w:val="20"/>
          <w:color w:val="auto"/>
        </w:rPr>
      </w:pPr>
      <w:r>
        <w:rPr>
          <w:rFonts w:ascii="Arial" w:cs="Arial" w:eastAsia="Arial" w:hAnsi="Arial"/>
          <w:sz w:val="17"/>
          <w:szCs w:val="17"/>
          <w:color w:val="auto"/>
        </w:rPr>
        <w:t>If your shares are held in street name and you do not instruct your broker on a timely basis on how to vote your shares, your brokerage firm, in its discretion, may either leave your shares unvoted or vote your shares on routine matters. Only the ratification of Ernst &amp; Young LLP as our independent registered public accounting firm is a routine matter. Without your voting instructions, your brokerage firm cannot vote your shares on Proposal 1 or Proposal 2. These unvoted shares, called “broker non-votes,” refer to shares held by brokers who have not received voting instructions from their clients and who do not have discretionary authority to vote on non-routine matters. Broker non-votes are not considered entitled to vote on non-routine proposals. Broker non-votes will not have an effect on the outcome of the election of any director nominee or on the advisory vote on named executive officer compensation.</w:t>
      </w:r>
    </w:p>
    <w:p>
      <w:pPr>
        <w:spacing w:after="0" w:line="200" w:lineRule="exact"/>
        <w:rPr>
          <w:sz w:val="20"/>
          <w:szCs w:val="20"/>
          <w:color w:val="auto"/>
        </w:rPr>
      </w:pPr>
    </w:p>
    <w:p>
      <w:pPr>
        <w:spacing w:after="0" w:line="299" w:lineRule="exact"/>
        <w:rPr>
          <w:sz w:val="20"/>
          <w:szCs w:val="20"/>
          <w:color w:val="auto"/>
        </w:rPr>
      </w:pPr>
    </w:p>
    <w:p>
      <w:pPr>
        <w:ind w:left="780" w:right="1080" w:hanging="422"/>
        <w:spacing w:after="0" w:line="271" w:lineRule="auto"/>
        <w:tabs>
          <w:tab w:leader="none" w:pos="780" w:val="left"/>
        </w:tabs>
        <w:numPr>
          <w:ilvl w:val="0"/>
          <w:numId w:val="66"/>
        </w:numPr>
        <w:rPr>
          <w:rFonts w:ascii="Arial" w:cs="Arial" w:eastAsia="Arial" w:hAnsi="Arial"/>
          <w:sz w:val="28"/>
          <w:szCs w:val="28"/>
          <w:color w:val="auto"/>
        </w:rPr>
      </w:pPr>
      <w:r>
        <w:rPr>
          <w:rFonts w:ascii="Arial" w:cs="Arial" w:eastAsia="Arial" w:hAnsi="Arial"/>
          <w:sz w:val="28"/>
          <w:szCs w:val="28"/>
          <w:color w:val="auto"/>
        </w:rPr>
        <w:t>Who will count the votes? Where can I find the voting results of the Annual Meeting?</w:t>
      </w:r>
    </w:p>
    <w:p>
      <w:pPr>
        <w:spacing w:after="0" w:line="164" w:lineRule="exact"/>
        <w:rPr>
          <w:sz w:val="20"/>
          <w:szCs w:val="20"/>
          <w:color w:val="auto"/>
        </w:rPr>
      </w:pPr>
    </w:p>
    <w:p>
      <w:pPr>
        <w:ind w:left="780" w:right="60" w:hanging="422"/>
        <w:spacing w:after="0" w:line="256" w:lineRule="auto"/>
        <w:tabs>
          <w:tab w:leader="none" w:pos="780" w:val="left"/>
        </w:tabs>
        <w:numPr>
          <w:ilvl w:val="0"/>
          <w:numId w:val="67"/>
        </w:numPr>
        <w:rPr>
          <w:rFonts w:ascii="Arial" w:cs="Arial" w:eastAsia="Arial" w:hAnsi="Arial"/>
          <w:sz w:val="17"/>
          <w:szCs w:val="17"/>
          <w:b w:val="1"/>
          <w:bCs w:val="1"/>
          <w:color w:val="00B0DB"/>
        </w:rPr>
      </w:pPr>
      <w:r>
        <w:rPr>
          <w:rFonts w:ascii="Arial" w:cs="Arial" w:eastAsia="Arial" w:hAnsi="Arial"/>
          <w:sz w:val="17"/>
          <w:szCs w:val="17"/>
          <w:color w:val="auto"/>
        </w:rPr>
        <w:t>Votes will be tabulated by an inspector of elections appointed for the Annual Meeting. Preliminary voting results will be announced at the Annual Meeting. Final voting results will be reported in a Current Report on Form 8-K, which will be filed with the SEC following the Annual Meeting.</w:t>
      </w:r>
    </w:p>
    <w:p>
      <w:pPr>
        <w:spacing w:after="0" w:line="291" w:lineRule="exact"/>
        <w:rPr>
          <w:sz w:val="20"/>
          <w:szCs w:val="20"/>
          <w:color w:val="auto"/>
        </w:rPr>
      </w:pPr>
    </w:p>
    <w:p>
      <w:pPr>
        <w:ind w:left="360"/>
        <w:spacing w:after="0"/>
        <w:rPr>
          <w:sz w:val="20"/>
          <w:szCs w:val="20"/>
          <w:color w:val="auto"/>
        </w:rPr>
      </w:pPr>
      <w:r>
        <w:rPr>
          <w:rFonts w:ascii="Arial" w:cs="Arial" w:eastAsia="Arial" w:hAnsi="Arial"/>
          <w:sz w:val="28"/>
          <w:szCs w:val="28"/>
          <w:color w:val="auto"/>
        </w:rPr>
        <w:t>Q: Who will bear the cost of soliciting votes for the Annual Meeting?</w:t>
      </w:r>
    </w:p>
    <w:p>
      <w:pPr>
        <w:spacing w:after="0" w:line="246" w:lineRule="exact"/>
        <w:rPr>
          <w:sz w:val="20"/>
          <w:szCs w:val="20"/>
          <w:color w:val="auto"/>
        </w:rPr>
      </w:pPr>
    </w:p>
    <w:p>
      <w:pPr>
        <w:ind w:left="780" w:right="260" w:hanging="422"/>
        <w:spacing w:after="0" w:line="274" w:lineRule="auto"/>
        <w:tabs>
          <w:tab w:leader="none" w:pos="780" w:val="left"/>
        </w:tabs>
        <w:numPr>
          <w:ilvl w:val="0"/>
          <w:numId w:val="68"/>
        </w:numPr>
        <w:rPr>
          <w:rFonts w:ascii="Arial" w:cs="Arial" w:eastAsia="Arial" w:hAnsi="Arial"/>
          <w:sz w:val="17"/>
          <w:szCs w:val="17"/>
          <w:b w:val="1"/>
          <w:bCs w:val="1"/>
          <w:color w:val="00B0DB"/>
        </w:rPr>
      </w:pPr>
      <w:r>
        <w:rPr>
          <w:rFonts w:ascii="Arial" w:cs="Arial" w:eastAsia="Arial" w:hAnsi="Arial"/>
          <w:sz w:val="17"/>
          <w:szCs w:val="17"/>
          <w:color w:val="auto"/>
        </w:rPr>
        <w:t>Sotera Health will bear the entire cost of proxy solicitation, including the preparation, assembly, printing, mailing and distribution of the proxy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231775</wp:posOffset>
            </wp:positionH>
            <wp:positionV relativeFrom="paragraph">
              <wp:posOffset>79375</wp:posOffset>
            </wp:positionV>
            <wp:extent cx="6687820" cy="1651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6687820" cy="16510"/>
                    </a:xfrm>
                    <a:prstGeom prst="rect">
                      <a:avLst/>
                    </a:prstGeom>
                    <a:noFill/>
                  </pic:spPr>
                </pic:pic>
              </a:graphicData>
            </a:graphic>
          </wp:anchor>
        </w:drawing>
      </w:r>
    </w:p>
    <w:p>
      <w:pPr>
        <w:spacing w:after="0" w:line="295"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6443980</wp:posOffset>
            </wp:positionH>
            <wp:positionV relativeFrom="paragraph">
              <wp:posOffset>-113030</wp:posOffset>
            </wp:positionV>
            <wp:extent cx="475615" cy="15557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475615" cy="155575"/>
                    </a:xfrm>
                    <a:prstGeom prst="rect">
                      <a:avLst/>
                    </a:prstGeom>
                    <a:noFill/>
                  </pic:spPr>
                </pic:pic>
              </a:graphicData>
            </a:graphic>
          </wp:anchor>
        </w:drawing>
      </w:r>
    </w:p>
    <w:p>
      <w:pPr>
        <w:sectPr>
          <w:pgSz w:w="11900" w:h="16838" w:orient="portrait"/>
          <w:cols w:equalWidth="0" w:num="1">
            <w:col w:w="10900"/>
          </w:cols>
          <w:pgMar w:left="320" w:top="468" w:right="67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5334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79945" cy="53340"/>
                    </a:xfrm>
                    <a:prstGeom prst="rect">
                      <a:avLst/>
                    </a:prstGeom>
                    <a:noFill/>
                  </pic:spPr>
                </pic:pic>
              </a:graphicData>
            </a:graphic>
          </wp:anchor>
        </w:drawing>
        <w:t>Table of Contents</w:t>
      </w:r>
    </w:p>
    <w:p>
      <w:pPr>
        <w:spacing w:after="0" w:line="296"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auto"/>
        </w:rPr>
        <w:t>Questions and Answers About the Proxy Statement and Our 2023 Annual Meeting of Shareholders</w:t>
      </w:r>
    </w:p>
    <w:p>
      <w:pPr>
        <w:spacing w:after="0" w:line="129" w:lineRule="exact"/>
        <w:rPr>
          <w:sz w:val="20"/>
          <w:szCs w:val="20"/>
          <w:color w:val="auto"/>
        </w:rPr>
      </w:pPr>
    </w:p>
    <w:p>
      <w:pPr>
        <w:ind w:left="780" w:right="520" w:hanging="422"/>
        <w:spacing w:after="0" w:line="271" w:lineRule="auto"/>
        <w:tabs>
          <w:tab w:leader="none" w:pos="780" w:val="left"/>
        </w:tabs>
        <w:numPr>
          <w:ilvl w:val="0"/>
          <w:numId w:val="69"/>
        </w:numPr>
        <w:rPr>
          <w:rFonts w:ascii="Arial" w:cs="Arial" w:eastAsia="Arial" w:hAnsi="Arial"/>
          <w:sz w:val="28"/>
          <w:szCs w:val="28"/>
          <w:color w:val="auto"/>
        </w:rPr>
      </w:pPr>
      <w:r>
        <w:rPr>
          <w:rFonts w:ascii="Arial" w:cs="Arial" w:eastAsia="Arial" w:hAnsi="Arial"/>
          <w:sz w:val="28"/>
          <w:szCs w:val="28"/>
          <w:color w:val="auto"/>
        </w:rPr>
        <w:t>Why did I receive a notice in the mail regarding the Internet availability of proxy materials instead of a full set of proxy materials in the mail?</w:t>
      </w:r>
    </w:p>
    <w:p>
      <w:pPr>
        <w:spacing w:after="0" w:line="164" w:lineRule="exact"/>
        <w:rPr>
          <w:sz w:val="20"/>
          <w:szCs w:val="20"/>
          <w:color w:val="auto"/>
        </w:rPr>
      </w:pPr>
    </w:p>
    <w:p>
      <w:pPr>
        <w:ind w:left="780" w:right="200" w:hanging="422"/>
        <w:spacing w:after="0" w:line="246" w:lineRule="auto"/>
        <w:tabs>
          <w:tab w:leader="none" w:pos="780" w:val="left"/>
        </w:tabs>
        <w:numPr>
          <w:ilvl w:val="0"/>
          <w:numId w:val="70"/>
        </w:numPr>
        <w:rPr>
          <w:rFonts w:ascii="Arial" w:cs="Arial" w:eastAsia="Arial" w:hAnsi="Arial"/>
          <w:sz w:val="17"/>
          <w:szCs w:val="17"/>
          <w:b w:val="1"/>
          <w:bCs w:val="1"/>
          <w:color w:val="00B0DB"/>
        </w:rPr>
      </w:pPr>
      <w:r>
        <w:rPr>
          <w:rFonts w:ascii="Arial" w:cs="Arial" w:eastAsia="Arial" w:hAnsi="Arial"/>
          <w:sz w:val="17"/>
          <w:szCs w:val="17"/>
          <w:color w:val="auto"/>
        </w:rPr>
        <w:t>In accordance with SEC rules, we are furnishing proxy materials to our shareholders primarily via the Internet, instead of mailing printed copies of those materials to each shareholder. On April 13, 2023, we commenced mailing a Notice of Internet Availability to our shareholders (other than those who had previously requested electronic or paper delivery) containing instructions on how to access our proxy materials, including this Proxy Statement and our Annual Report. The Notice of Internet Availability also instructs you on how to vote over the Internet.</w:t>
      </w:r>
    </w:p>
    <w:p>
      <w:pPr>
        <w:spacing w:after="0" w:line="146" w:lineRule="exact"/>
        <w:rPr>
          <w:rFonts w:ascii="Arial" w:cs="Arial" w:eastAsia="Arial" w:hAnsi="Arial"/>
          <w:sz w:val="17"/>
          <w:szCs w:val="17"/>
          <w:b w:val="1"/>
          <w:bCs w:val="1"/>
          <w:color w:val="00B0DB"/>
        </w:rPr>
      </w:pPr>
    </w:p>
    <w:p>
      <w:pPr>
        <w:ind w:left="780" w:right="20"/>
        <w:spacing w:after="0" w:line="250" w:lineRule="auto"/>
        <w:rPr>
          <w:rFonts w:ascii="Arial" w:cs="Arial" w:eastAsia="Arial" w:hAnsi="Arial"/>
          <w:sz w:val="17"/>
          <w:szCs w:val="17"/>
          <w:b w:val="1"/>
          <w:bCs w:val="1"/>
          <w:color w:val="00B0DB"/>
        </w:rPr>
      </w:pPr>
      <w:r>
        <w:rPr>
          <w:rFonts w:ascii="Arial" w:cs="Arial" w:eastAsia="Arial" w:hAnsi="Arial"/>
          <w:sz w:val="17"/>
          <w:szCs w:val="17"/>
          <w:color w:val="auto"/>
        </w:rPr>
        <w:t>This process is designed to expedite shareholders’ receipt of proxy materials, reduce the cost of the Annual Meeting and help conserve natural resources. However, if you would prefer to receive printed proxy materials, please follow the instructions included in the Notice of Internet Availability. If you have previously elected to receive our proxy materials electronically, you will continue to receive these materials via e-mail unless you elect otherwise.</w:t>
      </w:r>
    </w:p>
    <w:p>
      <w:pPr>
        <w:spacing w:after="0" w:line="295" w:lineRule="exact"/>
        <w:rPr>
          <w:sz w:val="20"/>
          <w:szCs w:val="20"/>
          <w:color w:val="auto"/>
        </w:rPr>
      </w:pPr>
    </w:p>
    <w:p>
      <w:pPr>
        <w:ind w:left="780" w:right="80" w:hanging="422"/>
        <w:spacing w:after="0" w:line="255" w:lineRule="auto"/>
        <w:tabs>
          <w:tab w:leader="none" w:pos="780" w:val="left"/>
        </w:tabs>
        <w:numPr>
          <w:ilvl w:val="0"/>
          <w:numId w:val="71"/>
        </w:numPr>
        <w:rPr>
          <w:rFonts w:ascii="Arial" w:cs="Arial" w:eastAsia="Arial" w:hAnsi="Arial"/>
          <w:sz w:val="28"/>
          <w:szCs w:val="28"/>
          <w:color w:val="auto"/>
        </w:rPr>
      </w:pPr>
      <w:r>
        <w:rPr>
          <w:rFonts w:ascii="Arial" w:cs="Arial" w:eastAsia="Arial" w:hAnsi="Arial"/>
          <w:sz w:val="28"/>
          <w:szCs w:val="28"/>
          <w:color w:val="auto"/>
        </w:rPr>
        <w:t>I share an address with another shareholder and we received only one paper copy or we receive multiple paper copies of the proxy materials. How can I obtain an additional copy, or a single copy, as applicable, of the proxy materials?</w:t>
      </w:r>
    </w:p>
    <w:p>
      <w:pPr>
        <w:spacing w:after="0" w:line="187" w:lineRule="exact"/>
        <w:rPr>
          <w:sz w:val="20"/>
          <w:szCs w:val="20"/>
          <w:color w:val="auto"/>
        </w:rPr>
      </w:pPr>
    </w:p>
    <w:p>
      <w:pPr>
        <w:ind w:left="780" w:hanging="422"/>
        <w:spacing w:after="0" w:line="250" w:lineRule="auto"/>
        <w:tabs>
          <w:tab w:leader="none" w:pos="780" w:val="left"/>
        </w:tabs>
        <w:numPr>
          <w:ilvl w:val="0"/>
          <w:numId w:val="72"/>
        </w:numPr>
        <w:rPr>
          <w:rFonts w:ascii="Arial" w:cs="Arial" w:eastAsia="Arial" w:hAnsi="Arial"/>
          <w:sz w:val="17"/>
          <w:szCs w:val="17"/>
          <w:b w:val="1"/>
          <w:bCs w:val="1"/>
          <w:color w:val="00B0DB"/>
        </w:rPr>
      </w:pPr>
      <w:r>
        <w:rPr>
          <w:rFonts w:ascii="Arial" w:cs="Arial" w:eastAsia="Arial" w:hAnsi="Arial"/>
          <w:sz w:val="17"/>
          <w:szCs w:val="17"/>
          <w:color w:val="auto"/>
        </w:rPr>
        <w:t>Under a practice approved by the SEC called “householding,” shareholders who have the same address and last name and who do not participate in electronic delivery of proxy materials will receive only one mailed copy of our proxy materials, unless one or more of these shareholders notifies us that he or she wishes to receive individual copies. Shareholders who participate in householding will continue to receive separate proxy cards.</w:t>
      </w:r>
    </w:p>
    <w:p>
      <w:pPr>
        <w:spacing w:after="0" w:line="127" w:lineRule="exact"/>
        <w:rPr>
          <w:rFonts w:ascii="Arial" w:cs="Arial" w:eastAsia="Arial" w:hAnsi="Arial"/>
          <w:sz w:val="17"/>
          <w:szCs w:val="17"/>
          <w:b w:val="1"/>
          <w:bCs w:val="1"/>
          <w:color w:val="00B0DB"/>
        </w:rPr>
      </w:pPr>
    </w:p>
    <w:p>
      <w:pPr>
        <w:ind w:left="780" w:right="140"/>
        <w:spacing w:after="0" w:line="256" w:lineRule="auto"/>
        <w:rPr>
          <w:rFonts w:ascii="Arial" w:cs="Arial" w:eastAsia="Arial" w:hAnsi="Arial"/>
          <w:sz w:val="17"/>
          <w:szCs w:val="17"/>
          <w:b w:val="1"/>
          <w:bCs w:val="1"/>
          <w:color w:val="00B0DB"/>
        </w:rPr>
      </w:pPr>
      <w:r>
        <w:rPr>
          <w:rFonts w:ascii="Arial" w:cs="Arial" w:eastAsia="Arial" w:hAnsi="Arial"/>
          <w:sz w:val="17"/>
          <w:szCs w:val="17"/>
          <w:color w:val="auto"/>
        </w:rPr>
        <w:t>If you share an address with another shareholder and received only one set of proxy materials and would like to request a separate paper copy of these materials, please contact the Broadridge Householding Department by phone at 1-866-540-7095 or by mail to Broadridge Householding Department, 51 Mercedes Way, Edgewood, NY 11717.</w:t>
      </w:r>
    </w:p>
    <w:p>
      <w:pPr>
        <w:spacing w:after="0" w:line="123" w:lineRule="exact"/>
        <w:rPr>
          <w:rFonts w:ascii="Arial" w:cs="Arial" w:eastAsia="Arial" w:hAnsi="Arial"/>
          <w:sz w:val="17"/>
          <w:szCs w:val="17"/>
          <w:b w:val="1"/>
          <w:bCs w:val="1"/>
          <w:color w:val="00B0DB"/>
        </w:rPr>
      </w:pPr>
    </w:p>
    <w:p>
      <w:pPr>
        <w:ind w:left="780" w:right="280"/>
        <w:spacing w:after="0" w:line="250" w:lineRule="auto"/>
        <w:rPr>
          <w:rFonts w:ascii="Arial" w:cs="Arial" w:eastAsia="Arial" w:hAnsi="Arial"/>
          <w:sz w:val="17"/>
          <w:szCs w:val="17"/>
          <w:b w:val="1"/>
          <w:bCs w:val="1"/>
          <w:color w:val="00B0DB"/>
        </w:rPr>
      </w:pPr>
      <w:r>
        <w:rPr>
          <w:rFonts w:ascii="Arial" w:cs="Arial" w:eastAsia="Arial" w:hAnsi="Arial"/>
          <w:sz w:val="17"/>
          <w:szCs w:val="17"/>
          <w:color w:val="auto"/>
        </w:rPr>
        <w:t>If you are eligible for householding, but you and other shareholders of record with whom you share an address currently receive multiple copies of the proxy materials, or if you hold stock in more than one account, and in either case you wish to receive only a single copy of the proxy materials for your household, please contact the Broadridge Householding Department at the aforementioned phone number or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231775</wp:posOffset>
            </wp:positionH>
            <wp:positionV relativeFrom="paragraph">
              <wp:posOffset>92075</wp:posOffset>
            </wp:positionV>
            <wp:extent cx="6687820" cy="1651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6687820" cy="16510"/>
                    </a:xfrm>
                    <a:prstGeom prst="rect">
                      <a:avLst/>
                    </a:prstGeom>
                    <a:noFill/>
                  </pic:spPr>
                </pic:pic>
              </a:graphicData>
            </a:graphic>
          </wp:anchor>
        </w:drawing>
      </w:r>
    </w:p>
    <w:p>
      <w:pPr>
        <w:spacing w:after="0" w:line="314" w:lineRule="exact"/>
        <w:rPr>
          <w:sz w:val="20"/>
          <w:szCs w:val="20"/>
          <w:color w:val="auto"/>
        </w:rPr>
      </w:pPr>
    </w:p>
    <w:tbl>
      <w:tblPr>
        <w:tblLayout w:type="fixed"/>
        <w:tblInd w:w="360" w:type="dxa"/>
        <w:tblCellMar>
          <w:top w:w="0" w:type="dxa"/>
          <w:left w:w="0" w:type="dxa"/>
          <w:bottom w:w="0" w:type="dxa"/>
          <w:right w:w="0" w:type="dxa"/>
        </w:tblCellMar>
      </w:tblPr>
      <w:tr>
        <w:trPr>
          <w:trHeight w:val="226"/>
        </w:trPr>
        <w:tc>
          <w:tcPr>
            <w:tcW w:w="3900" w:type="dxa"/>
            <w:vAlign w:val="bottom"/>
          </w:tcPr>
          <w:p>
            <w:pPr>
              <w:spacing w:after="0"/>
              <w:rPr>
                <w:sz w:val="20"/>
                <w:szCs w:val="20"/>
                <w:color w:val="auto"/>
              </w:rPr>
            </w:pPr>
            <w:r>
              <w:rPr>
                <w:rFonts w:ascii="Arial" w:cs="Arial" w:eastAsia="Arial" w:hAnsi="Arial"/>
                <w:sz w:val="17"/>
                <w:szCs w:val="17"/>
                <w:color w:val="auto"/>
              </w:rPr>
              <w:t>2023 Notice and Proxy Statement</w:t>
            </w:r>
          </w:p>
        </w:tc>
        <w:tc>
          <w:tcPr>
            <w:tcW w:w="1520" w:type="dxa"/>
            <w:vAlign w:val="bottom"/>
          </w:tcPr>
          <w:p>
            <w:pPr>
              <w:jc w:val="right"/>
              <w:spacing w:after="0"/>
              <w:rPr>
                <w:sz w:val="20"/>
                <w:szCs w:val="20"/>
                <w:color w:val="auto"/>
              </w:rPr>
            </w:pPr>
            <w:r>
              <w:rPr>
                <w:rFonts w:ascii="Arial" w:cs="Arial" w:eastAsia="Arial" w:hAnsi="Arial"/>
                <w:sz w:val="17"/>
                <w:szCs w:val="17"/>
                <w:color w:val="auto"/>
              </w:rPr>
              <w:t>82</w:t>
            </w:r>
          </w:p>
        </w:tc>
      </w:tr>
    </w:tbl>
    <w:p>
      <w:pPr>
        <w:sectPr>
          <w:pgSz w:w="11900" w:h="16838" w:orient="portrait"/>
          <w:cols w:equalWidth="0" w:num="1">
            <w:col w:w="10880"/>
          </w:cols>
          <w:pgMar w:left="320" w:top="468" w:right="69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5334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79945" cy="5334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200025</wp:posOffset>
            </wp:positionV>
            <wp:extent cx="6122035" cy="786765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6122035" cy="7867650"/>
                    </a:xfrm>
                    <a:prstGeom prst="rect">
                      <a:avLst/>
                    </a:prstGeom>
                    <a:noFill/>
                  </pic:spPr>
                </pic:pic>
              </a:graphicData>
            </a:graphic>
          </wp:anchor>
        </w:drawing>
      </w:r>
    </w:p>
    <w:p>
      <w:pPr>
        <w:sectPr>
          <w:pgSz w:w="11900" w:h="16838" w:orient="portrait"/>
          <w:cols w:equalWidth="0" w:num="1">
            <w:col w:w="10139"/>
          </w:cols>
          <w:pgMar w:left="320" w:top="468" w:right="1440"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5334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79945" cy="5334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200025</wp:posOffset>
            </wp:positionV>
            <wp:extent cx="6122035" cy="786765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6122035" cy="7867650"/>
                    </a:xfrm>
                    <a:prstGeom prst="rect">
                      <a:avLst/>
                    </a:prstGeom>
                    <a:noFill/>
                  </pic:spPr>
                </pic:pic>
              </a:graphicData>
            </a:graphic>
          </wp:anchor>
        </w:drawing>
      </w:r>
    </w:p>
    <w:p>
      <w:pPr>
        <w:sectPr>
          <w:pgSz w:w="11900" w:h="16838" w:orient="portrait"/>
          <w:cols w:equalWidth="0" w:num="1">
            <w:col w:w="10139"/>
          </w:cols>
          <w:pgMar w:left="320" w:top="468" w:right="1440"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5334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79945" cy="5334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231775</wp:posOffset>
            </wp:positionH>
            <wp:positionV relativeFrom="paragraph">
              <wp:posOffset>200025</wp:posOffset>
            </wp:positionV>
            <wp:extent cx="6720205" cy="786765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6720205" cy="7867650"/>
                    </a:xfrm>
                    <a:prstGeom prst="rect">
                      <a:avLst/>
                    </a:prstGeom>
                    <a:noFill/>
                  </pic:spPr>
                </pic:pic>
              </a:graphicData>
            </a:graphic>
          </wp:anchor>
        </w:drawing>
      </w:r>
    </w:p>
    <w:p>
      <w:pPr>
        <w:sectPr>
          <w:pgSz w:w="11900" w:h="16838" w:orient="portrait"/>
          <w:cols w:equalWidth="0" w:num="1">
            <w:col w:w="10139"/>
          </w:cols>
          <w:pgMar w:left="320" w:top="468" w:right="1440"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5334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79945" cy="5334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231775</wp:posOffset>
            </wp:positionH>
            <wp:positionV relativeFrom="paragraph">
              <wp:posOffset>200025</wp:posOffset>
            </wp:positionV>
            <wp:extent cx="6720205" cy="786765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6720205" cy="7867650"/>
                    </a:xfrm>
                    <a:prstGeom prst="rect">
                      <a:avLst/>
                    </a:prstGeom>
                    <a:noFill/>
                  </pic:spPr>
                </pic:pic>
              </a:graphicData>
            </a:graphic>
          </wp:anchor>
        </w:drawing>
      </w:r>
    </w:p>
    <w:sectPr>
      <w:pgSz w:w="11900" w:h="16838" w:orient="portrait"/>
      <w:cols w:equalWidth="0" w:num="1">
        <w:col w:w="10139"/>
      </w:cols>
      <w:pgMar w:left="320" w:top="46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804823E"/>
    <w:multiLevelType w:val="hybridMultilevel"/>
    <w:lvl w:ilvl="0">
      <w:lvlJc w:val="left"/>
      <w:lvlText w:val="☐"/>
      <w:numFmt w:val="bullet"/>
      <w:start w:val="1"/>
    </w:lvl>
  </w:abstractNum>
  <w:abstractNum w:abstractNumId="1">
    <w:nsid w:val="77465F01"/>
    <w:multiLevelType w:val="hybridMultilevel"/>
    <w:lvl w:ilvl="0">
      <w:lvlJc w:val="left"/>
      <w:lvlText w:val="☒"/>
      <w:numFmt w:val="bullet"/>
      <w:start w:val="1"/>
    </w:lvl>
  </w:abstractNum>
  <w:abstractNum w:abstractNumId="2">
    <w:nsid w:val="7724C67E"/>
    <w:multiLevelType w:val="hybridMultilevel"/>
    <w:lvl w:ilvl="0">
      <w:lvlJc w:val="left"/>
      <w:lvlText w:val="☐"/>
      <w:numFmt w:val="bullet"/>
      <w:start w:val="1"/>
    </w:lvl>
  </w:abstractNum>
  <w:abstractNum w:abstractNumId="3">
    <w:nsid w:val="5C482A97"/>
    <w:multiLevelType w:val="hybridMultilevel"/>
    <w:lvl w:ilvl="0">
      <w:lvlJc w:val="left"/>
      <w:lvlText w:val="☒"/>
      <w:numFmt w:val="bullet"/>
      <w:start w:val="1"/>
    </w:lvl>
  </w:abstractNum>
  <w:abstractNum w:abstractNumId="4">
    <w:nsid w:val="2463B9EA"/>
    <w:multiLevelType w:val="hybridMultilevel"/>
    <w:lvl w:ilvl="0">
      <w:lvlJc w:val="left"/>
      <w:lvlText w:val="☐"/>
      <w:numFmt w:val="bullet"/>
      <w:start w:val="1"/>
    </w:lvl>
  </w:abstractNum>
  <w:abstractNum w:abstractNumId="5">
    <w:nsid w:val="5E884ADC"/>
    <w:multiLevelType w:val="hybridMultilevel"/>
    <w:lvl w:ilvl="0">
      <w:lvlJc w:val="left"/>
      <w:lvlText w:val="∎"/>
      <w:numFmt w:val="bullet"/>
      <w:start w:val="1"/>
    </w:lvl>
  </w:abstractNum>
  <w:abstractNum w:abstractNumId="6">
    <w:nsid w:val="51EAD36B"/>
    <w:multiLevelType w:val="hybridMultilevel"/>
    <w:lvl w:ilvl="0">
      <w:lvlJc w:val="left"/>
      <w:lvlText w:val="%1."/>
      <w:numFmt w:val="decimal"/>
      <w:start w:val="1"/>
    </w:lvl>
  </w:abstractNum>
  <w:abstractNum w:abstractNumId="7">
    <w:nsid w:val="2D517796"/>
    <w:multiLevelType w:val="hybridMultilevel"/>
    <w:lvl w:ilvl="0">
      <w:lvlJc w:val="left"/>
      <w:lvlText w:val="%1."/>
      <w:numFmt w:val="decimal"/>
      <w:start w:val="1"/>
    </w:lvl>
  </w:abstractNum>
  <w:abstractNum w:abstractNumId="8">
    <w:nsid w:val="580BD78F"/>
    <w:multiLevelType w:val="hybridMultilevel"/>
    <w:lvl w:ilvl="0">
      <w:lvlJc w:val="left"/>
      <w:lvlText w:val="%1."/>
      <w:numFmt w:val="decimal"/>
      <w:start w:val="1"/>
    </w:lvl>
  </w:abstractNum>
  <w:abstractNum w:abstractNumId="9">
    <w:nsid w:val="153EA438"/>
    <w:multiLevelType w:val="hybridMultilevel"/>
    <w:lvl w:ilvl="0">
      <w:lvlJc w:val="left"/>
      <w:lvlText w:val="•"/>
      <w:numFmt w:val="bullet"/>
      <w:start w:val="1"/>
    </w:lvl>
  </w:abstractNum>
  <w:abstractNum w:abstractNumId="10">
    <w:nsid w:val="3855585C"/>
    <w:multiLevelType w:val="hybridMultilevel"/>
    <w:lvl w:ilvl="0">
      <w:lvlJc w:val="left"/>
      <w:lvlText w:val="•"/>
      <w:numFmt w:val="bullet"/>
      <w:start w:val="1"/>
    </w:lvl>
  </w:abstractNum>
  <w:abstractNum w:abstractNumId="11">
    <w:nsid w:val="70A64E2A"/>
    <w:multiLevelType w:val="hybridMultilevel"/>
    <w:lvl w:ilvl="0">
      <w:lvlJc w:val="left"/>
      <w:lvlText w:val="•"/>
      <w:numFmt w:val="bullet"/>
      <w:start w:val="1"/>
    </w:lvl>
  </w:abstractNum>
  <w:abstractNum w:abstractNumId="12">
    <w:nsid w:val="6A2342EC"/>
    <w:multiLevelType w:val="hybridMultilevel"/>
    <w:lvl w:ilvl="0">
      <w:lvlJc w:val="left"/>
      <w:lvlText w:val="•"/>
      <w:numFmt w:val="bullet"/>
      <w:start w:val="1"/>
    </w:lvl>
  </w:abstractNum>
  <w:abstractNum w:abstractNumId="13">
    <w:nsid w:val="2A487CB0"/>
    <w:multiLevelType w:val="hybridMultilevel"/>
    <w:lvl w:ilvl="0">
      <w:lvlJc w:val="left"/>
      <w:lvlText w:val="•"/>
      <w:numFmt w:val="bullet"/>
      <w:start w:val="1"/>
    </w:lvl>
  </w:abstractNum>
  <w:abstractNum w:abstractNumId="14">
    <w:nsid w:val="1D4ED43B"/>
    <w:multiLevelType w:val="hybridMultilevel"/>
    <w:lvl w:ilvl="0">
      <w:lvlJc w:val="left"/>
      <w:lvlText w:val="•"/>
      <w:numFmt w:val="bullet"/>
      <w:start w:val="1"/>
    </w:lvl>
  </w:abstractNum>
  <w:abstractNum w:abstractNumId="15">
    <w:nsid w:val="725A06FB"/>
    <w:multiLevelType w:val="hybridMultilevel"/>
    <w:lvl w:ilvl="0">
      <w:lvlJc w:val="left"/>
      <w:lvlText w:val="•"/>
      <w:numFmt w:val="bullet"/>
      <w:start w:val="1"/>
    </w:lvl>
  </w:abstractNum>
  <w:abstractNum w:abstractNumId="16">
    <w:nsid w:val="2CD89A32"/>
    <w:multiLevelType w:val="hybridMultilevel"/>
    <w:lvl w:ilvl="0">
      <w:lvlJc w:val="left"/>
      <w:lvlText w:val="%1."/>
      <w:numFmt w:val="decimal"/>
      <w:start w:val="1"/>
    </w:lvl>
  </w:abstractNum>
  <w:abstractNum w:abstractNumId="17">
    <w:nsid w:val="57E4CCAF"/>
    <w:multiLevelType w:val="hybridMultilevel"/>
    <w:lvl w:ilvl="0">
      <w:lvlJc w:val="left"/>
      <w:lvlText w:val="(%1)"/>
      <w:numFmt w:val="lowerRoman"/>
      <w:start w:val="1"/>
    </w:lvl>
  </w:abstractNum>
  <w:abstractNum w:abstractNumId="18">
    <w:nsid w:val="7A6D8D3C"/>
    <w:multiLevelType w:val="hybridMultilevel"/>
    <w:lvl w:ilvl="0">
      <w:lvlJc w:val="left"/>
      <w:lvlText w:val="%1."/>
      <w:numFmt w:val="decimal"/>
      <w:start w:val="1"/>
    </w:lvl>
  </w:abstractNum>
  <w:abstractNum w:abstractNumId="19">
    <w:nsid w:val="4B588F54"/>
    <w:multiLevelType w:val="hybridMultilevel"/>
    <w:lvl w:ilvl="0">
      <w:lvlJc w:val="left"/>
      <w:lvlText w:val="•"/>
      <w:numFmt w:val="bullet"/>
      <w:start w:val="1"/>
    </w:lvl>
  </w:abstractNum>
  <w:abstractNum w:abstractNumId="20">
    <w:nsid w:val="542289EC"/>
    <w:multiLevelType w:val="hybridMultilevel"/>
    <w:lvl w:ilvl="0">
      <w:lvlJc w:val="left"/>
      <w:lvlText w:val="%1."/>
      <w:numFmt w:val="decimal"/>
      <w:start w:val="1"/>
    </w:lvl>
  </w:abstractNum>
  <w:abstractNum w:abstractNumId="21">
    <w:nsid w:val="6DE91B18"/>
    <w:multiLevelType w:val="hybridMultilevel"/>
    <w:lvl w:ilvl="0">
      <w:lvlJc w:val="left"/>
      <w:lvlText w:val="×"/>
      <w:numFmt w:val="bullet"/>
      <w:start w:val="1"/>
    </w:lvl>
  </w:abstractNum>
  <w:abstractNum w:abstractNumId="22">
    <w:nsid w:val="38437FDB"/>
    <w:multiLevelType w:val="hybridMultilevel"/>
    <w:lvl w:ilvl="0">
      <w:lvlJc w:val="left"/>
      <w:lvlText w:val="•"/>
      <w:numFmt w:val="bullet"/>
      <w:start w:val="1"/>
    </w:lvl>
  </w:abstractNum>
  <w:abstractNum w:abstractNumId="23">
    <w:nsid w:val="7644A45C"/>
    <w:multiLevelType w:val="hybridMultilevel"/>
    <w:lvl w:ilvl="0">
      <w:lvlJc w:val="left"/>
      <w:lvlText w:val="%1."/>
      <w:numFmt w:val="decimal"/>
      <w:start w:val="1"/>
    </w:lvl>
  </w:abstractNum>
  <w:abstractNum w:abstractNumId="24">
    <w:nsid w:val="32FFF902"/>
    <w:multiLevelType w:val="hybridMultilevel"/>
    <w:lvl w:ilvl="0">
      <w:lvlJc w:val="left"/>
      <w:lvlText w:val="%1."/>
      <w:numFmt w:val="decimal"/>
      <w:start w:val="1"/>
    </w:lvl>
  </w:abstractNum>
  <w:abstractNum w:abstractNumId="25">
    <w:nsid w:val="684A481A"/>
    <w:multiLevelType w:val="hybridMultilevel"/>
    <w:lvl w:ilvl="0">
      <w:lvlJc w:val="left"/>
      <w:lvlText w:val="•"/>
      <w:numFmt w:val="bullet"/>
      <w:start w:val="1"/>
    </w:lvl>
  </w:abstractNum>
  <w:abstractNum w:abstractNumId="26">
    <w:nsid w:val="579478FE"/>
    <w:multiLevelType w:val="hybridMultilevel"/>
    <w:lvl w:ilvl="0">
      <w:lvlJc w:val="left"/>
      <w:lvlText w:val="%1."/>
      <w:numFmt w:val="decimal"/>
      <w:start w:val="1"/>
    </w:lvl>
  </w:abstractNum>
  <w:abstractNum w:abstractNumId="27">
    <w:nsid w:val="749ABB43"/>
    <w:multiLevelType w:val="hybridMultilevel"/>
    <w:lvl w:ilvl="0">
      <w:lvlJc w:val="left"/>
      <w:lvlText w:val="%1."/>
      <w:numFmt w:val="decimal"/>
      <w:start w:val="1"/>
    </w:lvl>
  </w:abstractNum>
  <w:abstractNum w:abstractNumId="28">
    <w:nsid w:val="3DC240FB"/>
    <w:multiLevelType w:val="hybridMultilevel"/>
    <w:lvl w:ilvl="0">
      <w:lvlJc w:val="left"/>
      <w:lvlText w:val="%1."/>
      <w:numFmt w:val="decimal"/>
      <w:start w:val="1"/>
    </w:lvl>
  </w:abstractNum>
  <w:abstractNum w:abstractNumId="29">
    <w:nsid w:val="1BA026FA"/>
    <w:multiLevelType w:val="hybridMultilevel"/>
    <w:lvl w:ilvl="0">
      <w:lvlJc w:val="left"/>
      <w:lvlText w:val="(%1)"/>
      <w:numFmt w:val="lowerRoman"/>
      <w:start w:val="2"/>
    </w:lvl>
  </w:abstractNum>
  <w:abstractNum w:abstractNumId="30">
    <w:nsid w:val="79A1DEAA"/>
    <w:multiLevelType w:val="hybridMultilevel"/>
    <w:lvl w:ilvl="0">
      <w:lvlJc w:val="left"/>
      <w:lvlText w:val="%1."/>
      <w:numFmt w:val="decimal"/>
      <w:start w:val="1"/>
    </w:lvl>
  </w:abstractNum>
  <w:abstractNum w:abstractNumId="31">
    <w:nsid w:val="75C6C33A"/>
    <w:multiLevelType w:val="hybridMultilevel"/>
    <w:lvl w:ilvl="0">
      <w:lvlJc w:val="left"/>
      <w:lvlText w:val="%1."/>
      <w:numFmt w:val="decimal"/>
      <w:start w:val="4"/>
    </w:lvl>
  </w:abstractNum>
  <w:abstractNum w:abstractNumId="32">
    <w:nsid w:val="12E685FB"/>
    <w:multiLevelType w:val="hybridMultilevel"/>
    <w:lvl w:ilvl="0">
      <w:lvlJc w:val="left"/>
      <w:lvlText w:val="%1."/>
      <w:numFmt w:val="decimal"/>
      <w:start w:val="1"/>
    </w:lvl>
  </w:abstractNum>
  <w:abstractNum w:abstractNumId="33">
    <w:nsid w:val="70C6A529"/>
    <w:multiLevelType w:val="hybridMultilevel"/>
    <w:lvl w:ilvl="0">
      <w:lvlJc w:val="left"/>
      <w:lvlText w:val="%1."/>
      <w:numFmt w:val="decimal"/>
      <w:start w:val="1"/>
    </w:lvl>
  </w:abstractNum>
  <w:abstractNum w:abstractNumId="34">
    <w:nsid w:val="520EEDD1"/>
    <w:multiLevelType w:val="hybridMultilevel"/>
    <w:lvl w:ilvl="0">
      <w:lvlJc w:val="left"/>
      <w:lvlText w:val="%1."/>
      <w:numFmt w:val="decimal"/>
      <w:start w:val="6"/>
    </w:lvl>
  </w:abstractNum>
  <w:abstractNum w:abstractNumId="35">
    <w:nsid w:val="374A3FE6"/>
    <w:multiLevelType w:val="hybridMultilevel"/>
    <w:lvl w:ilvl="0">
      <w:lvlJc w:val="left"/>
      <w:lvlText w:val="%1."/>
      <w:numFmt w:val="decimal"/>
      <w:start w:val="1"/>
    </w:lvl>
  </w:abstractNum>
  <w:abstractNum w:abstractNumId="36">
    <w:nsid w:val="4F4EF005"/>
    <w:multiLevelType w:val="hybridMultilevel"/>
    <w:lvl w:ilvl="0">
      <w:lvlJc w:val="left"/>
      <w:lvlText w:val="%1."/>
      <w:numFmt w:val="decimal"/>
      <w:start w:val="1"/>
    </w:lvl>
  </w:abstractNum>
  <w:abstractNum w:abstractNumId="37">
    <w:nsid w:val="23F9C13C"/>
    <w:multiLevelType w:val="hybridMultilevel"/>
    <w:lvl w:ilvl="0">
      <w:lvlJc w:val="left"/>
      <w:lvlText w:val="•"/>
      <w:numFmt w:val="bullet"/>
      <w:start w:val="1"/>
    </w:lvl>
  </w:abstractNum>
  <w:abstractNum w:abstractNumId="38">
    <w:nsid w:val="649BB77C"/>
    <w:multiLevelType w:val="hybridMultilevel"/>
    <w:lvl w:ilvl="0">
      <w:lvlJc w:val="left"/>
      <w:lvlText w:val="•"/>
      <w:numFmt w:val="bullet"/>
      <w:start w:val="1"/>
    </w:lvl>
  </w:abstractNum>
  <w:abstractNum w:abstractNumId="39">
    <w:nsid w:val="275AC794"/>
    <w:multiLevelType w:val="hybridMultilevel"/>
    <w:lvl w:ilvl="0">
      <w:lvlJc w:val="left"/>
      <w:lvlText w:val="•"/>
      <w:numFmt w:val="bullet"/>
      <w:start w:val="1"/>
    </w:lvl>
  </w:abstractNum>
  <w:abstractNum w:abstractNumId="40">
    <w:nsid w:val="39386575"/>
    <w:multiLevelType w:val="hybridMultilevel"/>
    <w:lvl w:ilvl="0">
      <w:lvlJc w:val="left"/>
      <w:lvlText w:val="%1."/>
      <w:numFmt w:val="decimal"/>
      <w:start w:val="1"/>
    </w:lvl>
  </w:abstractNum>
  <w:abstractNum w:abstractNumId="41">
    <w:nsid w:val="1CF10FD8"/>
    <w:multiLevelType w:val="hybridMultilevel"/>
    <w:lvl w:ilvl="0">
      <w:lvlJc w:val="left"/>
      <w:lvlText w:val="%1."/>
      <w:numFmt w:val="decimal"/>
      <w:start w:val="4"/>
    </w:lvl>
  </w:abstractNum>
  <w:abstractNum w:abstractNumId="42">
    <w:nsid w:val="180115BE"/>
    <w:multiLevelType w:val="hybridMultilevel"/>
    <w:lvl w:ilvl="0">
      <w:lvlJc w:val="left"/>
      <w:lvlText w:val="%1."/>
      <w:numFmt w:val="decimal"/>
      <w:start w:val="1"/>
    </w:lvl>
  </w:abstractNum>
  <w:abstractNum w:abstractNumId="43">
    <w:nsid w:val="235BA861"/>
    <w:multiLevelType w:val="hybridMultilevel"/>
    <w:lvl w:ilvl="0">
      <w:lvlJc w:val="left"/>
      <w:lvlText w:val="%1."/>
      <w:numFmt w:val="decimal"/>
      <w:start w:val="1"/>
    </w:lvl>
    <w:lvl w:ilvl="1">
      <w:lvlJc w:val="left"/>
      <w:lvlText w:val="•"/>
      <w:numFmt w:val="bullet"/>
      <w:start w:val="1"/>
    </w:lvl>
  </w:abstractNum>
  <w:abstractNum w:abstractNumId="44">
    <w:nsid w:val="47398C89"/>
    <w:multiLevelType w:val="hybridMultilevel"/>
    <w:lvl w:ilvl="0">
      <w:lvlJc w:val="left"/>
      <w:lvlText w:val="%1."/>
      <w:numFmt w:val="decimal"/>
      <w:start w:val="4"/>
    </w:lvl>
  </w:abstractNum>
  <w:abstractNum w:abstractNumId="45">
    <w:nsid w:val="354FE9F9"/>
    <w:multiLevelType w:val="hybridMultilevel"/>
    <w:lvl w:ilvl="0">
      <w:lvlJc w:val="left"/>
      <w:lvlText w:val="%1."/>
      <w:numFmt w:val="decimal"/>
      <w:start w:val="1"/>
    </w:lvl>
  </w:abstractNum>
  <w:abstractNum w:abstractNumId="46">
    <w:nsid w:val="15B5AF5C"/>
    <w:multiLevelType w:val="hybridMultilevel"/>
    <w:lvl w:ilvl="0">
      <w:lvlJc w:val="left"/>
      <w:lvlText w:val="•"/>
      <w:numFmt w:val="bullet"/>
      <w:start w:val="1"/>
    </w:lvl>
  </w:abstractNum>
  <w:abstractNum w:abstractNumId="47">
    <w:nsid w:val="741226BB"/>
    <w:multiLevelType w:val="hybridMultilevel"/>
    <w:lvl w:ilvl="0">
      <w:lvlJc w:val="left"/>
      <w:lvlText w:val="%1."/>
      <w:numFmt w:val="decimal"/>
      <w:start w:val="1"/>
    </w:lvl>
  </w:abstractNum>
  <w:abstractNum w:abstractNumId="48">
    <w:nsid w:val="D34B6A8"/>
    <w:multiLevelType w:val="hybridMultilevel"/>
    <w:lvl w:ilvl="0">
      <w:lvlJc w:val="left"/>
      <w:lvlText w:val="•"/>
      <w:numFmt w:val="bullet"/>
      <w:start w:val="1"/>
    </w:lvl>
  </w:abstractNum>
  <w:abstractNum w:abstractNumId="49">
    <w:nsid w:val="10233C99"/>
    <w:multiLevelType w:val="hybridMultilevel"/>
    <w:lvl w:ilvl="0">
      <w:lvlJc w:val="left"/>
      <w:lvlText w:val="*"/>
      <w:numFmt w:val="bullet"/>
      <w:start w:val="1"/>
    </w:lvl>
  </w:abstractNum>
  <w:abstractNum w:abstractNumId="50">
    <w:nsid w:val="3F6AB60F"/>
    <w:multiLevelType w:val="hybridMultilevel"/>
    <w:lvl w:ilvl="0">
      <w:lvlJc w:val="left"/>
      <w:lvlText w:val="%1."/>
      <w:numFmt w:val="decimal"/>
      <w:start w:val="1"/>
    </w:lvl>
  </w:abstractNum>
  <w:abstractNum w:abstractNumId="51">
    <w:nsid w:val="61574095"/>
    <w:multiLevelType w:val="hybridMultilevel"/>
    <w:lvl w:ilvl="0">
      <w:lvlJc w:val="left"/>
      <w:lvlText w:val="%1."/>
      <w:numFmt w:val="decimal"/>
      <w:start w:val="12"/>
    </w:lvl>
  </w:abstractNum>
  <w:abstractNum w:abstractNumId="52">
    <w:nsid w:val="7E0C57B1"/>
    <w:multiLevelType w:val="hybridMultilevel"/>
    <w:lvl w:ilvl="0">
      <w:lvlJc w:val="left"/>
      <w:lvlText w:val="%1:"/>
      <w:numFmt w:val="upperLetter"/>
      <w:start w:val="1"/>
    </w:lvl>
  </w:abstractNum>
  <w:abstractNum w:abstractNumId="53">
    <w:nsid w:val="77AE35EB"/>
    <w:multiLevelType w:val="hybridMultilevel"/>
    <w:lvl w:ilvl="0">
      <w:lvlJc w:val="left"/>
      <w:lvlText w:val="%1:"/>
      <w:numFmt w:val="upperLetter"/>
      <w:start w:val="1"/>
    </w:lvl>
  </w:abstractNum>
  <w:abstractNum w:abstractNumId="54">
    <w:nsid w:val="579BE4F1"/>
    <w:multiLevelType w:val="hybridMultilevel"/>
    <w:lvl w:ilvl="0">
      <w:lvlJc w:val="left"/>
      <w:lvlText w:val="%1:"/>
      <w:numFmt w:val="upperLetter"/>
      <w:start w:val="17"/>
    </w:lvl>
  </w:abstractNum>
  <w:abstractNum w:abstractNumId="55">
    <w:nsid w:val="310C50B3"/>
    <w:multiLevelType w:val="hybridMultilevel"/>
    <w:lvl w:ilvl="0">
      <w:lvlJc w:val="left"/>
      <w:lvlText w:val="%1:"/>
      <w:numFmt w:val="upperLetter"/>
      <w:start w:val="1"/>
    </w:lvl>
  </w:abstractNum>
  <w:abstractNum w:abstractNumId="56">
    <w:nsid w:val="5FF87E05"/>
    <w:multiLevelType w:val="hybridMultilevel"/>
    <w:lvl w:ilvl="0">
      <w:lvlJc w:val="left"/>
      <w:lvlText w:val="%1:"/>
      <w:numFmt w:val="upperLetter"/>
      <w:start w:val="1"/>
    </w:lvl>
  </w:abstractNum>
  <w:abstractNum w:abstractNumId="57">
    <w:nsid w:val="2F305DEF"/>
    <w:multiLevelType w:val="hybridMultilevel"/>
    <w:lvl w:ilvl="0">
      <w:lvlJc w:val="left"/>
      <w:lvlText w:val="%1:"/>
      <w:numFmt w:val="upperLetter"/>
      <w:start w:val="17"/>
    </w:lvl>
  </w:abstractNum>
  <w:abstractNum w:abstractNumId="58">
    <w:nsid w:val="25A70BF7"/>
    <w:multiLevelType w:val="hybridMultilevel"/>
    <w:lvl w:ilvl="0">
      <w:lvlJc w:val="left"/>
      <w:lvlText w:val="%1:"/>
      <w:numFmt w:val="upperLetter"/>
      <w:start w:val="1"/>
    </w:lvl>
  </w:abstractNum>
  <w:abstractNum w:abstractNumId="59">
    <w:nsid w:val="1DBABF00"/>
    <w:multiLevelType w:val="hybridMultilevel"/>
    <w:lvl w:ilvl="0">
      <w:lvlJc w:val="left"/>
      <w:lvlText w:val="%1:"/>
      <w:numFmt w:val="upperLetter"/>
      <w:start w:val="1"/>
    </w:lvl>
  </w:abstractNum>
  <w:abstractNum w:abstractNumId="60">
    <w:nsid w:val="4AD084E9"/>
    <w:multiLevelType w:val="hybridMultilevel"/>
    <w:lvl w:ilvl="0">
      <w:lvlJc w:val="left"/>
      <w:lvlText w:val="%1:"/>
      <w:numFmt w:val="upperLetter"/>
      <w:start w:val="1"/>
    </w:lvl>
  </w:abstractNum>
  <w:abstractNum w:abstractNumId="61">
    <w:nsid w:val="1F48EAA1"/>
    <w:multiLevelType w:val="hybridMultilevel"/>
    <w:lvl w:ilvl="0">
      <w:lvlJc w:val="left"/>
      <w:lvlText w:val="%1:"/>
      <w:numFmt w:val="upperLetter"/>
      <w:start w:val="1"/>
    </w:lvl>
    <w:lvl w:ilvl="1">
      <w:lvlJc w:val="left"/>
      <w:lvlText w:val="•"/>
      <w:numFmt w:val="bullet"/>
      <w:start w:val="1"/>
    </w:lvl>
  </w:abstractNum>
  <w:abstractNum w:abstractNumId="62">
    <w:nsid w:val="1381823A"/>
    <w:multiLevelType w:val="hybridMultilevel"/>
    <w:lvl w:ilvl="0">
      <w:lvlJc w:val="left"/>
      <w:lvlText w:val="%1:"/>
      <w:numFmt w:val="upperLetter"/>
      <w:start w:val="1"/>
    </w:lvl>
  </w:abstractNum>
  <w:abstractNum w:abstractNumId="63">
    <w:nsid w:val="5DB70AE5"/>
    <w:multiLevelType w:val="hybridMultilevel"/>
    <w:lvl w:ilvl="0">
      <w:lvlJc w:val="left"/>
      <w:lvlText w:val="%1:"/>
      <w:numFmt w:val="upperLetter"/>
      <w:start w:val="1"/>
    </w:lvl>
  </w:abstractNum>
  <w:abstractNum w:abstractNumId="64">
    <w:nsid w:val="100F8FCA"/>
    <w:multiLevelType w:val="hybridMultilevel"/>
    <w:lvl w:ilvl="0">
      <w:lvlJc w:val="left"/>
      <w:lvlText w:val="%1."/>
      <w:numFmt w:val="decimal"/>
      <w:start w:val="1"/>
    </w:lvl>
  </w:abstractNum>
  <w:abstractNum w:abstractNumId="65">
    <w:nsid w:val="6590700B"/>
    <w:multiLevelType w:val="hybridMultilevel"/>
    <w:lvl w:ilvl="0">
      <w:lvlJc w:val="left"/>
      <w:lvlText w:val="%1:"/>
      <w:numFmt w:val="upperLetter"/>
      <w:start w:val="17"/>
    </w:lvl>
  </w:abstractNum>
  <w:abstractNum w:abstractNumId="66">
    <w:nsid w:val="15014ACB"/>
    <w:multiLevelType w:val="hybridMultilevel"/>
    <w:lvl w:ilvl="0">
      <w:lvlJc w:val="left"/>
      <w:lvlText w:val="%1:"/>
      <w:numFmt w:val="upperLetter"/>
      <w:start w:val="1"/>
    </w:lvl>
  </w:abstractNum>
  <w:abstractNum w:abstractNumId="67">
    <w:nsid w:val="5F5E7FD0"/>
    <w:multiLevelType w:val="hybridMultilevel"/>
    <w:lvl w:ilvl="0">
      <w:lvlJc w:val="left"/>
      <w:lvlText w:val="%1:"/>
      <w:numFmt w:val="upperLetter"/>
      <w:start w:val="1"/>
    </w:lvl>
  </w:abstractNum>
  <w:abstractNum w:abstractNumId="68">
    <w:nsid w:val="98A3148"/>
    <w:multiLevelType w:val="hybridMultilevel"/>
    <w:lvl w:ilvl="0">
      <w:lvlJc w:val="left"/>
      <w:lvlText w:val="%1:"/>
      <w:numFmt w:val="upperLetter"/>
      <w:start w:val="17"/>
    </w:lvl>
  </w:abstractNum>
  <w:abstractNum w:abstractNumId="69">
    <w:nsid w:val="799D0247"/>
    <w:multiLevelType w:val="hybridMultilevel"/>
    <w:lvl w:ilvl="0">
      <w:lvlJc w:val="left"/>
      <w:lvlText w:val="%1:"/>
      <w:numFmt w:val="upperLetter"/>
      <w:start w:val="1"/>
    </w:lvl>
  </w:abstractNum>
  <w:abstractNum w:abstractNumId="70">
    <w:nsid w:val="6B94764"/>
    <w:multiLevelType w:val="hybridMultilevel"/>
    <w:lvl w:ilvl="0">
      <w:lvlJc w:val="left"/>
      <w:lvlText w:val="%1:"/>
      <w:numFmt w:val="upperLetter"/>
      <w:start w:val="17"/>
    </w:lvl>
  </w:abstractNum>
  <w:abstractNum w:abstractNumId="71">
    <w:nsid w:val="42C296BD"/>
    <w:multiLevelType w:val="hybridMultilevel"/>
    <w:lvl w:ilvl="0">
      <w:lvlJc w:val="left"/>
      <w:lvlText w:val="%1:"/>
      <w:numFmt w:val="upp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jpe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jpeg"/><Relationship Id="rId62" Type="http://schemas.openxmlformats.org/officeDocument/2006/relationships/image" Target="media/image55.jpeg"/><Relationship Id="rId63" Type="http://schemas.openxmlformats.org/officeDocument/2006/relationships/image" Target="media/image56.jpeg"/><Relationship Id="rId64" Type="http://schemas.openxmlformats.org/officeDocument/2006/relationships/image" Target="media/image57.jpeg"/><Relationship Id="rId65" Type="http://schemas.openxmlformats.org/officeDocument/2006/relationships/image" Target="media/image58.jpeg"/><Relationship Id="rId66" Type="http://schemas.openxmlformats.org/officeDocument/2006/relationships/image" Target="media/image59.jpeg"/><Relationship Id="rId67" Type="http://schemas.openxmlformats.org/officeDocument/2006/relationships/image" Target="media/image60.jpeg"/><Relationship Id="rId68" Type="http://schemas.openxmlformats.org/officeDocument/2006/relationships/image" Target="media/image61.jpeg"/><Relationship Id="rId69" Type="http://schemas.openxmlformats.org/officeDocument/2006/relationships/image" Target="media/image62.jpeg"/><Relationship Id="rId70" Type="http://schemas.openxmlformats.org/officeDocument/2006/relationships/image" Target="media/image63.jpeg"/><Relationship Id="rId71" Type="http://schemas.openxmlformats.org/officeDocument/2006/relationships/image" Target="media/image64.jpeg"/><Relationship Id="rId72" Type="http://schemas.openxmlformats.org/officeDocument/2006/relationships/image" Target="media/image65.jpeg"/><Relationship Id="rId73" Type="http://schemas.openxmlformats.org/officeDocument/2006/relationships/image" Target="media/image66.jpeg"/><Relationship Id="rId74" Type="http://schemas.openxmlformats.org/officeDocument/2006/relationships/image" Target="media/image67.jpeg"/><Relationship Id="rId75" Type="http://schemas.openxmlformats.org/officeDocument/2006/relationships/image" Target="media/image68.jpeg"/><Relationship Id="rId76" Type="http://schemas.openxmlformats.org/officeDocument/2006/relationships/image" Target="media/image69.jpeg"/><Relationship Id="rId77" Type="http://schemas.openxmlformats.org/officeDocument/2006/relationships/image" Target="media/image70.jpeg"/><Relationship Id="rId78" Type="http://schemas.openxmlformats.org/officeDocument/2006/relationships/image" Target="media/image71.jpeg"/><Relationship Id="rId79" Type="http://schemas.openxmlformats.org/officeDocument/2006/relationships/image" Target="media/image72.jpeg"/><Relationship Id="rId80" Type="http://schemas.openxmlformats.org/officeDocument/2006/relationships/image" Target="media/image73.jpeg"/><Relationship Id="rId81" Type="http://schemas.openxmlformats.org/officeDocument/2006/relationships/image" Target="media/image74.jpeg"/><Relationship Id="rId82" Type="http://schemas.openxmlformats.org/officeDocument/2006/relationships/image" Target="media/image75.jpeg"/><Relationship Id="rId83" Type="http://schemas.openxmlformats.org/officeDocument/2006/relationships/image" Target="media/image76.jpeg"/><Relationship Id="rId84" Type="http://schemas.openxmlformats.org/officeDocument/2006/relationships/image" Target="media/image77.jpeg"/><Relationship Id="rId85" Type="http://schemas.openxmlformats.org/officeDocument/2006/relationships/image" Target="media/image78.jpeg"/><Relationship Id="rId86" Type="http://schemas.openxmlformats.org/officeDocument/2006/relationships/image" Target="media/image79.jpeg"/><Relationship Id="rId87" Type="http://schemas.openxmlformats.org/officeDocument/2006/relationships/image" Target="media/image80.jpeg"/><Relationship Id="rId88" Type="http://schemas.openxmlformats.org/officeDocument/2006/relationships/image" Target="media/image81.jpeg"/><Relationship Id="rId89" Type="http://schemas.openxmlformats.org/officeDocument/2006/relationships/image" Target="media/image82.jpeg"/><Relationship Id="rId90" Type="http://schemas.openxmlformats.org/officeDocument/2006/relationships/image" Target="media/image83.jpeg"/><Relationship Id="rId91" Type="http://schemas.openxmlformats.org/officeDocument/2006/relationships/image" Target="media/image84.jpeg"/><Relationship Id="rId92" Type="http://schemas.openxmlformats.org/officeDocument/2006/relationships/image" Target="media/image85.jpeg"/><Relationship Id="rId93" Type="http://schemas.openxmlformats.org/officeDocument/2006/relationships/image" Target="media/image86.jpeg"/><Relationship Id="rId94" Type="http://schemas.openxmlformats.org/officeDocument/2006/relationships/image" Target="media/image87.jpeg"/><Relationship Id="rId95" Type="http://schemas.openxmlformats.org/officeDocument/2006/relationships/image" Target="media/image88.jpeg"/><Relationship Id="rId96" Type="http://schemas.openxmlformats.org/officeDocument/2006/relationships/image" Target="media/image89.jpeg"/><Relationship Id="rId97" Type="http://schemas.openxmlformats.org/officeDocument/2006/relationships/image" Target="media/image90.jpeg"/><Relationship Id="rId98" Type="http://schemas.openxmlformats.org/officeDocument/2006/relationships/image" Target="media/image91.jpeg"/><Relationship Id="rId99" Type="http://schemas.openxmlformats.org/officeDocument/2006/relationships/image" Target="media/image92.jpeg"/><Relationship Id="rId100" Type="http://schemas.openxmlformats.org/officeDocument/2006/relationships/image" Target="media/image93.jpeg"/><Relationship Id="rId101" Type="http://schemas.openxmlformats.org/officeDocument/2006/relationships/image" Target="media/image94.jpeg"/><Relationship Id="rId102" Type="http://schemas.openxmlformats.org/officeDocument/2006/relationships/image" Target="media/image95.jpeg"/><Relationship Id="rId103" Type="http://schemas.openxmlformats.org/officeDocument/2006/relationships/image" Target="media/image96.jpeg"/><Relationship Id="rId104" Type="http://schemas.openxmlformats.org/officeDocument/2006/relationships/image" Target="media/image97.jpeg"/><Relationship Id="rId105" Type="http://schemas.openxmlformats.org/officeDocument/2006/relationships/image" Target="media/image98.jpeg"/><Relationship Id="rId106" Type="http://schemas.openxmlformats.org/officeDocument/2006/relationships/image" Target="media/image99.jpeg"/><Relationship Id="rId107" Type="http://schemas.openxmlformats.org/officeDocument/2006/relationships/image" Target="media/image100.jpeg"/><Relationship Id="rId108" Type="http://schemas.openxmlformats.org/officeDocument/2006/relationships/image" Target="media/image101.jpeg"/><Relationship Id="rId109" Type="http://schemas.openxmlformats.org/officeDocument/2006/relationships/image" Target="media/image102.jpeg"/><Relationship Id="rId110" Type="http://schemas.openxmlformats.org/officeDocument/2006/relationships/image" Target="media/image103.jpeg"/><Relationship Id="rId111" Type="http://schemas.openxmlformats.org/officeDocument/2006/relationships/image" Target="media/image104.jpeg"/><Relationship Id="rId112" Type="http://schemas.openxmlformats.org/officeDocument/2006/relationships/image" Target="media/image105.png"/><Relationship Id="rId113" Type="http://schemas.openxmlformats.org/officeDocument/2006/relationships/image" Target="media/image106.jpeg"/><Relationship Id="rId114" Type="http://schemas.openxmlformats.org/officeDocument/2006/relationships/image" Target="media/image107.png"/><Relationship Id="rId115" Type="http://schemas.openxmlformats.org/officeDocument/2006/relationships/image" Target="media/image108.jpe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jpe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jpeg"/><Relationship Id="rId126" Type="http://schemas.openxmlformats.org/officeDocument/2006/relationships/image" Target="media/image119.png"/><Relationship Id="rId127" Type="http://schemas.openxmlformats.org/officeDocument/2006/relationships/image" Target="media/image120.jpeg"/><Relationship Id="rId128" Type="http://schemas.openxmlformats.org/officeDocument/2006/relationships/image" Target="media/image121.png"/><Relationship Id="rId129" Type="http://schemas.openxmlformats.org/officeDocument/2006/relationships/image" Target="media/image122.jpeg"/><Relationship Id="rId130" Type="http://schemas.openxmlformats.org/officeDocument/2006/relationships/image" Target="media/image123.jpe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jpeg"/><Relationship Id="rId135" Type="http://schemas.openxmlformats.org/officeDocument/2006/relationships/image" Target="media/image128.jpeg"/><Relationship Id="rId136" Type="http://schemas.openxmlformats.org/officeDocument/2006/relationships/image" Target="media/image129.png"/><Relationship Id="rId137" Type="http://schemas.openxmlformats.org/officeDocument/2006/relationships/image" Target="media/image130.jpeg"/><Relationship Id="rId138" Type="http://schemas.openxmlformats.org/officeDocument/2006/relationships/image" Target="media/image131.png"/><Relationship Id="rId139" Type="http://schemas.openxmlformats.org/officeDocument/2006/relationships/image" Target="media/image132.jpe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jpeg"/><Relationship Id="rId143" Type="http://schemas.openxmlformats.org/officeDocument/2006/relationships/image" Target="media/image136.jpeg"/><Relationship Id="rId144" Type="http://schemas.openxmlformats.org/officeDocument/2006/relationships/image" Target="media/image137.png"/><Relationship Id="rId145" Type="http://schemas.openxmlformats.org/officeDocument/2006/relationships/image" Target="media/image138.jpe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jpe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jpe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jpe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jpe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jpe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jpe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jpeg"/><Relationship Id="rId185" Type="http://schemas.openxmlformats.org/officeDocument/2006/relationships/image" Target="media/image178.png"/><Relationship Id="rId186" Type="http://schemas.openxmlformats.org/officeDocument/2006/relationships/image" Target="media/image179.jpeg"/><Relationship Id="rId187" Type="http://schemas.openxmlformats.org/officeDocument/2006/relationships/image" Target="media/image180.png"/><Relationship Id="rId188" Type="http://schemas.openxmlformats.org/officeDocument/2006/relationships/image" Target="media/image181.jpe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jpe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jpe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jpe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jpe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jpe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jpe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jpe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jpe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jpe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jpe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jpe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jpe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jpe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jpe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jpe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jpe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jpe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jpeg"/><Relationship Id="rId285" Type="http://schemas.openxmlformats.org/officeDocument/2006/relationships/image" Target="media/image278.png"/><Relationship Id="rId286" Type="http://schemas.openxmlformats.org/officeDocument/2006/relationships/image" Target="media/image279.jpe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jpe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jpe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jpe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jpe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jpe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jpe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jpe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jpe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jpeg"/><Relationship Id="rId332" Type="http://schemas.openxmlformats.org/officeDocument/2006/relationships/image" Target="media/image325.png"/><Relationship Id="rId333" Type="http://schemas.openxmlformats.org/officeDocument/2006/relationships/image" Target="media/image326.jpeg"/><Relationship Id="rId334" Type="http://schemas.openxmlformats.org/officeDocument/2006/relationships/image" Target="media/image327.png"/><Relationship Id="rId335" Type="http://schemas.openxmlformats.org/officeDocument/2006/relationships/image" Target="media/image328.jpeg"/><Relationship Id="rId336" Type="http://schemas.openxmlformats.org/officeDocument/2006/relationships/image" Target="media/image329.png"/><Relationship Id="rId337" Type="http://schemas.openxmlformats.org/officeDocument/2006/relationships/image" Target="media/image33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2023-04-13T07:11:22Z</dcterms:created>
  <dcterms:modified xsi:type="dcterms:W3CDTF">2023-04-13T07:11:22Z</dcterms:modified>
</cp:coreProperties>
</file>