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0001591432</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Sotera Health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001-39729</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6"/>
              </w:rPr>
              <w:t>9100 SOUTH HILLS BLVD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BROADVIEW HEIGHTS</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OHIO</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44147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440-262-1410</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GTCR CO-INVEST XI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Owner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8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ind w:left="74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8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$0.01 par</w:t>
            </w: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41219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673106.27</w:t>
            </w:r>
          </w:p>
        </w:tc>
        <w:tc>
          <w:tcPr>
            <w:tcW w:w="0" w:type="dxa"/>
            <w:vAlign w:val="bottom"/>
          </w:tcPr>
          <w:p>
            <w:pPr>
              <w:spacing w:after="0"/>
              <w:rPr>
                <w:sz w:val="1"/>
                <w:szCs w:val="1"/>
                <w:color w:val="auto"/>
              </w:rPr>
            </w:pPr>
          </w:p>
        </w:tc>
      </w:tr>
      <w:tr>
        <w:trPr>
          <w:trHeight w:val="161"/>
        </w:trPr>
        <w:tc>
          <w:tcPr>
            <w:tcW w:w="23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value per share</w:t>
            </w:r>
          </w:p>
        </w:tc>
        <w:tc>
          <w:tcPr>
            <w:tcW w:w="2340" w:type="dxa"/>
            <w:vAlign w:val="bottom"/>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80" w:type="dxa"/>
            <w:vAlign w:val="bottom"/>
            <w:vMerge w:val="continue"/>
          </w:tcPr>
          <w:p>
            <w:pPr>
              <w:spacing w:after="0"/>
              <w:rPr>
                <w:sz w:val="7"/>
                <w:szCs w:val="7"/>
                <w:color w:val="auto"/>
              </w:rPr>
            </w:pPr>
          </w:p>
        </w:tc>
        <w:tc>
          <w:tcPr>
            <w:tcW w:w="234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80" w:type="dxa"/>
            <w:vAlign w:val="bottom"/>
          </w:tcPr>
          <w:p>
            <w:pPr>
              <w:spacing w:after="0"/>
              <w:rPr>
                <w:sz w:val="24"/>
                <w:szCs w:val="24"/>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w w:val="93"/>
              </w:rPr>
              <w:t>144620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5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82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7"/>
              </w:rPr>
              <w:t>Securities received</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1580" w:type="dxa"/>
            <w:vAlign w:val="bottom"/>
            <w:vMerge w:val="restart"/>
          </w:tcPr>
          <w:p>
            <w:pPr>
              <w:ind w:left="40"/>
              <w:spacing w:after="0" w:line="217" w:lineRule="exact"/>
              <w:rPr>
                <w:sz w:val="20"/>
                <w:szCs w:val="20"/>
                <w:color w:val="auto"/>
              </w:rPr>
            </w:pPr>
            <w:r>
              <w:rPr>
                <w:rFonts w:ascii="Times New Roman" w:cs="Times New Roman" w:eastAsia="Times New Roman" w:hAnsi="Times New Roman"/>
                <w:sz w:val="22"/>
                <w:szCs w:val="22"/>
                <w:color w:val="auto"/>
              </w:rPr>
              <w:t>Pre-IPO</w:t>
            </w:r>
          </w:p>
        </w:tc>
        <w:tc>
          <w:tcPr>
            <w:tcW w:w="14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820" w:type="dxa"/>
            <w:vAlign w:val="bottom"/>
            <w:vMerge w:val="restart"/>
          </w:tcPr>
          <w:p>
            <w:pPr>
              <w:ind w:left="1180"/>
              <w:spacing w:after="0" w:line="217" w:lineRule="exact"/>
              <w:rPr>
                <w:sz w:val="20"/>
                <w:szCs w:val="20"/>
                <w:color w:val="auto"/>
              </w:rPr>
            </w:pPr>
            <w:r>
              <w:rPr>
                <w:rFonts w:ascii="Times New Roman" w:cs="Times New Roman" w:eastAsia="Times New Roman" w:hAnsi="Times New Roman"/>
                <w:sz w:val="22"/>
                <w:szCs w:val="22"/>
                <w:color w:val="auto"/>
                <w:w w:val="98"/>
              </w:rPr>
              <w:t>in connection with</w:t>
            </w:r>
          </w:p>
        </w:tc>
        <w:tc>
          <w:tcPr>
            <w:tcW w:w="0" w:type="dxa"/>
            <w:vAlign w:val="bottom"/>
          </w:tcPr>
          <w:p>
            <w:pPr>
              <w:spacing w:after="0"/>
              <w:rPr>
                <w:sz w:val="1"/>
                <w:szCs w:val="1"/>
                <w:color w:val="auto"/>
              </w:rPr>
            </w:pPr>
          </w:p>
        </w:tc>
      </w:tr>
      <w:tr>
        <w:trPr>
          <w:trHeight w:val="56"/>
        </w:trPr>
        <w:tc>
          <w:tcPr>
            <w:tcW w:w="248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$0.01 par value 11/19/2020</w:t>
            </w:r>
          </w:p>
        </w:tc>
        <w:tc>
          <w:tcPr>
            <w:tcW w:w="1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Organization</w:t>
            </w:r>
          </w:p>
        </w:tc>
        <w:tc>
          <w:tcPr>
            <w:tcW w:w="1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412"/>
              <w:spacing w:after="0" w:line="243" w:lineRule="exact"/>
              <w:rPr>
                <w:sz w:val="20"/>
                <w:szCs w:val="20"/>
                <w:color w:val="auto"/>
              </w:rPr>
            </w:pPr>
            <w:r>
              <w:rPr>
                <w:rFonts w:ascii="Times New Roman" w:cs="Times New Roman" w:eastAsia="Times New Roman" w:hAnsi="Times New Roman"/>
                <w:sz w:val="22"/>
                <w:szCs w:val="22"/>
                <w:color w:val="auto"/>
              </w:rPr>
              <w:t>504342</w:t>
            </w:r>
          </w:p>
        </w:tc>
        <w:tc>
          <w:tcPr>
            <w:tcW w:w="2820" w:type="dxa"/>
            <w:vAlign w:val="bottom"/>
          </w:tcPr>
          <w:p>
            <w:pPr>
              <w:ind w:left="140"/>
              <w:spacing w:after="0" w:line="243" w:lineRule="exact"/>
              <w:rPr>
                <w:sz w:val="20"/>
                <w:szCs w:val="20"/>
                <w:color w:val="auto"/>
              </w:rPr>
            </w:pPr>
            <w:r>
              <w:rPr>
                <w:rFonts w:ascii="Times New Roman" w:cs="Times New Roman" w:eastAsia="Times New Roman" w:hAnsi="Times New Roman"/>
                <w:sz w:val="28"/>
                <w:szCs w:val="28"/>
                <w:color w:val="auto"/>
                <w:vertAlign w:val="superscript"/>
              </w:rPr>
              <w:t>11/19/2020</w:t>
            </w:r>
            <w:r>
              <w:rPr>
                <w:rFonts w:ascii="Times New Roman" w:cs="Times New Roman" w:eastAsia="Times New Roman" w:hAnsi="Times New Roman"/>
                <w:sz w:val="16"/>
                <w:szCs w:val="16"/>
                <w:color w:val="auto"/>
              </w:rPr>
              <w:t xml:space="preserve"> a series of pre-IPO</w:t>
            </w:r>
          </w:p>
        </w:tc>
        <w:tc>
          <w:tcPr>
            <w:tcW w:w="0" w:type="dxa"/>
            <w:vAlign w:val="bottom"/>
          </w:tcPr>
          <w:p>
            <w:pPr>
              <w:spacing w:after="0"/>
              <w:rPr>
                <w:sz w:val="1"/>
                <w:szCs w:val="1"/>
                <w:color w:val="auto"/>
              </w:rPr>
            </w:pPr>
          </w:p>
        </w:tc>
      </w:tr>
      <w:tr>
        <w:trPr>
          <w:trHeight w:val="243"/>
        </w:trPr>
        <w:tc>
          <w:tcPr>
            <w:tcW w:w="2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 share</w:t>
            </w:r>
          </w:p>
        </w:tc>
        <w:tc>
          <w:tcPr>
            <w:tcW w:w="1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820" w:type="dxa"/>
            <w:vAlign w:val="bottom"/>
            <w:vMerge w:val="restart"/>
          </w:tcPr>
          <w:p>
            <w:pPr>
              <w:ind w:left="1180"/>
              <w:spacing w:after="0"/>
              <w:rPr>
                <w:sz w:val="20"/>
                <w:szCs w:val="20"/>
                <w:color w:val="auto"/>
              </w:rPr>
            </w:pPr>
            <w:r>
              <w:rPr>
                <w:rFonts w:ascii="Times New Roman" w:cs="Times New Roman" w:eastAsia="Times New Roman" w:hAnsi="Times New Roman"/>
                <w:sz w:val="22"/>
                <w:szCs w:val="22"/>
                <w:color w:val="auto"/>
              </w:rPr>
              <w:t>transactions</w:t>
            </w:r>
          </w:p>
        </w:tc>
        <w:tc>
          <w:tcPr>
            <w:tcW w:w="0" w:type="dxa"/>
            <w:vAlign w:val="bottom"/>
          </w:tcPr>
          <w:p>
            <w:pPr>
              <w:spacing w:after="0"/>
              <w:rPr>
                <w:sz w:val="1"/>
                <w:szCs w:val="1"/>
                <w:color w:val="auto"/>
              </w:rPr>
            </w:pPr>
          </w:p>
        </w:tc>
      </w:tr>
      <w:tr>
        <w:trPr>
          <w:trHeight w:val="66"/>
        </w:trPr>
        <w:tc>
          <w:tcPr>
            <w:tcW w:w="24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60" w:type="dxa"/>
            <w:vAlign w:val="bottom"/>
          </w:tcPr>
          <w:p>
            <w:pPr>
              <w:spacing w:after="0"/>
              <w:rPr>
                <w:sz w:val="24"/>
                <w:szCs w:val="24"/>
                <w:color w:val="auto"/>
              </w:rPr>
            </w:pPr>
          </w:p>
        </w:tc>
      </w:tr>
      <w:tr>
        <w:trPr>
          <w:trHeight w:val="297"/>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12/03/2025</w:t>
            </w:r>
          </w:p>
        </w:tc>
      </w:tr>
      <w:tr>
        <w:trPr>
          <w:trHeight w:val="297"/>
        </w:trPr>
        <w:tc>
          <w:tcPr>
            <w:tcW w:w="34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Jeffrey Wright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2025-12-03T21:03:18Z</dcterms:created>
  <dcterms:modified xsi:type="dcterms:W3CDTF">2025-12-03T21:03:18Z</dcterms:modified>
</cp:coreProperties>
</file>