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Leffler Scott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9100 SOUTH HILLS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31"/>
        </w:trPr>
        <w:tc>
          <w:tcPr>
            <w:tcW w:w="1260" w:type="dxa"/>
            <w:vAlign w:val="bottom"/>
          </w:tcPr>
          <w:p>
            <w:pPr>
              <w:ind w:left="40"/>
              <w:spacing w:after="0"/>
              <w:rPr>
                <w:sz w:val="20"/>
                <w:szCs w:val="20"/>
                <w:color w:val="auto"/>
              </w:rPr>
            </w:pPr>
            <w:r>
              <w:rPr>
                <w:rFonts w:ascii="Arial" w:cs="Arial" w:eastAsia="Arial" w:hAnsi="Arial"/>
                <w:sz w:val="20"/>
                <w:szCs w:val="20"/>
                <w:color w:val="0000FF"/>
                <w:w w:val="98"/>
              </w:rPr>
              <w:t>BROADVIEW</w:t>
            </w:r>
          </w:p>
        </w:tc>
        <w:tc>
          <w:tcPr>
            <w:tcW w:w="620" w:type="dxa"/>
            <w:vAlign w:val="bottom"/>
          </w:tcPr>
          <w:p>
            <w:pPr>
              <w:ind w:left="40"/>
              <w:spacing w:after="0"/>
              <w:rPr>
                <w:sz w:val="20"/>
                <w:szCs w:val="20"/>
                <w:color w:val="auto"/>
              </w:rPr>
            </w:pPr>
            <w:r>
              <w:rPr>
                <w:rFonts w:ascii="Arial" w:cs="Arial" w:eastAsia="Arial" w:hAnsi="Arial"/>
                <w:sz w:val="20"/>
                <w:szCs w:val="20"/>
                <w:color w:val="0000FF"/>
              </w:rPr>
              <w:t>OH</w:t>
            </w:r>
          </w:p>
        </w:tc>
        <w:tc>
          <w:tcPr>
            <w:tcW w:w="780" w:type="dxa"/>
            <w:vAlign w:val="bottom"/>
          </w:tcPr>
          <w:p>
            <w:pPr>
              <w:jc w:val="right"/>
              <w:spacing w:after="0"/>
              <w:rPr>
                <w:sz w:val="20"/>
                <w:szCs w:val="20"/>
                <w:color w:val="auto"/>
              </w:rPr>
            </w:pPr>
            <w:r>
              <w:rPr>
                <w:rFonts w:ascii="Arial" w:cs="Arial" w:eastAsia="Arial" w:hAnsi="Arial"/>
                <w:sz w:val="20"/>
                <w:szCs w:val="20"/>
                <w:color w:val="0000FF"/>
              </w:rPr>
              <w:t>44147</w:t>
            </w:r>
          </w:p>
        </w:tc>
      </w:tr>
      <w:tr>
        <w:trPr>
          <w:trHeight w:val="248"/>
        </w:trPr>
        <w:tc>
          <w:tcPr>
            <w:tcW w:w="1260" w:type="dxa"/>
            <w:vAlign w:val="bottom"/>
          </w:tcPr>
          <w:p>
            <w:pPr>
              <w:ind w:left="40"/>
              <w:spacing w:after="0"/>
              <w:rPr>
                <w:sz w:val="20"/>
                <w:szCs w:val="20"/>
                <w:color w:val="auto"/>
              </w:rPr>
            </w:pPr>
            <w:r>
              <w:rPr>
                <w:rFonts w:ascii="Arial" w:cs="Arial" w:eastAsia="Arial" w:hAnsi="Arial"/>
                <w:sz w:val="20"/>
                <w:szCs w:val="20"/>
                <w:color w:val="0000FF"/>
              </w:rPr>
              <w:t>HEIGHTS</w:t>
            </w: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CFO and Treasurer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40" w:type="dxa"/>
            <w:vAlign w:val="bottom"/>
            <w:vMerge w:val="restart"/>
          </w:tcPr>
          <w:p>
            <w:pPr>
              <w:ind w:left="460"/>
              <w:spacing w:after="0"/>
              <w:rPr>
                <w:sz w:val="20"/>
                <w:szCs w:val="20"/>
                <w:color w:val="auto"/>
              </w:rPr>
            </w:pPr>
            <w:r>
              <w:rPr>
                <w:rFonts w:ascii="Arial" w:cs="Arial" w:eastAsia="Arial" w:hAnsi="Arial"/>
                <w:sz w:val="20"/>
                <w:szCs w:val="20"/>
                <w:color w:val="0000FF"/>
              </w:rPr>
              <w:t>768,253</w:t>
            </w:r>
            <w:r>
              <w:rPr>
                <w:rFonts w:ascii="Arial" w:cs="Arial" w:eastAsia="Arial" w:hAnsi="Arial"/>
                <w:sz w:val="25"/>
                <w:szCs w:val="25"/>
                <w:color w:val="008000"/>
                <w:vertAlign w:val="superscript"/>
              </w:rPr>
              <w:t>(1)</w:t>
            </w:r>
          </w:p>
        </w:tc>
        <w:tc>
          <w:tcPr>
            <w:tcW w:w="1020" w:type="dxa"/>
            <w:vAlign w:val="bottom"/>
            <w:gridSpan w:val="2"/>
            <w:vMerge w:val="restart"/>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Common Stock received as a liquidating distribution from Sotera Health Topco Parent, L.P. ("Topco Parent") on November 19, 2020. 461,325 of the shares of Common Stock are vested, and 306,928 of the shares of Common Stock remain subject to vesting conditions. 138,159 of the shares of Common Stock will vest on a daily basis, pro rata through April 3, 2022. 168,769 of the shares of Common Stock will vest as of the first date on which (i) certain investment funds and entities affiliated with Warburg Pincus LLC and GTCR, LLC (the "Sponsors") have received two and one-half times their invested capital in Topco Parent and (ii) the Sponsors' internal rate of return exceeds twenty percent.</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Scott J. Leffler</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Scott J. Leffler</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32406"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2020-11-20T20:27:03Z</dcterms:created>
  <dcterms:modified xsi:type="dcterms:W3CDTF">2020-11-20T20:27:03Z</dcterms:modified>
</cp:coreProperties>
</file>