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Registration No. 333-277418</w:t>
      </w:r>
    </w:p>
    <w:p>
      <w:pPr>
        <w:spacing w:after="0" w:line="10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February 27, 2024)</w:t>
      </w:r>
    </w:p>
    <w:p>
      <w:pPr>
        <w:spacing w:after="0" w:line="5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31,838,253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3133090</wp:posOffset>
            </wp:positionH>
            <wp:positionV relativeFrom="paragraph">
              <wp:posOffset>142240</wp:posOffset>
            </wp:positionV>
            <wp:extent cx="901065" cy="307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1065" cy="307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Sotera Health Company</w:t>
      </w:r>
    </w:p>
    <w:p>
      <w:pPr>
        <w:spacing w:after="0" w:line="18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194945</wp:posOffset>
            </wp:positionV>
            <wp:extent cx="11417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both"/>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selling stockholders of Sotera Health Company identified in this prospectus supplement are offering 31,838,253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w:t>
      </w:r>
    </w:p>
    <w:p>
      <w:pPr>
        <w:spacing w:after="0" w:line="136" w:lineRule="exact"/>
        <w:rPr>
          <w:sz w:val="24"/>
          <w:szCs w:val="24"/>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Certain affiliates of Warburg Pincus LLC (“Warburg Pincus”) and GTCR LLC (“GTCR” and, together with Warburg Pincus, collectively, the “Sponsors”) have historically had special rights relating to our corporate governance including the right to designate directors to serve on our board of directors (the “Board”). Following this offering, the Sponsors are not expected to hold any remaining shares or be entitled to such rights. See “Summary —The Offering—Effect on Sponsors’ Rights.”</w:t>
      </w:r>
    </w:p>
    <w:p>
      <w:pPr>
        <w:spacing w:after="0" w:line="141" w:lineRule="exact"/>
        <w:rPr>
          <w:sz w:val="24"/>
          <w:szCs w:val="24"/>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and traded on the Nasdaq Global Select Market (“Nasdaq”) under the symbol “SHC.” On May 11, 2026, the last reported sale price of our common stock on Nasdaq was $15.43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155575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79" w:lineRule="exact"/>
        <w:rPr>
          <w:sz w:val="24"/>
          <w:szCs w:val="24"/>
          <w:color w:val="auto"/>
        </w:rPr>
      </w:pPr>
    </w:p>
    <w:p>
      <w:pPr>
        <w:ind w:left="1360" w:right="359" w:firstLine="343"/>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S-11 of this prospectus supplement and in the documents incorporated by reference into this prospectus supplement to read about factors you should consider before deciding to invest in our common stock.</w:t>
      </w:r>
    </w:p>
    <w:p>
      <w:pPr>
        <w:spacing w:after="0" w:line="138" w:lineRule="exact"/>
        <w:rPr>
          <w:sz w:val="24"/>
          <w:szCs w:val="24"/>
          <w:color w:val="auto"/>
        </w:rPr>
      </w:pPr>
    </w:p>
    <w:p>
      <w:pPr>
        <w:ind w:left="1360" w:right="4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w:t>
      </w:r>
    </w:p>
    <w:p>
      <w:pPr>
        <w:spacing w:after="0" w:line="141" w:lineRule="exact"/>
        <w:rPr>
          <w:sz w:val="24"/>
          <w:szCs w:val="24"/>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Per</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15.27</w:t>
            </w: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486,170,123.31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0.102</w:t>
            </w:r>
          </w:p>
        </w:tc>
        <w:tc>
          <w:tcPr>
            <w:tcW w:w="5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3,247,501.81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selling stockholders, before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15.168</w:t>
            </w:r>
          </w:p>
        </w:tc>
        <w:tc>
          <w:tcPr>
            <w:tcW w:w="5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482,922,621.50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color w:val="auto"/>
        </w:rPr>
        <w:t>Delivery of the shares of common stock is expected to be made on or about May 13, 2026.</w:t>
      </w:r>
    </w:p>
    <w:p>
      <w:pPr>
        <w:spacing w:after="0" w:line="16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188595</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11, 2026.</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8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700" w:type="dxa"/>
            <w:vAlign w:val="bottom"/>
          </w:tcPr>
          <w:p>
            <w:pPr>
              <w:spacing w:after="0"/>
              <w:rPr>
                <w:sz w:val="16"/>
                <w:szCs w:val="16"/>
                <w:color w:val="auto"/>
              </w:rPr>
            </w:pPr>
          </w:p>
        </w:tc>
      </w:tr>
      <w:tr>
        <w:trPr>
          <w:trHeight w:val="252"/>
        </w:trPr>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8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1700" w:type="dxa"/>
            <w:vAlign w:val="bottom"/>
          </w:tcPr>
          <w:p>
            <w:pPr>
              <w:spacing w:after="0"/>
              <w:rPr>
                <w:sz w:val="21"/>
                <w:szCs w:val="21"/>
                <w:color w:val="auto"/>
              </w:rPr>
            </w:pPr>
          </w:p>
        </w:tc>
      </w:tr>
      <w:tr>
        <w:trPr>
          <w:trHeight w:val="290"/>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684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000EE"/>
              </w:rPr>
              <w:t>ABOUT THIS PROSPECTUS SUPPLEMENT</w:t>
            </w:r>
          </w:p>
        </w:tc>
        <w:tc>
          <w:tcPr>
            <w:tcW w:w="1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S-1</w:t>
            </w:r>
          </w:p>
        </w:tc>
      </w:tr>
      <w:tr>
        <w:trPr>
          <w:trHeight w:val="148"/>
        </w:trPr>
        <w:tc>
          <w:tcPr>
            <w:tcW w:w="2060" w:type="dxa"/>
            <w:vAlign w:val="bottom"/>
            <w:tcBorders>
              <w:top w:val="single" w:sz="8" w:color="0000EE"/>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MARKET AND INDUSTRY DATA</w:t>
            </w:r>
          </w:p>
        </w:tc>
        <w:tc>
          <w:tcPr>
            <w:tcW w:w="600" w:type="dxa"/>
            <w:vAlign w:val="bottom"/>
            <w:tcBorders>
              <w:top w:val="single" w:sz="8" w:color="0000EE"/>
            </w:tcBorders>
            <w:gridSpan w:val="3"/>
          </w:tcPr>
          <w:p>
            <w:pPr>
              <w:spacing w:after="0"/>
              <w:rPr>
                <w:sz w:val="12"/>
                <w:szCs w:val="12"/>
                <w:color w:val="auto"/>
              </w:rPr>
            </w:pPr>
          </w:p>
        </w:tc>
        <w:tc>
          <w:tcPr>
            <w:tcW w:w="4180" w:type="dxa"/>
            <w:vAlign w:val="bottom"/>
            <w:gridSpan w:val="5"/>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w:t>
            </w:r>
          </w:p>
        </w:tc>
      </w:tr>
      <w:tr>
        <w:trPr>
          <w:trHeight w:val="148"/>
        </w:trPr>
        <w:tc>
          <w:tcPr>
            <w:tcW w:w="72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SUMMARY</w:t>
            </w:r>
          </w:p>
        </w:tc>
        <w:tc>
          <w:tcPr>
            <w:tcW w:w="6120" w:type="dxa"/>
            <w:vAlign w:val="bottom"/>
            <w:gridSpan w:val="16"/>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THE OFFERING</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SUMMARY HISTORICAL CONSOLIDATED FINANCIAL AND OTHER DATA</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S-6</w:t>
            </w:r>
          </w:p>
        </w:tc>
      </w:tr>
      <w:tr>
        <w:trPr>
          <w:trHeight w:val="148"/>
        </w:trPr>
        <w:tc>
          <w:tcPr>
            <w:tcW w:w="4700" w:type="dxa"/>
            <w:vAlign w:val="bottom"/>
            <w:tcBorders>
              <w:top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2140" w:type="dxa"/>
            <w:vAlign w:val="bottom"/>
            <w:gridSpan w:val="2"/>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S-11</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450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2340" w:type="dxa"/>
            <w:vAlign w:val="bottom"/>
            <w:gridSpan w:val="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S-16</w:t>
            </w:r>
          </w:p>
        </w:tc>
      </w:tr>
      <w:tr>
        <w:trPr>
          <w:trHeight w:val="148"/>
        </w:trPr>
        <w:tc>
          <w:tcPr>
            <w:tcW w:w="174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9"/>
              </w:rPr>
              <w:t>SELLING STOCKHOLDERS</w:t>
            </w:r>
          </w:p>
        </w:tc>
        <w:tc>
          <w:tcPr>
            <w:tcW w:w="5100" w:type="dxa"/>
            <w:vAlign w:val="bottom"/>
            <w:gridSpan w:val="9"/>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S-18</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MATERIAL U.S. FEDERAL INCOME TAX CONSIDERATIONS FOR NON-U.S. HOLDERS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S-20</w:t>
            </w:r>
          </w:p>
        </w:tc>
      </w:tr>
      <w:tr>
        <w:trPr>
          <w:trHeight w:val="148"/>
        </w:trPr>
        <w:tc>
          <w:tcPr>
            <w:tcW w:w="5400" w:type="dxa"/>
            <w:vAlign w:val="bottom"/>
            <w:tcBorders>
              <w:top w:val="single" w:sz="8" w:color="0000EE"/>
            </w:tcBorders>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DIVIDEND POLICY</w:t>
            </w:r>
          </w:p>
        </w:tc>
        <w:tc>
          <w:tcPr>
            <w:tcW w:w="1440" w:type="dxa"/>
            <w:vAlign w:val="bottom"/>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S-22</w:t>
            </w:r>
          </w:p>
        </w:tc>
      </w:tr>
      <w:tr>
        <w:trPr>
          <w:trHeight w:val="148"/>
        </w:trPr>
        <w:tc>
          <w:tcPr>
            <w:tcW w:w="108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UNDERWRITING</w:t>
            </w:r>
          </w:p>
        </w:tc>
        <w:tc>
          <w:tcPr>
            <w:tcW w:w="140" w:type="dxa"/>
            <w:vAlign w:val="bottom"/>
            <w:tcBorders>
              <w:top w:val="single" w:sz="8" w:color="0000EE"/>
            </w:tcBorders>
            <w:gridSpan w:val="2"/>
          </w:tcPr>
          <w:p>
            <w:pPr>
              <w:spacing w:after="0"/>
              <w:rPr>
                <w:sz w:val="12"/>
                <w:szCs w:val="12"/>
                <w:color w:val="auto"/>
              </w:rPr>
            </w:pPr>
          </w:p>
        </w:tc>
        <w:tc>
          <w:tcPr>
            <w:tcW w:w="5620" w:type="dxa"/>
            <w:vAlign w:val="bottom"/>
            <w:gridSpan w:val="12"/>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S-23</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S-30</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720" w:type="dxa"/>
            <w:vAlign w:val="bottom"/>
            <w:gridSpan w:val="1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S-31</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S-32</w:t>
            </w:r>
          </w:p>
        </w:tc>
      </w:tr>
      <w:tr>
        <w:trPr>
          <w:trHeight w:val="148"/>
        </w:trPr>
        <w:tc>
          <w:tcPr>
            <w:tcW w:w="2960" w:type="dxa"/>
            <w:vAlign w:val="bottom"/>
            <w:tcBorders>
              <w:top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3880" w:type="dxa"/>
            <w:vAlign w:val="bottom"/>
            <w:gridSpan w:val="4"/>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S-33</w:t>
            </w:r>
          </w:p>
        </w:tc>
      </w:tr>
      <w:tr>
        <w:trPr>
          <w:trHeight w:val="348"/>
        </w:trPr>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700" w:type="dxa"/>
            <w:vAlign w:val="bottom"/>
          </w:tcPr>
          <w:p>
            <w:pPr>
              <w:spacing w:after="0"/>
              <w:rPr>
                <w:sz w:val="24"/>
                <w:szCs w:val="24"/>
                <w:color w:val="auto"/>
              </w:rPr>
            </w:pPr>
          </w:p>
        </w:tc>
      </w:tr>
      <w:tr>
        <w:trPr>
          <w:trHeight w:val="326"/>
        </w:trPr>
        <w:tc>
          <w:tcPr>
            <w:tcW w:w="1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9"/>
              </w:rPr>
              <w:t>ABOUT THIS PROSPECTUS</w:t>
            </w:r>
          </w:p>
        </w:tc>
        <w:tc>
          <w:tcPr>
            <w:tcW w:w="5100" w:type="dxa"/>
            <w:vAlign w:val="bottom"/>
            <w:gridSpan w:val="9"/>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ABOUT SOTERA HEALTH COMPANY</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122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450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2340" w:type="dxa"/>
            <w:vAlign w:val="bottom"/>
            <w:gridSpan w:val="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12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8"/>
        </w:trPr>
        <w:tc>
          <w:tcPr>
            <w:tcW w:w="236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4480" w:type="dxa"/>
            <w:vAlign w:val="bottom"/>
            <w:gridSpan w:val="6"/>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172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SELLING STOCKHOLDERS</w:t>
            </w:r>
          </w:p>
        </w:tc>
        <w:tc>
          <w:tcPr>
            <w:tcW w:w="5120" w:type="dxa"/>
            <w:vAlign w:val="bottom"/>
            <w:gridSpan w:val="10"/>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160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240" w:type="dxa"/>
            <w:vAlign w:val="bottom"/>
            <w:gridSpan w:val="11"/>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2200" w:type="dxa"/>
            <w:vAlign w:val="bottom"/>
            <w:tcBorders>
              <w:top w:val="single" w:sz="8" w:color="0000EE"/>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760" w:type="dxa"/>
            <w:vAlign w:val="bottom"/>
            <w:tcBorders>
              <w:top w:val="single" w:sz="8" w:color="0000EE"/>
            </w:tcBorders>
            <w:gridSpan w:val="3"/>
          </w:tcPr>
          <w:p>
            <w:pPr>
              <w:spacing w:after="0"/>
              <w:rPr>
                <w:sz w:val="12"/>
                <w:szCs w:val="12"/>
                <w:color w:val="auto"/>
              </w:rPr>
            </w:pPr>
          </w:p>
        </w:tc>
        <w:tc>
          <w:tcPr>
            <w:tcW w:w="3880" w:type="dxa"/>
            <w:vAlign w:val="bottom"/>
            <w:gridSpan w:val="4"/>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w:t>
            </w:r>
          </w:p>
        </w:tc>
      </w:tr>
      <w:tr>
        <w:trPr>
          <w:trHeight w:val="148"/>
        </w:trPr>
        <w:tc>
          <w:tcPr>
            <w:tcW w:w="684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5720" w:type="dxa"/>
            <w:vAlign w:val="bottom"/>
            <w:gridSpan w:val="13"/>
          </w:tcPr>
          <w:p>
            <w:pPr>
              <w:spacing w:after="0"/>
              <w:rPr>
                <w:sz w:val="12"/>
                <w:szCs w:val="12"/>
                <w:color w:val="auto"/>
              </w:rPr>
            </w:pPr>
          </w:p>
        </w:tc>
        <w:tc>
          <w:tcPr>
            <w:tcW w:w="1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r>
    </w:tbl>
    <w:p>
      <w:pPr>
        <w:spacing w:after="0" w:line="173"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w:t>
      </w:r>
    </w:p>
    <w:p>
      <w:pPr>
        <w:spacing w:after="0" w:line="14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w:t>
      </w:r>
    </w:p>
    <w:p>
      <w:pPr>
        <w:spacing w:after="0" w:line="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You should carefully read this prospectus supplement, the accompanying prospectus and any free writing prospectus prepared by or on behalf of us, together with the additional information described under the heading “Where You Can Find More Information.”</w:t>
      </w:r>
    </w:p>
    <w:p>
      <w:pPr>
        <w:spacing w:after="0" w:line="121" w:lineRule="exact"/>
        <w:rPr>
          <w:sz w:val="20"/>
          <w:szCs w:val="20"/>
          <w:color w:val="auto"/>
        </w:rPr>
      </w:pPr>
    </w:p>
    <w:p>
      <w:pPr>
        <w:jc w:val="both"/>
        <w:ind w:left="136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w:t>
      </w:r>
    </w:p>
    <w:p>
      <w:pPr>
        <w:spacing w:after="0" w:line="14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If the description of the offering varies between this prospectus supplement and the accompanying prospectus, you should rely on the information in this prospectus supplement.</w:t>
      </w:r>
    </w:p>
    <w:p>
      <w:pPr>
        <w:spacing w:after="0" w:line="12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7"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443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3443605"/>
                    </a:xfrm>
                    <a:prstGeom prst="rect">
                      <a:avLst/>
                    </a:prstGeom>
                    <a:noFill/>
                  </pic:spPr>
                </pic:pic>
              </a:graphicData>
            </a:graphic>
          </wp:anchor>
        </w:drawing>
      </w:r>
    </w:p>
    <w:p>
      <w:pPr>
        <w:spacing w:after="0" w:line="36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5" w:lineRule="exact"/>
        <w:rPr>
          <w:sz w:val="20"/>
          <w:szCs w:val="20"/>
          <w:color w:val="auto"/>
        </w:rPr>
      </w:pPr>
    </w:p>
    <w:p>
      <w:pPr>
        <w:ind w:left="1500" w:right="459"/>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2025 (the “Annual Report”).</w:t>
      </w:r>
    </w:p>
    <w:p>
      <w:pPr>
        <w:spacing w:after="0" w:line="1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500" w:right="399" w:firstLine="332"/>
        <w:spacing w:after="0" w:line="236" w:lineRule="auto"/>
        <w:rPr>
          <w:sz w:val="20"/>
          <w:szCs w:val="20"/>
          <w:color w:val="auto"/>
        </w:rPr>
      </w:pPr>
      <w:r>
        <w:rPr>
          <w:rFonts w:ascii="Times New Roman" w:cs="Times New Roman" w:eastAsia="Times New Roman" w:hAnsi="Times New Roman"/>
          <w:sz w:val="14"/>
          <w:szCs w:val="14"/>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2025,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158" w:lineRule="exact"/>
        <w:rPr>
          <w:sz w:val="20"/>
          <w:szCs w:val="20"/>
          <w:color w:val="auto"/>
        </w:rPr>
      </w:pPr>
    </w:p>
    <w:p>
      <w:pPr>
        <w:ind w:left="1500" w:right="439" w:firstLine="332"/>
        <w:spacing w:after="0" w:line="261" w:lineRule="auto"/>
        <w:rPr>
          <w:sz w:val="20"/>
          <w:szCs w:val="20"/>
          <w:color w:val="auto"/>
        </w:rPr>
      </w:pPr>
      <w:r>
        <w:rPr>
          <w:rFonts w:ascii="Times New Roman" w:cs="Times New Roman" w:eastAsia="Times New Roman" w:hAnsi="Times New Roman"/>
          <w:sz w:val="14"/>
          <w:szCs w:val="14"/>
          <w:color w:val="auto"/>
        </w:rPr>
        <w:t>We are a trusted partner to customers in over 50 countries. We strive to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Sotera Health Company was incorporated in Delaware in November 2017 as the parent company for Sterigenics, Nordion and Nelson Labs.</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corporate headquarters and principal executive offices are located at 9100 South Hills Boulevard, Suite 300, Broadview Heights, Ohio 44147.</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telephone number is (440) 262-1410.</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052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505269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31,838,253 shares.</w:t>
      </w:r>
    </w:p>
    <w:p>
      <w:pPr>
        <w:spacing w:after="0" w:line="124"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Selling stockholders</w:t>
      </w:r>
    </w:p>
    <w:p>
      <w:pPr>
        <w:spacing w:after="0" w:line="20" w:lineRule="exact"/>
        <w:rPr>
          <w:sz w:val="20"/>
          <w:szCs w:val="20"/>
          <w:color w:val="auto"/>
        </w:rPr>
      </w:pPr>
      <w:r>
        <w:rPr>
          <w:sz w:val="20"/>
          <w:szCs w:val="20"/>
          <w:color w:val="auto"/>
        </w:rPr>
        <w:br w:type="column"/>
      </w:r>
    </w:p>
    <w:p>
      <w:pPr>
        <w:jc w:val="center"/>
        <w:ind w:right="3039"/>
        <w:spacing w:after="0"/>
        <w:rPr>
          <w:sz w:val="20"/>
          <w:szCs w:val="20"/>
          <w:color w:val="auto"/>
        </w:rPr>
      </w:pPr>
      <w:r>
        <w:rPr>
          <w:rFonts w:ascii="Times New Roman" w:cs="Times New Roman" w:eastAsia="Times New Roman" w:hAnsi="Times New Roman"/>
          <w:sz w:val="14"/>
          <w:szCs w:val="14"/>
          <w:color w:val="auto"/>
        </w:rPr>
        <w:t>See “Selling Stockholders.”</w:t>
      </w:r>
    </w:p>
    <w:p>
      <w:pPr>
        <w:spacing w:after="0" w:line="112"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285,166,994 shares.</w:t>
      </w:r>
    </w:p>
    <w:p>
      <w:pPr>
        <w:spacing w:after="0" w:line="124"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ind w:right="499"/>
        <w:spacing w:after="0" w:line="261"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shares of common stock in this offering. We will not receive any proceeds from the sale of shares of common stock by the selling stockholders.</w:t>
      </w:r>
    </w:p>
    <w:p>
      <w:pPr>
        <w:spacing w:after="0" w:line="67"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Effect on Sponsors’ rights</w:t>
      </w:r>
    </w:p>
    <w:p>
      <w:pPr>
        <w:spacing w:after="0" w:line="20" w:lineRule="exact"/>
        <w:rPr>
          <w:sz w:val="20"/>
          <w:szCs w:val="20"/>
          <w:color w:val="auto"/>
        </w:rPr>
      </w:pPr>
      <w:r>
        <w:rPr>
          <w:sz w:val="20"/>
          <w:szCs w:val="20"/>
          <w:color w:val="auto"/>
        </w:rPr>
        <w:br w:type="column"/>
      </w:r>
    </w:p>
    <w:p>
      <w:pPr>
        <w:ind w:right="419"/>
        <w:spacing w:after="0" w:line="253" w:lineRule="auto"/>
        <w:rPr>
          <w:sz w:val="20"/>
          <w:szCs w:val="20"/>
          <w:color w:val="auto"/>
        </w:rPr>
      </w:pPr>
      <w:r>
        <w:rPr>
          <w:rFonts w:ascii="Times New Roman" w:cs="Times New Roman" w:eastAsia="Times New Roman" w:hAnsi="Times New Roman"/>
          <w:sz w:val="14"/>
          <w:szCs w:val="14"/>
          <w:color w:val="auto"/>
        </w:rPr>
        <w:t>The Sponsors have historically had special rights relating to our corporate governance, including the right to designate directors to serve on our Board. For more information, see “Certain Sponsor Rights” in our Definitive Proxy Statement on Schedule 14A, filed with the SEC on April 8, 2026 and supplemented on May 5, 2026, which is incorporated by reference in this prospectus supplement. Following the completion of this offering, the Sponsors will no longer own any of our common stock and therefore their special corporate governance rights will terminate. Existing directors on our Board who were designated by the Sponsors are not, however, required to resign from the Board or its committees and may serve until the end of their terms. The Stockholders Agreement will terminate following this offering.</w:t>
      </w:r>
    </w:p>
    <w:p>
      <w:pPr>
        <w:spacing w:after="0" w:line="77"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Dividend policy</w:t>
      </w:r>
    </w:p>
    <w:p>
      <w:pPr>
        <w:spacing w:after="0" w:line="20" w:lineRule="exact"/>
        <w:rPr>
          <w:sz w:val="20"/>
          <w:szCs w:val="20"/>
          <w:color w:val="auto"/>
        </w:rPr>
      </w:pPr>
      <w:r>
        <w:rPr>
          <w:sz w:val="20"/>
          <w:szCs w:val="20"/>
          <w:color w:val="auto"/>
        </w:rPr>
        <w:br w:type="column"/>
      </w:r>
    </w:p>
    <w:p>
      <w:pPr>
        <w:ind w:right="439"/>
        <w:spacing w:after="0" w:line="261" w:lineRule="auto"/>
        <w:rPr>
          <w:sz w:val="20"/>
          <w:szCs w:val="20"/>
          <w:color w:val="auto"/>
        </w:rPr>
      </w:pPr>
      <w:r>
        <w:rPr>
          <w:rFonts w:ascii="Times New Roman" w:cs="Times New Roman" w:eastAsia="Times New Roman" w:hAnsi="Times New Roman"/>
          <w:sz w:val="14"/>
          <w:szCs w:val="14"/>
          <w:color w:val="auto"/>
        </w:rPr>
        <w:t>We currently do not expect to pay dividends on our common stock. Instead, we anticipate that all of our earnings in the foreseeable future will be used for the operation and growth of our business and the repayment of indebtedness. See “Dividend Policy.”</w:t>
      </w:r>
    </w:p>
    <w:p>
      <w:pPr>
        <w:spacing w:after="0" w:line="67"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jc w:val="both"/>
        <w:ind w:right="539"/>
        <w:spacing w:after="0" w:line="26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See “Risk Factors” for a discussion of factors you should carefully consider before deciding to invest in our common stock.</w:t>
      </w:r>
    </w:p>
    <w:p>
      <w:pPr>
        <w:spacing w:after="0" w:line="62"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“SHC”</w:t>
      </w:r>
    </w:p>
    <w:p>
      <w:pPr>
        <w:spacing w:after="0" w:line="186" w:lineRule="exact"/>
        <w:rPr>
          <w:sz w:val="20"/>
          <w:szCs w:val="20"/>
          <w:color w:val="auto"/>
        </w:rPr>
      </w:pPr>
    </w:p>
    <w:p>
      <w:pPr>
        <w:sectPr>
          <w:pgSz w:w="11900" w:h="16838" w:orient="portrait"/>
          <w:cols w:equalWidth="0" w:num="2">
            <w:col w:w="4840" w:space="720"/>
            <w:col w:w="4599"/>
          </w:cols>
          <w:pgMar w:left="300" w:top="386" w:right="1440" w:bottom="1440" w:gutter="0" w:footer="0" w:header="0"/>
          <w:type w:val="continuous"/>
        </w:sectPr>
      </w:pPr>
    </w:p>
    <w:p>
      <w:pPr>
        <w:ind w:left="1500" w:right="699" w:firstLine="332"/>
        <w:spacing w:after="0" w:line="283" w:lineRule="auto"/>
        <w:rPr>
          <w:sz w:val="20"/>
          <w:szCs w:val="20"/>
          <w:color w:val="auto"/>
        </w:rPr>
      </w:pPr>
      <w:r>
        <w:rPr>
          <w:rFonts w:ascii="Times New Roman" w:cs="Times New Roman" w:eastAsia="Times New Roman" w:hAnsi="Times New Roman"/>
          <w:sz w:val="14"/>
          <w:szCs w:val="14"/>
          <w:color w:val="auto"/>
        </w:rPr>
        <w:t>Except as otherwise noted, the number of shares of common stock to be outstanding after the offering is based on 285,166,994 shares of common stock outstanding as of April 28, 2026 and excludes as of such date:</w:t>
      </w:r>
    </w:p>
    <w:p>
      <w:pPr>
        <w:spacing w:after="0" w:line="51" w:lineRule="exact"/>
        <w:rPr>
          <w:sz w:val="20"/>
          <w:szCs w:val="20"/>
          <w:color w:val="auto"/>
        </w:rPr>
      </w:pPr>
    </w:p>
    <w:p>
      <w:pPr>
        <w:ind w:left="2220" w:right="519" w:hanging="313"/>
        <w:spacing w:after="0" w:line="283"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7,636,983 shares of common stock issuable upon the exercise of outstanding options as of March 31, 2026, with a weighted average exercise price of $14.89 per share;</w:t>
      </w:r>
    </w:p>
    <w:p>
      <w:pPr>
        <w:spacing w:after="0" w:line="51" w:lineRule="exact"/>
        <w:rPr>
          <w:rFonts w:ascii="Times New Roman" w:cs="Times New Roman" w:eastAsia="Times New Roman" w:hAnsi="Times New Roman"/>
          <w:sz w:val="14"/>
          <w:szCs w:val="14"/>
          <w:color w:val="auto"/>
        </w:rPr>
      </w:pPr>
    </w:p>
    <w:p>
      <w:pPr>
        <w:ind w:left="2220" w:right="499" w:hanging="313"/>
        <w:spacing w:after="0" w:line="283"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3,577,180 shares issuable pursuant to restricted stock units (“RSUs”) and performance stock units (“PSUs”) outstanding as of March 31, 2026, of which:</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112,050 shares of common stock that have ceased to be issuable due to forfeitures of RSUs and PSUs subsequent to March 31, 2026;</w:t>
      </w:r>
    </w:p>
    <w:p>
      <w:pPr>
        <w:spacing w:after="0" w:line="101" w:lineRule="exact"/>
        <w:rPr>
          <w:rFonts w:ascii="Times New Roman" w:cs="Times New Roman" w:eastAsia="Times New Roman" w:hAnsi="Times New Roman"/>
          <w:sz w:val="14"/>
          <w:szCs w:val="14"/>
          <w:color w:val="auto"/>
        </w:rPr>
      </w:pPr>
    </w:p>
    <w:p>
      <w:pPr>
        <w:ind w:left="2540" w:right="599" w:hanging="223"/>
        <w:spacing w:after="0" w:line="283" w:lineRule="auto"/>
        <w:tabs>
          <w:tab w:leader="none" w:pos="254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17,135 such shares of common stock that have ceased to be issuable due to the vesting and settlement of RSUs subsequent to March 31, 2026 (and any shares of common stock that are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84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840740"/>
                    </a:xfrm>
                    <a:prstGeom prst="rect">
                      <a:avLst/>
                    </a:prstGeom>
                    <a:noFill/>
                  </pic:spPr>
                </pic:pic>
              </a:graphicData>
            </a:graphic>
          </wp:anchor>
        </w:drawing>
      </w:r>
    </w:p>
    <w:p>
      <w:pPr>
        <w:spacing w:after="0" w:line="368" w:lineRule="exact"/>
        <w:rPr>
          <w:sz w:val="20"/>
          <w:szCs w:val="20"/>
          <w:color w:val="auto"/>
        </w:rPr>
      </w:pPr>
    </w:p>
    <w:p>
      <w:pPr>
        <w:ind w:left="2560" w:right="439"/>
        <w:spacing w:after="0" w:line="283" w:lineRule="auto"/>
        <w:rPr>
          <w:sz w:val="20"/>
          <w:szCs w:val="20"/>
          <w:color w:val="auto"/>
        </w:rPr>
      </w:pPr>
      <w:r>
        <w:rPr>
          <w:rFonts w:ascii="Times New Roman" w:cs="Times New Roman" w:eastAsia="Times New Roman" w:hAnsi="Times New Roman"/>
          <w:sz w:val="14"/>
          <w:szCs w:val="14"/>
          <w:color w:val="auto"/>
        </w:rPr>
        <w:t>outstanding following the satisfaction of tax withholding obligations in respect of such vested RSUs are included in the number of shares of common stock outstanding as of April 28, 2026 set forth above);</w:t>
      </w:r>
    </w:p>
    <w:p>
      <w:pPr>
        <w:spacing w:after="0" w:line="51" w:lineRule="exact"/>
        <w:rPr>
          <w:sz w:val="20"/>
          <w:szCs w:val="20"/>
          <w:color w:val="auto"/>
        </w:rPr>
      </w:pPr>
    </w:p>
    <w:p>
      <w:pPr>
        <w:ind w:left="2540" w:hanging="223"/>
        <w:spacing w:after="0"/>
        <w:tabs>
          <w:tab w:leader="none" w:pos="25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9,194 such shares of common stock that were released net of taxes between March 31, 2026 and April 28, 2026; and</w:t>
      </w:r>
    </w:p>
    <w:p>
      <w:pPr>
        <w:spacing w:after="0" w:line="101" w:lineRule="exact"/>
        <w:rPr>
          <w:rFonts w:ascii="Times New Roman" w:cs="Times New Roman" w:eastAsia="Times New Roman" w:hAnsi="Times New Roman"/>
          <w:sz w:val="14"/>
          <w:szCs w:val="14"/>
          <w:color w:val="auto"/>
        </w:rPr>
      </w:pPr>
    </w:p>
    <w:p>
      <w:pPr>
        <w:ind w:left="2540" w:right="579" w:hanging="223"/>
        <w:spacing w:after="0" w:line="283" w:lineRule="auto"/>
        <w:tabs>
          <w:tab w:leader="none" w:pos="25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12,862,303 additional shares of common stock reserved for future awards under our 2020 Omnibus Incentive Plan (the “2020 Plan”).</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32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4632325"/>
                    </a:xfrm>
                    <a:prstGeom prst="rect">
                      <a:avLst/>
                    </a:prstGeom>
                    <a:noFill/>
                  </pic:spPr>
                </pic:pic>
              </a:graphicData>
            </a:graphic>
          </wp:anchor>
        </w:drawing>
      </w:r>
    </w:p>
    <w:p>
      <w:pPr>
        <w:spacing w:after="0" w:line="36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SUMMARY HISTORICAL CONSOLIDATED FINANCIAL AND OTHER DATA</w:t>
      </w:r>
    </w:p>
    <w:p>
      <w:pPr>
        <w:spacing w:after="0" w:line="177" w:lineRule="exact"/>
        <w:rPr>
          <w:sz w:val="20"/>
          <w:szCs w:val="20"/>
          <w:color w:val="auto"/>
        </w:rPr>
      </w:pPr>
    </w:p>
    <w:p>
      <w:pPr>
        <w:ind w:left="1500" w:right="379" w:firstLine="332"/>
        <w:spacing w:after="0" w:line="261" w:lineRule="auto"/>
        <w:rPr>
          <w:sz w:val="20"/>
          <w:szCs w:val="20"/>
          <w:color w:val="auto"/>
        </w:rPr>
      </w:pPr>
      <w:r>
        <w:rPr>
          <w:rFonts w:ascii="Times New Roman" w:cs="Times New Roman" w:eastAsia="Times New Roman" w:hAnsi="Times New Roman"/>
          <w:sz w:val="14"/>
          <w:szCs w:val="14"/>
          <w:color w:val="auto"/>
        </w:rPr>
        <w:t>The following tables present our summary historical consolidated financial and other data. The summary historical consolidated statements of operations data and statements of cash flows data for the years ended December 31, 2025, 2024 and 2023 and the summary historical balance sheet data as of December 31, 2025 and December 31, 2024 have been derived from our audited consolidated financial statements incorporated by reference from our Annual Report.</w:t>
      </w:r>
    </w:p>
    <w:p>
      <w:pPr>
        <w:spacing w:after="0" w:line="141" w:lineRule="exact"/>
        <w:rPr>
          <w:sz w:val="20"/>
          <w:szCs w:val="20"/>
          <w:color w:val="auto"/>
        </w:rPr>
      </w:pPr>
    </w:p>
    <w:p>
      <w:pPr>
        <w:ind w:left="1500" w:right="539" w:firstLine="332"/>
        <w:spacing w:after="0" w:line="261" w:lineRule="auto"/>
        <w:rPr>
          <w:sz w:val="20"/>
          <w:szCs w:val="20"/>
          <w:color w:val="auto"/>
        </w:rPr>
      </w:pPr>
      <w:r>
        <w:rPr>
          <w:rFonts w:ascii="Times New Roman" w:cs="Times New Roman" w:eastAsia="Times New Roman" w:hAnsi="Times New Roman"/>
          <w:sz w:val="14"/>
          <w:szCs w:val="14"/>
          <w:color w:val="auto"/>
        </w:rPr>
        <w:t>The summary historical consolidated statements of operations data and statements of cash flows data for the three months ended March 31, 2026 and 2025 and the summary historical balance sheet data as of March 31, 2026 have been derived from our unaudited consolidated interim financial statements incorporated by reference from our Quarterly Report on Form 10-Q for the quarter ended March 31, 2026 (the “Q1 2026 Quarterly Report”).</w:t>
      </w:r>
    </w:p>
    <w:p>
      <w:pPr>
        <w:spacing w:after="0" w:line="141" w:lineRule="exact"/>
        <w:rPr>
          <w:sz w:val="20"/>
          <w:szCs w:val="20"/>
          <w:color w:val="auto"/>
        </w:rPr>
      </w:pPr>
    </w:p>
    <w:p>
      <w:pPr>
        <w:ind w:left="1500" w:right="599" w:firstLine="332"/>
        <w:spacing w:after="0" w:line="261" w:lineRule="auto"/>
        <w:rPr>
          <w:sz w:val="20"/>
          <w:szCs w:val="20"/>
          <w:color w:val="auto"/>
        </w:rPr>
      </w:pPr>
      <w:r>
        <w:rPr>
          <w:rFonts w:ascii="Times New Roman" w:cs="Times New Roman" w:eastAsia="Times New Roman" w:hAnsi="Times New Roman"/>
          <w:sz w:val="14"/>
          <w:szCs w:val="14"/>
          <w:color w:val="auto"/>
        </w:rPr>
        <w:t>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Q1 2026 Quarterly Report. Our historical results are not necessarily indicative of our results in any future period.</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3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i w:val="1"/>
                <w:iCs w:val="1"/>
                <w:color w:val="auto"/>
              </w:rPr>
              <w:t>in thousands, except per share amounts)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3420" w:type="dxa"/>
            <w:vAlign w:val="bottom"/>
            <w:tcBorders>
              <w:bottom w:val="single" w:sz="8" w:color="CCEEFF"/>
            </w:tcBorders>
            <w:vMerge w:val="continue"/>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Borders>
              <w:top w:val="single" w:sz="8" w:color="auto"/>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3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241,608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$223,940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995,756</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941,822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905,598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38,437</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30,583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167,861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158,619</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143,690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8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280,045</w:t>
            </w:r>
          </w:p>
        </w:tc>
        <w:tc>
          <w:tcPr>
            <w:tcW w:w="2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254,523</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1,163,617</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1,100,441</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1,049,288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Service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118,828</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107,629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456,311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439,543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418,611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Product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14,148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11,462</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61,772</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58,603</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53,519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cost of revenues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132,976</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119,091</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518,083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498,146</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472,130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147,069</w:t>
            </w:r>
          </w:p>
        </w:tc>
        <w:tc>
          <w:tcPr>
            <w:tcW w:w="2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135,432</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645,534</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602,295</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68,211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63,061</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252,762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242,630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236,667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3,031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15,327</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30,738</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62,039</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63,799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34,745</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40,876</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155,722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164,691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142,878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refinancing of debt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24,168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Illinois EO litigation settlements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30,943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64,943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Georgia EO litigation settlement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exchange loss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(8,546)</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(5,306)</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(7,372)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42,613</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(14,823)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147,506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113,874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106,027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16,024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69,557</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69,476</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54,651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26,589</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5"/>
              </w:rPr>
              <w:t>$ (13,260)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77,949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44,398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51,376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4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S-6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5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3380" cy="4658995"/>
                    </a:xfrm>
                    <a:prstGeom prst="rect">
                      <a:avLst/>
                    </a:prstGeom>
                    <a:noFill/>
                  </pic:spPr>
                </pic:pic>
              </a:graphicData>
            </a:graphic>
          </wp:anchor>
        </w:drawing>
      </w:r>
    </w:p>
    <w:p>
      <w:pPr>
        <w:spacing w:after="0" w:line="352"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 except per share amounts)</w:t>
            </w:r>
          </w:p>
        </w:tc>
        <w:tc>
          <w:tcPr>
            <w:tcW w:w="80" w:type="dxa"/>
            <w:vAlign w:val="bottom"/>
          </w:tcPr>
          <w:p>
            <w:pPr>
              <w:spacing w:after="0"/>
              <w:rPr>
                <w:sz w:val="11"/>
                <w:szCs w:val="11"/>
                <w:color w:val="auto"/>
              </w:rPr>
            </w:pPr>
          </w:p>
        </w:tc>
        <w:tc>
          <w:tcPr>
            <w:tcW w:w="1480" w:type="dxa"/>
            <w:vAlign w:val="bottom"/>
            <w:gridSpan w:val="5"/>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420" w:type="dxa"/>
            <w:vAlign w:val="bottom"/>
            <w:tcBorders>
              <w:bottom w:val="single" w:sz="8" w:color="CCEEFF"/>
            </w:tcBorders>
            <w:vMerge w:val="continue"/>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Other comprehensive (loss) income, net of tax:</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Pension and post-retirement benefits (net of taxes of $(36), $3, $600,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$2,804 and $(3,420), respectively)</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8,462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(10,506)</w:t>
            </w:r>
          </w:p>
        </w:tc>
        <w:tc>
          <w:tcPr>
            <w:tcW w:w="0" w:type="dxa"/>
            <w:vAlign w:val="bottom"/>
          </w:tcPr>
          <w:p>
            <w:pPr>
              <w:spacing w:after="0"/>
              <w:rPr>
                <w:sz w:val="1"/>
                <w:szCs w:val="1"/>
                <w:color w:val="auto"/>
              </w:rPr>
            </w:pPr>
          </w:p>
        </w:tc>
      </w:tr>
      <w:tr>
        <w:trPr>
          <w:trHeight w:val="154"/>
        </w:trPr>
        <w:tc>
          <w:tcPr>
            <w:tcW w:w="4420" w:type="dxa"/>
            <w:vAlign w:val="bottom"/>
            <w:shd w:val="clear" w:color="auto" w:fill="CCEEFF"/>
          </w:tcPr>
          <w:p>
            <w:pPr>
              <w:ind w:left="280"/>
              <w:spacing w:after="0" w:line="153" w:lineRule="exact"/>
              <w:rPr>
                <w:sz w:val="20"/>
                <w:szCs w:val="20"/>
                <w:color w:val="auto"/>
              </w:rPr>
            </w:pPr>
            <w:r>
              <w:rPr>
                <w:rFonts w:ascii="Times New Roman" w:cs="Times New Roman" w:eastAsia="Times New Roman" w:hAnsi="Times New Roman"/>
                <w:sz w:val="14"/>
                <w:szCs w:val="14"/>
                <w:color w:val="auto"/>
              </w:rPr>
              <w:t>Interest rate derivatives (net of taxes of $560, $(266), $(718), $(1,856)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and $(5,467), respectively)</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(5,396)</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(17,631)</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19,560</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98,115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4"/>
              </w:rPr>
              <w:t>(118,635)</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40,174</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10,487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176,362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(71,171)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65,347</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Earnings per share: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0.27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29,435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55,521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287,195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224,164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4"/>
              </w:rPr>
              <w:t>(147,732)</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(45,128)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(19,881)</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4"/>
              </w:rPr>
              <w:t>(135,144)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4"/>
              </w:rPr>
              <w:t>(178,996)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4"/>
              </w:rPr>
              <w:t>(214,906)</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(12,779)</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(8,087)</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4"/>
              </w:rPr>
              <w:t>(100,534)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(50,564)</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265,959</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Adjusted Net Income</w:t>
            </w:r>
            <w:r>
              <w:rPr>
                <w:rFonts w:ascii="Times New Roman" w:cs="Times New Roman" w:eastAsia="Times New Roman" w:hAnsi="Times New Roman"/>
                <w:sz w:val="19"/>
                <w:szCs w:val="19"/>
                <w:color w:val="auto"/>
                <w:vertAlign w:val="superscript"/>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52,366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39,044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245,414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198,500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204,326</w:t>
            </w:r>
          </w:p>
        </w:tc>
        <w:tc>
          <w:tcPr>
            <w:tcW w:w="0" w:type="dxa"/>
            <w:vAlign w:val="bottom"/>
          </w:tcPr>
          <w:p>
            <w:pPr>
              <w:spacing w:after="0"/>
              <w:rPr>
                <w:sz w:val="1"/>
                <w:szCs w:val="1"/>
                <w:color w:val="auto"/>
              </w:rPr>
            </w:pPr>
          </w:p>
        </w:tc>
      </w:tr>
      <w:tr>
        <w:trPr>
          <w:trHeight w:val="168"/>
        </w:trPr>
        <w:tc>
          <w:tcPr>
            <w:tcW w:w="44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9"/>
                <w:szCs w:val="19"/>
                <w:color w:val="auto"/>
                <w:vertAlign w:val="superscript"/>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134,653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121,839</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593,801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548,574</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528,029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20" w:right="439" w:hanging="323"/>
        <w:spacing w:after="0" w:line="261" w:lineRule="auto"/>
        <w:tabs>
          <w:tab w:leader="none" w:pos="1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 —Non-GAAP Financial Measures.”</w:t>
      </w:r>
    </w:p>
    <w:p>
      <w:pPr>
        <w:spacing w:after="0" w:line="146"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574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6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6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574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30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top w:val="single" w:sz="8" w:color="auto"/>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Cash and cash equivalents</w:t>
            </w:r>
            <w:r>
              <w:rPr>
                <w:rFonts w:ascii="Times New Roman" w:cs="Times New Roman" w:eastAsia="Times New Roman" w:hAnsi="Times New Roman"/>
                <w:sz w:val="19"/>
                <w:szCs w:val="19"/>
                <w:color w:val="auto"/>
                <w:vertAlign w:val="superscript"/>
              </w:rPr>
              <w:t>(a)</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314,147</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344,621</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277,242</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Working capital</w:t>
            </w:r>
            <w:r>
              <w:rPr>
                <w:rFonts w:ascii="Times New Roman" w:cs="Times New Roman" w:eastAsia="Times New Roman" w:hAnsi="Times New Roman"/>
                <w:sz w:val="19"/>
                <w:szCs w:val="19"/>
                <w:color w:val="auto"/>
                <w:vertAlign w:val="superscript"/>
              </w:rPr>
              <w:t>(b)</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378,167</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363,826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335,035</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3,235,898</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3,263,190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3,071,648</w:t>
            </w:r>
          </w:p>
        </w:tc>
        <w:tc>
          <w:tcPr>
            <w:tcW w:w="0" w:type="dxa"/>
            <w:vAlign w:val="bottom"/>
          </w:tcPr>
          <w:p>
            <w:pPr>
              <w:spacing w:after="0"/>
              <w:rPr>
                <w:sz w:val="1"/>
                <w:szCs w:val="1"/>
                <w:color w:val="auto"/>
              </w:rPr>
            </w:pPr>
          </w:p>
        </w:tc>
      </w:tr>
      <w:tr>
        <w:trPr>
          <w:trHeight w:val="153"/>
        </w:trPr>
        <w:tc>
          <w:tcPr>
            <w:tcW w:w="5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 long-term debt (including current portion, less unamortized debt issuance costs and debt</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2,138,310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2,140,697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2,222,903</w:t>
            </w:r>
          </w:p>
        </w:tc>
        <w:tc>
          <w:tcPr>
            <w:tcW w:w="0" w:type="dxa"/>
            <w:vAlign w:val="bottom"/>
          </w:tcPr>
          <w:p>
            <w:pPr>
              <w:spacing w:after="0"/>
              <w:rPr>
                <w:sz w:val="1"/>
                <w:szCs w:val="1"/>
                <w:color w:val="auto"/>
              </w:rPr>
            </w:pPr>
          </w:p>
        </w:tc>
      </w:tr>
      <w:tr>
        <w:trPr>
          <w:trHeight w:val="16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2,613,393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2,657,155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2,666,737</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622,505</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606,035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404,911</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500"/>
        <w:spacing w:after="0"/>
        <w:tabs>
          <w:tab w:leader="none" w:pos="1800" w:val="left"/>
        </w:tabs>
        <w:rPr>
          <w:sz w:val="20"/>
          <w:szCs w:val="20"/>
          <w:color w:val="auto"/>
        </w:rPr>
      </w:pPr>
      <w:r>
        <w:rPr>
          <w:rFonts w:ascii="Times New Roman" w:cs="Times New Roman" w:eastAsia="Times New Roman" w:hAnsi="Times New Roman"/>
          <w:sz w:val="14"/>
          <w:szCs w:val="14"/>
          <w:color w:val="auto"/>
        </w:rPr>
        <w:t>(a)</w:t>
        <w:tab/>
        <w:t>Cash and cash equivalents excludes restricted cash.</w:t>
      </w:r>
    </w:p>
    <w:p>
      <w:pPr>
        <w:spacing w:after="0" w:line="22" w:lineRule="exact"/>
        <w:rPr>
          <w:sz w:val="20"/>
          <w:szCs w:val="20"/>
          <w:color w:val="auto"/>
        </w:rPr>
      </w:pPr>
    </w:p>
    <w:p>
      <w:pPr>
        <w:ind w:left="1500"/>
        <w:spacing w:after="0"/>
        <w:tabs>
          <w:tab w:leader="none" w:pos="1800" w:val="left"/>
        </w:tabs>
        <w:rPr>
          <w:sz w:val="20"/>
          <w:szCs w:val="20"/>
          <w:color w:val="auto"/>
        </w:rPr>
      </w:pPr>
      <w:r>
        <w:rPr>
          <w:rFonts w:ascii="Times New Roman" w:cs="Times New Roman" w:eastAsia="Times New Roman" w:hAnsi="Times New Roman"/>
          <w:sz w:val="14"/>
          <w:szCs w:val="14"/>
          <w:color w:val="auto"/>
        </w:rPr>
        <w:t>(b)</w:t>
        <w:tab/>
        <w:t>Working capital represents current assets less current liabilities.</w:t>
      </w:r>
    </w:p>
    <w:p>
      <w:pPr>
        <w:spacing w:after="0" w:line="2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3" w:lineRule="exact"/>
        <w:rPr>
          <w:sz w:val="20"/>
          <w:szCs w:val="20"/>
          <w:color w:val="auto"/>
        </w:rPr>
      </w:pPr>
    </w:p>
    <w:p>
      <w:pPr>
        <w:ind w:left="1500" w:right="419" w:firstLine="332"/>
        <w:spacing w:after="0" w:line="267" w:lineRule="auto"/>
        <w:rPr>
          <w:sz w:val="20"/>
          <w:szCs w:val="20"/>
          <w:color w:val="auto"/>
        </w:rPr>
      </w:pPr>
      <w:r>
        <w:rPr>
          <w:rFonts w:ascii="Times New Roman" w:cs="Times New Roman" w:eastAsia="Times New Roman" w:hAnsi="Times New Roman"/>
          <w:sz w:val="14"/>
          <w:szCs w:val="14"/>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251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3380" cy="4251325"/>
                    </a:xfrm>
                    <a:prstGeom prst="rect">
                      <a:avLst/>
                    </a:prstGeom>
                    <a:noFill/>
                  </pic:spPr>
                </pic:pic>
              </a:graphicData>
            </a:graphic>
          </wp:anchor>
        </w:drawing>
      </w:r>
    </w:p>
    <w:p>
      <w:pPr>
        <w:spacing w:after="0" w:line="368"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w:t>
      </w:r>
    </w:p>
    <w:p>
      <w:pPr>
        <w:spacing w:after="0" w:line="141" w:lineRule="exact"/>
        <w:rPr>
          <w:sz w:val="20"/>
          <w:szCs w:val="20"/>
          <w:color w:val="auto"/>
        </w:rPr>
      </w:pPr>
    </w:p>
    <w:p>
      <w:pPr>
        <w:ind w:left="1500" w:right="379" w:firstLine="332"/>
        <w:spacing w:after="0" w:line="275" w:lineRule="auto"/>
        <w:rPr>
          <w:sz w:val="20"/>
          <w:szCs w:val="20"/>
          <w:color w:val="auto"/>
        </w:rPr>
      </w:pPr>
      <w:r>
        <w:rPr>
          <w:rFonts w:ascii="Times New Roman" w:cs="Times New Roman" w:eastAsia="Times New Roman" w:hAnsi="Times New Roman"/>
          <w:sz w:val="13"/>
          <w:szCs w:val="13"/>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37" w:lineRule="exact"/>
        <w:rPr>
          <w:sz w:val="20"/>
          <w:szCs w:val="20"/>
          <w:color w:val="auto"/>
        </w:rPr>
      </w:pPr>
    </w:p>
    <w:p>
      <w:pPr>
        <w:ind w:left="1500" w:right="419" w:firstLine="332"/>
        <w:spacing w:after="0" w:line="267" w:lineRule="auto"/>
        <w:rPr>
          <w:sz w:val="20"/>
          <w:szCs w:val="20"/>
          <w:color w:val="auto"/>
        </w:rPr>
      </w:pPr>
      <w:r>
        <w:rPr>
          <w:rFonts w:ascii="Times New Roman" w:cs="Times New Roman" w:eastAsia="Times New Roman" w:hAnsi="Times New Roman"/>
          <w:sz w:val="14"/>
          <w:szCs w:val="14"/>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62" w:lineRule="exact"/>
        <w:rPr>
          <w:sz w:val="20"/>
          <w:szCs w:val="20"/>
          <w:color w:val="auto"/>
        </w:rPr>
      </w:pPr>
    </w:p>
    <w:p>
      <w:pPr>
        <w:ind w:left="1800" w:right="439" w:hanging="229"/>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recurring non-cash charges such as depreciation of fixed assets, although these assets may have to be replaced in the future, as well as amortization of acquired intangible assets and asset retirement obligations (“ARO”);</w:t>
      </w:r>
    </w:p>
    <w:p>
      <w:pPr>
        <w:spacing w:after="0" w:line="51" w:lineRule="exact"/>
        <w:rPr>
          <w:rFonts w:ascii="Times New Roman" w:cs="Times New Roman" w:eastAsia="Times New Roman" w:hAnsi="Times New Roman"/>
          <w:sz w:val="14"/>
          <w:szCs w:val="14"/>
          <w:color w:val="auto"/>
        </w:rPr>
      </w:pPr>
    </w:p>
    <w:p>
      <w:pPr>
        <w:ind w:left="1800" w:hanging="229"/>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acquiring and integrating businesses, which will continue to be a part of our growth strategy;</w:t>
      </w:r>
    </w:p>
    <w:p>
      <w:pPr>
        <w:spacing w:after="0" w:line="101" w:lineRule="exact"/>
        <w:rPr>
          <w:rFonts w:ascii="Times New Roman" w:cs="Times New Roman" w:eastAsia="Times New Roman" w:hAnsi="Times New Roman"/>
          <w:sz w:val="14"/>
          <w:szCs w:val="14"/>
          <w:color w:val="auto"/>
        </w:rPr>
      </w:pPr>
    </w:p>
    <w:p>
      <w:pPr>
        <w:ind w:left="1800" w:right="679" w:hanging="229"/>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51" w:lineRule="exact"/>
        <w:rPr>
          <w:rFonts w:ascii="Times New Roman" w:cs="Times New Roman" w:eastAsia="Times New Roman" w:hAnsi="Times New Roman"/>
          <w:sz w:val="14"/>
          <w:szCs w:val="14"/>
          <w:color w:val="auto"/>
        </w:rPr>
      </w:pPr>
    </w:p>
    <w:p>
      <w:pPr>
        <w:ind w:left="1800" w:hanging="229"/>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on long-lived assets, intangible assets and investments accounted for under the equity method;</w:t>
      </w:r>
    </w:p>
    <w:p>
      <w:pPr>
        <w:spacing w:after="0" w:line="101" w:lineRule="exact"/>
        <w:rPr>
          <w:rFonts w:ascii="Times New Roman" w:cs="Times New Roman" w:eastAsia="Times New Roman" w:hAnsi="Times New Roman"/>
          <w:sz w:val="14"/>
          <w:szCs w:val="14"/>
          <w:color w:val="auto"/>
        </w:rPr>
      </w:pPr>
    </w:p>
    <w:p>
      <w:pPr>
        <w:ind w:left="1800" w:hanging="229"/>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refinancing of debt incurred in connection with refinancing or early extinguishment of long-term debt;</w:t>
      </w:r>
    </w:p>
    <w:p>
      <w:pPr>
        <w:spacing w:after="0" w:line="101" w:lineRule="exact"/>
        <w:rPr>
          <w:rFonts w:ascii="Times New Roman" w:cs="Times New Roman" w:eastAsia="Times New Roman" w:hAnsi="Times New Roman"/>
          <w:sz w:val="14"/>
          <w:szCs w:val="14"/>
          <w:color w:val="auto"/>
        </w:rPr>
      </w:pPr>
    </w:p>
    <w:p>
      <w:pPr>
        <w:ind w:left="1800" w:hanging="229"/>
        <w:spacing w:after="0"/>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the secondary offering of our common stock and other shareholder activities;</w:t>
      </w:r>
    </w:p>
    <w:p>
      <w:pPr>
        <w:spacing w:after="0" w:line="101" w:lineRule="exact"/>
        <w:rPr>
          <w:rFonts w:ascii="Times New Roman" w:cs="Times New Roman" w:eastAsia="Times New Roman" w:hAnsi="Times New Roman"/>
          <w:sz w:val="14"/>
          <w:szCs w:val="14"/>
          <w:color w:val="auto"/>
        </w:rPr>
      </w:pPr>
    </w:p>
    <w:p>
      <w:pPr>
        <w:ind w:left="1800" w:right="519" w:hanging="229"/>
        <w:spacing w:after="0" w:line="323" w:lineRule="auto"/>
        <w:tabs>
          <w:tab w:leader="none" w:pos="18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and charges related to the litigation, settlement agreements, and other activities associated with our ethylene oxide (“EO”) sterilization facilities, including those related to Willowbrook, Illinois, Atlanta, Georgia, Santa Teresa, New Mexico and Vernon, California;</w:t>
      </w:r>
    </w:p>
    <w:p>
      <w:pPr>
        <w:spacing w:after="0" w:line="28" w:lineRule="exact"/>
        <w:rPr>
          <w:rFonts w:ascii="Times New Roman" w:cs="Times New Roman" w:eastAsia="Times New Roman" w:hAnsi="Times New Roman"/>
          <w:sz w:val="13"/>
          <w:szCs w:val="13"/>
          <w:color w:val="auto"/>
        </w:rPr>
      </w:pPr>
    </w:p>
    <w:p>
      <w:pPr>
        <w:ind w:left="1800" w:right="899" w:hanging="229"/>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Adjusted EBITDA, interest expense or the cash requirements necessary to service interest or principal payments on our indebtedness; and</w:t>
      </w:r>
    </w:p>
    <w:p>
      <w:pPr>
        <w:spacing w:after="0" w:line="51" w:lineRule="exact"/>
        <w:rPr>
          <w:rFonts w:ascii="Times New Roman" w:cs="Times New Roman" w:eastAsia="Times New Roman" w:hAnsi="Times New Roman"/>
          <w:sz w:val="14"/>
          <w:szCs w:val="14"/>
          <w:color w:val="auto"/>
        </w:rPr>
      </w:pPr>
    </w:p>
    <w:p>
      <w:pPr>
        <w:ind w:left="1800" w:right="459" w:hanging="229"/>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which has been, and will continue to be for the foreseeable future, a significant recurring expense and an important part of our compensation strategy.</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38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3380" cy="4538345"/>
                    </a:xfrm>
                    <a:prstGeom prst="rect">
                      <a:avLst/>
                    </a:prstGeom>
                    <a:noFill/>
                  </pic:spPr>
                </pic:pic>
              </a:graphicData>
            </a:graphic>
          </wp:anchor>
        </w:drawing>
      </w:r>
    </w:p>
    <w:p>
      <w:pPr>
        <w:spacing w:after="0" w:line="368" w:lineRule="exact"/>
        <w:rPr>
          <w:sz w:val="20"/>
          <w:szCs w:val="20"/>
          <w:color w:val="auto"/>
        </w:rPr>
      </w:pPr>
    </w:p>
    <w:p>
      <w:pPr>
        <w:ind w:left="1500" w:right="499" w:firstLine="332"/>
        <w:spacing w:after="0" w:line="258" w:lineRule="auto"/>
        <w:rPr>
          <w:sz w:val="20"/>
          <w:szCs w:val="20"/>
          <w:color w:val="auto"/>
        </w:rPr>
      </w:pPr>
      <w:r>
        <w:rPr>
          <w:rFonts w:ascii="Times New Roman" w:cs="Times New Roman" w:eastAsia="Times New Roman" w:hAnsi="Times New Roman"/>
          <w:sz w:val="14"/>
          <w:szCs w:val="14"/>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44" w:lineRule="exact"/>
        <w:rPr>
          <w:sz w:val="20"/>
          <w:szCs w:val="20"/>
          <w:color w:val="auto"/>
        </w:rPr>
      </w:pPr>
    </w:p>
    <w:p>
      <w:pPr>
        <w:ind w:left="1500" w:right="399" w:firstLine="332"/>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31"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4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Pr>
          <w:p>
            <w:pPr>
              <w:spacing w:after="0"/>
              <w:rPr>
                <w:sz w:val="11"/>
                <w:szCs w:val="11"/>
                <w:color w:val="auto"/>
              </w:rPr>
            </w:pPr>
          </w:p>
        </w:tc>
        <w:tc>
          <w:tcPr>
            <w:tcW w:w="148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540" w:type="dxa"/>
            <w:vAlign w:val="bottom"/>
            <w:tcBorders>
              <w:bottom w:val="single" w:sz="8" w:color="CCEEFF"/>
            </w:tcBorders>
            <w:vMerge w:val="continue"/>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26,589</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(13,260)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77,949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44,398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51,376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5,602</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18,674</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41,798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79,377</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81,348</w:t>
            </w: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Share-based compensation</w:t>
            </w:r>
            <w:r>
              <w:rPr>
                <w:rFonts w:ascii="Times New Roman" w:cs="Times New Roman" w:eastAsia="Times New Roman" w:hAnsi="Times New Roman"/>
                <w:sz w:val="19"/>
                <w:szCs w:val="19"/>
                <w:color w:val="auto"/>
                <w:vertAlign w:val="superscript"/>
              </w:rPr>
              <w:t>(a)</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7,269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31,068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36,896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32,364</w:t>
            </w:r>
          </w:p>
        </w:tc>
        <w:tc>
          <w:tcPr>
            <w:tcW w:w="0" w:type="dxa"/>
            <w:vAlign w:val="bottom"/>
          </w:tcPr>
          <w:p>
            <w:pPr>
              <w:spacing w:after="0"/>
              <w:rPr>
                <w:sz w:val="1"/>
                <w:szCs w:val="1"/>
                <w:color w:val="auto"/>
              </w:rPr>
            </w:pPr>
          </w:p>
        </w:tc>
      </w:tr>
      <w:tr>
        <w:trPr>
          <w:trHeight w:val="168"/>
        </w:trPr>
        <w:tc>
          <w:tcPr>
            <w:tcW w:w="45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Loss on refinancing of debt</w:t>
            </w:r>
            <w:r>
              <w:rPr>
                <w:rFonts w:ascii="Times New Roman" w:cs="Times New Roman" w:eastAsia="Times New Roman" w:hAnsi="Times New Roman"/>
                <w:sz w:val="19"/>
                <w:szCs w:val="19"/>
                <w:color w:val="auto"/>
                <w:vertAlign w:val="superscript"/>
              </w:rPr>
              <w:t>(b)</w:t>
            </w:r>
          </w:p>
        </w:tc>
        <w:tc>
          <w:tcPr>
            <w:tcW w:w="8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24,168</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45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Loss (gain) on foreign currency and derivatives not designated as hedging</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4"/>
                <w:szCs w:val="14"/>
                <w:color w:val="auto"/>
              </w:rPr>
              <w:t>instruments, net</w:t>
            </w:r>
            <w:r>
              <w:rPr>
                <w:rFonts w:ascii="Times New Roman" w:cs="Times New Roman" w:eastAsia="Times New Roman" w:hAnsi="Times New Roman"/>
                <w:sz w:val="21"/>
                <w:szCs w:val="21"/>
                <w:color w:val="auto"/>
                <w:vertAlign w:val="superscript"/>
              </w:rPr>
              <w:t>(c)</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68"/>
        </w:trPr>
        <w:tc>
          <w:tcPr>
            <w:tcW w:w="45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Business optimization expenses</w:t>
            </w:r>
            <w:r>
              <w:rPr>
                <w:rFonts w:ascii="Times New Roman" w:cs="Times New Roman" w:eastAsia="Times New Roman" w:hAnsi="Times New Roman"/>
                <w:sz w:val="19"/>
                <w:szCs w:val="19"/>
                <w:color w:val="auto"/>
                <w:vertAlign w:val="superscript"/>
              </w:rPr>
              <w:t>(d)</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9,368</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7,662</w:t>
            </w: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Professional services relating to EO sterilization facilities</w:t>
            </w:r>
            <w:r>
              <w:rPr>
                <w:rFonts w:ascii="Times New Roman" w:cs="Times New Roman" w:eastAsia="Times New Roman" w:hAnsi="Times New Roman"/>
                <w:sz w:val="19"/>
                <w:szCs w:val="19"/>
                <w:color w:val="auto"/>
                <w:vertAlign w:val="superscript"/>
              </w:rPr>
              <w:t>(e)</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12,328</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46,225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32,694</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45,312</w:t>
            </w:r>
          </w:p>
        </w:tc>
        <w:tc>
          <w:tcPr>
            <w:tcW w:w="0" w:type="dxa"/>
            <w:vAlign w:val="bottom"/>
          </w:tcPr>
          <w:p>
            <w:pPr>
              <w:spacing w:after="0"/>
              <w:rPr>
                <w:sz w:val="1"/>
                <w:szCs w:val="1"/>
                <w:color w:val="auto"/>
              </w:rPr>
            </w:pPr>
          </w:p>
        </w:tc>
      </w:tr>
      <w:tr>
        <w:trPr>
          <w:trHeight w:val="168"/>
        </w:trPr>
        <w:tc>
          <w:tcPr>
            <w:tcW w:w="45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Illinois EO litigation settlements</w:t>
            </w:r>
            <w:r>
              <w:rPr>
                <w:rFonts w:ascii="Times New Roman" w:cs="Times New Roman" w:eastAsia="Times New Roman" w:hAnsi="Times New Roman"/>
                <w:sz w:val="19"/>
                <w:szCs w:val="19"/>
                <w:color w:val="auto"/>
                <w:vertAlign w:val="superscript"/>
              </w:rPr>
              <w:t>(f)</w:t>
            </w:r>
          </w:p>
        </w:tc>
        <w:tc>
          <w:tcPr>
            <w:tcW w:w="8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30,943</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64,943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Georgia EO litigation settlement</w:t>
            </w:r>
            <w:r>
              <w:rPr>
                <w:rFonts w:ascii="Times New Roman" w:cs="Times New Roman" w:eastAsia="Times New Roman" w:hAnsi="Times New Roman"/>
                <w:sz w:val="19"/>
                <w:szCs w:val="19"/>
                <w:color w:val="auto"/>
                <w:vertAlign w:val="superscript"/>
              </w:rPr>
              <w:t>(g)</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68"/>
        </w:trPr>
        <w:tc>
          <w:tcPr>
            <w:tcW w:w="45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Accretion of asset retirement obligations</w:t>
            </w:r>
            <w:r>
              <w:rPr>
                <w:rFonts w:ascii="Times New Roman" w:cs="Times New Roman" w:eastAsia="Times New Roman" w:hAnsi="Times New Roman"/>
                <w:sz w:val="19"/>
                <w:szCs w:val="19"/>
                <w:color w:val="auto"/>
                <w:vertAlign w:val="superscript"/>
              </w:rPr>
              <w:t>(h)</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2,638</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Income tax benefit associated with pre-tax adjustments</w:t>
            </w:r>
            <w:r>
              <w:rPr>
                <w:rFonts w:ascii="Times New Roman" w:cs="Times New Roman" w:eastAsia="Times New Roman" w:hAnsi="Times New Roman"/>
                <w:sz w:val="19"/>
                <w:szCs w:val="19"/>
                <w:color w:val="auto"/>
                <w:vertAlign w:val="superscript"/>
              </w:rPr>
              <w:t>(i)</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(6,376)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(21,422)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(33,487)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(49,597)</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39,044</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245,414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198,500</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204,326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40,876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6"/>
              </w:rPr>
              <w:t>155,722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164,691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142,878</w:t>
            </w:r>
          </w:p>
        </w:tc>
        <w:tc>
          <w:tcPr>
            <w:tcW w:w="0" w:type="dxa"/>
            <w:vAlign w:val="bottom"/>
          </w:tcPr>
          <w:p>
            <w:pPr>
              <w:spacing w:after="0"/>
              <w:rPr>
                <w:sz w:val="1"/>
                <w:szCs w:val="1"/>
                <w:color w:val="auto"/>
              </w:rPr>
            </w:pPr>
          </w:p>
        </w:tc>
      </w:tr>
      <w:tr>
        <w:trPr>
          <w:trHeight w:val="168"/>
        </w:trPr>
        <w:tc>
          <w:tcPr>
            <w:tcW w:w="454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Depreciation</w:t>
            </w:r>
            <w:r>
              <w:rPr>
                <w:rFonts w:ascii="Times New Roman" w:cs="Times New Roman" w:eastAsia="Times New Roman" w:hAnsi="Times New Roman"/>
                <w:sz w:val="19"/>
                <w:szCs w:val="19"/>
                <w:color w:val="auto"/>
                <w:vertAlign w:val="superscript"/>
              </w:rPr>
              <w:t>(j)</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25,142</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22,060</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94,630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82,420</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76,577</w:t>
            </w:r>
          </w:p>
        </w:tc>
        <w:tc>
          <w:tcPr>
            <w:tcW w:w="0" w:type="dxa"/>
            <w:vAlign w:val="bottom"/>
          </w:tcPr>
          <w:p>
            <w:pPr>
              <w:spacing w:after="0"/>
              <w:rPr>
                <w:sz w:val="1"/>
                <w:szCs w:val="1"/>
                <w:color w:val="auto"/>
              </w:rPr>
            </w:pPr>
          </w:p>
        </w:tc>
      </w:tr>
      <w:tr>
        <w:trPr>
          <w:trHeight w:val="168"/>
        </w:trPr>
        <w:tc>
          <w:tcPr>
            <w:tcW w:w="45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Income tax provision applicable to Adjusted Net Income</w:t>
            </w:r>
            <w:r>
              <w:rPr>
                <w:rFonts w:ascii="Times New Roman" w:cs="Times New Roman" w:eastAsia="Times New Roman" w:hAnsi="Times New Roman"/>
                <w:sz w:val="19"/>
                <w:szCs w:val="19"/>
                <w:color w:val="auto"/>
                <w:vertAlign w:val="superscript"/>
              </w:rPr>
              <w:t>(k)</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22,400</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19,859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98,035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6"/>
              </w:rPr>
              <w:t>102,963</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104,248</w:t>
            </w:r>
          </w:p>
        </w:tc>
        <w:tc>
          <w:tcPr>
            <w:tcW w:w="0" w:type="dxa"/>
            <w:vAlign w:val="bottom"/>
          </w:tcPr>
          <w:p>
            <w:pPr>
              <w:spacing w:after="0"/>
              <w:rPr>
                <w:sz w:val="1"/>
                <w:szCs w:val="1"/>
                <w:color w:val="auto"/>
              </w:rPr>
            </w:pPr>
          </w:p>
        </w:tc>
      </w:tr>
      <w:tr>
        <w:trPr>
          <w:trHeight w:val="169"/>
        </w:trPr>
        <w:tc>
          <w:tcPr>
            <w:tcW w:w="4540" w:type="dxa"/>
            <w:vAlign w:val="bottom"/>
          </w:tcPr>
          <w:p>
            <w:pPr>
              <w:spacing w:after="0" w:line="169" w:lineRule="exact"/>
              <w:rPr>
                <w:sz w:val="20"/>
                <w:szCs w:val="20"/>
                <w:color w:val="auto"/>
              </w:rPr>
            </w:pPr>
            <w:r>
              <w:rPr>
                <w:rFonts w:ascii="Times New Roman" w:cs="Times New Roman" w:eastAsia="Times New Roman" w:hAnsi="Times New Roman"/>
                <w:sz w:val="13"/>
                <w:szCs w:val="13"/>
                <w:b w:val="1"/>
                <w:bCs w:val="1"/>
                <w:color w:val="auto"/>
              </w:rPr>
              <w:t>Adjusted EBITDA</w:t>
            </w:r>
            <w:r>
              <w:rPr>
                <w:rFonts w:ascii="Times New Roman" w:cs="Times New Roman" w:eastAsia="Times New Roman" w:hAnsi="Times New Roman"/>
                <w:sz w:val="19"/>
                <w:szCs w:val="19"/>
                <w:color w:val="auto"/>
                <w:vertAlign w:val="superscript"/>
              </w:rPr>
              <w:t>(l)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134,653</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121,839</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593,801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548,574</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528,029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20" w:hanging="323"/>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share-based compensation expense related to employees and Non-Employee Directors.</w:t>
      </w:r>
    </w:p>
    <w:p>
      <w:pPr>
        <w:spacing w:after="0" w:line="101" w:lineRule="exact"/>
        <w:rPr>
          <w:rFonts w:ascii="Times New Roman" w:cs="Times New Roman" w:eastAsia="Times New Roman" w:hAnsi="Times New Roman"/>
          <w:sz w:val="14"/>
          <w:szCs w:val="14"/>
          <w:color w:val="auto"/>
        </w:rPr>
      </w:pPr>
    </w:p>
    <w:p>
      <w:pPr>
        <w:ind w:left="1820" w:right="579" w:hanging="323"/>
        <w:spacing w:after="0" w:line="28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51" w:lineRule="exact"/>
        <w:rPr>
          <w:rFonts w:ascii="Times New Roman" w:cs="Times New Roman" w:eastAsia="Times New Roman" w:hAnsi="Times New Roman"/>
          <w:sz w:val="14"/>
          <w:szCs w:val="14"/>
          <w:color w:val="auto"/>
        </w:rPr>
      </w:pPr>
    </w:p>
    <w:p>
      <w:pPr>
        <w:ind w:left="1820" w:right="659" w:hanging="323"/>
        <w:spacing w:after="0" w:line="283"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effects of (i) fluctuations in foreign currency exchange rates and (ii) non-cash mark-to-fair value of embedded derivatives relating to certain customer and supply contracts at Nordion.</w:t>
      </w:r>
    </w:p>
    <w:p>
      <w:pPr>
        <w:spacing w:after="0" w:line="51" w:lineRule="exact"/>
        <w:rPr>
          <w:rFonts w:ascii="Times New Roman" w:cs="Times New Roman" w:eastAsia="Times New Roman" w:hAnsi="Times New Roman"/>
          <w:sz w:val="14"/>
          <w:szCs w:val="14"/>
          <w:color w:val="auto"/>
        </w:rPr>
      </w:pPr>
    </w:p>
    <w:p>
      <w:pPr>
        <w:ind w:left="1820" w:right="799" w:hanging="323"/>
        <w:spacing w:after="0" w:line="267" w:lineRule="auto"/>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spacing w:after="0" w:line="61" w:lineRule="exact"/>
        <w:rPr>
          <w:rFonts w:ascii="Times New Roman" w:cs="Times New Roman" w:eastAsia="Times New Roman" w:hAnsi="Times New Roman"/>
          <w:sz w:val="14"/>
          <w:szCs w:val="14"/>
          <w:color w:val="auto"/>
        </w:rPr>
      </w:pPr>
    </w:p>
    <w:p>
      <w:pPr>
        <w:ind w:left="1820" w:hanging="323"/>
        <w:spacing w:after="0"/>
        <w:tabs>
          <w:tab w:leader="none" w:pos="1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litigation and other professional fees associated with our EO sterilization facilities.</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2148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3380" cy="2148840"/>
                    </a:xfrm>
                    <a:prstGeom prst="rect">
                      <a:avLst/>
                    </a:prstGeom>
                    <a:noFill/>
                  </pic:spPr>
                </pic:pic>
              </a:graphicData>
            </a:graphic>
          </wp:anchor>
        </w:drawing>
      </w:r>
    </w:p>
    <w:p>
      <w:pPr>
        <w:spacing w:after="0" w:line="368" w:lineRule="exact"/>
        <w:rPr>
          <w:sz w:val="20"/>
          <w:szCs w:val="20"/>
          <w:color w:val="auto"/>
        </w:rPr>
      </w:pPr>
    </w:p>
    <w:p>
      <w:pPr>
        <w:ind w:left="1820" w:right="399" w:hanging="323"/>
        <w:spacing w:after="0" w:line="267"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61" w:lineRule="exact"/>
        <w:rPr>
          <w:rFonts w:ascii="Times New Roman" w:cs="Times New Roman" w:eastAsia="Times New Roman" w:hAnsi="Times New Roman"/>
          <w:sz w:val="14"/>
          <w:szCs w:val="14"/>
          <w:color w:val="auto"/>
        </w:rPr>
      </w:pPr>
    </w:p>
    <w:p>
      <w:pPr>
        <w:ind w:left="1820" w:hanging="323"/>
        <w:spacing w:after="0"/>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cost to settle 79 pending EO claims in Georgia under a settlement entered into on December 21, 2023.</w:t>
      </w:r>
    </w:p>
    <w:p>
      <w:pPr>
        <w:spacing w:after="0" w:line="101" w:lineRule="exact"/>
        <w:rPr>
          <w:rFonts w:ascii="Times New Roman" w:cs="Times New Roman" w:eastAsia="Times New Roman" w:hAnsi="Times New Roman"/>
          <w:sz w:val="14"/>
          <w:szCs w:val="14"/>
          <w:color w:val="auto"/>
        </w:rPr>
      </w:pPr>
    </w:p>
    <w:p>
      <w:pPr>
        <w:ind w:left="1820" w:right="499" w:hanging="323"/>
        <w:spacing w:after="0" w:line="28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51" w:lineRule="exact"/>
        <w:rPr>
          <w:rFonts w:ascii="Times New Roman" w:cs="Times New Roman" w:eastAsia="Times New Roman" w:hAnsi="Times New Roman"/>
          <w:sz w:val="14"/>
          <w:szCs w:val="14"/>
          <w:color w:val="auto"/>
        </w:rPr>
      </w:pPr>
    </w:p>
    <w:p>
      <w:pPr>
        <w:ind w:left="1820" w:right="499" w:hanging="323"/>
        <w:spacing w:after="0" w:line="28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51" w:lineRule="exact"/>
        <w:rPr>
          <w:rFonts w:ascii="Times New Roman" w:cs="Times New Roman" w:eastAsia="Times New Roman" w:hAnsi="Times New Roman"/>
          <w:sz w:val="14"/>
          <w:szCs w:val="14"/>
          <w:color w:val="auto"/>
        </w:rPr>
      </w:pPr>
    </w:p>
    <w:p>
      <w:pPr>
        <w:ind w:left="1820" w:right="559" w:hanging="323"/>
        <w:spacing w:after="0" w:line="28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of Co-60 held at gamma irradiation sites and, for the years ended December 31, 2025 and 2024 and the three months ended March 31, 2026 and 2025, excludes accelerated depreciation associated with business optimization activities.</w:t>
      </w:r>
    </w:p>
    <w:p>
      <w:pPr>
        <w:spacing w:after="0" w:line="51" w:lineRule="exact"/>
        <w:rPr>
          <w:rFonts w:ascii="Times New Roman" w:cs="Times New Roman" w:eastAsia="Times New Roman" w:hAnsi="Times New Roman"/>
          <w:sz w:val="14"/>
          <w:szCs w:val="14"/>
          <w:color w:val="auto"/>
        </w:rPr>
      </w:pPr>
    </w:p>
    <w:p>
      <w:pPr>
        <w:ind w:left="1820" w:right="519" w:hanging="323"/>
        <w:spacing w:after="0" w:line="283"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income tax provision/benefit as determined under U.S. GAAP and the income tax provision (benefit) associated with pre-tax adjustments described in footnote (i).</w:t>
      </w:r>
    </w:p>
    <w:p>
      <w:pPr>
        <w:spacing w:after="0" w:line="51" w:lineRule="exact"/>
        <w:rPr>
          <w:rFonts w:ascii="Times New Roman" w:cs="Times New Roman" w:eastAsia="Times New Roman" w:hAnsi="Times New Roman"/>
          <w:sz w:val="14"/>
          <w:szCs w:val="14"/>
          <w:color w:val="auto"/>
        </w:rPr>
      </w:pPr>
    </w:p>
    <w:p>
      <w:pPr>
        <w:ind w:left="1820" w:right="419" w:hanging="323"/>
        <w:spacing w:after="0" w:line="267" w:lineRule="auto"/>
        <w:tabs>
          <w:tab w:leader="none" w:pos="1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$99.9 million, $97.1 million and $94.1 million of the adjustments for the year ended December 31, 2025, 2024 and 2023, respectively, and $26.3 million and $24.2 million of the adjustments for the three months ended March 31, 2026 and 2025, respectively, are included in cost of revenues, primarily consisting of amortization of intangible assets, depreciation, and accretion of ARO.</w:t>
      </w: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consider the following risks together with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Offering and Our Common Stock</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market and trading volume of our common stock may be volatile, and you could lose all or part of your investment.</w:t>
      </w:r>
    </w:p>
    <w:p>
      <w:pPr>
        <w:spacing w:after="0" w:line="177"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w:t>
      </w:r>
    </w:p>
    <w:p>
      <w:pPr>
        <w:spacing w:after="0" w:line="67" w:lineRule="exact"/>
        <w:rPr>
          <w:sz w:val="20"/>
          <w:szCs w:val="20"/>
          <w:color w:val="auto"/>
        </w:rPr>
      </w:pPr>
    </w:p>
    <w:p>
      <w:pPr>
        <w:jc w:val="both"/>
        <w:ind w:left="1700" w:right="219" w:hanging="261"/>
        <w:spacing w:after="0" w:line="267"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15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jurisdictions in which we operate;</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about us or the industries in which we participate;</w:t>
      </w:r>
    </w:p>
    <w:p>
      <w:pPr>
        <w:spacing w:after="0" w:line="196" w:lineRule="exact"/>
        <w:rPr>
          <w:rFonts w:ascii="Times New Roman" w:cs="Times New Roman" w:eastAsia="Times New Roman" w:hAnsi="Times New Roman"/>
          <w:sz w:val="14"/>
          <w:szCs w:val="14"/>
          <w:color w:val="auto"/>
        </w:rPr>
      </w:pPr>
    </w:p>
    <w:p>
      <w:pPr>
        <w:ind w:left="1700" w:right="259" w:hanging="261"/>
        <w:spacing w:after="0" w:line="283"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or annual results of operations, or in those of our competitors or of companies in the medical device and pharmaceutical industries;</w:t>
      </w:r>
    </w:p>
    <w:p>
      <w:pPr>
        <w:spacing w:after="0" w:line="145"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 or the perception that such sales may occur;</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the industries in which we participate;</w:t>
      </w:r>
    </w:p>
    <w:p>
      <w:pPr>
        <w:spacing w:after="0" w:line="196" w:lineRule="exact"/>
        <w:rPr>
          <w:rFonts w:ascii="Times New Roman" w:cs="Times New Roman" w:eastAsia="Times New Roman" w:hAnsi="Times New Roman"/>
          <w:sz w:val="14"/>
          <w:szCs w:val="14"/>
          <w:color w:val="auto"/>
        </w:rPr>
      </w:pPr>
    </w:p>
    <w:p>
      <w:pPr>
        <w:ind w:left="1700" w:right="279" w:hanging="261"/>
        <w:spacing w:after="0" w:line="283"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analysts’ estimates, investors’ perceptions, recommendations by securities analysts, our failure to achieve analysts’ estimates or failure of analysts to maintain coverage of us;</w:t>
      </w:r>
    </w:p>
    <w:p>
      <w:pPr>
        <w:spacing w:after="0" w:line="145"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companies similar to us;</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companies in our industry;</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guidance, interpretations or standards;</w:t>
      </w:r>
    </w:p>
    <w:p>
      <w:pPr>
        <w:spacing w:after="0" w:line="196" w:lineRule="exact"/>
        <w:rPr>
          <w:rFonts w:ascii="Times New Roman" w:cs="Times New Roman" w:eastAsia="Times New Roman" w:hAnsi="Times New Roman"/>
          <w:sz w:val="14"/>
          <w:szCs w:val="14"/>
          <w:color w:val="auto"/>
        </w:rPr>
      </w:pPr>
    </w:p>
    <w:p>
      <w:pPr>
        <w:ind w:left="1700" w:right="719" w:hanging="261"/>
        <w:spacing w:after="0" w:line="283"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hanging="261"/>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and costs associated with potential shareholder activism campaigns and outreach efforts; and</w:t>
      </w:r>
    </w:p>
    <w:p>
      <w:pPr>
        <w:spacing w:after="0" w:line="196"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other factors unrelated to our operating performance or the operating performance of our competitors.</w:t>
      </w:r>
    </w:p>
    <w:p>
      <w:pPr>
        <w:spacing w:after="0" w:line="175" w:lineRule="exact"/>
        <w:rPr>
          <w:sz w:val="20"/>
          <w:szCs w:val="20"/>
          <w:color w:val="auto"/>
        </w:rPr>
      </w:pPr>
    </w:p>
    <w:p>
      <w:pPr>
        <w:ind w:left="1360" w:right="419" w:firstLine="343"/>
        <w:spacing w:after="0" w:line="255" w:lineRule="auto"/>
        <w:rPr>
          <w:sz w:val="20"/>
          <w:szCs w:val="20"/>
          <w:color w:val="auto"/>
        </w:rPr>
      </w:pPr>
      <w:r>
        <w:rPr>
          <w:rFonts w:ascii="Times New Roman" w:cs="Times New Roman" w:eastAsia="Times New Roman" w:hAnsi="Times New Roman"/>
          <w:sz w:val="14"/>
          <w:szCs w:val="14"/>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we have been subject to such litigation in the past. See Note 19, “Commitments and Contingencies” to our consolidated financial statements under the heading “Sotera Health Company Securities Litigation and Related Matters” in our Annual Report and See Note 13, “Commitments and Contingencies” to our consolidated financial statements under the heading “Sotera Health Company Securities Litigation and Related Matters” in our Q1 2026 Quarterly Report. Such litigation could result in substantial costs and a diversion of our management’s attention and resources.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future issuance of additional common stock in connection with our incentive plans, acquisitions or otherwise will dilute all other stockholdings.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As of April 28, 2026, we had an aggregate of 886,109,800 shares of common stock that are not currently reserved for issuance under our 2020 Plan, as well as 870,158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equity securities by us may adversely affect the market price of our common stock.</w:t>
      </w:r>
    </w:p>
    <w:p>
      <w:pPr>
        <w:spacing w:after="0" w:line="9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41"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223" w:lineRule="exact"/>
        <w:rPr>
          <w:sz w:val="20"/>
          <w:szCs w:val="20"/>
          <w:color w:val="auto"/>
        </w:rPr>
      </w:pPr>
    </w:p>
    <w:p>
      <w:pPr>
        <w:ind w:left="1360" w:right="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sale of a substantial number of shares of our common stock, or the perception that such sales might occur, may cause the price of our common stock to decline.</w:t>
      </w:r>
    </w:p>
    <w:p>
      <w:pPr>
        <w:spacing w:after="0" w:line="39"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Future sales of substantial amounts of our common stock in the public market, or the perception that such sales might occur, could cause the trading price of our common stock to decline. These sales, or the possibility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ind w:left="1360" w:right="299" w:firstLine="343"/>
        <w:spacing w:after="0" w:line="287" w:lineRule="auto"/>
        <w:rPr>
          <w:sz w:val="20"/>
          <w:szCs w:val="20"/>
          <w:color w:val="auto"/>
        </w:rPr>
      </w:pPr>
      <w:r>
        <w:rPr>
          <w:rFonts w:ascii="Times New Roman" w:cs="Times New Roman" w:eastAsia="Times New Roman" w:hAnsi="Times New Roman"/>
          <w:sz w:val="13"/>
          <w:szCs w:val="13"/>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w:t>
      </w:r>
    </w:p>
    <w:p>
      <w:pPr>
        <w:spacing w:after="0" w:line="1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These restrictions apply to approximately 4,675,074 shares as of April 28, 2026, but will be released as a result of the closing of this offering.</w:t>
      </w:r>
    </w:p>
    <w:p>
      <w:pPr>
        <w:spacing w:after="0" w:line="17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As of the date of this prospectus supplement, the Sponsors together own approximately 11.16% of our outstanding common stock, and following completion of this offering the Sponsors will own none of our common stock outstanding and will no longer have rights to require us to file registration statements covering their shares. The investment funds and entities affiliated with the Sponsors, as well as certain other stockholders, will no longer require us to include their shares in registration statements that we may file for ourselves or our stockholders. Our officers and directors may sell shares into the public markets in accordance with the requirements of Rule 144 under the Securities Act of 1933 (the “Securities Act”).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Any sales of securities by any of our stockholders described above could have a material adverse effect on the market price of our common stock.</w:t>
      </w:r>
    </w:p>
    <w:p>
      <w:pPr>
        <w:spacing w:after="0" w:line="175"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of our stockholders have the right to engage or invest in the same or similar businesses as us.</w:t>
      </w:r>
    </w:p>
    <w:p>
      <w:pPr>
        <w:spacing w:after="0" w:line="93"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Sponsors have historically had the right to designate directors to serve on our Board. Following the completion of this offering, the Sponsors will no longer own any of our common stock and therefore their rights to designate future directors will terminate. Existing directors on our Board that were designated by the Sponsors are not, however, required to resign from the Board or its committees and may serve until the end of their terms.</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4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amended and restated certificate of incorporation and amended and restated bylaws, as well as Delaware law, could discourage a change in control of our company or a change in our management.</w:t>
      </w:r>
    </w:p>
    <w:p>
      <w:pPr>
        <w:spacing w:after="0" w:line="39"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67" w:lineRule="exact"/>
        <w:rPr>
          <w:sz w:val="20"/>
          <w:szCs w:val="20"/>
          <w:color w:val="auto"/>
        </w:rPr>
      </w:pPr>
    </w:p>
    <w:p>
      <w:pPr>
        <w:ind w:left="1700" w:hanging="261"/>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liability of, and providing indemnification to, our directors and officers;</w:t>
      </w:r>
    </w:p>
    <w:p>
      <w:pPr>
        <w:spacing w:after="0" w:line="101" w:lineRule="exact"/>
        <w:rPr>
          <w:rFonts w:ascii="Times New Roman" w:cs="Times New Roman" w:eastAsia="Times New Roman" w:hAnsi="Times New Roman"/>
          <w:sz w:val="14"/>
          <w:szCs w:val="14"/>
          <w:color w:val="auto"/>
        </w:rPr>
      </w:pPr>
    </w:p>
    <w:p>
      <w:pPr>
        <w:ind w:left="1700" w:right="91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classified board of directors with three-year staggered terms, which could delay the ability of stockholders to change the membership of a majority of our board of directors;</w:t>
      </w:r>
    </w:p>
    <w:p>
      <w:pPr>
        <w:spacing w:after="0" w:line="51" w:lineRule="exact"/>
        <w:rPr>
          <w:rFonts w:ascii="Times New Roman" w:cs="Times New Roman" w:eastAsia="Times New Roman" w:hAnsi="Times New Roman"/>
          <w:sz w:val="14"/>
          <w:szCs w:val="14"/>
          <w:color w:val="auto"/>
        </w:rPr>
      </w:pPr>
    </w:p>
    <w:p>
      <w:pPr>
        <w:ind w:left="1700" w:right="85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directors may be removed only for cause by the affirmative vote of the holders of at least 75% of the voting power of our outstanding common stock;</w:t>
      </w:r>
    </w:p>
    <w:p>
      <w:pPr>
        <w:spacing w:after="0" w:line="51" w:lineRule="exact"/>
        <w:rPr>
          <w:rFonts w:ascii="Times New Roman" w:cs="Times New Roman" w:eastAsia="Times New Roman" w:hAnsi="Times New Roman"/>
          <w:sz w:val="14"/>
          <w:szCs w:val="14"/>
          <w:color w:val="auto"/>
        </w:rPr>
      </w:pPr>
    </w:p>
    <w:p>
      <w:pPr>
        <w:ind w:left="1700" w:right="37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determination of the number of directors on our board of directors and the filling of vacancies or newly created seats on the board to our board of directors then in office;</w:t>
      </w:r>
    </w:p>
    <w:p>
      <w:pPr>
        <w:spacing w:after="0" w:line="51" w:lineRule="exact"/>
        <w:rPr>
          <w:rFonts w:ascii="Times New Roman" w:cs="Times New Roman" w:eastAsia="Times New Roman" w:hAnsi="Times New Roman"/>
          <w:sz w:val="14"/>
          <w:szCs w:val="14"/>
          <w:color w:val="auto"/>
        </w:rPr>
      </w:pPr>
    </w:p>
    <w:p>
      <w:pPr>
        <w:ind w:left="1700" w:right="25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applicable to stockholders for matters to be brought before a meeting of stockholders and requirements as to the form and content of a stockholders’ notice;</w:t>
      </w:r>
    </w:p>
    <w:p>
      <w:pPr>
        <w:spacing w:after="0" w:line="51" w:lineRule="exact"/>
        <w:rPr>
          <w:rFonts w:ascii="Times New Roman" w:cs="Times New Roman" w:eastAsia="Times New Roman" w:hAnsi="Times New Roman"/>
          <w:sz w:val="14"/>
          <w:szCs w:val="14"/>
          <w:color w:val="auto"/>
        </w:rPr>
      </w:pPr>
    </w:p>
    <w:p>
      <w:pPr>
        <w:ind w:left="1700" w:right="71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51" w:lineRule="exact"/>
        <w:rPr>
          <w:rFonts w:ascii="Times New Roman" w:cs="Times New Roman" w:eastAsia="Times New Roman" w:hAnsi="Times New Roman"/>
          <w:sz w:val="14"/>
          <w:szCs w:val="14"/>
          <w:color w:val="auto"/>
        </w:rPr>
      </w:pPr>
    </w:p>
    <w:p>
      <w:pPr>
        <w:ind w:left="1700" w:right="61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issue blank check preferred stock without stockholder approval, which could be used to dilute the stock ownership of a potential hostile acquirer or adopt a stockholder rights plan;</w:t>
      </w:r>
    </w:p>
    <w:p>
      <w:pPr>
        <w:spacing w:after="0" w:line="5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stockholders may only take action at annual or special meetings of our stockholders and may not act by written consent;</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ability of stockholders to call and bring business before special meetings; and</w:t>
      </w:r>
    </w:p>
    <w:p>
      <w:pPr>
        <w:spacing w:after="0" w:line="101" w:lineRule="exact"/>
        <w:rPr>
          <w:rFonts w:ascii="Times New Roman" w:cs="Times New Roman" w:eastAsia="Times New Roman" w:hAnsi="Times New Roman"/>
          <w:sz w:val="14"/>
          <w:szCs w:val="14"/>
          <w:color w:val="auto"/>
        </w:rPr>
      </w:pPr>
    </w:p>
    <w:p>
      <w:pPr>
        <w:ind w:left="1700" w:right="539" w:hanging="261"/>
        <w:spacing w:after="0" w:line="283" w:lineRule="auto"/>
        <w:tabs>
          <w:tab w:leader="none" w:pos="1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2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44"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Additional constraints that were previously applicable under the Stockholders Agreement will cease to apply following this offering. The Stockholders Agreement will terminate following this offering. See “Summary—The Offering—Effect on Sponsors’ Rights.”</w:t>
      </w:r>
    </w:p>
    <w:p>
      <w:pPr>
        <w:spacing w:after="0" w:line="12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provisions described above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51" w:lineRule="exact"/>
        <w:rPr>
          <w:sz w:val="20"/>
          <w:szCs w:val="20"/>
          <w:color w:val="auto"/>
        </w:rPr>
      </w:pPr>
    </w:p>
    <w:p>
      <w:pPr>
        <w:ind w:left="1360" w:right="259" w:firstLine="343"/>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360" w:right="239" w:hanging="5"/>
        <w:spacing w:after="0" w:line="251" w:lineRule="auto"/>
        <w:tabs>
          <w:tab w:leader="none" w:pos="155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52"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26"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and any documents incorporated by reference in this prospectus supplement and accompanying prospectus may contain or incorporate by reference “forward- looking statements” within the meaning of the Private Securities Litigation Reform Act of 1995. Forward- 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70" w:lineRule="exact"/>
        <w:rPr>
          <w:sz w:val="20"/>
          <w:szCs w:val="20"/>
          <w:color w:val="auto"/>
        </w:rPr>
      </w:pPr>
    </w:p>
    <w:p>
      <w:pPr>
        <w:ind w:left="2120" w:right="41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changes in environmental, health and safety regulations;</w:t>
      </w:r>
    </w:p>
    <w:p>
      <w:pPr>
        <w:spacing w:after="0" w:line="10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and safety risks associated with the use, storage, transportation and disposal of potentially hazardous materials such as EO and Co-60;</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outcome of current and future legal proceedings and liability claims, including litigation related to the use, emissions and releases of EO from our current and former EO sterilization facilities, and the possibility that additional claims will be made in the future;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allegations of our failure to properly perform services and potential product liability claims, recalls, penalties and reputational harm;</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extensive regulatory requirements to which we are subject, the related costs, and any failures to receive or maintain, or delays in receiving, required clearances or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industry trends;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we face;</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changes, including inflationary trends and the impact of tariffs, that impact our long-term supply contracts with variable price clauses and increase our cost of revenues;</w:t>
      </w:r>
    </w:p>
    <w:p>
      <w:pPr>
        <w:spacing w:after="0" w:line="5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continuity hazards, including supply chain disruptions, federal government shutdowns, and other risks associated with our operations;</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doing business internationally, including global and regional economic and political instability and compliance with various applicable laws and potentially inconsistent laws and regulations in multiple jurisdictions;</w:t>
      </w:r>
    </w:p>
    <w:p>
      <w:pPr>
        <w:spacing w:after="0" w:line="5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capacity at existing facilities, build new facilities in a timely and cost-effective manner and renew leases for our leased facilities;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employees;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health events or environmental events;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incidents, unauthorized data disclosures, and our dependence on IT systems;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the introduction of AI technology;</w:t>
      </w:r>
    </w:p>
    <w:p>
      <w:pPr>
        <w:spacing w:after="0" w:line="101" w:lineRule="exact"/>
        <w:rPr>
          <w:rFonts w:ascii="Times New Roman" w:cs="Times New Roman" w:eastAsia="Times New Roman" w:hAnsi="Times New Roman"/>
          <w:sz w:val="14"/>
          <w:szCs w:val="14"/>
          <w:color w:val="auto"/>
        </w:rPr>
      </w:pPr>
    </w:p>
    <w:p>
      <w:pPr>
        <w:ind w:left="2120" w:right="9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pursue strategic transactions, find suitable acquisition targets, or integrate strategic acquisitions into our business successfully;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internal control over financial reporting;</w:t>
      </w:r>
    </w:p>
    <w:p>
      <w:pPr>
        <w:spacing w:after="0" w:line="10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intellectual property rights to maintain our competitive position and the risk of claims from third parties that we have infringed or misappropriated, or are infringing or misappropriating, their intellectual property rights;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rapidly evolving data privacy and security laws and regulations in various jurisdictions and any ineffective compliance efforts with such laws and regulations;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profitability in future periods;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on our goodwill and other intangible assets with indefinite lives, as well as other long-lived assets and intangible assets with definite lives;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unionization efforts and labor regulations in countries in which we operate;</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to our tax positions in U.S. or non-U.S. jurisdictions or the interpretation and application of U.S. tax legislation or other changes in U.S. or non-U.S. taxation of our operations; and</w:t>
      </w:r>
    </w:p>
    <w:p>
      <w:pPr>
        <w:spacing w:after="0" w:line="51" w:lineRule="exact"/>
        <w:rPr>
          <w:rFonts w:ascii="Times New Roman" w:cs="Times New Roman" w:eastAsia="Times New Roman" w:hAnsi="Times New Roman"/>
          <w:sz w:val="14"/>
          <w:szCs w:val="14"/>
          <w:color w:val="auto"/>
        </w:rPr>
      </w:pPr>
    </w:p>
    <w:p>
      <w:pPr>
        <w:ind w:left="2120" w:right="379" w:hanging="345"/>
        <w:spacing w:after="0" w:line="261"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41"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7"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our common stock as of the date of this prospectus supplement by each of the selling stockholders covered by this prospectus supplement.</w:t>
      </w:r>
    </w:p>
    <w:p>
      <w:pPr>
        <w:spacing w:after="0" w:line="12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285,166,994 shares of common stock outstanding as of April 28, 2026.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14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Shares Beneficially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520" w:type="dxa"/>
            <w:vAlign w:val="bottom"/>
          </w:tcPr>
          <w:p>
            <w:pPr>
              <w:spacing w:after="0"/>
              <w:rPr>
                <w:sz w:val="10"/>
                <w:szCs w:val="10"/>
                <w:color w:val="auto"/>
              </w:rPr>
            </w:pPr>
          </w:p>
        </w:tc>
        <w:tc>
          <w:tcPr>
            <w:tcW w:w="1340" w:type="dxa"/>
            <w:vAlign w:val="bottom"/>
            <w:gridSpan w:val="5"/>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Owned Prior to the</w:t>
            </w:r>
          </w:p>
        </w:tc>
        <w:tc>
          <w:tcPr>
            <w:tcW w:w="14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820" w:type="dxa"/>
            <w:vAlign w:val="bottom"/>
            <w:tcBorders>
              <w:bottom w:val="single" w:sz="8" w:color="auto"/>
            </w:tcBorders>
            <w:gridSpan w:val="3"/>
          </w:tcPr>
          <w:p>
            <w:pPr>
              <w:jc w:val="center"/>
              <w:ind w:left="321"/>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Owned After the Offering</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520" w:type="dxa"/>
            <w:vAlign w:val="bottom"/>
          </w:tcPr>
          <w:p>
            <w:pPr>
              <w:spacing w:after="0"/>
              <w:rPr>
                <w:sz w:val="7"/>
                <w:szCs w:val="7"/>
                <w:color w:val="auto"/>
              </w:rPr>
            </w:pPr>
          </w:p>
        </w:tc>
        <w:tc>
          <w:tcPr>
            <w:tcW w:w="820" w:type="dxa"/>
            <w:vAlign w:val="bottom"/>
            <w:gridSpan w:val="3"/>
          </w:tcPr>
          <w:p>
            <w:pPr>
              <w:jc w:val="center"/>
              <w:ind w:right="140"/>
              <w:spacing w:after="0" w:line="8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ind w:left="160"/>
              <w:spacing w:after="0" w:line="87" w:lineRule="exact"/>
              <w:rPr>
                <w:sz w:val="20"/>
                <w:szCs w:val="20"/>
                <w:color w:val="auto"/>
              </w:rPr>
            </w:pPr>
            <w:r>
              <w:rPr>
                <w:rFonts w:ascii="Times New Roman" w:cs="Times New Roman" w:eastAsia="Times New Roman" w:hAnsi="Times New Roman"/>
                <w:sz w:val="10"/>
                <w:szCs w:val="10"/>
                <w:b w:val="1"/>
                <w:bCs w:val="1"/>
                <w:color w:val="auto"/>
              </w:rPr>
              <w:t>Shares</w:t>
            </w:r>
          </w:p>
        </w:tc>
        <w:tc>
          <w:tcPr>
            <w:tcW w:w="760" w:type="dxa"/>
            <w:vAlign w:val="bottom"/>
            <w:gridSpan w:val="3"/>
          </w:tcPr>
          <w:p>
            <w:pPr>
              <w:jc w:val="right"/>
              <w:ind w:right="120"/>
              <w:spacing w:after="0" w:line="8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r>
              <w:rPr>
                <w:rFonts w:ascii="Times New Roman" w:cs="Times New Roman" w:eastAsia="Times New Roman" w:hAnsi="Times New Roman"/>
                <w:sz w:val="8"/>
                <w:szCs w:val="8"/>
                <w:b w:val="1"/>
                <w:bCs w:val="1"/>
                <w:color w:val="auto"/>
              </w:rPr>
              <w:t>(1)</w:t>
            </w:r>
          </w:p>
        </w:tc>
        <w:tc>
          <w:tcPr>
            <w:tcW w:w="820" w:type="dxa"/>
            <w:vAlign w:val="bottom"/>
            <w:gridSpan w:val="3"/>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66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b w:val="1"/>
                <w:bCs w:val="1"/>
                <w:color w:val="auto"/>
              </w:rPr>
              <w:t>Offered</w:t>
            </w:r>
          </w:p>
        </w:tc>
        <w:tc>
          <w:tcPr>
            <w:tcW w:w="140" w:type="dxa"/>
            <w:vAlign w:val="bottom"/>
          </w:tcPr>
          <w:p>
            <w:pPr>
              <w:spacing w:after="0"/>
              <w:rPr>
                <w:sz w:val="10"/>
                <w:szCs w:val="10"/>
                <w:color w:val="auto"/>
              </w:rPr>
            </w:pPr>
          </w:p>
        </w:tc>
        <w:tc>
          <w:tcPr>
            <w:tcW w:w="620" w:type="dxa"/>
            <w:vAlign w:val="bottom"/>
            <w:gridSpan w:val="2"/>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520" w:type="dxa"/>
            <w:vAlign w:val="bottom"/>
            <w:tcBorders>
              <w:bottom w:val="single" w:sz="8" w:color="CCEEFF"/>
            </w:tcBorders>
            <w:vMerge w:val="continue"/>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Held</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Hereby</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Held</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5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Investment funds and entities affiliated with Warburg Pincus</w:t>
            </w:r>
            <w:r>
              <w:rPr>
                <w:rFonts w:ascii="Times New Roman" w:cs="Times New Roman" w:eastAsia="Times New Roman" w:hAnsi="Times New Roman"/>
                <w:sz w:val="18"/>
                <w:szCs w:val="18"/>
                <w:color w:val="auto"/>
                <w:vertAlign w:val="superscript"/>
              </w:rPr>
              <w:t>(2)</w:t>
            </w: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19,102,952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6.70%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w w:val="95"/>
              </w:rPr>
              <w:t>19,102,952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Investment funds and entities affiliated with GTCR</w:t>
            </w:r>
            <w:r>
              <w:rPr>
                <w:rFonts w:ascii="Times New Roman" w:cs="Times New Roman" w:eastAsia="Times New Roman" w:hAnsi="Times New Roman"/>
                <w:sz w:val="21"/>
                <w:szCs w:val="21"/>
                <w:color w:val="auto"/>
                <w:vertAlign w:val="superscript"/>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12,735,301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4.47%</w:t>
            </w:r>
          </w:p>
        </w:tc>
        <w:tc>
          <w:tcPr>
            <w:tcW w:w="14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5"/>
              </w:rPr>
              <w:t>12,735,301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22"/>
                <w:szCs w:val="22"/>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bl>
    <w:p>
      <w:pPr>
        <w:ind w:left="1700" w:right="319" w:hanging="345"/>
        <w:spacing w:after="0" w:line="259"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shown in the table above include shares held in the selling stockholder’s name or jointly with others, or in the name of a bank, nominee or trustee for the selling stockholder’s account.</w:t>
      </w:r>
    </w:p>
    <w:p>
      <w:pPr>
        <w:spacing w:after="0" w:line="67" w:lineRule="exact"/>
        <w:rPr>
          <w:rFonts w:ascii="Times New Roman" w:cs="Times New Roman" w:eastAsia="Times New Roman" w:hAnsi="Times New Roman"/>
          <w:sz w:val="14"/>
          <w:szCs w:val="14"/>
          <w:color w:val="auto"/>
        </w:rPr>
      </w:pPr>
    </w:p>
    <w:p>
      <w:pPr>
        <w:ind w:left="1700" w:right="479" w:hanging="345"/>
        <w:spacing w:after="0" w:line="283"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15,287,717 shares held of record by Bull Holdco L.P., a Delaware limited partnership (“Bull Holdco”) and (ii) 3,815,235 shares held of record by Bull Co-Invest L.P., a Delaware limited partnership (“Bull Co-Invest”).</w:t>
      </w:r>
    </w:p>
    <w:p>
      <w:pPr>
        <w:spacing w:after="0" w:line="40" w:lineRule="exact"/>
        <w:rPr>
          <w:rFonts w:ascii="Times New Roman" w:cs="Times New Roman" w:eastAsia="Times New Roman" w:hAnsi="Times New Roman"/>
          <w:sz w:val="14"/>
          <w:szCs w:val="14"/>
          <w:color w:val="auto"/>
        </w:rPr>
      </w:pPr>
    </w:p>
    <w:p>
      <w:pPr>
        <w:ind w:left="1700" w:right="29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59" w:lineRule="exact"/>
        <w:rPr>
          <w:rFonts w:ascii="Times New Roman" w:cs="Times New Roman" w:eastAsia="Times New Roman" w:hAnsi="Times New Roman"/>
          <w:sz w:val="14"/>
          <w:szCs w:val="14"/>
          <w:color w:val="auto"/>
        </w:rPr>
      </w:pPr>
    </w:p>
    <w:p>
      <w:pPr>
        <w:ind w:left="1700" w:right="259"/>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w:t>
      </w:r>
    </w:p>
    <w:p>
      <w:pPr>
        <w:spacing w:after="0" w:line="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8" w:lineRule="auto"/>
        <w:rPr>
          <w:sz w:val="20"/>
          <w:szCs w:val="20"/>
          <w:color w:val="auto"/>
        </w:rPr>
      </w:pPr>
      <w:r>
        <w:rPr>
          <w:rFonts w:ascii="Times New Roman" w:cs="Times New Roman" w:eastAsia="Times New Roman" w:hAnsi="Times New Roman"/>
          <w:sz w:val="14"/>
          <w:szCs w:val="14"/>
          <w:color w:val="auto"/>
        </w:rPr>
        <w:t>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70" w:lineRule="exact"/>
        <w:rPr>
          <w:sz w:val="20"/>
          <w:szCs w:val="20"/>
          <w:color w:val="auto"/>
        </w:rPr>
      </w:pPr>
    </w:p>
    <w:p>
      <w:pPr>
        <w:ind w:left="1700" w:right="359" w:hanging="345"/>
        <w:spacing w:after="0" w:line="254" w:lineRule="auto"/>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10,107,727 shares held of record by GTCR Fund XI/A LP, (ii) 2,546,564 shares held of record by GTCR Fund XI/C LP and (iii) 81,010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FOR NON-U.S. HOLDERS</w:t>
      </w:r>
    </w:p>
    <w:p>
      <w:pPr>
        <w:spacing w:after="0" w:line="177"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w:t>
      </w:r>
    </w:p>
    <w:p>
      <w:pPr>
        <w:spacing w:after="0" w:line="150"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3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Dividends paid to a Non-U.S. Holder generally will be subject to withholding of U.S. federal income tax at a 30% rate, or such lower rate as may be specified by an applicable tax treaty.</w:t>
      </w:r>
    </w:p>
    <w:p>
      <w:pPr>
        <w:spacing w:after="0" w:line="12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45"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Investors should consult their own tax advisors about how these information reporting and withholding tax rules may apply to their investment in shares of our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 Exchange or Other Taxable Disposition of Common Stock</w:t>
      </w:r>
    </w:p>
    <w:p>
      <w:pPr>
        <w:spacing w:after="0" w:line="93"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Non-U.S. Holders generally will not be subject to U.S. federal income tax with respect to gain recognized on a sale, exchange or other taxable disposition of shares of our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do not currently expect to pay any dividends on our common stock. Instead, we intend to use any future earnings for the operation and growth of our business and the repayment of indebtedness.</w:t>
      </w:r>
    </w:p>
    <w:p>
      <w:pPr>
        <w:spacing w:after="0" w:line="12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3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a discussion of the application of withholding taxes on dividends, see “Material U.S. Federal Income Tax Considerations for Non-U.S.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Holders.”</w:t>
      </w:r>
    </w:p>
    <w:p>
      <w:pPr>
        <w:spacing w:after="0" w:line="1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7"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31,838,253 shares of our common stock from the selling stockholders.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underwriter is committed to take and pay for all of the shares of our common stock being offered by the selling stockholders, if any are taken.</w:t>
      </w:r>
    </w:p>
    <w:p>
      <w:pPr>
        <w:spacing w:after="0" w:line="175"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Shares sold by the underwriter to the public will initially be offered at the public offering price as set forth on the cover of this prospectus. Any shares sold by the underwriter to securities dealers may be sold at a discount of up to $0.051 per share from the initial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The following table summarizes the underwriting discounts and commissions the selling stockholders will pay to the underwriter.</w:t>
      </w:r>
    </w:p>
    <w:p>
      <w:pPr>
        <w:spacing w:after="0" w:line="160"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15.27</w:t>
            </w: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486,170,123.31</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0.102</w:t>
            </w:r>
          </w:p>
        </w:tc>
        <w:tc>
          <w:tcPr>
            <w:tcW w:w="5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3,247,501.81</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selling stockholders, before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15.168</w:t>
            </w:r>
          </w:p>
        </w:tc>
        <w:tc>
          <w:tcPr>
            <w:tcW w:w="5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482,922,621.50</w:t>
            </w:r>
          </w:p>
        </w:tc>
        <w:tc>
          <w:tcPr>
            <w:tcW w:w="4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and listing fees, printing fees and legal and accounting expenses, but excluding the underwriting discounts and commissions, will be approximately $500,000.</w:t>
      </w:r>
    </w:p>
    <w:p>
      <w:pPr>
        <w:spacing w:after="0" w:line="12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We have agreed that, subject to certain exceptions, we will not, without the prior written consent of the underwriter for a period of 30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43" w:lineRule="exact"/>
        <w:rPr>
          <w:sz w:val="20"/>
          <w:szCs w:val="20"/>
          <w:color w:val="auto"/>
        </w:rPr>
      </w:pPr>
    </w:p>
    <w:p>
      <w:pPr>
        <w:ind w:left="1360" w:right="259" w:firstLine="343"/>
        <w:spacing w:after="0" w:line="280" w:lineRule="auto"/>
        <w:rPr>
          <w:sz w:val="20"/>
          <w:szCs w:val="20"/>
          <w:color w:val="auto"/>
        </w:rPr>
      </w:pPr>
      <w:r>
        <w:rPr>
          <w:rFonts w:ascii="Times New Roman" w:cs="Times New Roman" w:eastAsia="Times New Roman" w:hAnsi="Times New Roman"/>
          <w:sz w:val="13"/>
          <w:szCs w:val="13"/>
          <w:color w:val="auto"/>
        </w:rPr>
        <w:t>Our executive officers, directors and the selling stockholders have entered into lock-up agreements with the underwriter pursuant to which each of them, subject to certain exceptions, for a period of 30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36"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and the selling stockholders have agreed to indemnify the underwriter against certain liabilities, including liabilities under the Securities Act.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under the symbol “SHC.”</w:t>
      </w:r>
    </w:p>
    <w:p>
      <w:pPr>
        <w:spacing w:after="0" w:line="175"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4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The underwriter has advised us that, pursuant to Regulation M of the Securities Act, the underwriter may also engage in other activities that stabilize, maintain or otherwise affect the price of the common stock, including the imposition of penalty bids.</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 financial activities and services.</w:t>
      </w:r>
    </w:p>
    <w:p>
      <w:pPr>
        <w:spacing w:after="0" w:line="136"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w:t>
      </w:r>
    </w:p>
    <w:p>
      <w:pPr>
        <w:spacing w:after="0" w:line="14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accounts of their customers, and such investment and trading activities may involve or relate to assets, securities and/or instruments of the company (directly, as collateral securing other obligations, or otherwise) and/ 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w:t>
      </w:r>
    </w:p>
    <w:p>
      <w:pPr>
        <w:spacing w:after="0" w:line="14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European Economic Area</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70" w:lineRule="exact"/>
        <w:rPr>
          <w:sz w:val="20"/>
          <w:szCs w:val="20"/>
          <w:color w:val="auto"/>
        </w:rPr>
      </w:pPr>
    </w:p>
    <w:p>
      <w:pPr>
        <w:ind w:left="1700" w:hanging="345"/>
        <w:spacing w:after="0"/>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Prospectus Regulation;</w:t>
      </w:r>
    </w:p>
    <w:p>
      <w:pPr>
        <w:spacing w:after="0" w:line="101" w:lineRule="exact"/>
        <w:rPr>
          <w:rFonts w:ascii="Times New Roman" w:cs="Times New Roman" w:eastAsia="Times New Roman" w:hAnsi="Times New Roman"/>
          <w:sz w:val="14"/>
          <w:szCs w:val="14"/>
          <w:color w:val="auto"/>
        </w:rPr>
      </w:pPr>
    </w:p>
    <w:p>
      <w:pPr>
        <w:ind w:left="1700" w:right="539" w:hanging="345"/>
        <w:spacing w:after="0" w:line="283"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Prospectus Regulation), subject to obtaining the prior consent of the representatives for any such offer; or</w:t>
      </w:r>
    </w:p>
    <w:p>
      <w:pPr>
        <w:spacing w:after="0" w:line="51" w:lineRule="exact"/>
        <w:rPr>
          <w:rFonts w:ascii="Times New Roman" w:cs="Times New Roman" w:eastAsia="Times New Roman" w:hAnsi="Times New Roman"/>
          <w:sz w:val="14"/>
          <w:szCs w:val="14"/>
          <w:color w:val="auto"/>
        </w:rPr>
      </w:pPr>
    </w:p>
    <w:p>
      <w:pPr>
        <w:ind w:left="1700" w:right="519" w:hanging="345"/>
        <w:spacing w:after="0" w:line="267"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w:t>
      </w:r>
    </w:p>
    <w:p>
      <w:pPr>
        <w:spacing w:after="0" w:line="136"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w:t>
      </w:r>
    </w:p>
    <w:p>
      <w:pPr>
        <w:spacing w:after="0" w:line="136"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w:t>
      </w:r>
    </w:p>
    <w:p>
      <w:pPr>
        <w:spacing w:after="0" w:line="14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company, the underwriter and their affiliates will rely upon the truth and accuracy of the foregoing representations, acknowledgements and agreements.</w:t>
      </w:r>
    </w:p>
    <w:p>
      <w:pPr>
        <w:spacing w:after="0" w:line="125"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any shares in any Relevant Member State means the communication in any form and by any means of sufficient information on the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terms of the offer and any shares to be offered so as to enable an investor to decide to purchase or subscribe for any shares, and the expression “Prospectus Regulation” means Regulation (EU) 2017/1129 (as amended).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United Kingdom</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67" w:lineRule="exact"/>
        <w:rPr>
          <w:sz w:val="20"/>
          <w:szCs w:val="20"/>
          <w:color w:val="auto"/>
        </w:rPr>
      </w:pPr>
    </w:p>
    <w:p>
      <w:pPr>
        <w:jc w:val="both"/>
        <w:ind w:left="2120" w:right="219" w:hanging="345"/>
        <w:spacing w:after="0" w:line="296" w:lineRule="auto"/>
        <w:tabs>
          <w:tab w:leader="none" w:pos="21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46"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paragraph 15 of Schedule 1 of the POATR), subject to obtaining the prior consent of the representatives for any such offer; or</w:t>
      </w:r>
    </w:p>
    <w:p>
      <w:pPr>
        <w:spacing w:after="0" w:line="40" w:lineRule="exact"/>
        <w:rPr>
          <w:rFonts w:ascii="Times New Roman" w:cs="Times New Roman" w:eastAsia="Times New Roman" w:hAnsi="Times New Roman"/>
          <w:sz w:val="14"/>
          <w:szCs w:val="14"/>
          <w:color w:val="auto"/>
        </w:rPr>
      </w:pPr>
    </w:p>
    <w:p>
      <w:pPr>
        <w:ind w:left="2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5" w:lineRule="exact"/>
        <w:rPr>
          <w:sz w:val="20"/>
          <w:szCs w:val="20"/>
          <w:color w:val="auto"/>
        </w:rPr>
      </w:pPr>
    </w:p>
    <w:p>
      <w:pPr>
        <w:ind w:left="1360" w:right="259" w:firstLine="772"/>
        <w:spacing w:after="0" w:line="261"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41" w:lineRule="exact"/>
        <w:rPr>
          <w:sz w:val="20"/>
          <w:szCs w:val="20"/>
          <w:color w:val="auto"/>
        </w:rPr>
      </w:pPr>
    </w:p>
    <w:p>
      <w:pPr>
        <w:ind w:left="1360" w:right="419" w:firstLine="772"/>
        <w:spacing w:after="0" w:line="257"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43" w:lineRule="exact"/>
        <w:rPr>
          <w:sz w:val="20"/>
          <w:szCs w:val="20"/>
          <w:color w:val="auto"/>
        </w:rPr>
      </w:pPr>
    </w:p>
    <w:p>
      <w:pPr>
        <w:ind w:left="1360" w:right="299" w:firstLine="772"/>
        <w:spacing w:after="0" w:line="267" w:lineRule="auto"/>
        <w:rPr>
          <w:sz w:val="20"/>
          <w:szCs w:val="20"/>
          <w:color w:val="auto"/>
        </w:rPr>
      </w:pPr>
      <w:r>
        <w:rPr>
          <w:rFonts w:ascii="Times New Roman" w:cs="Times New Roman" w:eastAsia="Times New Roman" w:hAnsi="Times New Roman"/>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of Prospective Investors in Switzerland</w:t>
      </w:r>
    </w:p>
    <w:p>
      <w:pPr>
        <w:spacing w:after="0" w:line="93"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62" w:lineRule="exact"/>
        <w:rPr>
          <w:sz w:val="20"/>
          <w:szCs w:val="20"/>
          <w:color w:val="auto"/>
        </w:rPr>
      </w:pPr>
    </w:p>
    <w:p>
      <w:pPr>
        <w:ind w:left="1700" w:hanging="345"/>
        <w:spacing w:after="0"/>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 or</w:t>
      </w:r>
    </w:p>
    <w:p>
      <w:pPr>
        <w:spacing w:after="0" w:line="101" w:lineRule="exact"/>
        <w:rPr>
          <w:rFonts w:ascii="Times New Roman" w:cs="Times New Roman" w:eastAsia="Times New Roman" w:hAnsi="Times New Roman"/>
          <w:sz w:val="14"/>
          <w:szCs w:val="14"/>
          <w:color w:val="auto"/>
        </w:rPr>
      </w:pPr>
    </w:p>
    <w:p>
      <w:pPr>
        <w:ind w:left="5520" w:right="1059" w:hanging="4165"/>
        <w:spacing w:after="0" w:line="455" w:lineRule="auto"/>
        <w:tabs>
          <w:tab w:leader="none" w:pos="17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 S-26</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provided that no such offer of shares shall require the Company or any underwriter to publish a prospectus pursuant to Article 35 FinSA.</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shares have not been and will not be listed or admitted to trading on a trading venue in Switzerland.</w:t>
      </w:r>
    </w:p>
    <w:p>
      <w:pPr>
        <w:spacing w:after="0" w:line="175" w:lineRule="exact"/>
        <w:rPr>
          <w:sz w:val="20"/>
          <w:szCs w:val="20"/>
          <w:color w:val="auto"/>
        </w:rPr>
      </w:pPr>
    </w:p>
    <w:p>
      <w:pPr>
        <w:jc w:val="both"/>
        <w:ind w:left="1360" w:right="619" w:firstLine="343"/>
        <w:spacing w:after="0" w:line="267"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the Dubai International Financial Centre</w:t>
      </w:r>
    </w:p>
    <w:p>
      <w:pPr>
        <w:spacing w:after="0" w:line="93"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44"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Australia</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prospectus supplement:</w:t>
      </w:r>
    </w:p>
    <w:p>
      <w:pPr>
        <w:spacing w:after="0" w:line="102" w:lineRule="exact"/>
        <w:rPr>
          <w:sz w:val="20"/>
          <w:szCs w:val="20"/>
          <w:color w:val="auto"/>
        </w:rPr>
      </w:pPr>
    </w:p>
    <w:p>
      <w:pPr>
        <w:ind w:left="2120" w:right="59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1" w:lineRule="exact"/>
        <w:rPr>
          <w:sz w:val="20"/>
          <w:szCs w:val="20"/>
          <w:color w:val="auto"/>
        </w:rPr>
      </w:pPr>
    </w:p>
    <w:p>
      <w:pPr>
        <w:jc w:val="both"/>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investors in Australia except in circumstances where disclosure to investors is not required under Chapter 6D.2 of the Corporations Act or where a compliant disclosure document is prepared and lodged with ASIC.</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Hong Kong</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Japan</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Singapore</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69" w:lineRule="exact"/>
        <w:rPr>
          <w:sz w:val="20"/>
          <w:szCs w:val="20"/>
          <w:color w:val="auto"/>
        </w:rPr>
      </w:pPr>
    </w:p>
    <w:p>
      <w:pPr>
        <w:ind w:left="1700" w:right="359" w:hanging="345"/>
        <w:spacing w:after="0" w:line="283"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 (Chapter 289) of Singapore, as modified or amended from time to time (the “SFA”)) pursuant to Section 274 of the SFA;</w:t>
      </w:r>
    </w:p>
    <w:p>
      <w:pPr>
        <w:spacing w:after="0" w:line="51" w:lineRule="exact"/>
        <w:rPr>
          <w:rFonts w:ascii="Times New Roman" w:cs="Times New Roman" w:eastAsia="Times New Roman" w:hAnsi="Times New Roman"/>
          <w:sz w:val="14"/>
          <w:szCs w:val="14"/>
          <w:color w:val="auto"/>
        </w:rPr>
      </w:pPr>
    </w:p>
    <w:p>
      <w:pPr>
        <w:ind w:left="1700" w:right="239" w:hanging="345"/>
        <w:spacing w:after="0" w:line="283"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w:t>
      </w:r>
    </w:p>
    <w:p>
      <w:pPr>
        <w:spacing w:after="0" w:line="102" w:lineRule="exact"/>
        <w:rPr>
          <w:sz w:val="20"/>
          <w:szCs w:val="20"/>
          <w:color w:val="auto"/>
        </w:rPr>
      </w:pPr>
    </w:p>
    <w:p>
      <w:pPr>
        <w:ind w:left="1700" w:right="299" w:hanging="345"/>
        <w:spacing w:after="0" w:line="283"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ind w:left="1700" w:right="299" w:hanging="345"/>
        <w:spacing w:after="0" w:line="267" w:lineRule="auto"/>
        <w:tabs>
          <w:tab w:leader="none" w:pos="1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419"/>
        <w:spacing w:after="0" w:line="283" w:lineRule="auto"/>
        <w:rPr>
          <w:sz w:val="20"/>
          <w:szCs w:val="20"/>
          <w:color w:val="auto"/>
        </w:rPr>
      </w:pPr>
      <w:r>
        <w:rPr>
          <w:rFonts w:ascii="Times New Roman" w:cs="Times New Roman" w:eastAsia="Times New Roman" w:hAnsi="Times New Roman"/>
          <w:sz w:val="14"/>
          <w:szCs w:val="14"/>
          <w:color w:val="auto"/>
        </w:rPr>
        <w:t>beneficiaries’ rights and interest (howsoever described) in that trust shall not be transferred within six months after that corporation or that trust has acquired the shares pursuant to an offer made under Section 275 of the SFA except:</w:t>
      </w:r>
    </w:p>
    <w:p>
      <w:pPr>
        <w:spacing w:after="0" w:line="51" w:lineRule="exact"/>
        <w:rPr>
          <w:sz w:val="20"/>
          <w:szCs w:val="20"/>
          <w:color w:val="auto"/>
        </w:rPr>
      </w:pPr>
    </w:p>
    <w:p>
      <w:pPr>
        <w:ind w:left="1700" w:right="319" w:hanging="345"/>
        <w:spacing w:after="0" w:line="283"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5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0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0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01" w:lineRule="exact"/>
        <w:rPr>
          <w:rFonts w:ascii="Times New Roman" w:cs="Times New Roman" w:eastAsia="Times New Roman" w:hAnsi="Times New Roman"/>
          <w:sz w:val="14"/>
          <w:szCs w:val="14"/>
          <w:color w:val="auto"/>
        </w:rPr>
      </w:pPr>
    </w:p>
    <w:p>
      <w:pPr>
        <w:ind w:left="1700" w:right="639" w:hanging="345"/>
        <w:spacing w:after="0" w:line="283"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Notice to Prospective Investors in Canada</w:t>
      </w:r>
    </w:p>
    <w:p>
      <w:pPr>
        <w:spacing w:after="0" w:line="93" w:lineRule="exact"/>
        <w:rPr>
          <w:sz w:val="20"/>
          <w:szCs w:val="20"/>
          <w:color w:val="auto"/>
        </w:rPr>
      </w:pPr>
    </w:p>
    <w:p>
      <w:pPr>
        <w:ind w:left="1360" w:right="539" w:firstLine="343"/>
        <w:spacing w:after="0" w:line="261"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Cleary Gottlieb Steen &amp; Hamilton LLP, New York, New York will pass upon the legality of the shares of common stock to be issued in this offering. Certain legal matters will be passed upon for the underwriter by Simpson Thacher &amp; Bartlett LLP, New York, New York.</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Sotera Health Company appearing in Sotera Health Company’s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jc w:val="both"/>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70" w:lineRule="exact"/>
        <w:rPr>
          <w:sz w:val="20"/>
          <w:szCs w:val="20"/>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24, 2026;</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6">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5, 2026;</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22"/>
        </w:numPr>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5,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16, 2026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May 5,</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(excluding any information furnished pursuant to Item 2.02 thereto); and</w:t>
        </w:r>
      </w:hyperlink>
    </w:p>
    <w:p>
      <w:pPr>
        <w:spacing w:after="0" w:line="51" w:lineRule="exact"/>
        <w:rPr>
          <w:rFonts w:ascii="Times New Roman" w:cs="Times New Roman" w:eastAsia="Times New Roman" w:hAnsi="Times New Roman"/>
          <w:sz w:val="14"/>
          <w:szCs w:val="14"/>
          <w:color w:val="0000EE"/>
        </w:rPr>
      </w:pPr>
    </w:p>
    <w:p>
      <w:pPr>
        <w:ind w:left="2120" w:right="399" w:hanging="345"/>
        <w:spacing w:after="0" w:line="267"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58">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w:t>
      </w:r>
      <w:hyperlink r:id="rId58">
        <w:r>
          <w:rPr>
            <w:rFonts w:ascii="Times New Roman" w:cs="Times New Roman" w:eastAsia="Times New Roman" w:hAnsi="Times New Roman"/>
            <w:sz w:val="14"/>
            <w:szCs w:val="14"/>
            <w:u w:val="single" w:color="auto"/>
            <w:color w:val="0000EE"/>
          </w:rPr>
          <w:t>April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supplemented on </w:t>
      </w:r>
      <w:hyperlink r:id="rId59">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auto"/>
        </w:rPr>
        <w:t xml:space="preserve">, as amended (solely to the extent specifically incorporated by reference into our Annual Report on </w:t>
      </w:r>
      <w:hyperlink r:id="rId5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w:t>
      </w:r>
    </w:p>
    <w:p>
      <w:pPr>
        <w:spacing w:after="0" w:line="136" w:lineRule="exact"/>
        <w:rPr>
          <w:rFonts w:ascii="Times New Roman" w:cs="Times New Roman" w:eastAsia="Times New Roman" w:hAnsi="Times New Roman"/>
          <w:sz w:val="14"/>
          <w:szCs w:val="14"/>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36" w:lineRule="exact"/>
        <w:rPr>
          <w:rFonts w:ascii="Times New Roman" w:cs="Times New Roman" w:eastAsia="Times New Roman" w:hAnsi="Times New Roman"/>
          <w:sz w:val="14"/>
          <w:szCs w:val="14"/>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w:t>
      </w:r>
    </w:p>
    <w:p>
      <w:pPr>
        <w:spacing w:after="0" w:line="141" w:lineRule="exact"/>
        <w:rPr>
          <w:rFonts w:ascii="Times New Roman" w:cs="Times New Roman" w:eastAsia="Times New Roman" w:hAnsi="Times New Roman"/>
          <w:sz w:val="14"/>
          <w:szCs w:val="14"/>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Exhibits to any documents incorporated by reference in this prospectus supplement will not be sent, however, unless those exhibits have been specifically referenced in this prospectus supplement or the accompanying prospectus.</w:t>
      </w:r>
    </w:p>
    <w:p>
      <w:pPr>
        <w:spacing w:after="0" w:line="72"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75565</wp:posOffset>
            </wp:positionV>
            <wp:extent cx="1208405" cy="400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208405" cy="40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SOTERA HEALTH COMPANY</w:t>
      </w:r>
    </w:p>
    <w:p>
      <w:pPr>
        <w:spacing w:after="0" w:line="1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188595</wp:posOffset>
            </wp:positionV>
            <wp:extent cx="11417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44" w:lineRule="exact"/>
        <w:rPr>
          <w:sz w:val="20"/>
          <w:szCs w:val="20"/>
          <w:color w:val="auto"/>
        </w:rPr>
      </w:pPr>
    </w:p>
    <w:p>
      <w:pPr>
        <w:ind w:left="1360" w:right="659" w:firstLine="343"/>
        <w:spacing w:after="0" w:line="267" w:lineRule="auto"/>
        <w:rPr>
          <w:sz w:val="20"/>
          <w:szCs w:val="20"/>
          <w:color w:val="auto"/>
        </w:rPr>
      </w:pPr>
      <w:r>
        <w:rPr>
          <w:rFonts w:ascii="Times New Roman" w:cs="Times New Roman" w:eastAsia="Times New Roman" w:hAnsi="Times New Roman"/>
          <w:sz w:val="14"/>
          <w:szCs w:val="14"/>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36" w:lineRule="exact"/>
        <w:rPr>
          <w:sz w:val="20"/>
          <w:szCs w:val="20"/>
          <w:color w:val="auto"/>
        </w:rPr>
      </w:pPr>
    </w:p>
    <w:p>
      <w:pPr>
        <w:ind w:left="1360" w:right="479" w:firstLine="343"/>
        <w:spacing w:after="0" w:line="258" w:lineRule="auto"/>
        <w:rPr>
          <w:sz w:val="20"/>
          <w:szCs w:val="20"/>
          <w:color w:val="auto"/>
        </w:rPr>
      </w:pPr>
      <w:r>
        <w:rPr>
          <w:rFonts w:ascii="Times New Roman" w:cs="Times New Roman" w:eastAsia="Times New Roman" w:hAnsi="Times New Roman"/>
          <w:sz w:val="14"/>
          <w:szCs w:val="14"/>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4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This prospectus is not an offer to sell our common stock, and it is not soliciting an offer to buy our common stock, in any state or other jurisdiction where the offer or sale is not permitted.</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“SHC.”</w:t>
      </w:r>
    </w:p>
    <w:p>
      <w:pPr>
        <w:spacing w:after="0" w:line="165" w:lineRule="exact"/>
        <w:rPr>
          <w:sz w:val="20"/>
          <w:szCs w:val="20"/>
          <w:color w:val="auto"/>
        </w:rPr>
      </w:pPr>
    </w:p>
    <w:p>
      <w:pPr>
        <w:jc w:val="both"/>
        <w:ind w:left="1360" w:right="339" w:firstLine="343"/>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38"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160655</wp:posOffset>
            </wp:positionV>
            <wp:extent cx="11417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The date of this prospectus is February 27, 2024.</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26"/>
        </w:trPr>
        <w:tc>
          <w:tcPr>
            <w:tcW w:w="1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ABOUT THIS PROSPECTUS</w:t>
            </w:r>
          </w:p>
        </w:tc>
        <w:tc>
          <w:tcPr>
            <w:tcW w:w="4980" w:type="dxa"/>
            <w:vAlign w:val="bottom"/>
            <w:gridSpan w:val="5"/>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r>
      <w:tr>
        <w:trPr>
          <w:trHeight w:val="148"/>
        </w:trPr>
        <w:tc>
          <w:tcPr>
            <w:tcW w:w="67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ABOUT SOTERA HEALTH COMPANY</w:t>
            </w: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8"/>
        </w:trPr>
        <w:tc>
          <w:tcPr>
            <w:tcW w:w="450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2220" w:type="dxa"/>
            <w:vAlign w:val="bottom"/>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67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8"/>
        </w:trPr>
        <w:tc>
          <w:tcPr>
            <w:tcW w:w="67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8"/>
        </w:trPr>
        <w:tc>
          <w:tcPr>
            <w:tcW w:w="236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4360" w:type="dxa"/>
            <w:vAlign w:val="bottom"/>
            <w:gridSpan w:val="3"/>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172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8"/>
              </w:rPr>
              <w:t>SELLING STOCKHOLDERS</w:t>
            </w:r>
          </w:p>
        </w:tc>
        <w:tc>
          <w:tcPr>
            <w:tcW w:w="5000" w:type="dxa"/>
            <w:vAlign w:val="bottom"/>
            <w:gridSpan w:val="6"/>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1600" w:type="dxa"/>
            <w:vAlign w:val="bottom"/>
            <w:tcBorders>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120" w:type="dxa"/>
            <w:vAlign w:val="bottom"/>
            <w:gridSpan w:val="7"/>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w:t>
            </w:r>
          </w:p>
        </w:tc>
      </w:tr>
      <w:tr>
        <w:trPr>
          <w:trHeight w:val="148"/>
        </w:trPr>
        <w:tc>
          <w:tcPr>
            <w:tcW w:w="67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2200" w:type="dxa"/>
            <w:vAlign w:val="bottom"/>
            <w:tcBorders>
              <w:top w:val="single" w:sz="8" w:color="0000EE"/>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760" w:type="dxa"/>
            <w:vAlign w:val="bottom"/>
            <w:tcBorders>
              <w:top w:val="single" w:sz="8" w:color="0000EE"/>
            </w:tcBorders>
            <w:gridSpan w:val="2"/>
          </w:tcPr>
          <w:p>
            <w:pPr>
              <w:spacing w:after="0"/>
              <w:rPr>
                <w:sz w:val="12"/>
                <w:szCs w:val="12"/>
                <w:color w:val="auto"/>
              </w:rPr>
            </w:pPr>
          </w:p>
        </w:tc>
        <w:tc>
          <w:tcPr>
            <w:tcW w:w="3760" w:type="dxa"/>
            <w:vAlign w:val="bottom"/>
            <w:gridSpan w:val="2"/>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w:t>
            </w:r>
          </w:p>
        </w:tc>
      </w:tr>
      <w:tr>
        <w:trPr>
          <w:trHeight w:val="148"/>
        </w:trPr>
        <w:tc>
          <w:tcPr>
            <w:tcW w:w="67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600" w:type="dxa"/>
            <w:vAlign w:val="bottom"/>
            <w:gridSpan w:val="9"/>
          </w:tcPr>
          <w:p>
            <w:pPr>
              <w:spacing w:after="0"/>
              <w:rPr>
                <w:sz w:val="12"/>
                <w:szCs w:val="12"/>
                <w:color w:val="auto"/>
              </w:rPr>
            </w:pPr>
          </w:p>
        </w:tc>
        <w:tc>
          <w:tcPr>
            <w:tcW w:w="1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r>
    </w:tbl>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2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72" w:lineRule="exact"/>
        <w:rPr>
          <w:sz w:val="20"/>
          <w:szCs w:val="20"/>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prospectus;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prospectus supplement; and</w:t>
      </w:r>
    </w:p>
    <w:p>
      <w:pPr>
        <w:spacing w:after="0" w:line="101" w:lineRule="exact"/>
        <w:rPr>
          <w:rFonts w:ascii="Times New Roman" w:cs="Times New Roman" w:eastAsia="Times New Roman" w:hAnsi="Times New Roman"/>
          <w:sz w:val="14"/>
          <w:szCs w:val="14"/>
          <w:color w:val="auto"/>
        </w:rPr>
      </w:pPr>
    </w:p>
    <w:p>
      <w:pPr>
        <w:ind w:left="5620" w:right="2099" w:hanging="3845"/>
        <w:spacing w:after="0" w:line="455" w:lineRule="auto"/>
        <w:tabs>
          <w:tab w:leader="none" w:pos="210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referred to in “Where You Can Find More Information” and “Incorporation by Reference.” i</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ABOUT SOTERA HEALTH COMPANY</w:t>
      </w:r>
    </w:p>
    <w:p>
      <w:pPr>
        <w:spacing w:after="0" w:line="177" w:lineRule="exact"/>
        <w:rPr>
          <w:sz w:val="20"/>
          <w:szCs w:val="20"/>
          <w:color w:val="auto"/>
        </w:rPr>
      </w:pPr>
    </w:p>
    <w:p>
      <w:pPr>
        <w:ind w:left="1360" w:right="259" w:firstLine="343"/>
        <w:spacing w:after="0" w:line="236" w:lineRule="auto"/>
        <w:rPr>
          <w:sz w:val="20"/>
          <w:szCs w:val="20"/>
          <w:color w:val="auto"/>
        </w:rPr>
      </w:pPr>
      <w:r>
        <w:rPr>
          <w:rFonts w:ascii="Times New Roman" w:cs="Times New Roman" w:eastAsia="Times New Roman" w:hAnsi="Times New Roman"/>
          <w:sz w:val="14"/>
          <w:szCs w:val="14"/>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58"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4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70" w:lineRule="exact"/>
        <w:rPr>
          <w:sz w:val="20"/>
          <w:szCs w:val="20"/>
          <w:color w:val="auto"/>
        </w:rPr>
      </w:pPr>
    </w:p>
    <w:p>
      <w:pPr>
        <w:ind w:left="2120" w:right="479" w:hanging="345"/>
        <w:spacing w:after="0" w:line="267"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environmental, health and safety regulations or preferences, and general economic, social and business conditions;</w:t>
      </w:r>
    </w:p>
    <w:p>
      <w:pPr>
        <w:spacing w:after="0" w:line="10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and safety risks associated with the use, storage, transportation and disposal of potentially hazardous materials such as EO and Co-60;</w:t>
      </w:r>
    </w:p>
    <w:p>
      <w:pPr>
        <w:spacing w:after="0" w:line="51" w:lineRule="exact"/>
        <w:rPr>
          <w:rFonts w:ascii="Times New Roman" w:cs="Times New Roman" w:eastAsia="Times New Roman" w:hAnsi="Times New Roman"/>
          <w:sz w:val="14"/>
          <w:szCs w:val="14"/>
          <w:color w:val="auto"/>
        </w:rPr>
      </w:pPr>
    </w:p>
    <w:p>
      <w:pPr>
        <w:ind w:left="2120" w:right="399" w:hanging="345"/>
        <w:spacing w:after="0" w:line="267"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allegations of our failure to properly perform services and potential product liability claims, recalls, penalties and reputational harm;</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extensive regulatory requirements to which we are subject, the related costs, and any failures to receive or maintain, or delays in receiving, required clearances or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industry trends;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we face;</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changes, including inflationary trends, that impact our long-term supply contracts with variable price clauses and increase our cost of revenues;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continuity hazards, including supply chain disruptions, and other risks associated with our operations;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doing business internationally, including global and regional economic and political instability and compliance with numerous and sometimes inconsistent laws and regulations in multiple jurisdictions;</w:t>
      </w:r>
    </w:p>
    <w:p>
      <w:pPr>
        <w:spacing w:after="0" w:line="5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capacity at existing facilities, build new facilities in a timely and cost-effective manner and renew leases for our leased facilities;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employees;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health events or environmental events;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breaches, unauthorized data disclosures, our dependence on information technology systems;</w:t>
      </w:r>
    </w:p>
    <w:p>
      <w:pPr>
        <w:spacing w:after="0" w:line="101" w:lineRule="exact"/>
        <w:rPr>
          <w:rFonts w:ascii="Times New Roman" w:cs="Times New Roman" w:eastAsia="Times New Roman" w:hAnsi="Times New Roman"/>
          <w:sz w:val="14"/>
          <w:szCs w:val="14"/>
          <w:color w:val="auto"/>
        </w:rPr>
      </w:pPr>
    </w:p>
    <w:p>
      <w:pPr>
        <w:ind w:left="2120" w:right="91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pursue strategic transactions, find suitable acquisition targets, or integrate strategic acquisitions into our business successfully;</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internal controls over financial reporting;</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rapidly evolving data privacy and security laws and regulations in various jurisdictions and any ineffective compliance efforts with such laws and regulations;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profitability in the future;</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on our goodwill and other intangible assets with indefinite lives, as well as other long-lived assets and intangible assets with definite lives;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unionization efforts and labor regulations in countries in which we operate;</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to our tax positions in U.S. or non-U.S. jurisdictions or the interpretation and application of recent U.S. tax legislation or other changes in U.S. or non-U.S. taxation of our operations; and</w:t>
      </w:r>
    </w:p>
    <w:p>
      <w:pPr>
        <w:spacing w:after="0" w:line="51" w:lineRule="exact"/>
        <w:rPr>
          <w:rFonts w:ascii="Times New Roman" w:cs="Times New Roman" w:eastAsia="Times New Roman" w:hAnsi="Times New Roman"/>
          <w:sz w:val="14"/>
          <w:szCs w:val="14"/>
          <w:color w:val="auto"/>
        </w:rPr>
      </w:pPr>
    </w:p>
    <w:p>
      <w:pPr>
        <w:ind w:left="2120" w:right="419" w:hanging="345"/>
        <w:spacing w:after="0" w:line="261"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4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Except as otherwise set forth in a prospectus supplement, we intend to use the net proceeds from any sale of our common stock described in this prospectus for our general corporate purposes.</w:t>
      </w:r>
    </w:p>
    <w:p>
      <w:pPr>
        <w:spacing w:after="0" w:line="125"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Unless otherwise set forth in a prospectus supplement, we will not receive any proceeds from any sale of our common stock by the selling stockholders.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7"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We have one class of securities, common stock, par value $0.01 per share, registered pursuant to Section 12 of the Securities Exchange Act of 1934, as amended (the “Exchange Act”).</w:t>
      </w:r>
    </w:p>
    <w:p>
      <w:pPr>
        <w:spacing w:after="0" w:line="12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44"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We may periodically issue shares of our common stock or other securities that can be exercised, converted or exchanged into shares of our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Capitalization</w:t>
      </w:r>
    </w:p>
    <w:p>
      <w:pPr>
        <w:spacing w:after="0" w:line="93" w:lineRule="exact"/>
        <w:rPr>
          <w:sz w:val="20"/>
          <w:szCs w:val="20"/>
          <w:color w:val="auto"/>
        </w:rPr>
      </w:pPr>
    </w:p>
    <w:p>
      <w:pPr>
        <w:ind w:left="1360" w:right="279" w:firstLine="343"/>
        <w:spacing w:after="0" w:line="323" w:lineRule="auto"/>
        <w:rPr>
          <w:sz w:val="20"/>
          <w:szCs w:val="20"/>
          <w:color w:val="auto"/>
        </w:rPr>
      </w:pPr>
      <w:r>
        <w:rPr>
          <w:rFonts w:ascii="Times New Roman" w:cs="Times New Roman" w:eastAsia="Times New Roman" w:hAnsi="Times New Roman"/>
          <w:sz w:val="13"/>
          <w:szCs w:val="13"/>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common stock are entitled to one vote for each share held on all matters submitted to a vote of stockholders,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44" w:lineRule="exact"/>
        <w:rPr>
          <w:sz w:val="20"/>
          <w:szCs w:val="20"/>
          <w:color w:val="auto"/>
        </w:rPr>
      </w:pPr>
    </w:p>
    <w:p>
      <w:pPr>
        <w:ind w:left="1360" w:right="5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preferences that may be applicable to any then-outstanding preferred stock, holders of our common stock are entitled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receive ratably those dividends, if any, as may be declared by the board of directors out of legally available funds.</w:t>
      </w:r>
    </w:p>
    <w:p>
      <w:pPr>
        <w:spacing w:after="0" w:line="121" w:lineRule="exact"/>
        <w:rPr>
          <w:sz w:val="20"/>
          <w:szCs w:val="20"/>
          <w:color w:val="auto"/>
        </w:rPr>
      </w:pPr>
    </w:p>
    <w:p>
      <w:pPr>
        <w:ind w:left="1360" w:right="4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Liquidation, Dissolution, and Winding Up</w:t>
      </w:r>
      <w:r>
        <w:rPr>
          <w:rFonts w:ascii="Times New Roman" w:cs="Times New Roman" w:eastAsia="Times New Roman" w:hAnsi="Times New Roman"/>
          <w:sz w:val="14"/>
          <w:szCs w:val="14"/>
          <w:color w:val="auto"/>
        </w:rPr>
        <w:t>. Upon our liquidation, dissolution or winding up, the holders of our common stock will be entitled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No Preemptive or Similar Rights</w:t>
      </w:r>
      <w:r>
        <w:rPr>
          <w:rFonts w:ascii="Times New Roman" w:cs="Times New Roman" w:eastAsia="Times New Roman" w:hAnsi="Times New Roman"/>
          <w:sz w:val="14"/>
          <w:szCs w:val="14"/>
          <w:color w:val="auto"/>
        </w:rPr>
        <w:t>. Holders of our common stock have no preemptive or conversion rights or other subscription rights, and there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 redemption or sinking fund provisions applicable to our common stock.</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Assessment</w:t>
      </w:r>
      <w:r>
        <w:rPr>
          <w:rFonts w:ascii="Times New Roman" w:cs="Times New Roman" w:eastAsia="Times New Roman" w:hAnsi="Times New Roman"/>
          <w:sz w:val="14"/>
          <w:szCs w:val="14"/>
          <w:color w:val="auto"/>
        </w:rPr>
        <w:t>. All outstanding shares of our common stock are fully paid and nonassessable.</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26"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Anti-Takeover Effects of Provisions of Our Amended and Restated Certificate of Incorporation, Our Amended and Restated Bylaws and Delaware Law</w:t>
      </w:r>
    </w:p>
    <w:p>
      <w:pPr>
        <w:spacing w:after="0" w:line="39"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42" w:lineRule="exact"/>
        <w:rPr>
          <w:sz w:val="20"/>
          <w:szCs w:val="20"/>
          <w:color w:val="auto"/>
        </w:rPr>
      </w:pPr>
    </w:p>
    <w:p>
      <w:pPr>
        <w:ind w:left="1360" w:right="4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Classified board of directors; removal of directors</w:t>
      </w:r>
      <w:r>
        <w:rPr>
          <w:rFonts w:ascii="Times New Roman" w:cs="Times New Roman" w:eastAsia="Times New Roman" w:hAnsi="Times New Roman"/>
          <w:sz w:val="14"/>
          <w:szCs w:val="14"/>
          <w:color w:val="auto"/>
        </w:rPr>
        <w:t>. Our amended and restated certificate of incorporation provides that our board of directors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3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4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59" w:firstLine="343"/>
        <w:spacing w:after="0" w:line="279" w:lineRule="auto"/>
        <w:rPr>
          <w:sz w:val="20"/>
          <w:szCs w:val="20"/>
          <w:color w:val="auto"/>
        </w:rPr>
      </w:pPr>
      <w:r>
        <w:rPr>
          <w:rFonts w:ascii="Times New Roman" w:cs="Times New Roman" w:eastAsia="Times New Roman" w:hAnsi="Times New Roman"/>
          <w:sz w:val="13"/>
          <w:szCs w:val="13"/>
          <w:i w:val="1"/>
          <w:iCs w:val="1"/>
          <w:color w:val="auto"/>
        </w:rPr>
        <w:t>Advance notice requirements for stockholder proposals and director nominations</w:t>
      </w:r>
      <w:r>
        <w:rPr>
          <w:rFonts w:ascii="Times New Roman" w:cs="Times New Roman" w:eastAsia="Times New Roman" w:hAnsi="Times New Roman"/>
          <w:sz w:val="13"/>
          <w:szCs w:val="13"/>
          <w:color w:val="auto"/>
        </w:rPr>
        <w:t>. Our amended and restated bylaws provide advance notice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Amendment of certificate of incorporation and bylaws provisions</w:t>
      </w:r>
      <w:r>
        <w:rPr>
          <w:rFonts w:ascii="Times New Roman" w:cs="Times New Roman" w:eastAsia="Times New Roman" w:hAnsi="Times New Roman"/>
          <w:sz w:val="14"/>
          <w:szCs w:val="14"/>
          <w:color w:val="auto"/>
        </w:rPr>
        <w:t>. Our amended and restated certificate of incorporation provides that approval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44" w:lineRule="exact"/>
        <w:rPr>
          <w:sz w:val="20"/>
          <w:szCs w:val="20"/>
          <w:color w:val="auto"/>
        </w:rPr>
      </w:pPr>
    </w:p>
    <w:p>
      <w:pPr>
        <w:ind w:left="1360" w:right="37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Authorized but unissued or undesignated capital stock</w:t>
      </w:r>
      <w:r>
        <w:rPr>
          <w:rFonts w:ascii="Times New Roman" w:cs="Times New Roman" w:eastAsia="Times New Roman" w:hAnsi="Times New Roman"/>
          <w:sz w:val="14"/>
          <w:szCs w:val="14"/>
          <w:color w:val="auto"/>
        </w:rPr>
        <w:t>. Our authorized capital stock consists of 1,200,000,000 shares of common stock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4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Stockholder action; special meeting of stockholders</w:t>
      </w:r>
      <w:r>
        <w:rPr>
          <w:rFonts w:ascii="Times New Roman" w:cs="Times New Roman" w:eastAsia="Times New Roman" w:hAnsi="Times New Roman"/>
          <w:sz w:val="14"/>
          <w:szCs w:val="14"/>
          <w:color w:val="auto"/>
        </w:rPr>
        <w:t>. Our amended and restated certificate of incorporation provides that our stockholders will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39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No cumulative voting</w:t>
      </w:r>
      <w:r>
        <w:rPr>
          <w:rFonts w:ascii="Times New Roman" w:cs="Times New Roman" w:eastAsia="Times New Roman" w:hAnsi="Times New Roman"/>
          <w:sz w:val="14"/>
          <w:szCs w:val="14"/>
          <w:color w:val="auto"/>
        </w:rPr>
        <w:t>. The DGCL provides that stockholders are not entitled to cumulate votes in the election of directors unless a corporation’s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41"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Supermajority voting on board actions</w:t>
      </w:r>
      <w:r>
        <w:rPr>
          <w:rFonts w:ascii="Times New Roman" w:cs="Times New Roman" w:eastAsia="Times New Roman" w:hAnsi="Times New Roman"/>
          <w:sz w:val="14"/>
          <w:szCs w:val="14"/>
          <w:color w:val="auto"/>
        </w:rPr>
        <w:t>. For so long as investment funds and entities affiliated with either Warburg Pincus or GTCR have the right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(individually) to designate at least three directors for election to our board of directors, the following actions may only be effected with the affirmative vote of 75% of our board of directors:</w:t>
      </w:r>
    </w:p>
    <w:p>
      <w:pPr>
        <w:spacing w:after="0" w:line="62" w:lineRule="exact"/>
        <w:rPr>
          <w:sz w:val="20"/>
          <w:szCs w:val="20"/>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acquisitions, mergers, other business combination transactions and dispositions;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modification or repeal of any provision of the certificate of incorporation or bylaws;</w:t>
      </w:r>
    </w:p>
    <w:p>
      <w:pPr>
        <w:spacing w:after="0" w:line="10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size and composition of the board of directors or the compensation of its committees, other than in accordance with the Stockholders’ Agreement;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termination of the chief executive officer or designation of a new chief executive officer;</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ordinary course compensation arrangements, entering into, or modifying, any compensation arrangements with an executive officer or any of an executive officer’s affiliates or associates;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additional shares of Company or subsidiaries’ capital stock, subject to certain limited exceptions;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incurrence of certain indebtedness.</w:t>
      </w:r>
    </w:p>
    <w:p>
      <w:pPr>
        <w:spacing w:after="0" w:line="17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Delaware Anti-Takeover Statute</w:t>
      </w:r>
      <w:r>
        <w:rPr>
          <w:rFonts w:ascii="Times New Roman" w:cs="Times New Roman" w:eastAsia="Times New Roman" w:hAnsi="Times New Roman"/>
          <w:sz w:val="14"/>
          <w:szCs w:val="14"/>
          <w:color w:val="auto"/>
        </w:rPr>
        <w:t>. We are not subject to the provisions of Section 203 of the DGCL. In general, Section 203 prohibits a publicly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4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45"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62" w:lineRule="exact"/>
        <w:rPr>
          <w:sz w:val="20"/>
          <w:szCs w:val="20"/>
          <w:color w:val="auto"/>
        </w:rPr>
      </w:pPr>
    </w:p>
    <w:p>
      <w:pPr>
        <w:ind w:left="2120" w:right="49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which resulted in the shareholder becoming an interested shareholder;</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4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93" w:lineRule="exact"/>
        <w:rPr>
          <w:sz w:val="20"/>
          <w:szCs w:val="20"/>
          <w:color w:val="auto"/>
        </w:rPr>
      </w:pPr>
    </w:p>
    <w:p>
      <w:pPr>
        <w:ind w:left="1360" w:right="259" w:firstLine="343"/>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360" w:right="239" w:hanging="5"/>
        <w:spacing w:after="0" w:line="252" w:lineRule="auto"/>
        <w:tabs>
          <w:tab w:leader="none" w:pos="155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46"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 and Indemnification of Officers and Directors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3"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Computershare Trust Company, N.A. acts as transfer agent and registrar for our common stock. The transfer agent and registrar’s address is 118 Fernwood Avenue, Edison, New Jersey 08837.</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Exchange</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under the symbol “SHC.”</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77"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4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3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49"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in the table or footnotes below, the address for each beneficial owner is c/o Sotera Health, 9100 South Hills Blvd, Suite 300 Broadview Heights, Ohio 44147.</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500" w:type="dxa"/>
            <w:vAlign w:val="bottom"/>
          </w:tcPr>
          <w:p>
            <w:pPr>
              <w:spacing w:after="0"/>
              <w:rPr>
                <w:sz w:val="11"/>
                <w:szCs w:val="11"/>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2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480" w:type="dxa"/>
            <w:vAlign w:val="bottom"/>
          </w:tcPr>
          <w:p>
            <w:pPr>
              <w:spacing w:after="0"/>
              <w:rPr>
                <w:sz w:val="11"/>
                <w:szCs w:val="11"/>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080" w:type="dxa"/>
            <w:vAlign w:val="bottom"/>
            <w:gridSpan w:val="2"/>
          </w:tcPr>
          <w:p>
            <w:pPr>
              <w:jc w:val="center"/>
              <w:ind w:left="274"/>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0" w:type="dxa"/>
            <w:vAlign w:val="bottom"/>
            <w:gridSpan w:val="3"/>
          </w:tcPr>
          <w:p>
            <w:pPr>
              <w:jc w:val="center"/>
              <w:ind w:left="74"/>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0" w:type="dxa"/>
            <w:vAlign w:val="bottom"/>
            <w:gridSpan w:val="2"/>
          </w:tcPr>
          <w:p>
            <w:pPr>
              <w:jc w:val="center"/>
              <w:ind w:left="164"/>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80" w:type="dxa"/>
            <w:vAlign w:val="bottom"/>
            <w:gridSpan w:val="3"/>
          </w:tcPr>
          <w:p>
            <w:pPr>
              <w:jc w:val="center"/>
              <w:ind w:left="364"/>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500" w:type="dxa"/>
            <w:vAlign w:val="bottom"/>
          </w:tcPr>
          <w:p>
            <w:pPr>
              <w:spacing w:after="0"/>
              <w:rPr>
                <w:sz w:val="10"/>
                <w:szCs w:val="10"/>
                <w:color w:val="auto"/>
              </w:rPr>
            </w:pPr>
          </w:p>
        </w:tc>
        <w:tc>
          <w:tcPr>
            <w:tcW w:w="1100" w:type="dxa"/>
            <w:vAlign w:val="bottom"/>
            <w:gridSpan w:val="2"/>
          </w:tcPr>
          <w:p>
            <w:pPr>
              <w:jc w:val="center"/>
              <w:ind w:right="34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2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480" w:type="dxa"/>
            <w:vAlign w:val="bottom"/>
          </w:tcPr>
          <w:p>
            <w:pPr>
              <w:spacing w:after="0"/>
              <w:rPr>
                <w:sz w:val="10"/>
                <w:szCs w:val="10"/>
                <w:color w:val="auto"/>
              </w:rPr>
            </w:pPr>
          </w:p>
        </w:tc>
        <w:tc>
          <w:tcPr>
            <w:tcW w:w="80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6"/>
        </w:trPr>
        <w:tc>
          <w:tcPr>
            <w:tcW w:w="3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Stockholder</w:t>
            </w:r>
            <w:r>
              <w:rPr>
                <w:rFonts w:ascii="Times New Roman" w:cs="Times New Roman" w:eastAsia="Times New Roman" w:hAnsi="Times New Roman"/>
                <w:sz w:val="8"/>
                <w:szCs w:val="8"/>
                <w:b w:val="1"/>
                <w:bCs w:val="1"/>
                <w:color w:val="auto"/>
              </w:rPr>
              <w:t>(1)</w:t>
            </w:r>
          </w:p>
        </w:tc>
        <w:tc>
          <w:tcPr>
            <w:tcW w:w="1080" w:type="dxa"/>
            <w:vAlign w:val="bottom"/>
            <w:gridSpan w:val="2"/>
          </w:tcPr>
          <w:p>
            <w:pPr>
              <w:jc w:val="center"/>
              <w:ind w:left="274"/>
              <w:spacing w:after="0" w:line="116" w:lineRule="exact"/>
              <w:rPr>
                <w:sz w:val="20"/>
                <w:szCs w:val="20"/>
                <w:color w:val="auto"/>
              </w:rPr>
            </w:pPr>
            <w:r>
              <w:rPr>
                <w:rFonts w:ascii="Times New Roman" w:cs="Times New Roman" w:eastAsia="Times New Roman" w:hAnsi="Times New Roman"/>
                <w:sz w:val="11"/>
                <w:szCs w:val="11"/>
                <w:b w:val="1"/>
                <w:bCs w:val="1"/>
                <w:color w:val="auto"/>
              </w:rPr>
              <w:t>Owned Prior to</w:t>
            </w:r>
          </w:p>
        </w:tc>
        <w:tc>
          <w:tcPr>
            <w:tcW w:w="1600" w:type="dxa"/>
            <w:vAlign w:val="bottom"/>
            <w:gridSpan w:val="3"/>
          </w:tcPr>
          <w:p>
            <w:pPr>
              <w:jc w:val="center"/>
              <w:ind w:left="74"/>
              <w:spacing w:after="0" w:line="116" w:lineRule="exact"/>
              <w:rPr>
                <w:sz w:val="20"/>
                <w:szCs w:val="20"/>
                <w:color w:val="auto"/>
              </w:rPr>
            </w:pPr>
            <w:r>
              <w:rPr>
                <w:rFonts w:ascii="Times New Roman" w:cs="Times New Roman" w:eastAsia="Times New Roman" w:hAnsi="Times New Roman"/>
                <w:sz w:val="11"/>
                <w:szCs w:val="11"/>
                <w:b w:val="1"/>
                <w:bCs w:val="1"/>
                <w:color w:val="auto"/>
              </w:rPr>
              <w:t>Owned Prior to</w:t>
            </w:r>
          </w:p>
        </w:tc>
        <w:tc>
          <w:tcPr>
            <w:tcW w:w="2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1280" w:type="dxa"/>
            <w:vAlign w:val="bottom"/>
            <w:gridSpan w:val="3"/>
          </w:tcPr>
          <w:p>
            <w:pPr>
              <w:jc w:val="center"/>
              <w:ind w:left="384"/>
              <w:spacing w:after="0" w:line="116" w:lineRule="exact"/>
              <w:rPr>
                <w:sz w:val="20"/>
                <w:szCs w:val="20"/>
                <w:color w:val="auto"/>
              </w:rPr>
            </w:pPr>
            <w:r>
              <w:rPr>
                <w:rFonts w:ascii="Times New Roman" w:cs="Times New Roman" w:eastAsia="Times New Roman" w:hAnsi="Times New Roman"/>
                <w:sz w:val="11"/>
                <w:szCs w:val="11"/>
                <w:b w:val="1"/>
                <w:bCs w:val="1"/>
                <w:color w:val="auto"/>
              </w:rPr>
              <w:t>Owned Prior to</w:t>
            </w:r>
          </w:p>
        </w:tc>
        <w:tc>
          <w:tcPr>
            <w:tcW w:w="0" w:type="dxa"/>
            <w:vAlign w:val="bottom"/>
          </w:tcPr>
          <w:p>
            <w:pPr>
              <w:spacing w:after="0"/>
              <w:rPr>
                <w:sz w:val="1"/>
                <w:szCs w:val="1"/>
                <w:color w:val="auto"/>
              </w:rPr>
            </w:pPr>
          </w:p>
        </w:tc>
      </w:tr>
      <w:tr>
        <w:trPr>
          <w:trHeight w:val="135"/>
        </w:trPr>
        <w:tc>
          <w:tcPr>
            <w:tcW w:w="36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the Offering</w:t>
            </w:r>
          </w:p>
        </w:tc>
        <w:tc>
          <w:tcPr>
            <w:tcW w:w="500" w:type="dxa"/>
            <w:vAlign w:val="bottom"/>
          </w:tcPr>
          <w:p>
            <w:pPr>
              <w:spacing w:after="0"/>
              <w:rPr>
                <w:sz w:val="11"/>
                <w:szCs w:val="11"/>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the Offering</w:t>
            </w:r>
          </w:p>
        </w:tc>
        <w:tc>
          <w:tcPr>
            <w:tcW w:w="2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the Offering</w:t>
            </w:r>
          </w:p>
        </w:tc>
        <w:tc>
          <w:tcPr>
            <w:tcW w:w="480" w:type="dxa"/>
            <w:vAlign w:val="bottom"/>
          </w:tcPr>
          <w:p>
            <w:pPr>
              <w:spacing w:after="0"/>
              <w:rPr>
                <w:sz w:val="11"/>
                <w:szCs w:val="11"/>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the Offering</w:t>
            </w:r>
          </w:p>
        </w:tc>
        <w:tc>
          <w:tcPr>
            <w:tcW w:w="0" w:type="dxa"/>
            <w:vAlign w:val="bottom"/>
          </w:tcPr>
          <w:p>
            <w:pPr>
              <w:spacing w:after="0"/>
              <w:rPr>
                <w:sz w:val="1"/>
                <w:szCs w:val="1"/>
                <w:color w:val="auto"/>
              </w:rPr>
            </w:pPr>
          </w:p>
        </w:tc>
      </w:tr>
      <w:tr>
        <w:trPr>
          <w:trHeight w:val="148"/>
        </w:trPr>
        <w:tc>
          <w:tcPr>
            <w:tcW w:w="36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5% Stockholders:</w:t>
            </w: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Investment funds and entities affiliated with Warburg</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420"/>
              <w:spacing w:after="0" w:line="183" w:lineRule="exact"/>
              <w:rPr>
                <w:sz w:val="20"/>
                <w:szCs w:val="20"/>
                <w:color w:val="auto"/>
              </w:rPr>
            </w:pPr>
            <w:r>
              <w:rPr>
                <w:rFonts w:ascii="Times New Roman" w:cs="Times New Roman" w:eastAsia="Times New Roman" w:hAnsi="Times New Roman"/>
                <w:sz w:val="14"/>
                <w:szCs w:val="14"/>
                <w:color w:val="auto"/>
              </w:rPr>
              <w:t>Pincus</w:t>
            </w:r>
            <w:r>
              <w:rPr>
                <w:rFonts w:ascii="Times New Roman" w:cs="Times New Roman" w:eastAsia="Times New Roman" w:hAnsi="Times New Roman"/>
                <w:sz w:val="21"/>
                <w:szCs w:val="21"/>
                <w:color w:val="auto"/>
                <w:vertAlign w:val="superscript"/>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105,417,315</w:t>
            </w: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37.27%</w:t>
            </w:r>
          </w:p>
        </w:tc>
        <w:tc>
          <w:tcPr>
            <w:tcW w:w="240" w:type="dxa"/>
            <w:vAlign w:val="bottom"/>
          </w:tcPr>
          <w:p>
            <w:pPr>
              <w:spacing w:after="0"/>
              <w:rPr>
                <w:sz w:val="15"/>
                <w:szCs w:val="15"/>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2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Investment funds and entities affiliated with GTCR</w:t>
            </w:r>
            <w:r>
              <w:rPr>
                <w:rFonts w:ascii="Times New Roman" w:cs="Times New Roman" w:eastAsia="Times New Roman" w:hAnsi="Times New Roman"/>
                <w:sz w:val="19"/>
                <w:szCs w:val="19"/>
                <w:color w:val="auto"/>
                <w:vertAlign w:val="superscript"/>
              </w:rPr>
              <w:t>(3)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70,278,209</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24.85%</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Michael B. Petras, Jr.</w:t>
            </w:r>
            <w:r>
              <w:rPr>
                <w:rFonts w:ascii="Times New Roman" w:cs="Times New Roman" w:eastAsia="Times New Roman" w:hAnsi="Times New Roman"/>
                <w:sz w:val="19"/>
                <w:szCs w:val="19"/>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8,587,855</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2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Michael P. Rutz</w:t>
            </w:r>
            <w:r>
              <w:rPr>
                <w:rFonts w:ascii="Times New Roman" w:cs="Times New Roman" w:eastAsia="Times New Roman" w:hAnsi="Times New Roman"/>
                <w:sz w:val="19"/>
                <w:szCs w:val="19"/>
                <w:color w:val="auto"/>
                <w:vertAlign w:val="superscript"/>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709,336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62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Ann R. Klee</w:t>
            </w:r>
            <w:r>
              <w:rPr>
                <w:rFonts w:ascii="Times New Roman" w:cs="Times New Roman" w:eastAsia="Times New Roman" w:hAnsi="Times New Roman"/>
                <w:sz w:val="19"/>
                <w:szCs w:val="19"/>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00" w:hanging="345"/>
        <w:spacing w:after="0"/>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2" w:lineRule="exact"/>
        <w:rPr>
          <w:sz w:val="20"/>
          <w:szCs w:val="20"/>
          <w:color w:val="auto"/>
        </w:rPr>
      </w:pPr>
    </w:p>
    <w:p>
      <w:pPr>
        <w:ind w:left="1700" w:right="319" w:hanging="345"/>
        <w:spacing w:after="0" w:line="250"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shown in the table above include shares held in the selling stockholder’s name or jointly with others, or in the name of a bank, nominee or trustee for the selling stockholder’s account.</w:t>
      </w:r>
    </w:p>
    <w:p>
      <w:pPr>
        <w:spacing w:after="0" w:line="1" w:lineRule="exact"/>
        <w:rPr>
          <w:rFonts w:ascii="Times New Roman" w:cs="Times New Roman" w:eastAsia="Times New Roman" w:hAnsi="Times New Roman"/>
          <w:sz w:val="14"/>
          <w:szCs w:val="14"/>
          <w:color w:val="auto"/>
        </w:rPr>
      </w:pPr>
    </w:p>
    <w:p>
      <w:pPr>
        <w:ind w:left="1700" w:right="419" w:hanging="345"/>
        <w:spacing w:after="0" w:line="261" w:lineRule="auto"/>
        <w:tabs>
          <w:tab w:leader="none" w:pos="17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84,363,406 shares held of record by Bull Holdco L.P., a Delaware limited partnership (“Bull Holdco”) and (ii) 21,053,909 shares held of record by Bull Co-Invest L.P., a Delaware limited partnership (“Bull Co-Invest”).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58" w:lineRule="auto"/>
        <w:rPr>
          <w:sz w:val="20"/>
          <w:szCs w:val="20"/>
          <w:color w:val="auto"/>
        </w:rPr>
      </w:pPr>
      <w:r>
        <w:rPr>
          <w:rFonts w:ascii="Times New Roman" w:cs="Times New Roman" w:eastAsia="Times New Roman" w:hAnsi="Times New Roman"/>
          <w:sz w:val="14"/>
          <w:szCs w:val="14"/>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60" w:lineRule="exact"/>
        <w:rPr>
          <w:sz w:val="20"/>
          <w:szCs w:val="20"/>
          <w:color w:val="auto"/>
        </w:rPr>
      </w:pPr>
    </w:p>
    <w:p>
      <w:pPr>
        <w:ind w:left="1700" w:right="259"/>
        <w:spacing w:after="0" w:line="252" w:lineRule="auto"/>
        <w:rPr>
          <w:sz w:val="20"/>
          <w:szCs w:val="20"/>
          <w:color w:val="auto"/>
        </w:rPr>
      </w:pPr>
      <w:r>
        <w:rPr>
          <w:rFonts w:ascii="Times New Roman" w:cs="Times New Roman" w:eastAsia="Times New Roman" w:hAnsi="Times New Roman"/>
          <w:sz w:val="14"/>
          <w:szCs w:val="14"/>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 w:lineRule="exact"/>
        <w:rPr>
          <w:sz w:val="20"/>
          <w:szCs w:val="20"/>
          <w:color w:val="auto"/>
        </w:rPr>
      </w:pPr>
    </w:p>
    <w:p>
      <w:pPr>
        <w:ind w:left="1700" w:right="299" w:hanging="345"/>
        <w:spacing w:after="0" w:line="250"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5" w:lineRule="exact"/>
        <w:rPr>
          <w:rFonts w:ascii="Times New Roman" w:cs="Times New Roman" w:eastAsia="Times New Roman" w:hAnsi="Times New Roman"/>
          <w:sz w:val="14"/>
          <w:szCs w:val="14"/>
          <w:color w:val="auto"/>
        </w:rPr>
      </w:pPr>
    </w:p>
    <w:p>
      <w:pPr>
        <w:ind w:left="1700" w:right="239" w:hanging="345"/>
        <w:spacing w:after="0" w:line="250"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2" w:lineRule="exact"/>
        <w:rPr>
          <w:rFonts w:ascii="Times New Roman" w:cs="Times New Roman" w:eastAsia="Times New Roman" w:hAnsi="Times New Roman"/>
          <w:sz w:val="14"/>
          <w:szCs w:val="14"/>
          <w:color w:val="auto"/>
        </w:rPr>
      </w:pPr>
    </w:p>
    <w:p>
      <w:pPr>
        <w:ind w:left="1700" w:right="239" w:hanging="345"/>
        <w:spacing w:after="0" w:line="250"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76,773 shares of common stock, of which 8,638 shares are restricted and remain subject to vesting.</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879" w:firstLine="343"/>
        <w:spacing w:after="0" w:line="283" w:lineRule="auto"/>
        <w:rPr>
          <w:sz w:val="20"/>
          <w:szCs w:val="20"/>
          <w:color w:val="auto"/>
        </w:rPr>
      </w:pPr>
      <w:r>
        <w:rPr>
          <w:rFonts w:ascii="Times New Roman" w:cs="Times New Roman" w:eastAsia="Times New Roman" w:hAnsi="Times New Roman"/>
          <w:sz w:val="14"/>
          <w:szCs w:val="14"/>
          <w:color w:val="auto"/>
        </w:rPr>
        <w:t>We and/or the selling stockholders may offer and sell the securities covered by this prospectus from time to time, in one or more or any combination of the following transactions:</w:t>
      </w:r>
    </w:p>
    <w:p>
      <w:pPr>
        <w:spacing w:after="0" w:line="51" w:lineRule="exact"/>
        <w:rPr>
          <w:sz w:val="20"/>
          <w:szCs w:val="20"/>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broker-dealers or agents;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effected after the date the registration statement of which this prospectus is a part is filed with the SEC;</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securities at a stipulated price per security;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 limited number of purchasers or to a single purchaser;</w:t>
      </w:r>
    </w:p>
    <w:p>
      <w:pPr>
        <w:spacing w:after="0" w:line="101" w:lineRule="exact"/>
        <w:rPr>
          <w:rFonts w:ascii="Times New Roman" w:cs="Times New Roman" w:eastAsia="Times New Roman" w:hAnsi="Times New Roman"/>
          <w:sz w:val="14"/>
          <w:szCs w:val="14"/>
          <w:color w:val="auto"/>
        </w:rPr>
      </w:pPr>
    </w:p>
    <w:p>
      <w:pPr>
        <w:ind w:left="2120" w:right="679" w:hanging="345"/>
        <w:spacing w:after="0" w:line="283"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under the Securities Act, to or through a market maker or into an existing trading market, on an exchange or otherwise;</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including in a block trade in which a broker-dealer will attempt to sell the offered securities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broker-dealer as principal and resale by the broker-dealer for its account pursuant to this prospectus;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w:t>
      </w:r>
    </w:p>
    <w:p>
      <w:pPr>
        <w:spacing w:after="0" w:line="175" w:lineRule="exact"/>
        <w:rPr>
          <w:sz w:val="20"/>
          <w:szCs w:val="20"/>
          <w:color w:val="auto"/>
        </w:rPr>
      </w:pPr>
    </w:p>
    <w:p>
      <w:pPr>
        <w:ind w:left="1360" w:right="399" w:firstLine="343"/>
        <w:spacing w:after="0" w:line="256" w:lineRule="auto"/>
        <w:rPr>
          <w:sz w:val="20"/>
          <w:szCs w:val="20"/>
          <w:color w:val="auto"/>
        </w:rPr>
      </w:pPr>
      <w:r>
        <w:rPr>
          <w:rFonts w:ascii="Times New Roman" w:cs="Times New Roman" w:eastAsia="Times New Roman" w:hAnsi="Times New Roman"/>
          <w:sz w:val="14"/>
          <w:szCs w:val="14"/>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51" w:lineRule="exact"/>
        <w:rPr>
          <w:sz w:val="20"/>
          <w:szCs w:val="20"/>
          <w:color w:val="auto"/>
        </w:rPr>
      </w:pPr>
    </w:p>
    <w:p>
      <w:pPr>
        <w:ind w:left="2120" w:right="5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brokers or agents and the amounts of securities underwritten or purchased by each of them; and</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25"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43"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36"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41"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43"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jc w:val="both"/>
        <w:ind w:left="1360" w:right="539" w:firstLine="343"/>
        <w:spacing w:after="0" w:line="258"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70" w:lineRule="exact"/>
        <w:rPr>
          <w:sz w:val="20"/>
          <w:szCs w:val="20"/>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8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2023, filed with the SEC on February 27, 2024;</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84">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w:t>
      </w:r>
      <w:hyperlink r:id="rId85">
        <w:r>
          <w:rPr>
            <w:rFonts w:ascii="Times New Roman" w:cs="Times New Roman" w:eastAsia="Times New Roman" w:hAnsi="Times New Roman"/>
            <w:sz w:val="14"/>
            <w:szCs w:val="14"/>
            <w:u w:val="single" w:color="auto"/>
            <w:color w:val="0000EE"/>
          </w:rPr>
          <w:t>April 13,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to the extent specifically incorporated by reference into our Annual Report on </w:t>
      </w:r>
      <w:hyperlink r:id="rId8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2022); and</w:t>
      </w:r>
    </w:p>
    <w:p>
      <w:pPr>
        <w:spacing w:after="0" w:line="51"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36" w:lineRule="exact"/>
        <w:rPr>
          <w:rFonts w:ascii="Times New Roman" w:cs="Times New Roman" w:eastAsia="Times New Roman" w:hAnsi="Times New Roman"/>
          <w:sz w:val="14"/>
          <w:szCs w:val="14"/>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36" w:lineRule="exact"/>
        <w:rPr>
          <w:rFonts w:ascii="Times New Roman" w:cs="Times New Roman" w:eastAsia="Times New Roman" w:hAnsi="Times New Roman"/>
          <w:sz w:val="14"/>
          <w:szCs w:val="14"/>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36" w:lineRule="exact"/>
        <w:rPr>
          <w:rFonts w:ascii="Times New Roman" w:cs="Times New Roman" w:eastAsia="Times New Roman" w:hAnsi="Times New Roman"/>
          <w:sz w:val="14"/>
          <w:szCs w:val="14"/>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Exhibits to any documents incorporated by reference in this prospectus will not be sent, however, unless those exhibits have been specifically referenced in this prospectus.</w:t>
      </w:r>
    </w:p>
    <w:p>
      <w:pPr>
        <w:spacing w:after="0" w:line="7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819" w:firstLine="343"/>
        <w:spacing w:after="0" w:line="261" w:lineRule="auto"/>
        <w:rPr>
          <w:sz w:val="20"/>
          <w:szCs w:val="20"/>
          <w:color w:val="auto"/>
        </w:rPr>
      </w:pPr>
      <w:r>
        <w:rPr>
          <w:rFonts w:ascii="Times New Roman" w:cs="Times New Roman" w:eastAsia="Times New Roman" w:hAnsi="Times New Roman"/>
          <w:sz w:val="14"/>
          <w:szCs w:val="14"/>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188595</wp:posOffset>
            </wp:positionV>
            <wp:extent cx="54470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228600</wp:posOffset>
            </wp:positionV>
            <wp:extent cx="54470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31,838,253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759460</wp:posOffset>
            </wp:positionV>
            <wp:extent cx="901065" cy="307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901065"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435610</wp:posOffset>
            </wp:positionV>
            <wp:extent cx="11417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191770</wp:posOffset>
            </wp:positionV>
            <wp:extent cx="11417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May 11, 2026</w:t>
      </w:r>
    </w:p>
    <w:p>
      <w:pPr>
        <w:spacing w:after="0" w:line="200" w:lineRule="exact"/>
        <w:rPr>
          <w:sz w:val="20"/>
          <w:szCs w:val="20"/>
          <w:color w:val="auto"/>
        </w:rPr>
      </w:pPr>
    </w:p>
    <w:p>
      <w:pPr>
        <w:spacing w:after="0" w:line="327"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0"/>
          <w:szCs w:val="20"/>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335280</wp:posOffset>
            </wp:positionV>
            <wp:extent cx="54470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388620</wp:posOffset>
            </wp:positionV>
            <wp:extent cx="54470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59" w:name="page60"/>
    <w:bookmarkEnd w:id="5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Sotera Health Co</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31,838,253</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$ 15.27</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$ 67,140.10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486,170,123.31</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$ 67,140.10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486,170,123.31</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$ 67,140.10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jc w:val="both"/>
        <w:ind w:left="220" w:right="120" w:hanging="184"/>
        <w:spacing w:after="0" w:line="227" w:lineRule="auto"/>
        <w:tabs>
          <w:tab w:leader="none" w:pos="220" w:val="left"/>
        </w:tabs>
        <w:numPr>
          <w:ilvl w:val="0"/>
          <w:numId w:val="35"/>
        </w:numPr>
        <w:rPr>
          <w:rFonts w:ascii="Arial" w:cs="Arial" w:eastAsia="Arial" w:hAnsi="Arial"/>
          <w:sz w:val="21"/>
          <w:szCs w:val="21"/>
          <w:color w:val="auto"/>
          <w:vertAlign w:val="superscript"/>
        </w:rPr>
      </w:pPr>
      <w:r>
        <w:rPr>
          <w:rFonts w:ascii="Arial" w:cs="Arial" w:eastAsia="Arial" w:hAnsi="Arial"/>
          <w:sz w:val="17"/>
          <w:szCs w:val="17"/>
          <w:color w:val="auto"/>
        </w:rPr>
        <w:t>Calculated in accordance with Rule 457(r) under the Securities Act of 1933, as amended (the "Securities Act"). Payment of the registration fee at the time of filing of the registrant's Registration Statement on Form S-3 was deferred pursuant to Rules 456(b) and 456(r) under the Securities Act and is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$486,170,123.31.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55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6"/>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3"/>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3"/>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e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jpe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55" Type="http://schemas.openxmlformats.org/officeDocument/2006/relationships/hyperlink" Target="http://www.sec.gov/ix?doc=/Archives/edgar/data/1822479/000182247926000015/shc-20251231.htm" TargetMode="External"/><Relationship Id="rId56" Type="http://schemas.openxmlformats.org/officeDocument/2006/relationships/hyperlink" Target="http://www.sec.gov/ix?doc=/Archives/edgar/data/1822479/000182247926000031/shc-20260331.htm" TargetMode="External"/><Relationship Id="rId57" Type="http://schemas.openxmlformats.org/officeDocument/2006/relationships/hyperlink" Target="http://www.sec.gov/ix?doc=/Archives/edgar/data/1822479/000182247926000028/shc-20260430.htm" TargetMode="External"/><Relationship Id="rId58" Type="http://schemas.openxmlformats.org/officeDocument/2006/relationships/hyperlink" Target="http://www.sec.gov/ix?doc=/Archives/edgar/data/1822479/000110465926040937/tm261581-1_def14a.htm" TargetMode="External"/><Relationship Id="rId59" Type="http://schemas.openxmlformats.org/officeDocument/2006/relationships/hyperlink" Target="http://www.sec.gov/Archives/edgar/data/1822479/000110465926055639/tm2613596d1_defa14a.htm" TargetMode="External"/><Relationship Id="rId83" Type="http://schemas.openxmlformats.org/officeDocument/2006/relationships/hyperlink" Target="http://www.sec.gov/Archives/edgar/data/1822479/000182247924000011/shc-20231231.htm" TargetMode="External"/><Relationship Id="rId84" Type="http://schemas.openxmlformats.org/officeDocument/2006/relationships/hyperlink" Target="http://www.sec.gov/ix?doc=/Archives/edgar/data/1822479/000119312523099939/d425483ddef14a.htm" TargetMode="External"/><Relationship Id="rId85" Type="http://schemas.openxmlformats.org/officeDocument/2006/relationships/hyperlink" Target="http://www.sec.gov/Archives/edgar/data/1822479/000119312523099939/d425483ddef14a.htm" TargetMode="External"/><Relationship Id="rId86" Type="http://schemas.openxmlformats.org/officeDocument/2006/relationships/hyperlink" Target="http://www.sec.gov/ix?doc=/Archives/edgar/data/1822479/000182247923000015/shc-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2026-05-12T16:10:57Z</dcterms:created>
  <dcterms:modified xsi:type="dcterms:W3CDTF">2026-05-12T16:10:57Z</dcterms:modified>
</cp:coreProperties>
</file>