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18, 2026</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 stock, $0.01 par value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24, 2026, Sotera Health Company (the “Company”) issued a press release (the “Press Release”) announcing its financial results for the quarter and year ended December 31, 2025. The Company will hold its previously announced conference call on February 24, 2026, at 9:00 a.m. Eastern Time to discuss its financial results and full-year 2026 outlook. A copy of the Press Release is attached to this Current Report on Form 8-K as Exhibit 99.1 and is incorporated herein by reference.</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23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18"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On February 18, 2026, Alex Dimitrief, Senior Vice President and General Counsel of the Company, provided notice to the Company that he will retire on March 31, 2026. Beginning on April 1, 2026, Mr. Dimitrief is expected to be retained by the Company as an advisor to assist the Company with ethylene oxide litigation matters. Erika Ostrowski, who has served as the Company’s Vice President, Deputy General Counsel and Corporate Secretary for the last two years under Mr. Dimitrief’s leadership, will be promoted to Senior Vice President and General Counsel effective April 1, 2026.</w:t>
      </w:r>
    </w:p>
    <w:p>
      <w:pPr>
        <w:spacing w:after="0" w:line="13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Mr. Dimitrief is expected to enter into an advisory agreement with the Company to memorialize the terms of his advisor service to the Company (the “Advisory Agreement”). Under the Advisory Agreement, it is expected that Mr. Dimitrief will provide advisory services for a term of up to 12 months, and will receive advisory fees equal to $22,500 per month, plus reasonable expense reimbursement.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7"/>
        </w:trPr>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7000" w:type="dxa"/>
            <w:vAlign w:val="bottom"/>
            <w:tcBorders>
              <w:bottom w:val="single" w:sz="8" w:color="auto"/>
            </w:tcBorders>
          </w:tcPr>
          <w:p>
            <w:pPr>
              <w:spacing w:after="0"/>
              <w:rPr>
                <w:sz w:val="3"/>
                <w:szCs w:val="3"/>
                <w:color w:val="auto"/>
              </w:rPr>
            </w:pPr>
          </w:p>
        </w:tc>
      </w:tr>
      <w:tr>
        <w:trPr>
          <w:trHeight w:val="196"/>
        </w:trPr>
        <w:tc>
          <w:tcPr>
            <w:tcW w:w="13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Press Release, dated February 24, 2026</w:t>
            </w:r>
          </w:p>
        </w:tc>
        <w:tc>
          <w:tcPr>
            <w:tcW w:w="7000" w:type="dxa"/>
            <w:vAlign w:val="bottom"/>
          </w:tcPr>
          <w:p>
            <w:pPr>
              <w:spacing w:after="0"/>
              <w:rPr>
                <w:sz w:val="17"/>
                <w:szCs w:val="17"/>
                <w:color w:val="auto"/>
              </w:rPr>
            </w:pPr>
          </w:p>
        </w:tc>
      </w:tr>
      <w:tr>
        <w:trPr>
          <w:trHeight w:val="29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47"/>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0720"/>
          </w:cols>
          <w:pgMar w:left="320" w:top="1008" w:right="85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1499870"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987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520"/>
        <w:spacing w:after="0"/>
        <w:rPr>
          <w:sz w:val="20"/>
          <w:szCs w:val="20"/>
          <w:color w:val="auto"/>
        </w:rPr>
      </w:pPr>
      <w:r>
        <w:rPr>
          <w:rFonts w:ascii="Arial" w:cs="Arial" w:eastAsia="Arial" w:hAnsi="Arial"/>
          <w:sz w:val="29"/>
          <w:szCs w:val="29"/>
          <w:b w:val="1"/>
          <w:bCs w:val="1"/>
          <w:color w:val="auto"/>
        </w:rPr>
        <w:t>Sotera Health Delivers 20th Consecutive Year</w:t>
      </w:r>
    </w:p>
    <w:p>
      <w:pPr>
        <w:spacing w:after="0" w:line="48" w:lineRule="exact"/>
        <w:rPr>
          <w:sz w:val="20"/>
          <w:szCs w:val="20"/>
          <w:color w:val="auto"/>
        </w:rPr>
      </w:pPr>
    </w:p>
    <w:p>
      <w:pPr>
        <w:ind w:left="2420"/>
        <w:spacing w:after="0"/>
        <w:rPr>
          <w:sz w:val="20"/>
          <w:szCs w:val="20"/>
          <w:color w:val="auto"/>
        </w:rPr>
      </w:pPr>
      <w:r>
        <w:rPr>
          <w:rFonts w:ascii="Arial" w:cs="Arial" w:eastAsia="Arial" w:hAnsi="Arial"/>
          <w:sz w:val="29"/>
          <w:szCs w:val="29"/>
          <w:b w:val="1"/>
          <w:bCs w:val="1"/>
          <w:color w:val="auto"/>
        </w:rPr>
        <w:t>of Revenue Growth and Provides 2026 Outlook</w:t>
      </w:r>
    </w:p>
    <w:p>
      <w:pPr>
        <w:spacing w:after="0" w:line="225" w:lineRule="exact"/>
        <w:rPr>
          <w:sz w:val="20"/>
          <w:szCs w:val="20"/>
          <w:color w:val="auto"/>
        </w:rPr>
      </w:pPr>
    </w:p>
    <w:p>
      <w:pPr>
        <w:ind w:left="660" w:right="120" w:hanging="328"/>
        <w:spacing w:after="0" w:line="275"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2025 net revenues increased 5.7% to $1.164 billion, compared to 2024, or 5.2% on a constant currency basis</w:t>
      </w:r>
    </w:p>
    <w:p>
      <w:pPr>
        <w:ind w:left="660" w:right="400" w:hanging="328"/>
        <w:spacing w:after="0" w:line="281"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2025 net income increased to $78 million or $0.27 per diluted share, compared to net income of $44 million, or $0.16 per diluted share, in 2024</w:t>
      </w:r>
    </w:p>
    <w:p>
      <w:pPr>
        <w:spacing w:after="0" w:line="1" w:lineRule="exact"/>
        <w:rPr>
          <w:rFonts w:ascii="Arial" w:cs="Arial" w:eastAsia="Arial" w:hAnsi="Arial"/>
          <w:sz w:val="22"/>
          <w:szCs w:val="22"/>
          <w:b w:val="1"/>
          <w:bCs w:val="1"/>
          <w:i w:val="1"/>
          <w:iCs w:val="1"/>
          <w:color w:val="auto"/>
        </w:rPr>
      </w:pPr>
    </w:p>
    <w:p>
      <w:pPr>
        <w:ind w:left="660" w:right="620" w:hanging="328"/>
        <w:spacing w:after="0" w:line="281"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2025 Adjusted EBITDA</w:t>
      </w:r>
      <w:r>
        <w:rPr>
          <w:rFonts w:ascii="Arial" w:cs="Arial" w:eastAsia="Arial" w:hAnsi="Arial"/>
          <w:sz w:val="11"/>
          <w:szCs w:val="11"/>
          <w:b w:val="1"/>
          <w:bCs w:val="1"/>
          <w:i w:val="1"/>
          <w:iCs w:val="1"/>
          <w:color w:val="auto"/>
        </w:rPr>
        <w:t>(1)</w:t>
      </w:r>
      <w:r>
        <w:rPr>
          <w:rFonts w:ascii="Arial" w:cs="Arial" w:eastAsia="Arial" w:hAnsi="Arial"/>
          <w:sz w:val="22"/>
          <w:szCs w:val="22"/>
          <w:b w:val="1"/>
          <w:bCs w:val="1"/>
          <w:i w:val="1"/>
          <w:iCs w:val="1"/>
          <w:color w:val="auto"/>
        </w:rPr>
        <w:t xml:space="preserve"> increased 8.2% to $594 million, compared to 2024, or 7.8% on a constant currency basis</w:t>
      </w:r>
    </w:p>
    <w:p>
      <w:pPr>
        <w:spacing w:after="0" w:line="1" w:lineRule="exact"/>
        <w:rPr>
          <w:rFonts w:ascii="Arial" w:cs="Arial" w:eastAsia="Arial" w:hAnsi="Arial"/>
          <w:sz w:val="22"/>
          <w:szCs w:val="22"/>
          <w:b w:val="1"/>
          <w:bCs w:val="1"/>
          <w:i w:val="1"/>
          <w:iCs w:val="1"/>
          <w:color w:val="auto"/>
        </w:rPr>
      </w:pPr>
    </w:p>
    <w:p>
      <w:pPr>
        <w:ind w:left="620" w:hanging="288"/>
        <w:spacing w:after="0"/>
        <w:tabs>
          <w:tab w:leader="none" w:pos="620"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2025 Adjusted EPS</w:t>
      </w:r>
      <w:r>
        <w:rPr>
          <w:rFonts w:ascii="Arial" w:cs="Arial" w:eastAsia="Arial" w:hAnsi="Arial"/>
          <w:sz w:val="11"/>
          <w:szCs w:val="11"/>
          <w:b w:val="1"/>
          <w:bCs w:val="1"/>
          <w:i w:val="1"/>
          <w:iCs w:val="1"/>
          <w:color w:val="auto"/>
        </w:rPr>
        <w:t>(1)</w:t>
      </w:r>
      <w:r>
        <w:rPr>
          <w:rFonts w:ascii="Arial" w:cs="Arial" w:eastAsia="Arial" w:hAnsi="Arial"/>
          <w:sz w:val="22"/>
          <w:szCs w:val="22"/>
          <w:b w:val="1"/>
          <w:bCs w:val="1"/>
          <w:i w:val="1"/>
          <w:iCs w:val="1"/>
          <w:color w:val="auto"/>
        </w:rPr>
        <w:t xml:space="preserve"> of $0.86, an increase of $0.16 per diluted share, compared to 2024</w:t>
      </w:r>
    </w:p>
    <w:p>
      <w:pPr>
        <w:spacing w:after="0" w:line="71" w:lineRule="exact"/>
        <w:rPr>
          <w:rFonts w:ascii="Arial" w:cs="Arial" w:eastAsia="Arial" w:hAnsi="Arial"/>
          <w:sz w:val="22"/>
          <w:szCs w:val="22"/>
          <w:b w:val="1"/>
          <w:bCs w:val="1"/>
          <w:i w:val="1"/>
          <w:iCs w:val="1"/>
          <w:color w:val="auto"/>
        </w:rPr>
      </w:pPr>
    </w:p>
    <w:p>
      <w:pPr>
        <w:ind w:left="660" w:right="260" w:hanging="328"/>
        <w:spacing w:after="0" w:line="283" w:lineRule="auto"/>
        <w:tabs>
          <w:tab w:leader="none" w:pos="628" w:val="left"/>
        </w:tabs>
        <w:numPr>
          <w:ilvl w:val="0"/>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Full-year 2026 outlook: net revenues growth of 5.0% to 6.5% and Adjusted EBITDA growth of 5.5% to 7.0%, on a constant currency basis</w:t>
      </w:r>
    </w:p>
    <w:p>
      <w:pPr>
        <w:spacing w:after="0" w:line="135" w:lineRule="exact"/>
        <w:rPr>
          <w:sz w:val="20"/>
          <w:szCs w:val="20"/>
          <w:color w:val="auto"/>
        </w:rPr>
      </w:pPr>
    </w:p>
    <w:p>
      <w:pPr>
        <w:jc w:val="both"/>
        <w:ind w:right="40"/>
        <w:spacing w:after="0" w:line="263" w:lineRule="auto"/>
        <w:rPr>
          <w:sz w:val="20"/>
          <w:szCs w:val="20"/>
          <w:color w:val="auto"/>
        </w:rPr>
      </w:pPr>
      <w:r>
        <w:rPr>
          <w:rFonts w:ascii="Arial" w:cs="Arial" w:eastAsia="Arial" w:hAnsi="Arial"/>
          <w:sz w:val="20"/>
          <w:szCs w:val="20"/>
          <w:b w:val="1"/>
          <w:bCs w:val="1"/>
          <w:color w:val="auto"/>
        </w:rPr>
        <w:t xml:space="preserve">CLEVELAND, OH, February 24, 2026 </w:t>
      </w:r>
      <w:r>
        <w:rPr>
          <w:rFonts w:ascii="Arial" w:cs="Arial" w:eastAsia="Arial" w:hAnsi="Arial"/>
          <w:sz w:val="20"/>
          <w:szCs w:val="20"/>
          <w:color w:val="auto"/>
        </w:rPr>
        <w:t>– Sotera Health Company (“Sotera Health” or the “Company”) (Nasdaq: SHC), a leading</w:t>
      </w:r>
      <w:r>
        <w:rPr>
          <w:rFonts w:ascii="Arial" w:cs="Arial" w:eastAsia="Arial" w:hAnsi="Arial"/>
          <w:sz w:val="20"/>
          <w:szCs w:val="20"/>
          <w:b w:val="1"/>
          <w:bCs w:val="1"/>
          <w:color w:val="auto"/>
        </w:rPr>
        <w:t xml:space="preserve"> </w:t>
      </w:r>
      <w:r>
        <w:rPr>
          <w:rFonts w:ascii="Arial" w:cs="Arial" w:eastAsia="Arial" w:hAnsi="Arial"/>
          <w:sz w:val="20"/>
          <w:szCs w:val="20"/>
          <w:color w:val="auto"/>
        </w:rPr>
        <w:t>global provider of mission-critical end-to-end sterilization solutions, lab testing and advisory services for the healthcare industry, today announced financial results for the fourth-quarter and full-year 2025 and its initial 2026 outlook.</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Fourth-quarter 2025 net revenues increased 4.6% to $303 million, compared to $290 million in the fourth-quarter 2024. Net revenues increased 2.5% on a constant currency basis. Net income attributable to the Company (“net income”) was $35 million, or $0.12 per diluted share, compared to net income of $12 million, or $0.04 per diluted share for the fourth-quarter 2024. Adjusted EBITDA increased by 2.7%, to $157 million, or 0.5% on a constant currency basis, compared to the fourth-quarter 2024. Fourth-quarter 2025 adjusted earnings per diluted share (“Adjusted EPS”) was $0.26, an increase of $0.05 per diluted share, compared to the fourth quarter of 2024.</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Full-year 2025 net revenues increased 5.7% to $1.164 billion, compared to $1.100 billion for 2024. Net revenues increased</w:t>
      </w:r>
    </w:p>
    <w:p>
      <w:pPr>
        <w:spacing w:after="0" w:line="18"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5.2% on a constant currency basis. Net income was $78 million, or $0.27 per diluted share, compared to net income of $44 million, or $0.16 per diluted share, for 2024. Adjusted EBITDA increased 8.2% to $594 million, or 7.8% on a constant currency basis, compared to 2024. Adjusted EPS was $0.86 in 2025, an increase of $0.16 per diluted share from 2024.</w:t>
      </w:r>
    </w:p>
    <w:p>
      <w:pPr>
        <w:spacing w:after="0" w:line="120" w:lineRule="exact"/>
        <w:rPr>
          <w:sz w:val="20"/>
          <w:szCs w:val="20"/>
          <w:color w:val="auto"/>
        </w:rPr>
      </w:pPr>
    </w:p>
    <w:p>
      <w:pPr>
        <w:ind w:right="240"/>
        <w:spacing w:after="0" w:line="250" w:lineRule="exact"/>
        <w:rPr>
          <w:sz w:val="20"/>
          <w:szCs w:val="20"/>
          <w:color w:val="auto"/>
        </w:rPr>
      </w:pPr>
      <w:r>
        <w:rPr>
          <w:rFonts w:ascii="Arial" w:cs="Arial" w:eastAsia="Arial" w:hAnsi="Arial"/>
          <w:sz w:val="20"/>
          <w:szCs w:val="20"/>
          <w:color w:val="auto"/>
        </w:rPr>
        <w:t>“The Company delivered strong results in 2025, driven by solid execution, increased demand for our mission</w:t>
      </w:r>
      <w:r>
        <w:rPr>
          <w:rFonts w:ascii="MS PGothic" w:cs="MS PGothic" w:eastAsia="MS PGothic" w:hAnsi="MS PGothic"/>
          <w:sz w:val="20"/>
          <w:szCs w:val="20"/>
          <w:color w:val="auto"/>
        </w:rPr>
        <w:t>‑</w:t>
      </w:r>
      <w:r>
        <w:rPr>
          <w:rFonts w:ascii="Arial" w:cs="Arial" w:eastAsia="Arial" w:hAnsi="Arial"/>
          <w:sz w:val="20"/>
          <w:szCs w:val="20"/>
          <w:color w:val="auto"/>
        </w:rPr>
        <w:t>critical services, and disciplined financial management,” said Michael B. Petras, Jr., Chairman and Chief Executive Officer. “Sterigenics and Nordion delivered strong performance, each achieving high-single digit revenue growth for the year. Nelson Labs delivered growth in core lab testing, while disciplined operational execution drove meaningful margin improvement. This marks two decades of year-over-year revenue growth for the Company, which underscores the strength and resiliency of our business model.”</w:t>
      </w:r>
    </w:p>
    <w:p>
      <w:pPr>
        <w:spacing w:after="0" w:line="199" w:lineRule="exact"/>
        <w:rPr>
          <w:sz w:val="20"/>
          <w:szCs w:val="20"/>
          <w:color w:val="auto"/>
        </w:rPr>
      </w:pPr>
    </w:p>
    <w:p>
      <w:pPr>
        <w:spacing w:after="0" w:line="245" w:lineRule="exact"/>
        <w:rPr>
          <w:sz w:val="20"/>
          <w:szCs w:val="20"/>
          <w:color w:val="auto"/>
        </w:rPr>
      </w:pPr>
      <w:r>
        <w:rPr>
          <w:rFonts w:ascii="Arial" w:cs="Arial" w:eastAsia="Arial" w:hAnsi="Arial"/>
          <w:sz w:val="20"/>
          <w:szCs w:val="20"/>
          <w:color w:val="auto"/>
        </w:rPr>
        <w:t>Petras continued, “As we enter 2026, we are encouraged by our momentum and strengthened balance sheet, and we are confident in our ability to drive long</w:t>
      </w:r>
      <w:r>
        <w:rPr>
          <w:rFonts w:ascii="MS PGothic" w:cs="MS PGothic" w:eastAsia="MS PGothic" w:hAnsi="MS PGothic"/>
          <w:sz w:val="20"/>
          <w:szCs w:val="20"/>
          <w:color w:val="auto"/>
        </w:rPr>
        <w:t>‑</w:t>
      </w:r>
      <w:r>
        <w:rPr>
          <w:rFonts w:ascii="Arial" w:cs="Arial" w:eastAsia="Arial" w:hAnsi="Arial"/>
          <w:sz w:val="20"/>
          <w:szCs w:val="20"/>
          <w:color w:val="auto"/>
        </w:rPr>
        <w:t>term growth, strong free cash flow, and shareholder value as we remain on track to meet the financial goals presented at our November 2024 investor day.”</w:t>
      </w:r>
    </w:p>
    <w:p>
      <w:pPr>
        <w:spacing w:after="0" w:line="200" w:lineRule="exact"/>
        <w:rPr>
          <w:sz w:val="20"/>
          <w:szCs w:val="20"/>
          <w:color w:val="auto"/>
        </w:rPr>
      </w:pPr>
    </w:p>
    <w:p>
      <w:pPr>
        <w:spacing w:after="0" w:line="227" w:lineRule="exact"/>
        <w:rPr>
          <w:sz w:val="20"/>
          <w:szCs w:val="20"/>
          <w:color w:val="auto"/>
        </w:rPr>
      </w:pPr>
    </w:p>
    <w:p>
      <w:pPr>
        <w:ind w:right="280" w:firstLine="8"/>
        <w:spacing w:after="0" w:line="231" w:lineRule="auto"/>
        <w:tabs>
          <w:tab w:leader="none" w:pos="154" w:val="left"/>
        </w:tabs>
        <w:numPr>
          <w:ilvl w:val="0"/>
          <w:numId w:val="3"/>
        </w:numPr>
        <w:rPr>
          <w:rFonts w:ascii="Arial" w:cs="Arial" w:eastAsia="Arial" w:hAnsi="Arial"/>
          <w:sz w:val="17"/>
          <w:szCs w:val="17"/>
          <w:color w:val="auto"/>
          <w:vertAlign w:val="superscript"/>
        </w:rPr>
      </w:pPr>
      <w:r>
        <w:rPr>
          <w:rFonts w:ascii="Arial" w:cs="Arial" w:eastAsia="Arial" w:hAnsi="Arial"/>
          <w:sz w:val="13"/>
          <w:szCs w:val="13"/>
          <w:color w:val="auto"/>
        </w:rPr>
        <w:t>This is a non-GAAP financial measure used throughout this press release; please refer to the section “Non-GAAP Financial Measures” for explanations of our Non-GAAP financial measures and the schedules provided later in this release for reconciliations of reported GAAP to Non-GAAP financial measures.</w:t>
      </w: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158" w:right="37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Management Transition</w:t>
      </w:r>
    </w:p>
    <w:p>
      <w:pPr>
        <w:spacing w:after="0" w:line="96" w:lineRule="exact"/>
        <w:rPr>
          <w:sz w:val="20"/>
          <w:szCs w:val="20"/>
          <w:color w:val="auto"/>
        </w:rPr>
      </w:pPr>
    </w:p>
    <w:p>
      <w:pPr>
        <w:ind w:right="380"/>
        <w:spacing w:after="0" w:line="259" w:lineRule="auto"/>
        <w:rPr>
          <w:sz w:val="20"/>
          <w:szCs w:val="20"/>
          <w:color w:val="auto"/>
        </w:rPr>
      </w:pPr>
      <w:r>
        <w:rPr>
          <w:rFonts w:ascii="Arial" w:cs="Arial" w:eastAsia="Arial" w:hAnsi="Arial"/>
          <w:sz w:val="20"/>
          <w:szCs w:val="20"/>
          <w:color w:val="auto"/>
        </w:rPr>
        <w:t>Effective April 1, 2026, Alex Dimitrief, Senior Vice President and General Counsel, will transition to an outside advisor to the Company. Erika Ostrowski, who has served as Sotera Health’s Vice President, Deputy General Counsel and Corporate Secretary for the last two years under Alex’s leadership, will be promoted to Senior Vice President and General Counsel, effective April 1, 2026.</w:t>
      </w:r>
    </w:p>
    <w:p>
      <w:pPr>
        <w:spacing w:after="0" w:line="47"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“I would like to thank Alex for his leadership and service the past three years. We are grateful that he will continue to support the Company in an advisory role,” said Mr. Petras. “We are excited to announce Erika’s promotion to General Counsel after demonstrating strong leadership, sound judgment and a deep understanding of our business. Erika is well positioned for continued success in her new role.”</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Fourth-Quarter and Full-Year 2025 Review by Business Segment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Sterigenics</w:t>
      </w:r>
    </w:p>
    <w:p>
      <w:pPr>
        <w:spacing w:after="0" w:line="96" w:lineRule="exact"/>
        <w:rPr>
          <w:sz w:val="20"/>
          <w:szCs w:val="20"/>
          <w:color w:val="auto"/>
        </w:rPr>
      </w:pPr>
    </w:p>
    <w:p>
      <w:pPr>
        <w:ind w:right="320"/>
        <w:spacing w:after="0" w:line="311" w:lineRule="auto"/>
        <w:rPr>
          <w:sz w:val="20"/>
          <w:szCs w:val="20"/>
          <w:color w:val="auto"/>
        </w:rPr>
      </w:pPr>
      <w:r>
        <w:rPr>
          <w:rFonts w:ascii="Arial" w:cs="Arial" w:eastAsia="Arial" w:hAnsi="Arial"/>
          <w:sz w:val="19"/>
          <w:szCs w:val="19"/>
          <w:color w:val="auto"/>
        </w:rPr>
        <w:t>Sterigenics delivered strong fourth-quarter 2025 results, with net revenues up 10.6% to $198 million, or 8.0% on a constant currency basis, compared to the fourth-quarter of 2024. Segment income was $110 million, a double-digit increase of 10.4%.</w:t>
      </w:r>
    </w:p>
    <w:p>
      <w:pPr>
        <w:spacing w:after="0" w:line="1" w:lineRule="exact"/>
        <w:rPr>
          <w:sz w:val="20"/>
          <w:szCs w:val="20"/>
          <w:color w:val="auto"/>
        </w:rPr>
      </w:pPr>
    </w:p>
    <w:p>
      <w:pPr>
        <w:ind w:right="380"/>
        <w:spacing w:after="0" w:line="286" w:lineRule="auto"/>
        <w:rPr>
          <w:sz w:val="20"/>
          <w:szCs w:val="20"/>
          <w:color w:val="auto"/>
        </w:rPr>
      </w:pPr>
      <w:r>
        <w:rPr>
          <w:rFonts w:ascii="Arial" w:cs="Arial" w:eastAsia="Arial" w:hAnsi="Arial"/>
          <w:sz w:val="20"/>
          <w:szCs w:val="20"/>
          <w:color w:val="auto"/>
        </w:rPr>
        <w:t>The growth in fourth quarter net revenues and segment income was driven by favorable pricing, volume/mix and changes in foreign currency exchange rates, with segment income growth partially offset by inflation.</w:t>
      </w:r>
    </w:p>
    <w:p>
      <w:pPr>
        <w:spacing w:after="0" w:line="19" w:lineRule="exact"/>
        <w:rPr>
          <w:sz w:val="20"/>
          <w:szCs w:val="20"/>
          <w:color w:val="auto"/>
        </w:rPr>
      </w:pPr>
    </w:p>
    <w:p>
      <w:pPr>
        <w:ind w:right="520"/>
        <w:spacing w:after="0" w:line="298" w:lineRule="auto"/>
        <w:rPr>
          <w:sz w:val="20"/>
          <w:szCs w:val="20"/>
          <w:color w:val="auto"/>
        </w:rPr>
      </w:pPr>
      <w:r>
        <w:rPr>
          <w:rFonts w:ascii="Arial" w:cs="Arial" w:eastAsia="Arial" w:hAnsi="Arial"/>
          <w:sz w:val="19"/>
          <w:szCs w:val="19"/>
          <w:color w:val="auto"/>
        </w:rPr>
        <w:t>Sterigenics delivered strong full-year 2025 performance, with net revenues up 8.3% to $756 million, or 7.7% on a constant currency basis, compared to 2024. Segment income grew 9.2% to $413 million, reflecting strong operating performance.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Nordion</w:t>
      </w:r>
    </w:p>
    <w:p>
      <w:pPr>
        <w:spacing w:after="0" w:line="96"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color w:val="auto"/>
        </w:rPr>
        <w:t>Nordion fourth-quarter 2025 net revenues were $50 million, an expected decrease of 12.3%, or 12.6% on a constant currency basis, due to the timing of cobalt-60 harvest schedules, compared to the fourth quarter 2024. Segment income decreased 18.9% to $29 million.</w:t>
      </w:r>
    </w:p>
    <w:p>
      <w:pPr>
        <w:spacing w:after="0" w:line="57" w:lineRule="exact"/>
        <w:rPr>
          <w:sz w:val="20"/>
          <w:szCs w:val="20"/>
          <w:color w:val="auto"/>
        </w:rPr>
      </w:pPr>
    </w:p>
    <w:p>
      <w:pPr>
        <w:ind w:right="460"/>
        <w:spacing w:after="0" w:line="262" w:lineRule="auto"/>
        <w:rPr>
          <w:sz w:val="20"/>
          <w:szCs w:val="20"/>
          <w:color w:val="auto"/>
        </w:rPr>
      </w:pPr>
      <w:r>
        <w:rPr>
          <w:rFonts w:ascii="Arial" w:cs="Arial" w:eastAsia="Arial" w:hAnsi="Arial"/>
          <w:sz w:val="20"/>
          <w:szCs w:val="20"/>
          <w:color w:val="auto"/>
        </w:rPr>
        <w:t>The change in fourth quarter net revenues and segment income was primarily driven by unfavorable volume/mix due to the timing of cobalt-60 harvest schedules, partially offset by favorable pricing. Segment income margin was also impacted by unfavorable product mix.</w:t>
      </w:r>
    </w:p>
    <w:p>
      <w:pPr>
        <w:spacing w:after="0" w:line="43"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Nordion delivered strong full-year 2025 performance, with net revenues up 8.2% to $188 million, or 9.1% on a constant currency basis, compared to 2024. Segment income increased by 6.3% to $108 million.</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Nelson Labs</w:t>
      </w:r>
    </w:p>
    <w:p>
      <w:pPr>
        <w:spacing w:after="0" w:line="110" w:lineRule="exact"/>
        <w:rPr>
          <w:sz w:val="20"/>
          <w:szCs w:val="20"/>
          <w:color w:val="auto"/>
        </w:rPr>
      </w:pPr>
    </w:p>
    <w:p>
      <w:pPr>
        <w:ind w:right="60"/>
        <w:spacing w:after="0" w:line="271" w:lineRule="auto"/>
        <w:rPr>
          <w:sz w:val="20"/>
          <w:szCs w:val="20"/>
          <w:color w:val="auto"/>
        </w:rPr>
      </w:pPr>
      <w:r>
        <w:rPr>
          <w:rFonts w:ascii="Arial" w:cs="Arial" w:eastAsia="Arial" w:hAnsi="Arial"/>
          <w:sz w:val="20"/>
          <w:szCs w:val="20"/>
          <w:color w:val="auto"/>
        </w:rPr>
        <w:t>Nelson Labs fourth-quarter 2025 net revenues increased 2.3% to $55 million, or a 0.2% decrease on a constant currency basis, compared to the fourth-quarter 2024. Segment income increased 1.9% to $18 million.</w:t>
      </w:r>
    </w:p>
    <w:p>
      <w:pPr>
        <w:spacing w:after="0" w:line="34" w:lineRule="exact"/>
        <w:rPr>
          <w:sz w:val="20"/>
          <w:szCs w:val="20"/>
          <w:color w:val="auto"/>
        </w:rPr>
      </w:pPr>
    </w:p>
    <w:p>
      <w:pPr>
        <w:jc w:val="both"/>
        <w:ind w:right="520"/>
        <w:spacing w:after="0" w:line="269" w:lineRule="auto"/>
        <w:rPr>
          <w:sz w:val="20"/>
          <w:szCs w:val="20"/>
          <w:color w:val="auto"/>
        </w:rPr>
      </w:pPr>
      <w:r>
        <w:rPr>
          <w:rFonts w:ascii="Arial" w:cs="Arial" w:eastAsia="Arial" w:hAnsi="Arial"/>
          <w:sz w:val="20"/>
          <w:szCs w:val="20"/>
          <w:color w:val="auto"/>
        </w:rPr>
        <w:t>The increase in fourth quarter net revenues and segment income was driven by favorable pricing, improvement in core lab testing services and changes in foreign currency exchange rates, partially offset by a decline in Expert Advisory Services. Segment income growth was also partially offset by higher costs.</w:t>
      </w:r>
    </w:p>
    <w:p>
      <w:pPr>
        <w:spacing w:after="0" w:line="37" w:lineRule="exact"/>
        <w:rPr>
          <w:sz w:val="20"/>
          <w:szCs w:val="20"/>
          <w:color w:val="auto"/>
        </w:rPr>
      </w:pPr>
    </w:p>
    <w:p>
      <w:pPr>
        <w:ind w:right="240"/>
        <w:spacing w:after="0" w:line="271" w:lineRule="auto"/>
        <w:rPr>
          <w:sz w:val="20"/>
          <w:szCs w:val="20"/>
          <w:color w:val="auto"/>
        </w:rPr>
      </w:pPr>
      <w:r>
        <w:rPr>
          <w:rFonts w:ascii="Arial" w:cs="Arial" w:eastAsia="Arial" w:hAnsi="Arial"/>
          <w:sz w:val="20"/>
          <w:szCs w:val="20"/>
          <w:color w:val="auto"/>
        </w:rPr>
        <w:t>Nelson Labs full-year 2025 net revenues decreased 3.9% to $220 million, or 5.0% on a constant currency basis, compared to 2024. Segment income increased 6.0% to $73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80" w:firstLine="8"/>
        <w:spacing w:after="0" w:line="247" w:lineRule="auto"/>
        <w:tabs>
          <w:tab w:leader="none" w:pos="154" w:val="left"/>
        </w:tabs>
        <w:numPr>
          <w:ilvl w:val="0"/>
          <w:numId w:val="4"/>
        </w:numPr>
        <w:rPr>
          <w:rFonts w:ascii="Arial" w:cs="Arial" w:eastAsia="Arial" w:hAnsi="Arial"/>
          <w:sz w:val="9"/>
          <w:szCs w:val="9"/>
          <w:color w:val="auto"/>
        </w:rPr>
      </w:pPr>
      <w:r>
        <w:rPr>
          <w:rFonts w:ascii="Arial" w:cs="Arial" w:eastAsia="Arial" w:hAnsi="Arial"/>
          <w:sz w:val="14"/>
          <w:szCs w:val="14"/>
          <w:color w:val="auto"/>
        </w:rPr>
        <w:t>This is a non-GAAP financial measure used throughout this press release; please refer to the section “Non-GAAP Financial Measures” for explanations of our Non-GAAP financial measures and the schedules provided later in this release for reconciliations of reported GAAP to Non-GAAP financial measures.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074" w:right="37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Balance Sheet and Liquidity</w:t>
      </w:r>
    </w:p>
    <w:p>
      <w:pPr>
        <w:spacing w:after="0" w:line="96"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As of December 31, 2025, Sotera Health had $2.2 billion in total debt, and $ 345 million in cash and cash equivalents, compared to $2.3 billion in total debt and $277 million in cash and cash equivalents as of December 31, 2024. Sotera Health’s Net Leverage Ratio</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as of December 31, 2025 improved to 3.2x, compared to 3.7x as of December 31, 2024. The Company had no outstanding borrowings on its revolving credit facility as of December 31, 2025.</w:t>
      </w:r>
    </w:p>
    <w:p>
      <w:pPr>
        <w:spacing w:after="0" w:line="66" w:lineRule="exact"/>
        <w:rPr>
          <w:sz w:val="20"/>
          <w:szCs w:val="20"/>
          <w:color w:val="auto"/>
        </w:rPr>
      </w:pPr>
    </w:p>
    <w:p>
      <w:pPr>
        <w:ind w:right="820"/>
        <w:spacing w:after="0" w:line="286" w:lineRule="auto"/>
        <w:rPr>
          <w:sz w:val="20"/>
          <w:szCs w:val="20"/>
          <w:color w:val="auto"/>
        </w:rPr>
      </w:pPr>
      <w:r>
        <w:rPr>
          <w:rFonts w:ascii="Arial" w:cs="Arial" w:eastAsia="Arial" w:hAnsi="Arial"/>
          <w:sz w:val="20"/>
          <w:szCs w:val="20"/>
          <w:color w:val="auto"/>
        </w:rPr>
        <w:t>In 2025, Warburg Pincus LLC and GTCR, LLC completed three secondary share sales increasing public float to 80% of outstanding shares. These transactions did not impact the company’s liquidity or net leverage metrics.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Full-Year 2026 Outlook</w:t>
      </w:r>
    </w:p>
    <w:p>
      <w:pPr>
        <w:spacing w:after="0" w:line="123" w:lineRule="exact"/>
        <w:rPr>
          <w:sz w:val="20"/>
          <w:szCs w:val="20"/>
          <w:color w:val="auto"/>
        </w:rPr>
      </w:pPr>
    </w:p>
    <w:p>
      <w:pPr>
        <w:ind w:left="660" w:right="120" w:hanging="328"/>
        <w:spacing w:after="0" w:line="26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0"/>
          <w:szCs w:val="20"/>
          <w:color w:val="auto"/>
        </w:rPr>
        <w:t>Net revenues in the range of $1.233 billion to $1.251 billion, representing constant currency growth of 5.0% to 6.5% and an estimated 100bps foreign currency benefit</w:t>
      </w:r>
    </w:p>
    <w:p>
      <w:pPr>
        <w:spacing w:after="0" w:line="93" w:lineRule="exact"/>
        <w:rPr>
          <w:rFonts w:ascii="Arial" w:cs="Arial" w:eastAsia="Arial" w:hAnsi="Arial"/>
          <w:sz w:val="22"/>
          <w:szCs w:val="22"/>
          <w:color w:val="auto"/>
        </w:rPr>
      </w:pPr>
    </w:p>
    <w:p>
      <w:pPr>
        <w:ind w:left="660" w:hanging="328"/>
        <w:spacing w:after="0" w:line="286"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EBITDA in the range of $632 million to $641 million, representing constant currency growth of 5.5% to 7.0% and an estimated 100bps foreign currency benefit</w:t>
      </w:r>
    </w:p>
    <w:p>
      <w:pPr>
        <w:spacing w:after="0" w:line="18" w:lineRule="exact"/>
        <w:rPr>
          <w:rFonts w:ascii="Arial" w:cs="Arial" w:eastAsia="Arial" w:hAnsi="Arial"/>
          <w:sz w:val="20"/>
          <w:szCs w:val="20"/>
          <w:color w:val="auto"/>
        </w:rPr>
      </w:pPr>
    </w:p>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Interest expense in the range of $135 million to $145 million</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Tax rate applicable to Adjusted Net Income</w:t>
      </w:r>
      <w:r>
        <w:rPr>
          <w:rFonts w:ascii="Arial" w:cs="Arial" w:eastAsia="Arial" w:hAnsi="Arial"/>
          <w:sz w:val="11"/>
          <w:szCs w:val="11"/>
          <w:color w:val="auto"/>
        </w:rPr>
        <w:t>(1)</w:t>
      </w:r>
      <w:r>
        <w:rPr>
          <w:rFonts w:ascii="Arial" w:cs="Arial" w:eastAsia="Arial" w:hAnsi="Arial"/>
          <w:sz w:val="20"/>
          <w:szCs w:val="20"/>
          <w:color w:val="auto"/>
        </w:rPr>
        <w:t xml:space="preserve"> in the range of 27.0% to 29.0%</w:t>
      </w:r>
    </w:p>
    <w:p>
      <w:pPr>
        <w:spacing w:after="0" w:line="107" w:lineRule="exact"/>
        <w:rPr>
          <w:rFonts w:ascii="Arial" w:cs="Arial" w:eastAsia="Arial" w:hAnsi="Arial"/>
          <w:sz w:val="20"/>
          <w:szCs w:val="20"/>
          <w:color w:val="auto"/>
        </w:rPr>
      </w:pPr>
    </w:p>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Adjusted EPS in the range of $0.93 to $1.01</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 weighted-average fully diluted share count in the range of 289 million to 291 million shares</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5"/>
        </w:numPr>
        <w:rPr>
          <w:rFonts w:ascii="Arial" w:cs="Arial" w:eastAsia="Arial" w:hAnsi="Arial"/>
          <w:sz w:val="20"/>
          <w:szCs w:val="20"/>
          <w:color w:val="auto"/>
        </w:rPr>
      </w:pPr>
      <w:r>
        <w:rPr>
          <w:rFonts w:ascii="Arial" w:cs="Arial" w:eastAsia="Arial" w:hAnsi="Arial"/>
          <w:sz w:val="20"/>
          <w:szCs w:val="20"/>
          <w:color w:val="auto"/>
        </w:rPr>
        <w:t>Capital expenditures in the range of $175 million to $225 million</w:t>
      </w:r>
    </w:p>
    <w:p>
      <w:pPr>
        <w:spacing w:after="0" w:line="229"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The Company does not provide a reconciliation for non-GAAP financial measures on a forward-looking basis where it is unable to provide a meaningful or accurate calculation or estimation of reconciling items without unreasonable effort. The Company cannot reconcile its expected Adjusted EBITDA,</w:t>
      </w:r>
    </w:p>
    <w:p>
      <w:pPr>
        <w:spacing w:after="0" w:line="1"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auto"/>
        </w:rPr>
        <w:t>Adjusted Net Income Tax Rate, Adjusted Net Income and Adjusted EPS without unreasonable effort because certain items that impact net income, earnings per share and other reconciling metrics are out of the Company’s control and/or cannot be reasonably predicted at this time, including uncertainties caused by changes to the regulatory landscape, restructuring items and certain fair value measurements, all of which are potential adjustments for future earnings.</w:t>
      </w:r>
    </w:p>
    <w:p>
      <w:pPr>
        <w:spacing w:after="0" w:line="52" w:lineRule="exact"/>
        <w:rPr>
          <w:sz w:val="20"/>
          <w:szCs w:val="20"/>
          <w:color w:val="auto"/>
        </w:rPr>
      </w:pPr>
    </w:p>
    <w:p>
      <w:pPr>
        <w:ind w:right="240"/>
        <w:spacing w:after="0" w:line="258" w:lineRule="auto"/>
        <w:rPr>
          <w:sz w:val="20"/>
          <w:szCs w:val="20"/>
          <w:color w:val="auto"/>
        </w:rPr>
      </w:pPr>
      <w:r>
        <w:rPr>
          <w:rFonts w:ascii="Arial" w:cs="Arial" w:eastAsia="Arial" w:hAnsi="Arial"/>
          <w:sz w:val="20"/>
          <w:szCs w:val="20"/>
          <w:color w:val="auto"/>
        </w:rPr>
        <w:t>The outlook provided above contains a number of assumptions, including, among others, the Company’s current expectations regarding supply chain continuity, particularly for the supply of ethylene oxide (“EO”) and Cobalt-60, and the impact of inflationary trends including their impact on energy prices and the supply of labor. Our outlook is based on current plans and expectations and is subject to several known and unknown risks and uncertainties, including those set forth below under “Cautionary Note Regarding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Earnings Webcast</w:t>
      </w:r>
    </w:p>
    <w:p>
      <w:pPr>
        <w:spacing w:after="0" w:line="110"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auto"/>
        </w:rPr>
        <w:t xml:space="preserve">Sotera Health management will host a conference call and webcast to discuss the Company’s operating highlights and financial results at 9:00 a.m. Eastern Time today. A live webcast of the conference call and accompanying materials can be accessed via the Investor Relations section of the Company’s website at </w:t>
      </w:r>
      <w:r>
        <w:rPr>
          <w:rFonts w:ascii="Arial" w:cs="Arial" w:eastAsia="Arial" w:hAnsi="Arial"/>
          <w:sz w:val="20"/>
          <w:szCs w:val="20"/>
          <w:u w:val="single" w:color="auto"/>
          <w:color w:val="3051F2"/>
        </w:rPr>
        <w:t>Presentation &amp; Events | Sotera Health</w:t>
      </w:r>
      <w:r>
        <w:rPr>
          <w:rFonts w:ascii="Arial" w:cs="Arial" w:eastAsia="Arial" w:hAnsi="Arial"/>
          <w:sz w:val="20"/>
          <w:szCs w:val="20"/>
          <w:color w:val="auto"/>
        </w:rPr>
        <w:t>. A replay of the webcast will be archived on the Company’s website.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Upcoming Investor Events</w:t>
      </w:r>
    </w:p>
    <w:p>
      <w:pPr>
        <w:spacing w:after="0" w:line="123" w:lineRule="exact"/>
        <w:rPr>
          <w:sz w:val="20"/>
          <w:szCs w:val="20"/>
          <w:color w:val="auto"/>
        </w:rPr>
      </w:pPr>
    </w:p>
    <w:p>
      <w:pPr>
        <w:ind w:left="620" w:hanging="288"/>
        <w:spacing w:after="0"/>
        <w:tabs>
          <w:tab w:leader="none" w:pos="620" w:val="left"/>
        </w:tabs>
        <w:numPr>
          <w:ilvl w:val="1"/>
          <w:numId w:val="6"/>
        </w:numPr>
        <w:rPr>
          <w:rFonts w:ascii="Arial" w:cs="Arial" w:eastAsia="Arial" w:hAnsi="Arial"/>
          <w:sz w:val="20"/>
          <w:szCs w:val="20"/>
          <w:color w:val="auto"/>
        </w:rPr>
      </w:pPr>
      <w:r>
        <w:rPr>
          <w:rFonts w:ascii="Arial" w:cs="Arial" w:eastAsia="Arial" w:hAnsi="Arial"/>
          <w:sz w:val="20"/>
          <w:szCs w:val="20"/>
          <w:color w:val="auto"/>
        </w:rPr>
        <w:t>Barclay’s 28th Annual Global Healthcare Conference at 9:30 a.m. Eastern Time, March 11, 2026</w:t>
      </w:r>
    </w:p>
    <w:p>
      <w:pPr>
        <w:spacing w:after="0" w:line="107" w:lineRule="exact"/>
        <w:rPr>
          <w:rFonts w:ascii="Arial" w:cs="Arial" w:eastAsia="Arial" w:hAnsi="Arial"/>
          <w:sz w:val="20"/>
          <w:szCs w:val="20"/>
          <w:color w:val="auto"/>
        </w:rPr>
      </w:pPr>
    </w:p>
    <w:p>
      <w:pPr>
        <w:ind w:left="620" w:hanging="288"/>
        <w:spacing w:after="0"/>
        <w:tabs>
          <w:tab w:leader="none" w:pos="620" w:val="left"/>
        </w:tabs>
        <w:numPr>
          <w:ilvl w:val="1"/>
          <w:numId w:val="6"/>
        </w:numPr>
        <w:rPr>
          <w:rFonts w:ascii="Arial" w:cs="Arial" w:eastAsia="Arial" w:hAnsi="Arial"/>
          <w:sz w:val="20"/>
          <w:szCs w:val="20"/>
          <w:color w:val="auto"/>
        </w:rPr>
      </w:pPr>
      <w:r>
        <w:rPr>
          <w:rFonts w:ascii="Arial" w:cs="Arial" w:eastAsia="Arial" w:hAnsi="Arial"/>
          <w:sz w:val="20"/>
          <w:szCs w:val="20"/>
          <w:color w:val="auto"/>
        </w:rPr>
        <w:t>KeyBanc Healthcare Forum at 9:45 a.m. Eastern Time, March 17, 2026</w:t>
      </w:r>
    </w:p>
    <w:p>
      <w:pPr>
        <w:spacing w:after="0" w:line="200" w:lineRule="exact"/>
        <w:rPr>
          <w:rFonts w:ascii="Arial" w:cs="Arial" w:eastAsia="Arial" w:hAnsi="Arial"/>
          <w:sz w:val="20"/>
          <w:szCs w:val="20"/>
          <w:color w:val="auto"/>
        </w:rPr>
      </w:pPr>
    </w:p>
    <w:p>
      <w:pPr>
        <w:spacing w:after="0" w:line="257" w:lineRule="exact"/>
        <w:rPr>
          <w:rFonts w:ascii="Arial" w:cs="Arial" w:eastAsia="Arial" w:hAnsi="Arial"/>
          <w:sz w:val="20"/>
          <w:szCs w:val="20"/>
          <w:color w:val="auto"/>
        </w:rPr>
      </w:pPr>
    </w:p>
    <w:p>
      <w:pPr>
        <w:ind w:right="320" w:firstLine="8"/>
        <w:spacing w:after="0" w:line="231" w:lineRule="auto"/>
        <w:tabs>
          <w:tab w:leader="none" w:pos="154"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This is a non-GAAP financial measure used throughout this press release; please refer to the section “Non-GAAP Financial Measures” for explanations of our Non-GAAP financial measures and the schedules provided later in this release for reconciliations of reported GAAP to Non-GAAP financial measures.</w:t>
      </w: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58"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u w:val="single" w:color="auto"/>
          <w:color w:val="auto"/>
        </w:rPr>
        <w:t>Cautionary Note Regarding Forward-Looking Statements</w:t>
      </w:r>
    </w:p>
    <w:p>
      <w:pPr>
        <w:spacing w:after="0" w:line="96"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Unless expressly indicated or the context requires otherwise, the terms “Sotera Health,” “Company,” “we,” “us,” and “our” in this release refer to Sotera Health Company, a Delaware corporation, and, where appropriate, its subsidiaries on a consolidated basis. This release contains forward-looking statements within the meaning of the Private Securities Litigation Reform Act of 1995 and reflects management’s expectations about future events and the Company’s operating plans and performance and speak only as of the date hereof. Forward-looking statements present our current forecasts and estimates of future events. These statements do not strictly relate to historical or current results and can be identified by words such as “anticipate,” “appear,” “assume,” “believe,” “estimate,” “expect,” “forecast,” “intend,” “likely,” “may,” “plan,” “project,” “seek,” “should,” “strategy,” “will” and other terms of similar meaning or import in connection with any discussion of future operating, financial or other performance. These forward-looking statements are subject to risks, uncertainties and other factors and actual results may differ materially from those results projected in the statements. These forward-looking statements are subject to various risks, uncertainties and assumptions relating to our operations, financial results, financial condition, business, prospects, growth strategy and liquidity. These risks and uncertainties include, but are not limited to, a disruption in the availability or supply of, or increases in the price of, EO, Co-60 or our other direct materials, services and supplies, including as a result of geopolitical instability and/or sanctions against Russia by the United States, Canada, the United Kingdom and/or the European Union; fluctuations in foreign currency exchange rates; evolving changes in environmental, health and safety regulations or preferences; health and safety risks associated with the use, storage, transportation and disposal of potentially hazardous materials such as EO and Co-60; the impact and outcome of current and future legal proceedings and liability claims, including litigation related to the use, emissions and releases of EO from our EO sterilization facilities and the possibility that additional claims will be made in the future; allegations of our failure to properly perform services and potential product liability claims, recalls, penalties and reputational harm; compliance with the extensive regulatory requirements to which we are subject, the related costs, and any failures to receive or maintain, or delays in receiving, required clearances or approvals; adverse changes in industry trends; competition we face; market conditions and changes, including inflationary trends and the impact of tariffs, that impact our long-term supply contracts with variable price clauses and increase our cost of revenues; business continuity hazards, including supply chain disruptions, federal government shutdowns, and other risks associated with our operations; the risks of doing business internationally, including global and regional economic and political instability and compliance with various applicable laws and potentially inconsistent laws and regulations in multiple jurisdictions; our ability to increase capacity at existing facilities, build new facilities in a timely and cost-effective manner and renew leases for our leased facilities; our ability to attract and retain qualified employees; severe health events or environmental events; cybersecurity incidents, unauthorized data disclosures, and our dependence on information technology systems; the risks associates with the introduction of artificial intelligence technology; an inability to pursue strategic transactions, find suitable acquisition targets, or integrate strategic acquisitions into our business successfully; our ability to maintain effective internal control over financial reporting; our reliance on intellectual property rights to maintain our competitive position and the risk of claims from third parties that we have infringed or misappropriated, or are infringing or misappropriating, their intellectual property rights; our ability to comply with rapidly evolving data privacy and security laws and regulations in various jurisdictions and any ineffective compliance efforts with such laws and regulations; our ability to generate profitability in future periods; impairment charges on our goodwill and other intangible assets with indefinite lives, as well as other long-lived assets and intangible assets with definite lives; the effects of unionization efforts and labor regulations in countries in which we operate; adverse changes to our tax positions in U.S. or non-U.S. jurisdictions or the interpretation and application of U.S. tax legislation or other changes in U.S. or non-U.S. taxation of our operations; and our significant leverage and how this significant leverage could adversely affect our ability to raise additional capital, limit our ability to react to challenges facing our Company or broader changes in our industry or the economy, limit our flexibility in operating our business through restrictions contained in our debt agreements and/or prevent us from meeting our obligations under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074" w:right="359" w:bottom="1440" w:gutter="0" w:footer="0" w:header="0"/>
        </w:sectPr>
      </w:pPr>
    </w:p>
    <w:bookmarkStart w:id="7" w:name="page8"/>
    <w:bookmarkEnd w:id="7"/>
    <w:p>
      <w:pPr>
        <w:ind w:right="80"/>
        <w:spacing w:after="0" w:line="266" w:lineRule="auto"/>
        <w:rPr>
          <w:sz w:val="20"/>
          <w:szCs w:val="20"/>
          <w:color w:val="auto"/>
        </w:rPr>
      </w:pPr>
      <w:r>
        <w:rPr>
          <w:rFonts w:ascii="Arial" w:cs="Arial" w:eastAsia="Arial" w:hAnsi="Arial"/>
          <w:sz w:val="20"/>
          <w:szCs w:val="20"/>
          <w:color w:val="auto"/>
        </w:rPr>
        <w:t xml:space="preserve">our existing and future agreements governing our indebtedness. For additional discussion of these risks and uncertainties, please refer to the Company’s filings with the Securities and Exchange Commission, such as its Annual Report on Form 10-K and quarterly reports. We do not undertake any obligation to publicly update or revise these forward-looking statements, except as otherwise </w:t>
      </w:r>
      <w:r>
        <w:rPr>
          <w:rFonts w:ascii="Arial" w:cs="Arial" w:eastAsia="Arial" w:hAnsi="Arial"/>
          <w:sz w:val="21"/>
          <w:szCs w:val="21"/>
          <w:color w:val="auto"/>
        </w:rPr>
        <w:t>required by law.</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Financial Measures</w:t>
      </w:r>
    </w:p>
    <w:p>
      <w:pPr>
        <w:spacing w:after="0" w:line="96"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To supplement our consolidated financial statements presented in accordance with GAAP, we consider Adjusted EBITDA, Adjusted EBITDA margin, Adjusted Tax Rate, Adjusted Net Income, Adjusted EPS, Segment income margin, Net Debt and Net Leverage Ratio and constant currency, financial measures that are not based on any standardized methodology prescribed by GAAP.</w:t>
      </w:r>
    </w:p>
    <w:p>
      <w:pPr>
        <w:spacing w:after="0" w:line="1" w:lineRule="exact"/>
        <w:rPr>
          <w:sz w:val="20"/>
          <w:szCs w:val="20"/>
          <w:color w:val="auto"/>
        </w:rPr>
      </w:pPr>
    </w:p>
    <w:p>
      <w:pPr>
        <w:ind w:left="660" w:right="280" w:hanging="328"/>
        <w:spacing w:after="0" w:line="267"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We define Adjusted Net Income as net income (loss) before amortization and certain other adjustments that we do not consider in our evaluation of our ongoing operating performance from period to period.</w:t>
      </w:r>
    </w:p>
    <w:p>
      <w:pPr>
        <w:spacing w:after="0" w:line="37" w:lineRule="exact"/>
        <w:rPr>
          <w:rFonts w:ascii="Arial" w:cs="Arial" w:eastAsia="Arial" w:hAnsi="Arial"/>
          <w:sz w:val="20"/>
          <w:szCs w:val="20"/>
          <w:color w:val="auto"/>
        </w:rPr>
      </w:pPr>
    </w:p>
    <w:p>
      <w:pPr>
        <w:ind w:left="660" w:right="380" w:hanging="328"/>
        <w:spacing w:after="0" w:line="286"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We define Adjusted EBITDA as Adjusted Net Income before interest expense, depreciation (including depreciation of Cobalt-60 used in our operations) and income tax provision applicable to Adjusted Net Income.</w:t>
      </w:r>
    </w:p>
    <w:p>
      <w:pPr>
        <w:spacing w:after="0" w:line="18" w:lineRule="exact"/>
        <w:rPr>
          <w:rFonts w:ascii="Arial" w:cs="Arial" w:eastAsia="Arial" w:hAnsi="Arial"/>
          <w:sz w:val="20"/>
          <w:szCs w:val="20"/>
          <w:color w:val="auto"/>
        </w:rPr>
      </w:pPr>
    </w:p>
    <w:p>
      <w:pPr>
        <w:ind w:left="620" w:hanging="288"/>
        <w:spacing w:after="0"/>
        <w:tabs>
          <w:tab w:leader="none" w:pos="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Adjusted EBITDA margin is equal to Adjusted EBITDA divided by net revenues.</w:t>
      </w:r>
    </w:p>
    <w:p>
      <w:pPr>
        <w:spacing w:after="0" w:line="94" w:lineRule="exact"/>
        <w:rPr>
          <w:rFonts w:ascii="Arial" w:cs="Arial" w:eastAsia="Arial" w:hAnsi="Arial"/>
          <w:sz w:val="20"/>
          <w:szCs w:val="20"/>
          <w:color w:val="auto"/>
        </w:rPr>
      </w:pPr>
    </w:p>
    <w:p>
      <w:pPr>
        <w:ind w:left="620" w:hanging="288"/>
        <w:spacing w:after="0"/>
        <w:tabs>
          <w:tab w:leader="none" w:pos="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Segment income margin is equal to segment income divided by net segment revenues.</w:t>
      </w:r>
    </w:p>
    <w:p>
      <w:pPr>
        <w:spacing w:after="0" w:line="107" w:lineRule="exact"/>
        <w:rPr>
          <w:rFonts w:ascii="Arial" w:cs="Arial" w:eastAsia="Arial" w:hAnsi="Arial"/>
          <w:sz w:val="20"/>
          <w:szCs w:val="20"/>
          <w:color w:val="auto"/>
        </w:rPr>
      </w:pPr>
    </w:p>
    <w:p>
      <w:pPr>
        <w:ind w:left="620" w:hanging="288"/>
        <w:spacing w:after="0"/>
        <w:tabs>
          <w:tab w:leader="none" w:pos="620" w:val="left"/>
        </w:tabs>
        <w:numPr>
          <w:ilvl w:val="0"/>
          <w:numId w:val="7"/>
        </w:numPr>
        <w:rPr>
          <w:rFonts w:ascii="Arial" w:cs="Arial" w:eastAsia="Arial" w:hAnsi="Arial"/>
          <w:sz w:val="19"/>
          <w:szCs w:val="19"/>
          <w:color w:val="auto"/>
        </w:rPr>
      </w:pPr>
      <w:r>
        <w:rPr>
          <w:rFonts w:ascii="Arial" w:cs="Arial" w:eastAsia="Arial" w:hAnsi="Arial"/>
          <w:sz w:val="19"/>
          <w:szCs w:val="19"/>
          <w:color w:val="auto"/>
        </w:rPr>
        <w:t>We define Adjusted EPS as Adjusted Net Income divided by the weighted average number of diluted shares outstanding.</w:t>
      </w:r>
    </w:p>
    <w:p>
      <w:pPr>
        <w:spacing w:after="0" w:line="105" w:lineRule="exact"/>
        <w:rPr>
          <w:rFonts w:ascii="Arial" w:cs="Arial" w:eastAsia="Arial" w:hAnsi="Arial"/>
          <w:sz w:val="19"/>
          <w:szCs w:val="19"/>
          <w:color w:val="auto"/>
        </w:rPr>
      </w:pPr>
    </w:p>
    <w:p>
      <w:pPr>
        <w:ind w:left="660" w:right="340" w:hanging="328"/>
        <w:spacing w:after="0" w:line="271" w:lineRule="auto"/>
        <w:tabs>
          <w:tab w:leader="none" w:pos="621"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Net Debt is equal to our total debt, plus unamortized debt issuance costs and debt discounts, less cash and cash equivalents.</w:t>
      </w:r>
    </w:p>
    <w:p>
      <w:pPr>
        <w:spacing w:after="0" w:line="47" w:lineRule="exact"/>
        <w:rPr>
          <w:rFonts w:ascii="Arial" w:cs="Arial" w:eastAsia="Arial" w:hAnsi="Arial"/>
          <w:sz w:val="20"/>
          <w:szCs w:val="20"/>
          <w:color w:val="auto"/>
        </w:rPr>
      </w:pPr>
    </w:p>
    <w:p>
      <w:pPr>
        <w:ind w:left="620" w:hanging="288"/>
        <w:spacing w:after="0"/>
        <w:tabs>
          <w:tab w:leader="none" w:pos="620"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Net Leverage Ratio is equal to Net Debt divided by Adjusted EBITDA.</w:t>
      </w:r>
    </w:p>
    <w:p>
      <w:pPr>
        <w:spacing w:after="0" w:line="216"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color w:val="auto"/>
        </w:rPr>
        <w:t>Constant currency is a non-GAAP financial measure we use to assess performance excluding the impact of foreign currency exchange rate changes. We calculate constant currency net revenues by translating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spacing w:after="0" w:line="41"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We use these non-GAAP financial measures as the principal measures of our operating performance. Management believes these measures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without these measures and their disclosure. In addition, we believe these measures will assist investors in making comparisons to our historical operating results and analyzing the underlying performance of our operations for the periods presented. Our management also uses these measurements in their financial analysis and operational decision-making and Adjusted EBITDA serves as the key metric for the attainment of our primary annual incentive program. These measures may be calculated differently from, and therefore may not be comparable to, a similarly titled measure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941" w:right="37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u w:val="single" w:color="auto"/>
          <w:color w:val="auto"/>
        </w:rPr>
        <w:t>About Sotera Health</w:t>
      </w:r>
    </w:p>
    <w:p>
      <w:pPr>
        <w:spacing w:after="0" w:line="96"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Sotera Health Company is a leading global provider of mission-critical end-to-end sterilization solutions, lab testing and advisory services for the healthcare industry. Sotera Health goes to market through three businesses – Sterigenics®, Nordion® and Nelson Labs®. Sotera Health is committed to its mission, Safeguarding Global Health®.</w:t>
      </w:r>
    </w:p>
    <w:p>
      <w:pPr>
        <w:spacing w:after="0" w:line="138"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 xml:space="preserve">Updates on recent developments in matters relevant to investors can be found on the Investor Relations section of the Sotera Health website at </w:t>
      </w:r>
      <w:r>
        <w:rPr>
          <w:rFonts w:ascii="Arial" w:cs="Arial" w:eastAsia="Arial" w:hAnsi="Arial"/>
          <w:sz w:val="20"/>
          <w:szCs w:val="20"/>
          <w:u w:val="single" w:color="auto"/>
          <w:color w:val="0E32E1"/>
        </w:rPr>
        <w:t>Investor Relations | Sotera Health</w:t>
      </w:r>
      <w:r>
        <w:rPr>
          <w:rFonts w:ascii="Arial" w:cs="Arial" w:eastAsia="Arial" w:hAnsi="Arial"/>
          <w:sz w:val="20"/>
          <w:szCs w:val="20"/>
          <w:color w:val="auto"/>
        </w:rPr>
        <w:t xml:space="preserve">. For developments related to EO, updates can be found at </w:t>
      </w:r>
      <w:r>
        <w:rPr>
          <w:rFonts w:ascii="Arial" w:cs="Arial" w:eastAsia="Arial" w:hAnsi="Arial"/>
          <w:sz w:val="20"/>
          <w:szCs w:val="20"/>
          <w:u w:val="single" w:color="auto"/>
          <w:color w:val="0E32E1"/>
        </w:rPr>
        <w:t>Ethylene Oxide |</w:t>
      </w:r>
      <w:r>
        <w:rPr>
          <w:rFonts w:ascii="Arial" w:cs="Arial" w:eastAsia="Arial" w:hAnsi="Arial"/>
          <w:sz w:val="20"/>
          <w:szCs w:val="20"/>
          <w:color w:val="auto"/>
        </w:rPr>
        <w:t xml:space="preserve"> </w:t>
      </w:r>
      <w:r>
        <w:rPr>
          <w:rFonts w:ascii="Arial" w:cs="Arial" w:eastAsia="Arial" w:hAnsi="Arial"/>
          <w:sz w:val="20"/>
          <w:szCs w:val="20"/>
          <w:u w:val="single" w:color="auto"/>
          <w:color w:val="0E32E1"/>
        </w:rPr>
        <w:t>Sotera Health</w:t>
      </w:r>
      <w:r>
        <w:rPr>
          <w:rFonts w:ascii="Arial" w:cs="Arial" w:eastAsia="Arial" w:hAnsi="Arial"/>
          <w:sz w:val="20"/>
          <w:szCs w:val="20"/>
          <w:color w:val="000000"/>
        </w:rPr>
        <w:t>.</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Jason Peterson</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IR@soterahealth.com</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Kristin Gibbs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Chief Marketing Officer</w:t>
      </w:r>
    </w:p>
    <w:p>
      <w:pPr>
        <w:spacing w:after="0"/>
        <w:rPr>
          <w:sz w:val="20"/>
          <w:szCs w:val="20"/>
          <w:color w:val="auto"/>
        </w:rPr>
      </w:pPr>
      <w:r>
        <w:rPr>
          <w:rFonts w:ascii="Arial" w:cs="Arial" w:eastAsia="Arial" w:hAnsi="Arial"/>
          <w:sz w:val="20"/>
          <w:szCs w:val="20"/>
          <w:u w:val="single" w:color="auto"/>
          <w:color w:val="0000FF"/>
        </w:rPr>
        <w:t>kgibbs@soterahealth.com</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Source: Sotera Health Company</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80"/>
          </w:cols>
          <w:pgMar w:left="320" w:top="858" w:right="3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20" w:type="dxa"/>
            <w:vAlign w:val="bottom"/>
          </w:tcPr>
          <w:p>
            <w:pPr>
              <w:spacing w:after="0"/>
              <w:rPr>
                <w:sz w:val="17"/>
                <w:szCs w:val="17"/>
                <w:color w:val="auto"/>
              </w:rPr>
            </w:pPr>
          </w:p>
        </w:tc>
        <w:tc>
          <w:tcPr>
            <w:tcW w:w="2460" w:type="dxa"/>
            <w:vAlign w:val="bottom"/>
            <w:gridSpan w:val="4"/>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43"/>
        </w:trPr>
        <w:tc>
          <w:tcPr>
            <w:tcW w:w="5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9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259,043</w:t>
            </w:r>
          </w:p>
        </w:tc>
        <w:tc>
          <w:tcPr>
            <w:tcW w:w="4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238,795</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995,756</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941,822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44,398</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51,408</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167,861</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158,619</w:t>
            </w: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303,441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290,203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1,163,617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1,100,441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Service</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121,052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108,475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456,311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439,543</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Product</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16,469</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17,363</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61,772</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58,603</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137,521</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125,838</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518,083</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498,146</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165,920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164,365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645,534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602,295</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57,514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252,762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242,630</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3,023</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30,738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62,039</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35,048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155,722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164,691</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refinancing of debt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24,168</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 EO litigation settlements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64,943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1,559</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(8,546)</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70,497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147,506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113,874</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35,650</w:t>
            </w: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32,641</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69,557</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69,476</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34,847</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77,949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4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0.27</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284,256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283,260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283,956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282,784</w:t>
            </w:r>
          </w:p>
        </w:tc>
        <w:tc>
          <w:tcPr>
            <w:tcW w:w="0" w:type="dxa"/>
            <w:vAlign w:val="bottom"/>
          </w:tcPr>
          <w:p>
            <w:pPr>
              <w:spacing w:after="0"/>
              <w:rPr>
                <w:sz w:val="1"/>
                <w:szCs w:val="1"/>
                <w:color w:val="auto"/>
              </w:rPr>
            </w:pPr>
          </w:p>
        </w:tc>
      </w:tr>
      <w:tr>
        <w:trPr>
          <w:trHeight w:val="238"/>
        </w:trPr>
        <w:tc>
          <w:tcPr>
            <w:tcW w:w="5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287,554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285,817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286,421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Segment Data</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276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20" w:type="dxa"/>
            <w:vAlign w:val="bottom"/>
          </w:tcPr>
          <w:p>
            <w:pPr>
              <w:spacing w:after="0"/>
              <w:rPr>
                <w:sz w:val="17"/>
                <w:szCs w:val="17"/>
                <w:color w:val="auto"/>
              </w:rPr>
            </w:pPr>
          </w:p>
        </w:tc>
        <w:tc>
          <w:tcPr>
            <w:tcW w:w="2420" w:type="dxa"/>
            <w:vAlign w:val="bottom"/>
            <w:gridSpan w:val="4"/>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Sterigenics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198,412</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179,428</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755,780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697,853</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Nordion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49,825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187,618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173,355</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Nelson Labs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55,204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220,219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229,233</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303,441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1,163,617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1,100,441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Sterigenics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109,989</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412,893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378,171</w:t>
            </w:r>
          </w:p>
        </w:tc>
        <w:tc>
          <w:tcPr>
            <w:tcW w:w="0" w:type="dxa"/>
            <w:vAlign w:val="bottom"/>
          </w:tcPr>
          <w:p>
            <w:pPr>
              <w:spacing w:after="0"/>
              <w:rPr>
                <w:sz w:val="1"/>
                <w:szCs w:val="1"/>
                <w:color w:val="auto"/>
              </w:rPr>
            </w:pPr>
          </w:p>
        </w:tc>
      </w:tr>
      <w:tr>
        <w:trPr>
          <w:trHeight w:val="230"/>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Nordion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28,631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107,578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101,220</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Nelson Labs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18,417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73,330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69,183</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157,037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152,934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593,801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548,574</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35,048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155,722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164,691</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32,456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136,428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161,797</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23"/>
                <w:szCs w:val="23"/>
                <w:color w:val="auto"/>
                <w:vertAlign w:val="superscript"/>
              </w:rPr>
              <w:t>(b)</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36,896</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on refinancing of debt</w:t>
            </w:r>
            <w:r>
              <w:rPr>
                <w:rFonts w:ascii="Times New Roman" w:cs="Times New Roman" w:eastAsia="Times New Roman" w:hAnsi="Times New Roman"/>
                <w:sz w:val="23"/>
                <w:szCs w:val="23"/>
                <w:color w:val="auto"/>
                <w:vertAlign w:val="superscript"/>
              </w:rPr>
              <w:t>(c)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24,168</w:t>
            </w:r>
          </w:p>
        </w:tc>
        <w:tc>
          <w:tcPr>
            <w:tcW w:w="0" w:type="dxa"/>
            <w:vAlign w:val="bottom"/>
          </w:tcPr>
          <w:p>
            <w:pPr>
              <w:spacing w:after="0"/>
              <w:rPr>
                <w:sz w:val="1"/>
                <w:szCs w:val="1"/>
                <w:color w:val="auto"/>
              </w:rPr>
            </w:pPr>
          </w:p>
        </w:tc>
      </w:tr>
      <w:tr>
        <w:trPr>
          <w:trHeight w:val="176"/>
        </w:trPr>
        <w:tc>
          <w:tcPr>
            <w:tcW w:w="5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Loss on foreign currency and derivatives not designated as hedging instruments,</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1,352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net</w:t>
            </w:r>
            <w:r>
              <w:rPr>
                <w:rFonts w:ascii="Times New Roman" w:cs="Times New Roman" w:eastAsia="Times New Roman" w:hAnsi="Times New Roman"/>
                <w:sz w:val="23"/>
                <w:szCs w:val="23"/>
                <w:color w:val="auto"/>
                <w:vertAlign w:val="superscript"/>
              </w:rPr>
              <w:t>(d)</w:t>
            </w: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optimization expenses</w:t>
            </w:r>
            <w:r>
              <w:rPr>
                <w:rFonts w:ascii="Times New Roman" w:cs="Times New Roman" w:eastAsia="Times New Roman" w:hAnsi="Times New Roman"/>
                <w:sz w:val="23"/>
                <w:szCs w:val="23"/>
                <w:color w:val="auto"/>
                <w:vertAlign w:val="superscript"/>
              </w:rPr>
              <w:t>(e)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Professional services relating to EO sterilization facilities</w:t>
            </w:r>
            <w:r>
              <w:rPr>
                <w:rFonts w:ascii="Times New Roman" w:cs="Times New Roman" w:eastAsia="Times New Roman" w:hAnsi="Times New Roman"/>
                <w:sz w:val="23"/>
                <w:szCs w:val="23"/>
                <w:color w:val="auto"/>
                <w:vertAlign w:val="superscript"/>
              </w:rPr>
              <w:t>(f)</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46,225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32,694</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Illinois EO litigation settlements</w:t>
            </w:r>
            <w:r>
              <w:rPr>
                <w:rFonts w:ascii="Times New Roman" w:cs="Times New Roman" w:eastAsia="Times New Roman" w:hAnsi="Times New Roman"/>
                <w:sz w:val="23"/>
                <w:szCs w:val="23"/>
                <w:color w:val="auto"/>
                <w:vertAlign w:val="superscript"/>
              </w:rPr>
              <w:t>(g)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23"/>
                <w:szCs w:val="23"/>
                <w:color w:val="auto"/>
                <w:vertAlign w:val="superscript"/>
              </w:rPr>
              <w:t>(h)</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before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70,497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147,506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113,874</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480" w:hanging="472"/>
        <w:spacing w:after="0"/>
        <w:tabs>
          <w:tab w:leader="none" w:pos="4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of Co-60 held at gamma irradiation sites, and excludes accelerated depreciation associated with business optimization activities.</w:t>
      </w:r>
    </w:p>
    <w:p>
      <w:pPr>
        <w:spacing w:after="0" w:line="45"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share-based compensation expense related to employees and Non-Employee Directors.</w:t>
      </w:r>
    </w:p>
    <w:p>
      <w:pPr>
        <w:spacing w:after="0" w:line="45" w:lineRule="exact"/>
        <w:rPr>
          <w:rFonts w:ascii="Times New Roman" w:cs="Times New Roman" w:eastAsia="Times New Roman" w:hAnsi="Times New Roman"/>
          <w:sz w:val="16"/>
          <w:szCs w:val="16"/>
          <w:color w:val="auto"/>
        </w:rPr>
      </w:pPr>
    </w:p>
    <w:p>
      <w:pPr>
        <w:ind w:left="500" w:right="420" w:hanging="492"/>
        <w:spacing w:after="0" w:line="272" w:lineRule="auto"/>
        <w:tabs>
          <w:tab w:leader="none" w:pos="49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write-off of unamortized debt issuance costs and discounts, as well as certain other costs incurred related to the refinancing activity for the Term Loans, the Secured Notes and the Revolving Credit Facility.</w:t>
      </w:r>
    </w:p>
    <w:p>
      <w:pPr>
        <w:spacing w:after="0" w:line="1" w:lineRule="exact"/>
        <w:rPr>
          <w:rFonts w:ascii="Times New Roman" w:cs="Times New Roman" w:eastAsia="Times New Roman" w:hAnsi="Times New Roman"/>
          <w:sz w:val="16"/>
          <w:szCs w:val="16"/>
          <w:color w:val="auto"/>
        </w:rPr>
      </w:pPr>
    </w:p>
    <w:p>
      <w:pPr>
        <w:ind w:left="500" w:right="60" w:hanging="492"/>
        <w:spacing w:after="0" w:line="281" w:lineRule="auto"/>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6"/>
          <w:szCs w:val="16"/>
          <w:color w:val="auto"/>
        </w:rPr>
      </w:pPr>
    </w:p>
    <w:p>
      <w:pPr>
        <w:jc w:val="both"/>
        <w:ind w:left="500" w:right="380" w:hanging="492"/>
        <w:spacing w:after="0" w:line="270" w:lineRule="auto"/>
        <w:tabs>
          <w:tab w:leader="none" w:pos="49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secondary offerings and shareholder engagement.</w:t>
      </w:r>
    </w:p>
    <w:p>
      <w:pPr>
        <w:ind w:left="500" w:hanging="492"/>
        <w:spacing w:after="0"/>
        <w:tabs>
          <w:tab w:leader="none" w:pos="5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litigation and other professional fees associated with our EO sterilization facilities.</w:t>
      </w:r>
    </w:p>
    <w:p>
      <w:pPr>
        <w:spacing w:after="0" w:line="45" w:lineRule="exact"/>
        <w:rPr>
          <w:rFonts w:ascii="Times New Roman" w:cs="Times New Roman" w:eastAsia="Times New Roman" w:hAnsi="Times New Roman"/>
          <w:sz w:val="16"/>
          <w:szCs w:val="16"/>
          <w:color w:val="auto"/>
        </w:rPr>
      </w:pPr>
    </w:p>
    <w:p>
      <w:pPr>
        <w:ind w:left="500" w:right="200" w:hanging="492"/>
        <w:spacing w:after="0" w:line="272" w:lineRule="auto"/>
        <w:tabs>
          <w:tab w:leader="none" w:pos="500"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w:t>
      </w:r>
    </w:p>
    <w:p>
      <w:pPr>
        <w:spacing w:after="0" w:line="1" w:lineRule="exact"/>
        <w:rPr>
          <w:rFonts w:ascii="Times New Roman" w:cs="Times New Roman" w:eastAsia="Times New Roman" w:hAnsi="Times New Roman"/>
          <w:sz w:val="16"/>
          <w:szCs w:val="16"/>
          <w:color w:val="231F20"/>
        </w:rPr>
      </w:pPr>
    </w:p>
    <w:p>
      <w:pPr>
        <w:ind w:left="500" w:right="420" w:hanging="492"/>
        <w:spacing w:after="0" w:line="298" w:lineRule="auto"/>
        <w:tabs>
          <w:tab w:leader="none" w:pos="500"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non-cash accretion of asset retirement obligations (“ARO”) related to Co-60 gamma and EO processing facilities, which are based on estimated site remediation costs for any future decommissioning of these facilities and are accreted over the life of the asset.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3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9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16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346,456</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278,865</w:t>
            </w:r>
          </w:p>
        </w:tc>
        <w:tc>
          <w:tcPr>
            <w:tcW w:w="0" w:type="dxa"/>
            <w:vAlign w:val="bottom"/>
          </w:tcPr>
          <w:p>
            <w:pPr>
              <w:spacing w:after="0"/>
              <w:rPr>
                <w:sz w:val="1"/>
                <w:szCs w:val="1"/>
                <w:color w:val="auto"/>
              </w:rPr>
            </w:pPr>
          </w:p>
        </w:tc>
      </w:tr>
      <w:tr>
        <w:trPr>
          <w:trHeight w:val="230"/>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139,329</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140,327</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29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54,375</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49,158</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9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73,250</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57,687</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9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613,410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526,037</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1,130,564</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1,036,892</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9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33,393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27,551</w:t>
            </w: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288,227</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317,653</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9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1,103,232</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1,081,073</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9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94,364</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82,442</w:t>
            </w:r>
          </w:p>
        </w:tc>
        <w:tc>
          <w:tcPr>
            <w:tcW w:w="0" w:type="dxa"/>
            <w:vAlign w:val="bottom"/>
          </w:tcPr>
          <w:p>
            <w:pPr>
              <w:spacing w:after="0"/>
              <w:rPr>
                <w:sz w:val="1"/>
                <w:szCs w:val="1"/>
                <w:color w:val="auto"/>
              </w:rPr>
            </w:pPr>
          </w:p>
        </w:tc>
      </w:tr>
      <w:tr>
        <w:trPr>
          <w:trHeight w:val="248"/>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9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3,263,190</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3,071,648</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9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00" w:type="dxa"/>
            <w:vAlign w:val="bottom"/>
            <w:vMerge w:val="continue"/>
          </w:tcPr>
          <w:p>
            <w:pPr>
              <w:spacing w:after="0"/>
              <w:rPr>
                <w:sz w:val="15"/>
                <w:szCs w:val="15"/>
                <w:color w:val="auto"/>
              </w:rPr>
            </w:pPr>
          </w:p>
        </w:tc>
        <w:tc>
          <w:tcPr>
            <w:tcW w:w="2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16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249,584</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191,002</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9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2,126,724</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2,208,100</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9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209,772</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198,135</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9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71,075</w:t>
            </w:r>
          </w:p>
        </w:tc>
        <w:tc>
          <w:tcPr>
            <w:tcW w:w="1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69,500</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9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2,657,155</w:t>
            </w:r>
          </w:p>
        </w:tc>
        <w:tc>
          <w:tcPr>
            <w:tcW w:w="1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2,666,737</w:t>
            </w: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9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606,035</w:t>
            </w:r>
          </w:p>
        </w:tc>
        <w:tc>
          <w:tcPr>
            <w:tcW w:w="14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404,911</w:t>
            </w:r>
          </w:p>
        </w:tc>
        <w:tc>
          <w:tcPr>
            <w:tcW w:w="0" w:type="dxa"/>
            <w:vAlign w:val="bottom"/>
          </w:tcPr>
          <w:p>
            <w:pPr>
              <w:spacing w:after="0"/>
              <w:rPr>
                <w:sz w:val="1"/>
                <w:szCs w:val="1"/>
                <w:color w:val="auto"/>
              </w:rPr>
            </w:pPr>
          </w:p>
        </w:tc>
      </w:tr>
      <w:tr>
        <w:trPr>
          <w:trHeight w:val="28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16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3,263,190</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3,071,648</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1250"/>
              <w:spacing w:after="0"/>
              <w:rPr>
                <w:sz w:val="20"/>
                <w:szCs w:val="20"/>
                <w:color w:val="auto"/>
              </w:rPr>
            </w:pPr>
            <w:r>
              <w:rPr>
                <w:rFonts w:ascii="Arial" w:cs="Arial" w:eastAsia="Arial" w:hAnsi="Arial"/>
                <w:sz w:val="18"/>
                <w:szCs w:val="18"/>
                <w:color w:val="auto"/>
              </w:rPr>
              <w:t>9</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1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gridSpan w:val="4"/>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9"/>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8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77,949</w:t>
            </w:r>
          </w:p>
        </w:tc>
        <w:tc>
          <w:tcPr>
            <w:tcW w:w="14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44,398</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items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181,202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222,400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28,044</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(42,634)</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287,195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224,164</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(138,018)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(179,070)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investing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2,874</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(135,144)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(178,996)</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long-term borrowings</w:t>
            </w:r>
          </w:p>
        </w:tc>
        <w:tc>
          <w:tcPr>
            <w:tcW w:w="2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2,259,350</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 on long-term borrowings</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(86,104)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(2,264,373)</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of debt issuance costs and debt discount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(4,374)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(32,071)</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Buyout of leased facility</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(6,736)</w:t>
            </w: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withheld for employee taxes on equity awards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(6,568)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(4,428)</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(3,488)</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(2,306)</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(100,534)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(50,564)</w:t>
            </w:r>
          </w:p>
        </w:tc>
      </w:tr>
      <w:tr>
        <w:trPr>
          <w:trHeight w:val="23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16,074</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(17,393)</w:t>
            </w:r>
          </w:p>
        </w:tc>
      </w:tr>
      <w:tr>
        <w:trPr>
          <w:trHeight w:val="221"/>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 including restricted cash</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67,591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(22,789)</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including restricted cash,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278,865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301,654</w:t>
            </w:r>
          </w:p>
        </w:tc>
      </w:tr>
      <w:tr>
        <w:trPr>
          <w:trHeight w:val="252"/>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including restricted cash, at end of period</w:t>
            </w: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346,456</w:t>
            </w:r>
          </w:p>
        </w:tc>
        <w:tc>
          <w:tcPr>
            <w:tcW w:w="140" w:type="dxa"/>
            <w:vAlign w:val="bottom"/>
          </w:tcPr>
          <w:p>
            <w:pPr>
              <w:spacing w:after="0"/>
              <w:rPr>
                <w:sz w:val="21"/>
                <w:szCs w:val="21"/>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278,865</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8"/>
        </w:trPr>
        <w:tc>
          <w:tcPr>
            <w:tcW w:w="8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8"/>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paid during the period for interest</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164,015</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179,924</w:t>
            </w:r>
          </w:p>
        </w:tc>
      </w:tr>
      <w:tr>
        <w:trPr>
          <w:trHeight w:val="228"/>
        </w:trPr>
        <w:tc>
          <w:tcPr>
            <w:tcW w:w="8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Cash paid during the period for income taxes, net of tax refunds received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60,873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65,829</w:t>
            </w:r>
          </w:p>
        </w:tc>
      </w:tr>
      <w:tr>
        <w:trPr>
          <w:trHeight w:val="231"/>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Purchases of property, plant and equipment included in accounts payable</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25,330</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10,180</w:t>
            </w:r>
          </w:p>
        </w:tc>
      </w:tr>
    </w:tbl>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ind w:left="41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40" w:type="dxa"/>
            <w:vAlign w:val="bottom"/>
          </w:tcPr>
          <w:p>
            <w:pPr>
              <w:spacing w:after="0"/>
              <w:rPr>
                <w:sz w:val="18"/>
                <w:szCs w:val="18"/>
                <w:color w:val="auto"/>
              </w:rPr>
            </w:pPr>
          </w:p>
        </w:tc>
        <w:tc>
          <w:tcPr>
            <w:tcW w:w="266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34,847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12,323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77,949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44,398</w:t>
            </w:r>
          </w:p>
        </w:tc>
        <w:tc>
          <w:tcPr>
            <w:tcW w:w="0" w:type="dxa"/>
            <w:vAlign w:val="bottom"/>
          </w:tcPr>
          <w:p>
            <w:pPr>
              <w:spacing w:after="0"/>
              <w:rPr>
                <w:sz w:val="1"/>
                <w:szCs w:val="1"/>
                <w:color w:val="auto"/>
              </w:rPr>
            </w:pPr>
          </w:p>
        </w:tc>
      </w:tr>
      <w:tr>
        <w:trPr>
          <w:trHeight w:val="214"/>
        </w:trPr>
        <w:tc>
          <w:tcPr>
            <w:tcW w:w="5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5,552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19,640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41,798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79,377</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Share-based compensation</w:t>
            </w:r>
            <w:r>
              <w:rPr>
                <w:rFonts w:ascii="Times New Roman" w:cs="Times New Roman" w:eastAsia="Times New Roman" w:hAnsi="Times New Roman"/>
                <w:sz w:val="21"/>
                <w:szCs w:val="21"/>
                <w:color w:val="auto"/>
                <w:vertAlign w:val="superscript"/>
              </w:rPr>
              <w:t>(a)</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7,603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8,173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31,068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36,896</w:t>
            </w: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Loss on refinancing of debt</w:t>
            </w:r>
            <w:r>
              <w:rPr>
                <w:rFonts w:ascii="Times New Roman" w:cs="Times New Roman" w:eastAsia="Times New Roman" w:hAnsi="Times New Roman"/>
                <w:sz w:val="21"/>
                <w:szCs w:val="21"/>
                <w:color w:val="auto"/>
                <w:vertAlign w:val="superscript"/>
              </w:rPr>
              <w:t>(b)</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295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1,462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24,168</w:t>
            </w:r>
          </w:p>
        </w:tc>
        <w:tc>
          <w:tcPr>
            <w:tcW w:w="0" w:type="dxa"/>
            <w:vAlign w:val="bottom"/>
          </w:tcPr>
          <w:p>
            <w:pPr>
              <w:spacing w:after="0"/>
              <w:rPr>
                <w:sz w:val="1"/>
                <w:szCs w:val="1"/>
                <w:color w:val="auto"/>
              </w:rPr>
            </w:pPr>
          </w:p>
        </w:tc>
      </w:tr>
      <w:tr>
        <w:trPr>
          <w:trHeight w:val="162"/>
        </w:trPr>
        <w:tc>
          <w:tcPr>
            <w:tcW w:w="520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Loss on foreign currency and derivatives not designated as hedging</w:t>
            </w: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1,352</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4,147</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58</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2,448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instruments, net</w:t>
            </w:r>
            <w:r>
              <w:rPr>
                <w:rFonts w:ascii="Times New Roman" w:cs="Times New Roman" w:eastAsia="Times New Roman" w:hAnsi="Times New Roman"/>
                <w:sz w:val="21"/>
                <w:szCs w:val="21"/>
                <w:color w:val="auto"/>
                <w:vertAlign w:val="superscript"/>
              </w:rPr>
              <w:t>(c)</w:t>
            </w:r>
          </w:p>
        </w:tc>
        <w:tc>
          <w:tcPr>
            <w:tcW w:w="16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Business optimization expenses</w:t>
            </w:r>
            <w:r>
              <w:rPr>
                <w:rFonts w:ascii="Times New Roman" w:cs="Times New Roman" w:eastAsia="Times New Roman" w:hAnsi="Times New Roman"/>
                <w:sz w:val="21"/>
                <w:szCs w:val="21"/>
                <w:color w:val="auto"/>
                <w:vertAlign w:val="superscript"/>
              </w:rPr>
              <w:t>(d)</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493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4,635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8,068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9,368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Professional services relating to EO sterilization facilities</w:t>
            </w:r>
            <w:r>
              <w:rPr>
                <w:rFonts w:ascii="Times New Roman" w:cs="Times New Roman" w:eastAsia="Times New Roman" w:hAnsi="Times New Roman"/>
                <w:sz w:val="21"/>
                <w:szCs w:val="21"/>
                <w:color w:val="auto"/>
                <w:vertAlign w:val="superscript"/>
              </w:rPr>
              <w:t>(e)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8,710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10,337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46,225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32,694</w:t>
            </w:r>
          </w:p>
        </w:tc>
        <w:tc>
          <w:tcPr>
            <w:tcW w:w="0" w:type="dxa"/>
            <w:vAlign w:val="bottom"/>
          </w:tcPr>
          <w:p>
            <w:pPr>
              <w:spacing w:after="0"/>
              <w:rPr>
                <w:sz w:val="1"/>
                <w:szCs w:val="1"/>
                <w:color w:val="auto"/>
              </w:rPr>
            </w:pPr>
          </w:p>
        </w:tc>
      </w:tr>
      <w:tr>
        <w:trPr>
          <w:trHeight w:val="230"/>
        </w:trPr>
        <w:tc>
          <w:tcPr>
            <w:tcW w:w="5200" w:type="dxa"/>
            <w:vAlign w:val="bottom"/>
          </w:tcPr>
          <w:p>
            <w:pPr>
              <w:ind w:left="240"/>
              <w:spacing w:after="0" w:line="230" w:lineRule="exact"/>
              <w:rPr>
                <w:sz w:val="20"/>
                <w:szCs w:val="20"/>
                <w:color w:val="auto"/>
              </w:rPr>
            </w:pPr>
            <w:r>
              <w:rPr>
                <w:rFonts w:ascii="Times New Roman" w:cs="Times New Roman" w:eastAsia="Times New Roman" w:hAnsi="Times New Roman"/>
                <w:sz w:val="16"/>
                <w:szCs w:val="16"/>
                <w:color w:val="auto"/>
              </w:rPr>
              <w:t>Illinois EO litigation settlements</w:t>
            </w:r>
            <w:r>
              <w:rPr>
                <w:rFonts w:ascii="Times New Roman" w:cs="Times New Roman" w:eastAsia="Times New Roman" w:hAnsi="Times New Roman"/>
                <w:sz w:val="21"/>
                <w:szCs w:val="21"/>
                <w:color w:val="auto"/>
                <w:vertAlign w:val="superscript"/>
              </w:rPr>
              <w:t>(f)</w:t>
            </w:r>
          </w:p>
        </w:tc>
        <w:tc>
          <w:tcPr>
            <w:tcW w:w="160" w:type="dxa"/>
            <w:vAlign w:val="bottom"/>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64,943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Accretion of asset retirement obligation</w:t>
            </w:r>
            <w:r>
              <w:rPr>
                <w:rFonts w:ascii="Times New Roman" w:cs="Times New Roman" w:eastAsia="Times New Roman" w:hAnsi="Times New Roman"/>
                <w:sz w:val="21"/>
                <w:szCs w:val="21"/>
                <w:color w:val="auto"/>
                <w:vertAlign w:val="superscript"/>
              </w:rPr>
              <w:t>(g)</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583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2,321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2,638</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(benefit) associated with pre-tax adjustments</w:t>
            </w:r>
            <w:r>
              <w:rPr>
                <w:rFonts w:ascii="Times New Roman" w:cs="Times New Roman" w:eastAsia="Times New Roman" w:hAnsi="Times New Roman"/>
                <w:sz w:val="21"/>
                <w:szCs w:val="21"/>
                <w:color w:val="auto"/>
                <w:vertAlign w:val="superscript"/>
              </w:rPr>
              <w:t>(h)</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15,603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(1,246)</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(28,478)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(33,487)</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75,038</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58,741</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245,414</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198,500</w:t>
            </w:r>
          </w:p>
        </w:tc>
        <w:tc>
          <w:tcPr>
            <w:tcW w:w="0" w:type="dxa"/>
            <w:vAlign w:val="bottom"/>
          </w:tcPr>
          <w:p>
            <w:pPr>
              <w:spacing w:after="0"/>
              <w:rPr>
                <w:sz w:val="1"/>
                <w:szCs w:val="1"/>
                <w:color w:val="auto"/>
              </w:rPr>
            </w:pPr>
          </w:p>
        </w:tc>
      </w:tr>
      <w:tr>
        <w:trPr>
          <w:trHeight w:val="208"/>
        </w:trPr>
        <w:tc>
          <w:tcPr>
            <w:tcW w:w="5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35,048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40,960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155,722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164,691</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40"/>
              <w:spacing w:after="0" w:line="218" w:lineRule="exact"/>
              <w:rPr>
                <w:sz w:val="20"/>
                <w:szCs w:val="20"/>
                <w:color w:val="auto"/>
              </w:rPr>
            </w:pPr>
            <w:r>
              <w:rPr>
                <w:rFonts w:ascii="Times New Roman" w:cs="Times New Roman" w:eastAsia="Times New Roman" w:hAnsi="Times New Roman"/>
                <w:sz w:val="16"/>
                <w:szCs w:val="16"/>
                <w:color w:val="auto"/>
              </w:rPr>
              <w:t>Depreciation</w:t>
            </w:r>
            <w:r>
              <w:rPr>
                <w:rFonts w:ascii="Times New Roman" w:cs="Times New Roman" w:eastAsia="Times New Roman" w:hAnsi="Times New Roman"/>
                <w:sz w:val="21"/>
                <w:szCs w:val="21"/>
                <w:color w:val="auto"/>
                <w:vertAlign w:val="superscript"/>
              </w:rPr>
              <w:t>(i)</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26,904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19,346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94,630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82,420</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CCEEFF"/>
            </w:tcBorders>
          </w:tcPr>
          <w:p>
            <w:pPr>
              <w:ind w:left="240"/>
              <w:spacing w:after="0" w:line="216" w:lineRule="exact"/>
              <w:rPr>
                <w:sz w:val="20"/>
                <w:szCs w:val="20"/>
                <w:color w:val="auto"/>
              </w:rPr>
            </w:pPr>
            <w:r>
              <w:rPr>
                <w:rFonts w:ascii="Times New Roman" w:cs="Times New Roman" w:eastAsia="Times New Roman" w:hAnsi="Times New Roman"/>
                <w:sz w:val="16"/>
                <w:szCs w:val="16"/>
                <w:color w:val="auto"/>
              </w:rPr>
              <w:t>Income tax provision applicable to Adjusted Net Income</w:t>
            </w:r>
            <w:r>
              <w:rPr>
                <w:rFonts w:ascii="Times New Roman" w:cs="Times New Roman" w:eastAsia="Times New Roman" w:hAnsi="Times New Roman"/>
                <w:sz w:val="21"/>
                <w:szCs w:val="21"/>
                <w:color w:val="auto"/>
                <w:vertAlign w:val="superscript"/>
              </w:rPr>
              <w:t>(j)</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20,047</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33,887</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98,035</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102,963</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1"/>
                <w:szCs w:val="21"/>
                <w:b w:val="1"/>
                <w:bCs w:val="1"/>
                <w:color w:val="auto"/>
                <w:vertAlign w:val="superscript"/>
              </w:rPr>
              <w:t>(k)</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157,037</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152,934</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593,801</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548,574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303,441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290,203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1,163,617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1,100,441</w:t>
            </w: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51.8 %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52.7 %</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51.0 %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49.9 %</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outstanding</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284,256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283,260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283,956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282,784</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287,554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285,817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286,421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284,906</w:t>
            </w: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0.12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0.04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0.27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14"/>
        </w:trPr>
        <w:tc>
          <w:tcPr>
            <w:tcW w:w="5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0.12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0.27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earnings per share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0.26</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0.21</w:t>
            </w:r>
          </w:p>
        </w:tc>
        <w:tc>
          <w:tcPr>
            <w:tcW w:w="1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0.86</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r>
        <w:trPr>
          <w:trHeight w:val="218"/>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0.26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0.21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0.86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0.70</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480" w:hanging="472"/>
        <w:spacing w:after="0"/>
        <w:tabs>
          <w:tab w:leader="none" w:pos="480"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share-based compensation expense related to employees and Non-Employee Directors.</w:t>
      </w:r>
    </w:p>
    <w:p>
      <w:pPr>
        <w:spacing w:after="0" w:line="45" w:lineRule="exact"/>
        <w:rPr>
          <w:rFonts w:ascii="Times New Roman" w:cs="Times New Roman" w:eastAsia="Times New Roman" w:hAnsi="Times New Roman"/>
          <w:sz w:val="16"/>
          <w:szCs w:val="16"/>
          <w:color w:val="231F20"/>
        </w:rPr>
      </w:pPr>
    </w:p>
    <w:p>
      <w:pPr>
        <w:ind w:left="500" w:right="400" w:hanging="492"/>
        <w:spacing w:after="0" w:line="272" w:lineRule="auto"/>
        <w:tabs>
          <w:tab w:leader="none" w:pos="5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write-off of unamortized debt issuance costs and discounts, as well as certain other costs incurred related to the refinancing activity for the Term Loans, the Secured Notes and the Revolving Credit Facility.</w:t>
      </w:r>
    </w:p>
    <w:p>
      <w:pPr>
        <w:spacing w:after="0" w:line="1" w:lineRule="exact"/>
        <w:rPr>
          <w:rFonts w:ascii="Times New Roman" w:cs="Times New Roman" w:eastAsia="Times New Roman" w:hAnsi="Times New Roman"/>
          <w:sz w:val="16"/>
          <w:szCs w:val="16"/>
          <w:color w:val="auto"/>
        </w:rPr>
      </w:pPr>
    </w:p>
    <w:p>
      <w:pPr>
        <w:ind w:left="500" w:right="60" w:hanging="492"/>
        <w:spacing w:after="0" w:line="281" w:lineRule="auto"/>
        <w:tabs>
          <w:tab w:leader="none" w:pos="491"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the effects of (i) fluctuations in foreign currency exchange rates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6"/>
          <w:szCs w:val="16"/>
          <w:color w:val="231F20"/>
        </w:rPr>
      </w:pPr>
    </w:p>
    <w:p>
      <w:pPr>
        <w:jc w:val="both"/>
        <w:ind w:left="500" w:right="380" w:hanging="492"/>
        <w:spacing w:after="0" w:line="270" w:lineRule="auto"/>
        <w:tabs>
          <w:tab w:leader="none" w:pos="500"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secondary offerings and shareholder engagement.</w:t>
      </w:r>
    </w:p>
    <w:p>
      <w:pPr>
        <w:ind w:left="480" w:hanging="472"/>
        <w:spacing w:after="0"/>
        <w:tabs>
          <w:tab w:leader="none" w:pos="4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litigation and other professional fees associated with our EO sterilization facilities.</w:t>
      </w:r>
    </w:p>
    <w:p>
      <w:pPr>
        <w:spacing w:after="0" w:line="45" w:lineRule="exact"/>
        <w:rPr>
          <w:rFonts w:ascii="Times New Roman" w:cs="Times New Roman" w:eastAsia="Times New Roman" w:hAnsi="Times New Roman"/>
          <w:sz w:val="16"/>
          <w:szCs w:val="16"/>
          <w:color w:val="auto"/>
        </w:rPr>
      </w:pPr>
    </w:p>
    <w:p>
      <w:pPr>
        <w:ind w:left="500" w:right="200" w:hanging="492"/>
        <w:spacing w:after="0" w:line="272" w:lineRule="auto"/>
        <w:tabs>
          <w:tab w:leader="none" w:pos="500"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(i) the cost to settle 97 pending and threatened EO claims against Sterigenics in Illinois pursuant to the term sheet entered into on April 3, 2025 and (ii) the cost to settle 129 pending and threatened EO claims against Sterigenics in Illinois pursuant to the term sheet entered into on July 23, 2025.</w:t>
      </w:r>
    </w:p>
    <w:p>
      <w:pPr>
        <w:spacing w:after="0" w:line="1" w:lineRule="exact"/>
        <w:rPr>
          <w:rFonts w:ascii="Times New Roman" w:cs="Times New Roman" w:eastAsia="Times New Roman" w:hAnsi="Times New Roman"/>
          <w:sz w:val="16"/>
          <w:szCs w:val="16"/>
          <w:color w:val="231F20"/>
        </w:rPr>
      </w:pPr>
    </w:p>
    <w:p>
      <w:pPr>
        <w:ind w:left="500" w:right="380" w:hanging="492"/>
        <w:spacing w:after="0" w:line="281" w:lineRule="auto"/>
        <w:tabs>
          <w:tab w:leader="none" w:pos="500"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Represents non-cash accretion of ARO related to Co-60 gamma and EO processing facilities, which are based on estimated site remediation costs for any future decommissioning of these facilities and are accreted over the life of the asset.</w:t>
      </w:r>
    </w:p>
    <w:p>
      <w:pPr>
        <w:spacing w:after="0" w:line="1" w:lineRule="exact"/>
        <w:rPr>
          <w:rFonts w:ascii="Times New Roman" w:cs="Times New Roman" w:eastAsia="Times New Roman" w:hAnsi="Times New Roman"/>
          <w:sz w:val="16"/>
          <w:szCs w:val="16"/>
          <w:color w:val="231F20"/>
        </w:rPr>
      </w:pPr>
    </w:p>
    <w:p>
      <w:pPr>
        <w:ind w:left="500" w:right="20" w:hanging="492"/>
        <w:spacing w:after="0" w:line="272" w:lineRule="auto"/>
        <w:tabs>
          <w:tab w:leader="none" w:pos="500"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income tax impact of adjustments calculated based on the tax rate applicable to each item. We eliminate the effect of tax rate changes as applied to tax assets and liabilities, and unusual items from our presentation of adjusted net income.</w:t>
      </w:r>
    </w:p>
    <w:p>
      <w:pPr>
        <w:spacing w:after="0" w:line="1" w:lineRule="exact"/>
        <w:rPr>
          <w:rFonts w:ascii="Times New Roman" w:cs="Times New Roman" w:eastAsia="Times New Roman" w:hAnsi="Times New Roman"/>
          <w:sz w:val="16"/>
          <w:szCs w:val="16"/>
          <w:color w:val="231F20"/>
        </w:rPr>
      </w:pPr>
    </w:p>
    <w:p>
      <w:pPr>
        <w:ind w:left="480" w:hanging="472"/>
        <w:spacing w:after="0"/>
        <w:tabs>
          <w:tab w:leader="none" w:pos="480"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Includes depreciation of Co-60 held at gamma irradiation sites and excludes accelerated depreciation associated with business optimization activities.</w:t>
      </w:r>
    </w:p>
    <w:p>
      <w:pPr>
        <w:spacing w:after="0" w:line="45" w:lineRule="exact"/>
        <w:rPr>
          <w:rFonts w:ascii="Times New Roman" w:cs="Times New Roman" w:eastAsia="Times New Roman" w:hAnsi="Times New Roman"/>
          <w:sz w:val="16"/>
          <w:szCs w:val="16"/>
          <w:color w:val="231F20"/>
        </w:rPr>
      </w:pPr>
    </w:p>
    <w:p>
      <w:pPr>
        <w:ind w:left="500" w:right="660" w:hanging="492"/>
        <w:spacing w:after="0" w:line="280" w:lineRule="auto"/>
        <w:tabs>
          <w:tab w:leader="none" w:pos="491"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Represents the difference between the income tax provision as determined under U.S. GAAP and the income tax provision (benefit) associated with pre-tax adjustments described in footnote (h).</w:t>
      </w:r>
    </w:p>
    <w:p>
      <w:pPr>
        <w:spacing w:after="0" w:line="2" w:lineRule="exact"/>
        <w:rPr>
          <w:rFonts w:ascii="Times New Roman" w:cs="Times New Roman" w:eastAsia="Times New Roman" w:hAnsi="Times New Roman"/>
          <w:sz w:val="16"/>
          <w:szCs w:val="16"/>
          <w:color w:val="231F20"/>
        </w:rPr>
      </w:pPr>
    </w:p>
    <w:p>
      <w:pPr>
        <w:jc w:val="both"/>
        <w:ind w:left="500" w:right="40" w:hanging="492"/>
        <w:spacing w:after="0" w:line="263" w:lineRule="auto"/>
        <w:tabs>
          <w:tab w:leader="none" w:pos="500"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$27.2 million and $24.1 million of the adjustments for the three months ended December 31, 2025 </w:t>
      </w:r>
      <w:r>
        <w:rPr>
          <w:rFonts w:ascii="Times New Roman" w:cs="Times New Roman" w:eastAsia="Times New Roman" w:hAnsi="Times New Roman"/>
          <w:sz w:val="16"/>
          <w:szCs w:val="16"/>
          <w:color w:val="000000"/>
        </w:rPr>
        <w:t>and</w:t>
      </w:r>
      <w:r>
        <w:rPr>
          <w:rFonts w:ascii="Times New Roman" w:cs="Times New Roman" w:eastAsia="Times New Roman" w:hAnsi="Times New Roman"/>
          <w:sz w:val="16"/>
          <w:szCs w:val="16"/>
          <w:color w:val="231F20"/>
        </w:rPr>
        <w:t xml:space="preserve"> 2024, respectively, and $99.9 million and $97.1 million of the adjustments for the </w:t>
      </w:r>
      <w:r>
        <w:rPr>
          <w:rFonts w:ascii="Times New Roman" w:cs="Times New Roman" w:eastAsia="Times New Roman" w:hAnsi="Times New Roman"/>
          <w:sz w:val="16"/>
          <w:szCs w:val="16"/>
          <w:color w:val="000000"/>
        </w:rPr>
        <w:t>year ended December 31, 2025 and</w:t>
      </w:r>
      <w:r>
        <w:rPr>
          <w:rFonts w:ascii="Times New Roman" w:cs="Times New Roman" w:eastAsia="Times New Roman" w:hAnsi="Times New Roman"/>
          <w:sz w:val="16"/>
          <w:szCs w:val="16"/>
          <w:color w:val="231F20"/>
        </w:rPr>
        <w:t xml:space="preserve"> 2024, respectively, are included in cost of revenues, primarily consisting of amortization of intangible assets, depreciation, and accretion of asset retirement obligations.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2"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Sotera Health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Net Leverage)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340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19"/>
                <w:szCs w:val="19"/>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13,973</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2,126,724</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2,208,100</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leases</w:t>
            </w: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3,465</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less current portion</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93,835</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95,286</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2,237,997</w:t>
            </w:r>
          </w:p>
        </w:tc>
        <w:tc>
          <w:tcPr>
            <w:tcW w:w="14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2,321,112</w:t>
            </w: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1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(344,621)</w:t>
            </w: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(277,242)</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1,893,376</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2,043,870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593,801</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548,574</w:t>
            </w:r>
          </w:p>
        </w:tc>
      </w:tr>
      <w:tr>
        <w:trPr>
          <w:trHeight w:val="238"/>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w:t>
            </w:r>
          </w:p>
        </w:tc>
        <w:tc>
          <w:tcPr>
            <w:tcW w:w="12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3.2x</w:t>
            </w:r>
          </w:p>
        </w:tc>
        <w:tc>
          <w:tcPr>
            <w:tcW w:w="1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lvl>
    <w:lvl w:ilvl="1">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2026-02-24T06:25:04Z</dcterms:created>
  <dcterms:modified xsi:type="dcterms:W3CDTF">2026-02-24T06:25:04Z</dcterms:modified>
</cp:coreProperties>
</file>