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955"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WARBURG PINCUS &amp; CO.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450 LEXINGTON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Sotera Health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955"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955"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1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40" w:type="dxa"/>
            <w:vAlign w:val="bottom"/>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30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4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4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13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14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1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(A)</w:t>
            </w:r>
          </w:p>
        </w:tc>
        <w:tc>
          <w:tcPr>
            <w:tcW w:w="7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w:t>
            </w:r>
          </w:p>
        </w:tc>
        <w:tc>
          <w:tcPr>
            <w:tcW w:w="6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ind w:left="300"/>
              <w:spacing w:after="0"/>
              <w:rPr>
                <w:sz w:val="20"/>
                <w:szCs w:val="20"/>
                <w:color w:val="auto"/>
              </w:rPr>
            </w:pPr>
            <w:r>
              <w:rPr>
                <w:rFonts w:ascii="Arial" w:cs="Arial" w:eastAsia="Arial" w:hAnsi="Arial"/>
                <w:sz w:val="12"/>
                <w:szCs w:val="12"/>
                <w:b w:val="1"/>
                <w:bCs w:val="1"/>
                <w:color w:val="auto"/>
              </w:rPr>
              <w:t>(D)</w:t>
            </w:r>
          </w:p>
        </w:tc>
        <w:tc>
          <w:tcPr>
            <w:tcW w:w="7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1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26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03/06/2026</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S</w:t>
            </w:r>
          </w:p>
        </w:tc>
        <w:tc>
          <w:tcPr>
            <w:tcW w:w="156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15,000,000</w:t>
            </w:r>
            <w:r>
              <w:rPr>
                <w:rFonts w:ascii="Times New Roman" w:cs="Times New Roman" w:eastAsia="Times New Roman" w:hAnsi="Times New Roman"/>
                <w:sz w:val="22"/>
                <w:szCs w:val="22"/>
                <w:color w:val="008000"/>
                <w:vertAlign w:val="superscript"/>
              </w:rPr>
              <w:t>(1)</w:t>
            </w:r>
            <w:r>
              <w:rPr>
                <w:rFonts w:ascii="Times New Roman" w:cs="Times New Roman" w:eastAsia="Times New Roman" w:hAnsi="Times New Roman"/>
                <w:sz w:val="17"/>
                <w:szCs w:val="17"/>
                <w:color w:val="0000FF"/>
              </w:rPr>
              <w:t xml:space="preserve">    D</w:t>
            </w:r>
          </w:p>
        </w:tc>
        <w:tc>
          <w:tcPr>
            <w:tcW w:w="880" w:type="dxa"/>
            <w:vAlign w:val="bottom"/>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15.27</w:t>
            </w:r>
          </w:p>
        </w:tc>
        <w:tc>
          <w:tcPr>
            <w:tcW w:w="1420" w:type="dxa"/>
            <w:vAlign w:val="bottom"/>
            <w:gridSpan w:val="3"/>
          </w:tcPr>
          <w:p>
            <w:pPr>
              <w:jc w:val="right"/>
              <w:ind w:right="460"/>
              <w:spacing w:after="0"/>
              <w:rPr>
                <w:sz w:val="20"/>
                <w:szCs w:val="20"/>
                <w:color w:val="auto"/>
              </w:rPr>
            </w:pPr>
            <w:r>
              <w:rPr>
                <w:rFonts w:ascii="Times New Roman" w:cs="Times New Roman" w:eastAsia="Times New Roman" w:hAnsi="Times New Roman"/>
                <w:sz w:val="17"/>
                <w:szCs w:val="17"/>
                <w:color w:val="0000FF"/>
                <w:w w:val="93"/>
              </w:rPr>
              <w:t>19,102,952</w:t>
            </w:r>
            <w:r>
              <w:rPr>
                <w:rFonts w:ascii="Times New Roman" w:cs="Times New Roman" w:eastAsia="Times New Roman" w:hAnsi="Times New Roman"/>
                <w:sz w:val="22"/>
                <w:szCs w:val="22"/>
                <w:color w:val="008000"/>
                <w:w w:val="93"/>
                <w:vertAlign w:val="superscript"/>
              </w:rPr>
              <w:t>(2)</w:t>
            </w: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40" w:type="dxa"/>
            <w:vAlign w:val="bottom"/>
            <w:gridSpan w:val="3"/>
          </w:tcPr>
          <w:p>
            <w:pPr>
              <w:ind w:left="200"/>
              <w:spacing w:after="0"/>
              <w:rPr>
                <w:sz w:val="20"/>
                <w:szCs w:val="20"/>
                <w:color w:val="auto"/>
              </w:rPr>
            </w:pPr>
            <w:r>
              <w:rPr>
                <w:rFonts w:ascii="Times New Roman" w:cs="Times New Roman" w:eastAsia="Times New Roman" w:hAnsi="Times New Roman"/>
                <w:sz w:val="17"/>
                <w:szCs w:val="17"/>
                <w:color w:val="0000FF"/>
              </w:rPr>
              <w:t>See Footnote</w:t>
            </w:r>
            <w:r>
              <w:rPr>
                <w:rFonts w:ascii="Times New Roman" w:cs="Times New Roman" w:eastAsia="Times New Roman" w:hAnsi="Times New Roman"/>
                <w:sz w:val="22"/>
                <w:szCs w:val="22"/>
                <w:color w:val="008000"/>
                <w:vertAlign w:val="superscript"/>
              </w:rPr>
              <w:t>(3)</w:t>
            </w:r>
          </w:p>
        </w:tc>
      </w:tr>
      <w:tr>
        <w:trPr>
          <w:trHeight w:val="260"/>
        </w:trPr>
        <w:tc>
          <w:tcPr>
            <w:tcW w:w="20" w:type="dxa"/>
            <w:vAlign w:val="bottom"/>
            <w:tcBorders>
              <w:bottom w:val="single" w:sz="8" w:color="2C2C2C"/>
            </w:tcBorders>
          </w:tcPr>
          <w:p>
            <w:pPr>
              <w:spacing w:after="0"/>
              <w:rPr>
                <w:sz w:val="22"/>
                <w:szCs w:val="22"/>
                <w:color w:val="auto"/>
              </w:rPr>
            </w:pPr>
          </w:p>
        </w:tc>
        <w:tc>
          <w:tcPr>
            <w:tcW w:w="26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1140" w:type="dxa"/>
            <w:vAlign w:val="bottom"/>
            <w:tcBorders>
              <w:bottom w:val="single" w:sz="8" w:color="2C2C2C"/>
            </w:tcBorders>
          </w:tcPr>
          <w:p>
            <w:pPr>
              <w:spacing w:after="0"/>
              <w:rPr>
                <w:sz w:val="22"/>
                <w:szCs w:val="22"/>
                <w:color w:val="auto"/>
              </w:rPr>
            </w:pPr>
          </w:p>
        </w:tc>
        <w:tc>
          <w:tcPr>
            <w:tcW w:w="500" w:type="dxa"/>
            <w:vAlign w:val="bottom"/>
            <w:tcBorders>
              <w:bottom w:val="single" w:sz="8" w:color="2C2C2C"/>
            </w:tcBorders>
          </w:tcPr>
          <w:p>
            <w:pPr>
              <w:spacing w:after="0"/>
              <w:rPr>
                <w:sz w:val="22"/>
                <w:szCs w:val="22"/>
                <w:color w:val="auto"/>
              </w:rPr>
            </w:pPr>
          </w:p>
        </w:tc>
        <w:tc>
          <w:tcPr>
            <w:tcW w:w="10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200" w:type="dxa"/>
            <w:vAlign w:val="bottom"/>
            <w:tcBorders>
              <w:bottom w:val="single" w:sz="8" w:color="2C2C2C"/>
            </w:tcBorders>
          </w:tcPr>
          <w:p>
            <w:pPr>
              <w:spacing w:after="0"/>
              <w:rPr>
                <w:sz w:val="22"/>
                <w:szCs w:val="22"/>
                <w:color w:val="auto"/>
              </w:rPr>
            </w:pPr>
          </w:p>
        </w:tc>
        <w:tc>
          <w:tcPr>
            <w:tcW w:w="740" w:type="dxa"/>
            <w:vAlign w:val="bottom"/>
            <w:tcBorders>
              <w:bottom w:val="single" w:sz="8" w:color="2C2C2C"/>
            </w:tcBorders>
          </w:tcPr>
          <w:p>
            <w:pPr>
              <w:spacing w:after="0"/>
              <w:rPr>
                <w:sz w:val="22"/>
                <w:szCs w:val="22"/>
                <w:color w:val="auto"/>
              </w:rPr>
            </w:pPr>
          </w:p>
        </w:tc>
        <w:tc>
          <w:tcPr>
            <w:tcW w:w="80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880" w:type="dxa"/>
            <w:vAlign w:val="bottom"/>
            <w:tcBorders>
              <w:bottom w:val="single" w:sz="8" w:color="2C2C2C"/>
            </w:tcBorders>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3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1"/>
                <w:szCs w:val="11"/>
                <w:color w:val="008000"/>
              </w:rPr>
              <w:t>(4)(5)(6)</w:t>
            </w:r>
          </w:p>
        </w:tc>
        <w:tc>
          <w:tcPr>
            <w:tcW w:w="680" w:type="dxa"/>
            <w:vAlign w:val="bottom"/>
            <w:tcBorders>
              <w:bottom w:val="single" w:sz="8" w:color="2C2C2C"/>
            </w:tcBorders>
          </w:tcPr>
          <w:p>
            <w:pPr>
              <w:spacing w:after="0"/>
              <w:rPr>
                <w:sz w:val="22"/>
                <w:szCs w:val="22"/>
                <w:color w:val="auto"/>
              </w:rPr>
            </w:pPr>
          </w:p>
        </w:tc>
        <w:tc>
          <w:tcPr>
            <w:tcW w:w="100" w:type="dxa"/>
            <w:vAlign w:val="bottom"/>
          </w:tcPr>
          <w:p>
            <w:pPr>
              <w:spacing w:after="0"/>
              <w:rPr>
                <w:sz w:val="22"/>
                <w:szCs w:val="22"/>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11"/>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2"/>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8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8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2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WARBURG PINCUS &amp; CO.</w:t>
              </w:r>
            </w:hyperlink>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-3397885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Warburg Pincus (Bermuda) Private Equity GP</w:t>
        </w:r>
      </w:hyperlink>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Ltd.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63" w:lineRule="exact"/>
        <w:rPr>
          <w:sz w:val="24"/>
          <w:szCs w:val="24"/>
          <w:color w:val="auto"/>
        </w:rPr>
      </w:pPr>
    </w:p>
    <w:p>
      <w:pPr>
        <w:spacing w:after="0"/>
        <w:rPr>
          <w:sz w:val="20"/>
          <w:szCs w:val="20"/>
          <w:color w:val="auto"/>
        </w:rPr>
      </w:pPr>
      <w:r>
        <w:rPr>
          <w:sz w:val="1"/>
          <w:szCs w:val="1"/>
          <w:color w:val="auto"/>
        </w:rPr>
        <w:drawing>
          <wp:inline distT="0" distB="0" distL="0" distR="0">
            <wp:extent cx="33655" cy="215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3655" cy="215900"/>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55" w:orient="portrait"/>
          <w:cols w:equalWidth="0" w:num="1">
            <w:col w:w="11080"/>
          </w:cols>
          <w:pgMar w:left="460" w:top="219" w:right="359" w:bottom="0" w:gutter="0" w:footer="0" w:header="0"/>
          <w:type w:val="continuous"/>
        </w:sectPr>
      </w:pPr>
    </w:p>
    <w:bookmarkStart w:id="1" w:name="page2"/>
    <w:bookmarkEnd w:id="1"/>
    <w:p>
      <w:pPr>
        <w:spacing w:after="0" w:line="55" w:lineRule="exact"/>
        <w:rPr>
          <w:sz w:val="20"/>
          <w:szCs w:val="20"/>
          <w:color w:val="auto"/>
        </w:rPr>
      </w:pP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Warburg Pincus (Cayman) XI, 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-134620</wp:posOffset>
            </wp:positionV>
            <wp:extent cx="2809240" cy="104120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2809240" cy="10412095"/>
                    </a:xfrm>
                    <a:prstGeom prst="rect">
                      <a:avLst/>
                    </a:prstGeom>
                    <a:noFill/>
                  </pic:spPr>
                </pic:pic>
              </a:graphicData>
            </a:graphic>
          </wp:anchor>
        </w:drawing>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WARBURG PINCUS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Warburg Pincus Partners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3">
        <w:r>
          <w:rPr>
            <w:rFonts w:ascii="Times New Roman" w:cs="Times New Roman" w:eastAsia="Times New Roman" w:hAnsi="Times New Roman"/>
            <w:sz w:val="21"/>
            <w:szCs w:val="21"/>
            <w:u w:val="single" w:color="auto"/>
            <w:color w:val="0000EE"/>
          </w:rPr>
          <w:t>Warburg Pincus Partners II (Cayman),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2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64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6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3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2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4">
        <w:r>
          <w:rPr>
            <w:rFonts w:ascii="Times New Roman" w:cs="Times New Roman" w:eastAsia="Times New Roman" w:hAnsi="Times New Roman"/>
            <w:sz w:val="21"/>
            <w:szCs w:val="21"/>
            <w:u w:val="single" w:color="auto"/>
            <w:color w:val="0000EE"/>
          </w:rPr>
          <w:t>Warburg Pincus Private Equity XI-C,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5">
              <w:r>
                <w:rPr>
                  <w:rFonts w:ascii="Times New Roman" w:cs="Times New Roman" w:eastAsia="Times New Roman" w:hAnsi="Times New Roman"/>
                  <w:sz w:val="21"/>
                  <w:szCs w:val="21"/>
                  <w:color w:val="0000EE"/>
                </w:rPr>
                <w:t>Warburg Pincus XI-C,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WARBURG PINCUS LLC</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450 LEXINGTON AVENUE</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ectPr>
          <w:pgSz w:w="11900" w:h="16894" w:orient="portrait"/>
          <w:cols w:equalWidth="0" w:num="1">
            <w:col w:w="9979"/>
          </w:cols>
          <w:pgMar w:left="480" w:top="111" w:right="1440" w:bottom="0" w:gutter="0" w:footer="0" w:header="0"/>
        </w:sectPr>
      </w:pPr>
    </w:p>
    <w:bookmarkStart w:id="2" w:name="page3"/>
    <w:bookmarkEnd w:id="2"/>
    <w:p>
      <w:pPr>
        <w:ind w:right="30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6, 2026, certain of the Warburg Pincus Entities (as defined below) sold a total of 15,000,000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right="24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15,287,717 shares of Common Stock of the Issuer held by Bull Holdco L.P. ("Bull Holdco") and (iii) 3,815,235 shares of Common Stock of the Issuer held by Bull Co-Invest L.P., a Delaware limited partnership ("Bull Co-Invest").</w:t>
      </w:r>
    </w:p>
    <w:p>
      <w:pPr>
        <w:spacing w:after="0" w:line="7" w:lineRule="exact"/>
        <w:rPr>
          <w:rFonts w:ascii="Times New Roman" w:cs="Times New Roman" w:eastAsia="Times New Roman" w:hAnsi="Times New Roman"/>
          <w:sz w:val="13"/>
          <w:szCs w:val="13"/>
          <w:color w:val="008000"/>
        </w:rPr>
      </w:pPr>
    </w:p>
    <w:p>
      <w:pPr>
        <w:ind w:right="60" w:firstLine="7"/>
        <w:spacing w:after="0" w:line="244"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 L.P., a Delaware limited partnership ("WP XI GP"), is the general partner of each of (i) Warburg Pincus Private Equity XI, L.P. ("WP XI"), (ii)Warburg Pincus Private Equity XI-B, L.P. ("WP XI-B"), (iii) WP XI Partners, L.P. ("WP XI Partners") and (iv) Warburg Pincus XI Partners, L.P. ("Warburg Pincus XI Partners"). WP Global LLC ("WP Global"), is the general partner of WP XI GP. Warburg Pincus Partners II, L.P. ("WPP II"), is the managing member of WP Global.Warburg Pincus Partners GP LLC ("WPP GP LLC"), is the general partner of WPP II. Warburg Pincus &amp; Co. ("WP"), is the managing member of WPP GP LLC.Warburg Pincus (Cayman) XI, L.P. ("WP XI Cayman GP"), is the general partner of Warburg Pincus Private Equity XI-C, L.P. ("WP XI-C" and, together with WP XI,WP XI-B, WP XI Partners and Warburg Pincus XI Partners, the "WP XI Funds").</w:t>
      </w:r>
    </w:p>
    <w:p>
      <w:pPr>
        <w:spacing w:after="0" w:line="26"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WP XI Funds, Bull Co-Invest, Bull Holdco, WP Global, WPP II, WPP GP LLC, WP XI Cayman GP, WP XI-C LLC, WPP II Cayman, WP Bermuda GP, WP Bull Manager, WP LLC and WP are collectively referred to herein as the "Warburg Pincus Entities."</w:t>
      </w:r>
    </w:p>
    <w:p>
      <w:pPr>
        <w:spacing w:after="0" w:line="7"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Warburg Pincus Entity disclaims beneficial ownership with respect to any shares of Common Stock of the Issuer, except to the extent of its pecuniary interest in such shares of Common Stock, if any. The WP XI Funds, Bull Co-Invest, Bull Holdco, WP Global, WPP II, WPP GP LLC, WP XI Cayman GP, WP XI-C LLC, WPP II Cayman, WP Bermuda GP, WP Bull Manager, WP LLC and WP are directors-by-deputization solely for purposes of Section 16 of the Securities Exchange Act of 1934, as amended. Information with respect to each of the Warburg Pincus Entities is given solely by such Warburg Pincus Entity, and no Warburg Pincus Entity has responsibility for the accuracy or completeness of information supplied by another Warburg Pincus Entity.</w:t>
      </w:r>
    </w:p>
    <w:p>
      <w:pPr>
        <w:spacing w:after="0" w:line="24" w:lineRule="exact"/>
        <w:rPr>
          <w:rFonts w:ascii="Times New Roman" w:cs="Times New Roman" w:eastAsia="Times New Roman" w:hAnsi="Times New Roman"/>
          <w:sz w:val="13"/>
          <w:szCs w:val="13"/>
          <w:color w:val="008000"/>
        </w:rPr>
      </w:pPr>
    </w:p>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Form 2 of 2. Two reports are filed that relate to the same transactions. See Form 1 of 2 for additional reporting entities.</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See Exhibit 99.1</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80"/>
          </w:cols>
          <w:pgMar w:left="500" w:top="167"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9"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List of Reporting Owners and Signature Page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designated filer: WARBURG PINCUS &amp; CO.</w:t>
      </w:r>
    </w:p>
    <w:p>
      <w:pPr>
        <w:spacing w:after="0" w:line="21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color w:val="auto"/>
        </w:rPr>
        <w:t>Other joint filers: Warburg Pincus Private Equity XI, L.P., WP XI Partners, L.P., Warburg Pincus XI Partners, L.P., Warburg Pincus Private Equity XI-B, L.P., Bull Co-Invest L.P., Bull Holdco, L.P., Warburg Pincus XI, L.P., WP Global LLC, Warburg Pincus Partners II, 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each joint filer is: c/o Warburg Pincus &amp; Co., 450 Lexington Avenue, New York, New York 10017</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 or Trading Symbol: Sotera Health Co [SHC]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342265</wp:posOffset>
            </wp:positionV>
            <wp:extent cx="69640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ectPr>
          <w:pgSz w:w="11900" w:h="16838" w:orient="portrait"/>
          <w:cols w:equalWidth="0" w:num="1">
            <w:col w:w="10980"/>
          </w:cols>
          <w:pgMar w:left="460" w:top="332" w:right="459" w:bottom="1440" w:gutter="0" w:footer="0" w:header="0"/>
        </w:sectPr>
      </w:pPr>
    </w:p>
    <w:bookmarkStart w:id="4" w:name="page5"/>
    <w:bookmarkEnd w:id="4"/>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599"/>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8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c>
          <w:tcPr>
            <w:tcW w:w="1660" w:type="dxa"/>
            <w:vAlign w:val="bottom"/>
          </w:tcPr>
          <w:p>
            <w:pPr>
              <w:spacing w:after="0"/>
              <w:rPr>
                <w:sz w:val="24"/>
                <w:szCs w:val="24"/>
                <w:color w:val="auto"/>
              </w:rPr>
            </w:pPr>
          </w:p>
        </w:tc>
      </w:tr>
      <w:tr>
        <w:trPr>
          <w:trHeight w:val="241"/>
        </w:trPr>
        <w:tc>
          <w:tcPr>
            <w:tcW w:w="174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64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 L.P.</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07"/>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86"/>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8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c>
          <w:tcPr>
            <w:tcW w:w="1660" w:type="dxa"/>
            <w:vAlign w:val="bottom"/>
          </w:tcPr>
          <w:p>
            <w:pPr>
              <w:spacing w:after="0"/>
              <w:rPr>
                <w:sz w:val="24"/>
                <w:szCs w:val="24"/>
                <w:color w:val="auto"/>
              </w:rPr>
            </w:pPr>
          </w:p>
        </w:tc>
      </w:tr>
      <w:tr>
        <w:trPr>
          <w:trHeight w:val="241"/>
        </w:trPr>
        <w:tc>
          <w:tcPr>
            <w:tcW w:w="174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64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WP XI PARTNERS, L.P.</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07"/>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86"/>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8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c>
          <w:tcPr>
            <w:tcW w:w="1660" w:type="dxa"/>
            <w:vAlign w:val="bottom"/>
          </w:tcPr>
          <w:p>
            <w:pPr>
              <w:spacing w:after="0"/>
              <w:rPr>
                <w:sz w:val="24"/>
                <w:szCs w:val="24"/>
                <w:color w:val="auto"/>
              </w:rPr>
            </w:pPr>
          </w:p>
        </w:tc>
      </w:tr>
      <w:tr>
        <w:trPr>
          <w:trHeight w:val="241"/>
        </w:trPr>
        <w:tc>
          <w:tcPr>
            <w:tcW w:w="174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64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07"/>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86"/>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8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c>
          <w:tcPr>
            <w:tcW w:w="1660" w:type="dxa"/>
            <w:vAlign w:val="bottom"/>
          </w:tcPr>
          <w:p>
            <w:pPr>
              <w:spacing w:after="0"/>
              <w:rPr>
                <w:sz w:val="24"/>
                <w:szCs w:val="24"/>
                <w:color w:val="auto"/>
              </w:rPr>
            </w:pPr>
          </w:p>
        </w:tc>
      </w:tr>
      <w:tr>
        <w:trPr>
          <w:trHeight w:val="241"/>
        </w:trPr>
        <w:tc>
          <w:tcPr>
            <w:tcW w:w="174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640"/>
        </w:trPr>
        <w:tc>
          <w:tcPr>
            <w:tcW w:w="8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XI-B, L.P.</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07"/>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3"/>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spacing w:after="0"/>
              <w:rPr>
                <w:sz w:val="20"/>
                <w:szCs w:val="20"/>
                <w:color w:val="auto"/>
              </w:rPr>
            </w:pP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386"/>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380" w:type="dxa"/>
            <w:vAlign w:val="bottom"/>
          </w:tcPr>
          <w:p>
            <w:pPr>
              <w:spacing w:after="0"/>
              <w:rPr>
                <w:sz w:val="24"/>
                <w:szCs w:val="24"/>
                <w:color w:val="auto"/>
              </w:rPr>
            </w:pPr>
          </w:p>
        </w:tc>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03/10/2026</w:t>
            </w:r>
          </w:p>
        </w:tc>
        <w:tc>
          <w:tcPr>
            <w:tcW w:w="1660" w:type="dxa"/>
            <w:vAlign w:val="bottom"/>
          </w:tcPr>
          <w:p>
            <w:pPr>
              <w:spacing w:after="0"/>
              <w:rPr>
                <w:sz w:val="24"/>
                <w:szCs w:val="24"/>
                <w:color w:val="auto"/>
              </w:rPr>
            </w:pPr>
          </w:p>
        </w:tc>
      </w:tr>
      <w:tr>
        <w:trPr>
          <w:trHeight w:val="241"/>
        </w:trPr>
        <w:tc>
          <w:tcPr>
            <w:tcW w:w="1740" w:type="dxa"/>
            <w:vAlign w:val="bottom"/>
          </w:tcPr>
          <w:p>
            <w:pPr>
              <w:spacing w:after="0"/>
              <w:rPr>
                <w:sz w:val="20"/>
                <w:szCs w:val="20"/>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8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2"/>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82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772"/>
        </w:trPr>
        <w:tc>
          <w:tcPr>
            <w:tcW w:w="17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1440" w:right="459" w:bottom="263"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BULL CO-INVEST, L.P.</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407"/>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Bull Manager, LLC, its general partner</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2"/>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86"/>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4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03/10/2026</w:t>
            </w: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1"/>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40"/>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BULL HOLDCO, L.P.</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07"/>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Bull Holdco GP LLC, its general partner</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Private Equity XI, L.P., its sole and managing member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XI, L.P., its general partner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2"/>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By: Warburg Pincus &amp; Co., its managing member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86"/>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4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5"/>
              </w:rPr>
              <w:t>3/10/2026</w:t>
            </w: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41"/>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40"/>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WARBURG PINCUS XI, L.P.</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07"/>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WP Global LLC, its general partner</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3"/>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2"/>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86"/>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4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03/10/2026</w:t>
            </w: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1"/>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460" w:type="dxa"/>
            <w:vAlign w:val="bottom"/>
          </w:tcPr>
          <w:p>
            <w:pPr>
              <w:spacing w:after="0"/>
              <w:rPr>
                <w:sz w:val="18"/>
                <w:szCs w:val="18"/>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Harsha G. Marti</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60" w:type="dxa"/>
            <w:vAlign w:val="bottom"/>
          </w:tcPr>
          <w:p>
            <w:pPr>
              <w:spacing w:after="0"/>
              <w:rPr>
                <w:sz w:val="20"/>
                <w:szCs w:val="20"/>
                <w:color w:val="auto"/>
              </w:rPr>
            </w:pP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Partner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40"/>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WP GLOBAL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07"/>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Warburg Pincus Partners II, L.P., its managing member</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3"/>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86"/>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4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03/10/2026</w:t>
            </w: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1"/>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Harsha G. Marti</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Partner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40"/>
        </w:trPr>
        <w:tc>
          <w:tcPr>
            <w:tcW w:w="83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WARBURG PINCUS PARTNERS II, L.P.</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407"/>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Warburg Pincus Partners GP LLC, its general partner</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86"/>
        </w:trPr>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w w:val="97"/>
              </w:rPr>
              <w:t>/s/ Harsha G. Marti</w:t>
            </w:r>
          </w:p>
        </w:tc>
        <w:tc>
          <w:tcPr>
            <w:tcW w:w="544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03/10/2026</w:t>
            </w: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1"/>
        </w:trPr>
        <w:tc>
          <w:tcPr>
            <w:tcW w:w="1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Signature of Reporting Person</w:t>
            </w:r>
          </w:p>
        </w:tc>
        <w:tc>
          <w:tcPr>
            <w:tcW w:w="2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213"/>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Harsha G. Marti</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2"/>
        </w:trPr>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72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Partner</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746"/>
        </w:trPr>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10980"/>
          </w:cols>
          <w:pgMar w:left="460" w:top="1238" w:right="459" w:bottom="1116" w:gutter="0" w:footer="0" w:header="0"/>
        </w:sectPr>
      </w:pPr>
    </w:p>
    <w:bookmarkStart w:id="6" w:name="page7"/>
    <w:bookmarkEnd w:id="6"/>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8" Type="http://schemas.openxmlformats.org/officeDocument/2006/relationships/image" Target="media/image8.png"/><Relationship Id="rId20" Type="http://schemas.openxmlformats.org/officeDocument/2006/relationships/image" Target="media/image9.png"/><Relationship Id="rId26" Type="http://schemas.openxmlformats.org/officeDocument/2006/relationships/image" Target="media/image10.png"/><Relationship Id="rId13" Type="http://schemas.openxmlformats.org/officeDocument/2006/relationships/hyperlink" Target="http://www.sec.gov/cgi-bin/browse-edgar?action=getcompany&amp;CIK=0000929408" TargetMode="External"/><Relationship Id="rId14" Type="http://schemas.openxmlformats.org/officeDocument/2006/relationships/hyperlink" Target="http://www.sec.gov/cgi-bin/browse-edgar?action=getcompany&amp;CIK=0001822479" TargetMode="External"/><Relationship Id="rId17" Type="http://schemas.openxmlformats.org/officeDocument/2006/relationships/hyperlink" Target="http://www.sec.gov/cgi-bin/browse-edgar?action=getcompany&amp;CIK=0001555729" TargetMode="External"/><Relationship Id="rId19" Type="http://schemas.openxmlformats.org/officeDocument/2006/relationships/hyperlink" Target="http://www.sec.gov/cgi-bin/browse-edgar?action=getcompany&amp;CIK=0001554853" TargetMode="External"/><Relationship Id="rId21" Type="http://schemas.openxmlformats.org/officeDocument/2006/relationships/hyperlink" Target="http://www.sec.gov/cgi-bin/browse-edgar?action=getcompany&amp;CIK=0001162870" TargetMode="External"/><Relationship Id="rId22" Type="http://schemas.openxmlformats.org/officeDocument/2006/relationships/hyperlink" Target="http://www.sec.gov/cgi-bin/browse-edgar?action=getcompany&amp;CIK=0001621224" TargetMode="External"/><Relationship Id="rId23" Type="http://schemas.openxmlformats.org/officeDocument/2006/relationships/hyperlink" Target="http://www.sec.gov/cgi-bin/browse-edgar?action=getcompany&amp;CIK=0001658820" TargetMode="External"/><Relationship Id="rId24" Type="http://schemas.openxmlformats.org/officeDocument/2006/relationships/hyperlink" Target="http://www.sec.gov/cgi-bin/browse-edgar?action=getcompany&amp;CIK=0001550877" TargetMode="External"/><Relationship Id="rId25" Type="http://schemas.openxmlformats.org/officeDocument/2006/relationships/hyperlink" Target="http://www.sec.gov/cgi-bin/browse-edgar?action=getcompany&amp;CIK=00015548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2026-03-10T18:54:57Z</dcterms:created>
  <dcterms:modified xsi:type="dcterms:W3CDTF">2026-03-10T18:54:57Z</dcterms:modified>
</cp:coreProperties>
</file>